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60325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74" w:lineRule="exact"/>
        <w:rPr>
          <w:sz w:val="24"/>
          <w:szCs w:val="24"/>
          <w:color w:val="auto"/>
        </w:rPr>
      </w:pPr>
    </w:p>
    <w:p>
      <w:pPr>
        <w:jc w:val="center"/>
        <w:ind w:left="3860" w:right="1420" w:hanging="2447"/>
        <w:spacing w:after="0" w:line="261" w:lineRule="auto"/>
        <w:tabs>
          <w:tab w:leader="none" w:pos="161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 w:lineRule="exact"/>
        <w:rPr>
          <w:sz w:val="24"/>
          <w:szCs w:val="24"/>
          <w:color w:val="auto"/>
        </w:rPr>
      </w:pPr>
    </w:p>
    <w:p>
      <w:pPr>
        <w:jc w:val="center"/>
        <w:ind w:left="3540" w:right="1420" w:hanging="2133"/>
        <w:spacing w:after="0" w:line="582" w:lineRule="auto"/>
        <w:tabs>
          <w:tab w:leader="none" w:pos="15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from____________to____________</w:t>
      </w:r>
    </w:p>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 001-39658</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ROOT, INC.</w:t>
      </w:r>
    </w:p>
    <w:p>
      <w:pPr>
        <w:sectPr>
          <w:pgSz w:w="11900" w:h="16838" w:orient="portrait"/>
          <w:cols w:equalWidth="0" w:num="1">
            <w:col w:w="11260"/>
          </w:cols>
          <w:pgMar w:left="320" w:top="1150" w:right="319" w:bottom="1440" w:gutter="0" w:footer="0" w:header="0"/>
        </w:sectPr>
      </w:pPr>
    </w:p>
    <w:p>
      <w:pPr>
        <w:spacing w:after="0" w:line="4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60325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9"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6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54"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80 E. Rich Street, Suite 500</w:t>
      </w:r>
    </w:p>
    <w:p>
      <w:pPr>
        <w:spacing w:after="0" w:line="29"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Columbus, Ohio</w:t>
      </w:r>
    </w:p>
    <w:p>
      <w:pPr>
        <w:spacing w:after="0" w:line="5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8" w:lineRule="exact"/>
        <w:rPr>
          <w:sz w:val="24"/>
          <w:szCs w:val="24"/>
          <w:color w:val="auto"/>
        </w:rPr>
      </w:pPr>
    </w:p>
    <w:p>
      <w:pPr>
        <w:jc w:val="center"/>
        <w:ind w:left="3320"/>
        <w:spacing w:after="0"/>
        <w:rPr>
          <w:sz w:val="20"/>
          <w:szCs w:val="20"/>
          <w:color w:val="auto"/>
        </w:rPr>
      </w:pPr>
      <w:r>
        <w:rPr>
          <w:rFonts w:ascii="Times New Roman" w:cs="Times New Roman" w:eastAsia="Times New Roman" w:hAnsi="Times New Roman"/>
          <w:sz w:val="18"/>
          <w:szCs w:val="18"/>
          <w:b w:val="1"/>
          <w:bCs w:val="1"/>
          <w:color w:val="auto"/>
        </w:rPr>
        <w:t>(866) 980-9431</w:t>
      </w:r>
    </w:p>
    <w:p>
      <w:pPr>
        <w:spacing w:after="0" w:line="31" w:lineRule="exact"/>
        <w:rPr>
          <w:sz w:val="24"/>
          <w:szCs w:val="24"/>
          <w:color w:val="auto"/>
        </w:rPr>
      </w:pPr>
    </w:p>
    <w:p>
      <w:pPr>
        <w:jc w:val="center"/>
        <w:ind w:left="33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84-2717903</w:t>
      </w:r>
    </w:p>
    <w:p>
      <w:pPr>
        <w:spacing w:after="0" w:line="6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43215</w:t>
      </w:r>
    </w:p>
    <w:p>
      <w:pPr>
        <w:spacing w:after="0" w:line="16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32" w:lineRule="exact"/>
        <w:rPr>
          <w:sz w:val="24"/>
          <w:szCs w:val="24"/>
          <w:color w:val="auto"/>
        </w:rPr>
      </w:pPr>
    </w:p>
    <w:p>
      <w:pPr>
        <w:sectPr>
          <w:pgSz w:w="11900" w:h="16838" w:orient="portrait"/>
          <w:cols w:equalWidth="0" w:num="2">
            <w:col w:w="7940" w:space="720"/>
            <w:col w:w="2600"/>
          </w:cols>
          <w:pgMar w:left="320" w:top="1150"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57150</wp:posOffset>
            </wp:positionV>
            <wp:extent cx="1466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173"/>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ROOT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8"/>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$0.0001 par value per share</w:t>
            </w: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spacing w:after="0"/>
              <w:rPr>
                <w:sz w:val="16"/>
                <w:szCs w:val="16"/>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bl>
    <w:p>
      <w:pPr>
        <w:spacing w:after="0" w:line="117"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p>
      <w:pPr>
        <w:ind w:left="20"/>
        <w:spacing w:after="0" w:line="161" w:lineRule="exact"/>
        <w:tabs>
          <w:tab w:leader="none" w:pos="56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62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ind w:left="56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October 23, 2024, the number of outstanding shares of the registrant’s Class A common stock, par value $0.0001 per share, was 10.7 million and the number of outstanding shares of the registrant’s Class B common stock, par value $0.0001 per share, was 4.4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0" w:right="319" w:bottom="1440" w:gutter="0" w:footer="0" w:header="0"/>
          <w:type w:val="continuous"/>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2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2"/>
        </w:trPr>
        <w:tc>
          <w:tcPr>
            <w:tcW w:w="10360" w:type="dxa"/>
            <w:vAlign w:val="bottom"/>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5"/>
          </w:tcPr>
          <w:p>
            <w:pPr>
              <w:jc w:val="center"/>
              <w:ind w:right="380"/>
              <w:spacing w:after="0" w:line="182" w:lineRule="exact"/>
              <w:rPr>
                <w:sz w:val="20"/>
                <w:szCs w:val="20"/>
                <w:color w:val="auto"/>
              </w:rPr>
            </w:pPr>
            <w:r>
              <w:rPr>
                <w:rFonts w:ascii="Times New Roman" w:cs="Times New Roman" w:eastAsia="Times New Roman" w:hAnsi="Times New Roman"/>
                <w:sz w:val="18"/>
                <w:szCs w:val="18"/>
                <w:color w:val="0000FF"/>
                <w:w w:val="99"/>
              </w:rPr>
              <w:t>ii</w:t>
            </w:r>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3560" w:type="dxa"/>
            <w:vAlign w:val="bottom"/>
            <w:gridSpan w:val="4"/>
          </w:tcPr>
          <w:p>
            <w:pPr>
              <w:spacing w:after="0"/>
              <w:rPr>
                <w:sz w:val="24"/>
                <w:szCs w:val="24"/>
                <w:color w:val="auto"/>
              </w:rPr>
            </w:pPr>
          </w:p>
        </w:tc>
        <w:tc>
          <w:tcPr>
            <w:tcW w:w="380" w:type="dxa"/>
            <w:vAlign w:val="bottom"/>
            <w:gridSpan w:val="2"/>
          </w:tcPr>
          <w:p>
            <w:pPr>
              <w:spacing w:after="0"/>
              <w:rPr>
                <w:sz w:val="24"/>
                <w:szCs w:val="24"/>
                <w:color w:val="auto"/>
              </w:rPr>
            </w:pPr>
          </w:p>
        </w:tc>
        <w:tc>
          <w:tcPr>
            <w:tcW w:w="120" w:type="dxa"/>
            <w:vAlign w:val="bottom"/>
            <w:tcBorders>
              <w:top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tcPr>
          <w:p>
            <w:pPr>
              <w:spacing w:after="0"/>
              <w:rPr>
                <w:sz w:val="18"/>
                <w:szCs w:val="18"/>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 - Unaudited</w:t>
            </w:r>
          </w:p>
        </w:tc>
        <w:tc>
          <w:tcPr>
            <w:tcW w:w="1140" w:type="dxa"/>
            <w:vAlign w:val="bottom"/>
            <w:gridSpan w:val="2"/>
          </w:tcPr>
          <w:p>
            <w:pPr>
              <w:spacing w:after="0"/>
              <w:rPr>
                <w:sz w:val="18"/>
                <w:szCs w:val="18"/>
                <w:color w:val="auto"/>
              </w:rPr>
            </w:pPr>
          </w:p>
        </w:tc>
        <w:tc>
          <w:tcPr>
            <w:tcW w:w="2260" w:type="dxa"/>
            <w:vAlign w:val="bottom"/>
            <w:gridSpan w:val="8"/>
          </w:tcPr>
          <w:p>
            <w:pPr>
              <w:spacing w:after="0"/>
              <w:rPr>
                <w:sz w:val="18"/>
                <w:szCs w:val="18"/>
                <w:color w:val="auto"/>
              </w:rPr>
            </w:pPr>
          </w:p>
        </w:tc>
        <w:tc>
          <w:tcPr>
            <w:tcW w:w="3560" w:type="dxa"/>
            <w:vAlign w:val="bottom"/>
            <w:gridSpan w:val="4"/>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 - Unaudited</w:t>
            </w:r>
          </w:p>
        </w:tc>
        <w:tc>
          <w:tcPr>
            <w:tcW w:w="2240" w:type="dxa"/>
            <w:vAlign w:val="bottom"/>
            <w:gridSpan w:val="2"/>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Unaudited</w:t>
            </w:r>
          </w:p>
        </w:tc>
        <w:tc>
          <w:tcPr>
            <w:tcW w:w="780" w:type="dxa"/>
            <w:vAlign w:val="bottom"/>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60" w:type="dxa"/>
            <w:vAlign w:val="bottom"/>
          </w:tcPr>
          <w:p>
            <w:pPr>
              <w:spacing w:after="0"/>
              <w:rPr>
                <w:sz w:val="18"/>
                <w:szCs w:val="18"/>
                <w:color w:val="auto"/>
              </w:rPr>
            </w:pPr>
          </w:p>
        </w:tc>
        <w:tc>
          <w:tcPr>
            <w:tcW w:w="6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2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340" w:type="dxa"/>
            <w:vAlign w:val="bottom"/>
          </w:tcPr>
          <w:p>
            <w:pPr>
              <w:spacing w:after="0"/>
              <w:rPr>
                <w:sz w:val="18"/>
                <w:szCs w:val="18"/>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8"/>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340" w:type="dxa"/>
            <w:vAlign w:val="bottom"/>
          </w:tcPr>
          <w:p>
            <w:pPr>
              <w:spacing w:after="0"/>
              <w:rPr>
                <w:sz w:val="18"/>
                <w:szCs w:val="18"/>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gridSpan w:val="2"/>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41</w:t>
            </w:r>
          </w:p>
        </w:tc>
        <w:tc>
          <w:tcPr>
            <w:tcW w:w="340" w:type="dxa"/>
            <w:vAlign w:val="bottom"/>
          </w:tcPr>
          <w:p>
            <w:pPr>
              <w:spacing w:after="0"/>
              <w:rPr>
                <w:sz w:val="18"/>
                <w:szCs w:val="18"/>
                <w:color w:val="auto"/>
              </w:rPr>
            </w:pPr>
          </w:p>
        </w:tc>
      </w:tr>
      <w:tr>
        <w:trPr>
          <w:trHeight w:val="479"/>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340" w:type="dxa"/>
            <w:vAlign w:val="bottom"/>
          </w:tcPr>
          <w:p>
            <w:pPr>
              <w:spacing w:after="0"/>
              <w:rPr>
                <w:sz w:val="24"/>
                <w:szCs w:val="24"/>
                <w:color w:val="auto"/>
              </w:rPr>
            </w:pPr>
          </w:p>
        </w:tc>
        <w:tc>
          <w:tcPr>
            <w:tcW w:w="1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40" w:type="dxa"/>
            <w:vAlign w:val="bottom"/>
          </w:tcPr>
          <w:p>
            <w:pPr>
              <w:spacing w:after="0"/>
              <w:rPr>
                <w:sz w:val="24"/>
                <w:szCs w:val="24"/>
                <w:color w:val="auto"/>
              </w:rPr>
            </w:pPr>
          </w:p>
        </w:tc>
      </w:tr>
      <w:tr>
        <w:trPr>
          <w:trHeight w:val="2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60" w:type="dxa"/>
            <w:vAlign w:val="bottom"/>
          </w:tcPr>
          <w:p>
            <w:pPr>
              <w:spacing w:after="0"/>
              <w:rPr>
                <w:sz w:val="18"/>
                <w:szCs w:val="18"/>
                <w:color w:val="auto"/>
              </w:rPr>
            </w:pPr>
          </w:p>
        </w:tc>
        <w:tc>
          <w:tcPr>
            <w:tcW w:w="3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60" w:type="dxa"/>
            <w:vAlign w:val="bottom"/>
            <w:tcBorders>
              <w:top w:val="single" w:sz="8" w:color="0000FF"/>
            </w:tcBorders>
            <w:gridSpan w:val="6"/>
          </w:tcPr>
          <w:p>
            <w:pPr>
              <w:spacing w:after="0"/>
              <w:rPr>
                <w:sz w:val="18"/>
                <w:szCs w:val="18"/>
                <w:color w:val="auto"/>
              </w:rPr>
            </w:pPr>
          </w:p>
        </w:tc>
        <w:tc>
          <w:tcPr>
            <w:tcW w:w="366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4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43</w:t>
            </w:r>
          </w:p>
        </w:tc>
        <w:tc>
          <w:tcPr>
            <w:tcW w:w="34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2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340" w:type="dxa"/>
            <w:vAlign w:val="bottom"/>
          </w:tcPr>
          <w:p>
            <w:pPr>
              <w:spacing w:after="0"/>
              <w:rPr>
                <w:sz w:val="18"/>
                <w:szCs w:val="18"/>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18"/>
                <w:szCs w:val="18"/>
                <w:color w:val="auto"/>
              </w:rPr>
            </w:pPr>
          </w:p>
        </w:tc>
        <w:tc>
          <w:tcPr>
            <w:tcW w:w="2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040" w:type="dxa"/>
            <w:vAlign w:val="bottom"/>
            <w:gridSpan w:val="1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340" w:type="dxa"/>
            <w:vAlign w:val="bottom"/>
          </w:tcPr>
          <w:p>
            <w:pPr>
              <w:spacing w:after="0"/>
              <w:rPr>
                <w:sz w:val="18"/>
                <w:szCs w:val="18"/>
                <w:color w:val="auto"/>
              </w:rPr>
            </w:pPr>
          </w:p>
        </w:tc>
      </w:tr>
      <w:tr>
        <w:trPr>
          <w:trHeight w:val="21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46</w:t>
            </w:r>
          </w:p>
        </w:tc>
        <w:tc>
          <w:tcPr>
            <w:tcW w:w="340" w:type="dxa"/>
            <w:vAlign w:val="bottom"/>
          </w:tcPr>
          <w:p>
            <w:pPr>
              <w:spacing w:after="0"/>
              <w:rPr>
                <w:sz w:val="18"/>
                <w:szCs w:val="18"/>
                <w:color w:val="auto"/>
              </w:rPr>
            </w:pPr>
          </w:p>
        </w:tc>
      </w:tr>
      <w:tr>
        <w:trPr>
          <w:trHeight w:val="21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80" w:type="dxa"/>
            <w:vAlign w:val="bottom"/>
            <w:tcBorders>
              <w:top w:val="single" w:sz="8" w:color="0000FF"/>
            </w:tcBorders>
            <w:gridSpan w:val="2"/>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0" w:type="dxa"/>
            <w:vAlign w:val="bottom"/>
            <w:gridSpan w:val="16"/>
          </w:tcPr>
          <w:p>
            <w:pPr>
              <w:spacing w:after="0"/>
              <w:rPr>
                <w:sz w:val="18"/>
                <w:szCs w:val="18"/>
                <w:color w:val="auto"/>
              </w:rPr>
            </w:pP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47</w:t>
            </w:r>
          </w:p>
        </w:tc>
        <w:tc>
          <w:tcPr>
            <w:tcW w:w="340" w:type="dxa"/>
            <w:vAlign w:val="bottom"/>
          </w:tcPr>
          <w:p>
            <w:pPr>
              <w:spacing w:after="0"/>
              <w:rPr>
                <w:sz w:val="18"/>
                <w:szCs w:val="18"/>
                <w:color w:val="auto"/>
              </w:rPr>
            </w:pPr>
          </w:p>
        </w:tc>
      </w:tr>
      <w:tr>
        <w:trPr>
          <w:trHeight w:val="21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80" w:type="dxa"/>
            <w:vAlign w:val="bottom"/>
            <w:gridSpan w:val="2"/>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8040" w:type="dxa"/>
            <w:vAlign w:val="bottom"/>
            <w:gridSpan w:val="17"/>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340" w:type="dxa"/>
            <w:vAlign w:val="bottom"/>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600" w:type="dxa"/>
            <w:vAlign w:val="bottom"/>
            <w:gridSpan w:val="19"/>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3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spacing w:after="0" w:line="129"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acquire new customers and expand our customer reach;</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performance, including total revenue, gross profit/(loss), net income/(loss),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profits, acquire customers, retain customers, contract with additional partners to utilize the products, or achieve other benefits from our embedded insurance offering;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distribution channels through additional partnership relationships, digital media, independent agents and referrals;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 significant long-term competitive advantage through our partnership with Carvana Group, LLC, or Carvana, and other partnerships;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embedded insurance and other partners;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 increasing inflation, a recession and/or disruptions to properly functioning financial and capital markets and interest rates on our business and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profitable and extend our capital runway;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be licensed in all states in the United States and the timing of obtaining additional licenses and launching in new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efficiency of our telematics and behavioral data, and our ability to gather and leverage additional data;</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materially improve retention rates and our ability to realize benefits from retaining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underwrite risks accurately and charge profitable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business model and improve our capital and marketing efficiency;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improved conversion and decrease the cost of customer acquisition;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business;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efficiently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product offerings, introduce new products and expand into additional insurance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cross sell our products and attain greater value from each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operating history and ability to remain profitable;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performance of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 “capital-efficient” business and obtain and maintain desirable levels of reinsurance;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3" w:name="page4"/>
    <w:bookmarkEnd w:id="3"/>
    <w:p>
      <w:pPr>
        <w:ind w:left="660" w:right="20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further reductions in the utilization of reinsurance, which would result in retention of more premium and losses and could cause our capital requirements to increase;</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economies of scale;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 or hire personnel, and to offer competitive compensation and benefits;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a vertically integrated customer experience;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that utilize telematics to drive better customer satisfaction and retention;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any costs associated therewith;</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 autonomous claims experience;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rate action early and react to changing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risk-based capital requirements;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anticipated from our Texas county mutual fronting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domestically;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or other losses;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changes in the interpretation of laws or regulations by a regulatory authority, specific to the use of artificial intelligence;</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cybersecurity threats and prevent, or recover from, a security breach or other significant disruption of our technology systems or those of our partners and third-party service providers;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interest rates on our available cash and our ability to maintain compliance with our amended term loan, including performance and liquidity covenants;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The Nasdaq Stock Market listing standards;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9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“Root,” “the Company,” “we,” “our” and “us” refer to Root, Inc. and its subsidiaries.</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$264.1 and $168.4 at September 30, 2024</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176"/>
        </w:trPr>
        <w:tc>
          <w:tcPr>
            <w:tcW w:w="8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Short-term investments (amortized cost: $8.6 and $0.9 at September 30, 2024 and December 31, 2023,</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receivable, net of allowance of $7.2 and $4.0 at September 30, 2024 and December 31, 2023,</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Reinsurance recoverable and receivable, net of allowance of $1.8 at September 30, 2024 and December 31,</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and warrants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convertible preferred stock, $0.0001 par value, 100.0 shares authorized, 14.1 shares issued and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(redemption value of $126.5)</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 shares authorized, 10.6 and 9.5 shares issued and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convertible common stock, $0.0001 par value, 269.0 shares authorized, 4.4 and 5.0 shares issued and</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loss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3"/>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76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income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3"/>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Verdana" w:cs="Verdana" w:eastAsia="Verdana" w:hAnsi="Verdana"/>
                <w:sz w:val="14"/>
                <w:szCs w:val="14"/>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5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common share: (both Class A and B)</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(both Class A and B)</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7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EQUITY -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Borders>
              <w:top w:val="single" w:sz="8" w:color="auto"/>
            </w:tcBorders>
          </w:tcPr>
          <w:p>
            <w:pPr>
              <w:spacing w:after="0"/>
              <w:rPr>
                <w:sz w:val="14"/>
                <w:szCs w:val="14"/>
                <w:color w:val="auto"/>
              </w:rPr>
            </w:pPr>
          </w:p>
        </w:tc>
        <w:tc>
          <w:tcPr>
            <w:tcW w:w="138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8"/>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A and Class B Convertible</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Convertible Preferred</w:t>
            </w:r>
          </w:p>
        </w:tc>
        <w:tc>
          <w:tcPr>
            <w:tcW w:w="60" w:type="dxa"/>
            <w:vAlign w:val="bottom"/>
          </w:tcPr>
          <w:p>
            <w:pPr>
              <w:spacing w:after="0"/>
              <w:rPr>
                <w:sz w:val="10"/>
                <w:szCs w:val="10"/>
                <w:color w:val="auto"/>
              </w:rPr>
            </w:pPr>
          </w:p>
        </w:tc>
        <w:tc>
          <w:tcPr>
            <w:tcW w:w="206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5"/>
          </w:tcPr>
          <w:p>
            <w:pPr>
              <w:jc w:val="center"/>
              <w:ind w:right="75"/>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36"/>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840" w:type="dxa"/>
            <w:vAlign w:val="bottom"/>
          </w:tcPr>
          <w:p>
            <w:pPr>
              <w:jc w:val="center"/>
              <w:ind w:right="36"/>
              <w:spacing w:after="0" w:line="129"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stock—restricted stock units vesting,</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Balance—January 1,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stock—restricted stock units vesting,</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issuance costs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7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EQUITY -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Borders>
              <w:top w:val="single" w:sz="8" w:color="auto"/>
            </w:tcBorders>
          </w:tcPr>
          <w:p>
            <w:pPr>
              <w:spacing w:after="0"/>
              <w:rPr>
                <w:sz w:val="14"/>
                <w:szCs w:val="14"/>
                <w:color w:val="auto"/>
              </w:rPr>
            </w:pPr>
          </w:p>
        </w:tc>
        <w:tc>
          <w:tcPr>
            <w:tcW w:w="138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8"/>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A and Class B Convertible</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Convertible Preferred</w:t>
            </w:r>
          </w:p>
        </w:tc>
        <w:tc>
          <w:tcPr>
            <w:tcW w:w="60" w:type="dxa"/>
            <w:vAlign w:val="bottom"/>
          </w:tcPr>
          <w:p>
            <w:pPr>
              <w:spacing w:after="0"/>
              <w:rPr>
                <w:sz w:val="10"/>
                <w:szCs w:val="10"/>
                <w:color w:val="auto"/>
              </w:rPr>
            </w:pPr>
          </w:p>
        </w:tc>
        <w:tc>
          <w:tcPr>
            <w:tcW w:w="206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5"/>
          </w:tcPr>
          <w:p>
            <w:pPr>
              <w:jc w:val="center"/>
              <w:ind w:right="75"/>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36"/>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840" w:type="dxa"/>
            <w:vAlign w:val="bottom"/>
          </w:tcPr>
          <w:p>
            <w:pPr>
              <w:jc w:val="center"/>
              <w:ind w:right="36"/>
              <w:spacing w:after="0" w:line="129"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stock—restricted stock units vesting,</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issuance costs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Balance—January 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stock—restricted stock units vesting,</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issuance costs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Borders>
              <w:top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3"/>
        </w:trPr>
        <w:tc>
          <w:tcPr>
            <w:tcW w:w="81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9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receivable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recoverable and receivable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 reserves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calls and pay downs of investments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investments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 of internally developed software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preferred stock and related warrants issuance costs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14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Root, Inc. is a holding company which, directly or indirectly, maintains 100% ownership of each of its subsidiaries, including, among others, Root Insurance Company and Root Property &amp; Casualty Insurance Company, both Ohio-domiciled insurance companies, and Root Reinsurance Company, Ltd., a Cayman Islands-domiciled reinsurance company, together with Root, Inc., “we,” “us” or “our.”</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were formed in 2015 and began writing personal auto insurance in July 2016. We are a technology company operating primarily a direct-to-consumer model with the majority of our personal insurance customers acquired through mobile apps. We offer auto and renters insurance products underwritten by Root Insurance Company and Root Property &amp; Casualty Insurance Company.</w:t>
      </w:r>
    </w:p>
    <w:p>
      <w:pPr>
        <w:spacing w:after="0" w:line="11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—In our opinion, all adjustments necessary for a fair presentation of the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2023 filed with the Securities and Exchange Commission, or SEC, on February 21, 2024.</w:t>
      </w:r>
    </w:p>
    <w:p>
      <w:pPr>
        <w:spacing w:after="0" w:line="12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Basis of Consolidation</w:t>
      </w:r>
      <w:r>
        <w:rPr>
          <w:rFonts w:ascii="Times New Roman" w:cs="Times New Roman" w:eastAsia="Times New Roman" w:hAnsi="Times New Roman"/>
          <w:sz w:val="18"/>
          <w:szCs w:val="18"/>
          <w:color w:val="auto"/>
        </w:rPr>
        <w:t>—The unaudited condensed consolidated financial statements include the accounts of Root, Inc. and its subsidiaries,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wholly owned. These financial statements have been prepared in accordance with accounting principles generally accepted in the United States, or GAAP. All intercompany accounts and transactions have been eliminated.</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unaudited condensed consolidated financial statements requires management to make certain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for income taxes and allowance for expected credit losses on premium receivables and reinsurance recoverables.</w:t>
      </w:r>
    </w:p>
    <w:p>
      <w:pPr>
        <w:spacing w:after="0" w:line="12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Legal and Other Contingencies—</w:t>
      </w:r>
      <w:r>
        <w:rPr>
          <w:rFonts w:ascii="Times New Roman" w:cs="Times New Roman" w:eastAsia="Times New Roman" w:hAnsi="Times New Roman"/>
          <w:sz w:val="18"/>
          <w:szCs w:val="18"/>
          <w:color w:val="auto"/>
        </w:rPr>
        <w:t>From time to time, we are party to litigation and legal proceedings relating to our business operations. We consider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actions relating to claims made in the ordinary course of seeking indemnification for a loss covered by the insurance policy in establishing loss and LAE reserves. In the ordinary course of business, we also face certain lawsuits that seek damages beyond policy limits, or extra-contractual claims.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continually evaluate potential liabilities and reserves for litigation and other matters using the guidance issued in the Financial Accounting Standards Board, or FASB, Accounting Standards Codification,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Under this guidance, we may only record reserves for a loss if as of the date the financial statements are issued or available to be issued, the likelihood of occurrence is deemed probable and we can reasonably estimate the amount of the loss. When disclosing litigation, claims or other matters where a material loss is judged to be reasonably possible, we will disclose an estimated range of loss or state that an estimate cannot be made. We consider each matter using this guidance and record reserves for losses as warranted by establishing a reserve in loss and loss adjustment expense reserves for extra-contractual claims and other liabilities for class action, other non-claims related lawsuits and other matters in our condensed consolidated balance sheets. Any non-reinsurance related recoveries are recognized as other assets in our condensed consolidated balance sheets. We record amounts within loss and loss adjustment expenses for extra-contractual claims and general and administrative for class action and other non-claims related lawsuits in our condensed consolidated statements of operations and comprehensive income (loss). For other recoveries, we record these amounts in the same account as the initial expense in our condensed consolidated statements of operations and comprehensive income (loss). Further details are discussed in Note 11,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—The following table provides a reconciliation of cash, cash equivalents and restricted cash reported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condensed consolidated balance sheets that sum to the total of the same such amount in the condensed 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54"/>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flows</w:t>
            </w: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3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Deferred Policy Acquisition Costs</w:t>
      </w:r>
      <w:r>
        <w:rPr>
          <w:rFonts w:ascii="Times New Roman" w:cs="Times New Roman" w:eastAsia="Times New Roman" w:hAnsi="Times New Roman"/>
          <w:sz w:val="18"/>
          <w:szCs w:val="18"/>
          <w:color w:val="auto"/>
        </w:rPr>
        <w:t>—The following table provides a reconciliation of the beginning and ending deferred policy acquisition costs, net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amortization, reported in other assets within the condensed consolidated balance sheets as of September 30, 2024 and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5"/>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costs deferred</w:t>
            </w:r>
          </w:p>
        </w:tc>
        <w:tc>
          <w:tcPr>
            <w:tcW w:w="960" w:type="dxa"/>
            <w:vAlign w:val="bottom"/>
          </w:tcPr>
          <w:p>
            <w:pPr>
              <w:spacing w:after="0"/>
              <w:rPr>
                <w:sz w:val="21"/>
                <w:szCs w:val="21"/>
                <w:color w:val="auto"/>
              </w:rPr>
            </w:pPr>
          </w:p>
        </w:tc>
        <w:tc>
          <w:tcPr>
            <w:tcW w:w="60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5"/>
              </w:rPr>
              <w:t>32.3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63"/>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September 30</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w w:val="95"/>
              </w:rPr>
              <w:t>26.5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Earnings (Loss) Per Share</w:t>
      </w:r>
      <w:r>
        <w:rPr>
          <w:rFonts w:ascii="Times New Roman" w:cs="Times New Roman" w:eastAsia="Times New Roman" w:hAnsi="Times New Roman"/>
          <w:sz w:val="18"/>
          <w:szCs w:val="18"/>
          <w:color w:val="auto"/>
        </w:rPr>
        <w:t>—Earnings (loss) per share, or EPS, results are a key indicator of the overall performance relative to each share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Basic earnings per share is calculated using the two-class method. Undistributed earnings are allocated to participating securities based on the extent to which each class may share in earnings as if all the earnings for the period have been distributed. Basic earnings per share is calculated by dividing net income attributable to common shareholders by the weighted-average number of common shares outstanding for the period. Common shares, when contingencies, such as vesting requirements, exist and have not been satisfied, are excluded from basic earnings per share.</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Class A and Class B common stock are entitled to the same liquidation and dividend rights and therefore earnings are allocated equally. Our redeemable convertible preferred stock and nonvested shares subject to repurchase are considered to be participating securities because they participate in dividends that are non-forfeitable and distributions with common stock.</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Diluted EPS for both Class A and Class B common stock includes all the components of basic EPS, plus the dilutive effect of common stock equivalents, but excludes those common stock equivalents from the calculation of diluted EPS when the effect of inclusion, assessed individually, would be anti-dilutive. The dilutive effect of stock options, nonvested shares subject to repurchase, restricted stock units, or RSUs, performance-based restricted stock units, or PSUs, and warrants are calculated using the treasury stock method. The dilutive effect of redeemable convertible preferred stock is calculated using the if-converted method.</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periods in which we operate at a loss, the conversion of common stock equivalents would increase the denominator of the diluted earnings per share calculation and create a lower loss per share. Therefore, these common stock equivalents are considered antidilutive and diluted EPS is equal to basic EPS. Participating securities do not participate in losses and therefore losses are not allocated in the two-class method. Further details are discussed in Note 12, “Earnings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Upcoming Accounting Pronouncements—</w:t>
      </w:r>
      <w:r>
        <w:rPr>
          <w:rFonts w:ascii="Times New Roman" w:cs="Times New Roman" w:eastAsia="Times New Roman" w:hAnsi="Times New Roman"/>
          <w:sz w:val="18"/>
          <w:szCs w:val="18"/>
          <w:color w:val="auto"/>
        </w:rPr>
        <w:t>In November 2023, the FASB issued Accounting Standards Update, or ASU, No. 2023-07,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This ASU looks to provide improvements to the segment disclosure by providing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more decision-useful information about reportable segments in a public entity. The main provisions require a company to disclose, on an annual and interim basis, significant expenses included within each reported measure of segment profit or loss, an amount for other segment items by reportable segment, a description of its composition and the title and position of the Chief Operating Decision Maker, or CODM, with an explanation of how the CODM uses the reported measure(s) of segment profit or loss in assessing segment performance and deciding to allocate resources. It also requires all annual disclosures about a reportable segments’ profit or loss and assets to be reported on an interim basis. Although we operate in only one reporting segment, we are still required to provide all the disclosures required by this ASU and all existing segment disclosures in Topic 280.</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ASU is to be applied retrospectively to all prior periods presented in the financial statements with an effective date for all public entities for fiscal years beginning after December 15, 2023, and interim periods within fiscal years beginning after December 15, 2024. Early adoption is permitted. We will adopt this ASU in the fourth quarter of 2024 on a retrospective basis. We have currently identified the Chief Executive Officer as our CODM and net income (loss), as reported on the condensed consolidated statement of operations and comprehensive income (loss), as our reported measure of segment profit or loss. We are currently evaluating the other impacts of this ASU.</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looks to enhance the transparency and decision usefulness of income tax disclosures primarily related to the rate reconciliation and income taxes paid information. The main provisions to the rate reconciliation disclosure require public entities on an annual basis to: disclose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ASU is to be applied on a prospective basis with an effective date for all public entities for annual periods beginning after December 15, 2024. Early adoption is permitted. This ASU only requires additional disclosure, will not have an impact on our results of operations or financial condition, and is not expected to have a material impact on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3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short-term investments and available-for-sale fixed maturity securities at September 30, 2024 and December 31, 2023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Management reviewed the available-for-sale securities at each balance sheet date to consider whether it was necessary to recognize a credit loss as of September 30, 2024 and December 31, 2023. We do not intend to sell the securities and it is not more likely than not that we will be required to sell the securities before recovery. Management concluded that the available-for-sale securities’ unrealized losses were due to non-credit related factors and, therefore, there was no allowance for credit loss as of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September 30, 2024 and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other investments related to our private equity investments were $4.4 million. There were no realized or unrealized gains and losses or impairment losses recognized on private equity investments for the three and nine months ended September 30, 2024 and 2023.</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realized gains or losses on short-term investments, available-for-sale fixed maturities and other investments for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short-term investments and available-for-sale fixed maturity securities by contractual maturity at September 30,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37"/>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five years through 10 years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48"/>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and nine months ended September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6"/>
          </w:tcPr>
          <w:p>
            <w:pPr>
              <w:ind w:left="10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bonds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deposits and cash equivalents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credit ratings of short-term investments and available-for-sale fixed maturity securities at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3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our financial assets measured and reported at fair value as of September 30, 2024 and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196"/>
        </w:trPr>
        <w:tc>
          <w:tcPr>
            <w:tcW w:w="4700" w:type="dxa"/>
            <w:vAlign w:val="bottom"/>
          </w:tcPr>
          <w:p>
            <w:pPr>
              <w:ind w:left="460"/>
              <w:spacing w:after="0" w:line="196" w:lineRule="exact"/>
              <w:rPr>
                <w:sz w:val="20"/>
                <w:szCs w:val="20"/>
                <w:color w:val="auto"/>
              </w:rPr>
            </w:pPr>
            <w:r>
              <w:rPr>
                <w:rFonts w:ascii="Times New Roman" w:cs="Times New Roman" w:eastAsia="Times New Roman" w:hAnsi="Times New Roman"/>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458.6</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691.4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September 30, 2024 and December 31, 2023, the carrying amounts and fair values of these financial instruments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c>
          <w:tcPr>
            <w:tcW w:w="280" w:type="dxa"/>
            <w:vAlign w:val="bottom"/>
          </w:tcPr>
          <w:p>
            <w:pPr>
              <w:spacing w:after="0"/>
              <w:rPr>
                <w:sz w:val="13"/>
                <w:szCs w:val="13"/>
                <w:color w:val="auto"/>
              </w:rPr>
            </w:pPr>
          </w:p>
        </w:tc>
        <w:tc>
          <w:tcPr>
            <w:tcW w:w="15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44"/>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3"/>
          </w:tcPr>
          <w:p>
            <w:pPr>
              <w:jc w:val="right"/>
              <w:ind w:right="112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300.9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307.9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299.0</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AND LOSS ADJUSTMENT EXPENSE RESERVES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 reconciliation of the beginning and ending reserve balances for loss and LAE, net of reinsurance: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January 1</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287.4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reserves, January 1</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incurred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209.2</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incurred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208.6</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paid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paid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204.7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reserves, September 30</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214.9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losses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 and LAE reserves, September 30</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256.5</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Incurred losses and LAE attributable to prior accident years was a decrease of $7.9 million and $0.6 million for the nine months ended September 30, 2024 and 2023, respectively. For the nine months ended September 30, 2024, the development of incurred losses and LAE related to prior periods was primarily driven by lower-than-expected reported losses and LAE from accident year 2023 on both liability and physical damage coverages. For the nine months ended September 30, 2023, the development of incurred losses and LAE related to prior periods was a result of lower-than-expected reported losses on injury coverages, partially offset by losses on commutations of certain reinsurance agreements and higher-than-expected LAE in prior accident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reflects amounts affecting the condensed consolidated statements of operations and comprehensive income (loss) for reinsurance for the three and nine months ended September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 written</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2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Losses and LAE incurred:</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LAE incurred</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all or any of the reinsuring companies might be unable to meet their obligations under existing reinsurance agreements, we would be liable to the policyholder for such defaulted amounts.</w:t>
      </w:r>
    </w:p>
    <w:p>
      <w:pPr>
        <w:spacing w:after="0" w:line="34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2022, we entered into a $300.0 million five-year term loan, or Term Loan, with the principal amount due and payable upon maturity on January 27, 2027. Interest is payable quarterly and determined on a floating interest rate currently calculated on the Secured Overnight Financing Rate, or SOFR, with a 1.0% floor, plus 9.0%. The Term Loan can be repaid at anytime through the maturity date without a prepayment premium, provided that we give at least three business days’ written notice.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carrying value of long-term debt and warrants as of September 30, 2024 and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r>
      <w:tr>
        <w:trPr>
          <w:trHeight w:val="190"/>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gridSpan w:val="4"/>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 and warrants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3"/>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September 2024, we entered into the first amendment to the Term Loan, which among other things, provides greater flexibility for investments in future insurance subsidiaries.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October 2024, we entered into the second amendment to the Term Loan, or Amended Term Loan, which extinguished and modified portions of the Term Loan, including the interest rate, while also providing for new borrowings. For additional information refer to Note 14, “Subsequent Events.”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37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consolidated effective tax rate was zero for the three and nine months ended September 30, 2024 and 2023. The difference between these rates and the U.S. federal income tax rate of 21% was primarily due to a full valuation allowance on our U.S. deferred tax assets.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we did not have any unrecognized tax benefits for uncertain tax positions and had no interest or penalties related to uncertain tax positions.</w:t>
      </w:r>
    </w:p>
    <w:p>
      <w:pPr>
        <w:spacing w:after="0" w:line="34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Beginning 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Employee costs</w:t>
      </w:r>
      <w:r>
        <w:rPr>
          <w:rFonts w:ascii="Times New Roman" w:cs="Times New Roman" w:eastAsia="Times New Roman" w:hAnsi="Times New Roman"/>
          <w:sz w:val="18"/>
          <w:szCs w:val="18"/>
          <w:color w:val="auto"/>
        </w:rPr>
        <w:t>—consist of severance, benefits, share-based compensation, and employee compensation expense dependent upon continuous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employees and related employee costs.</w:t>
      </w:r>
    </w:p>
    <w:p>
      <w:pPr>
        <w:spacing w:after="0" w:line="10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Real estate exit costs</w:t>
      </w:r>
      <w:r>
        <w:rPr>
          <w:rFonts w:ascii="Times New Roman" w:cs="Times New Roman" w:eastAsia="Times New Roman" w:hAnsi="Times New Roman"/>
          <w:sz w:val="18"/>
          <w:szCs w:val="18"/>
          <w:color w:val="auto"/>
        </w:rPr>
        <w:t>—consist of real estate exit costs primarily related to accelerated amortization of right-of-use assets, leasehold improvements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and fixtures.</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Other costs</w:t>
      </w:r>
      <w:r>
        <w:rPr>
          <w:rFonts w:ascii="Times New Roman" w:cs="Times New Roman" w:eastAsia="Times New Roman" w:hAnsi="Times New Roman"/>
          <w:sz w:val="18"/>
          <w:szCs w:val="18"/>
          <w:color w:val="auto"/>
        </w:rPr>
        <w:t>—primarily consist of contract termination costs incurred as part of our efforts to improve efficiency and reduce operating costs and accelerated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for software that no longer has economic benefit.</w:t>
      </w:r>
    </w:p>
    <w:p>
      <w:pPr>
        <w:spacing w:after="0" w:line="10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September 30, 2024, we do not expect to incur any additional material expenditures in future periods related to restructuring actions that have occurred.</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displays restructuring costs recorded in general and administrative expenses on the condensed consolidated statements of operations and comprehensive income (loss):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8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3"/>
                <w:szCs w:val="13"/>
                <w:color w:val="auto"/>
              </w:rPr>
            </w:pPr>
          </w:p>
        </w:tc>
        <w:tc>
          <w:tcPr>
            <w:tcW w:w="16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Cumulative Incurred</w:t>
            </w:r>
          </w:p>
        </w:tc>
        <w:tc>
          <w:tcPr>
            <w:tcW w:w="0" w:type="dxa"/>
            <w:vAlign w:val="bottom"/>
          </w:tcPr>
          <w:p>
            <w:pPr>
              <w:spacing w:after="0"/>
              <w:rPr>
                <w:sz w:val="1"/>
                <w:szCs w:val="1"/>
                <w:color w:val="auto"/>
              </w:rPr>
            </w:pPr>
          </w:p>
        </w:tc>
      </w:tr>
      <w:tr>
        <w:trPr>
          <w:trHeight w:val="96"/>
        </w:trPr>
        <w:tc>
          <w:tcPr>
            <w:tcW w:w="306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vMerge w:val="restart"/>
          </w:tcPr>
          <w:p>
            <w:pPr>
              <w:jc w:val="center"/>
              <w:ind w:right="78"/>
              <w:spacing w:after="0" w:line="119" w:lineRule="exact"/>
              <w:rPr>
                <w:sz w:val="20"/>
                <w:szCs w:val="20"/>
                <w:color w:val="auto"/>
              </w:rPr>
            </w:pPr>
            <w:r>
              <w:rPr>
                <w:rFonts w:ascii="Times New Roman" w:cs="Times New Roman" w:eastAsia="Times New Roman" w:hAnsi="Times New Roman"/>
                <w:sz w:val="13"/>
                <w:szCs w:val="13"/>
                <w:b w:val="1"/>
                <w:bCs w:val="1"/>
                <w:color w:val="auto"/>
              </w:rPr>
              <w:t>Through September 30,</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costs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exit costs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costs</w:t>
            </w:r>
          </w:p>
        </w:tc>
        <w:tc>
          <w:tcPr>
            <w:tcW w:w="1060" w:type="dxa"/>
            <w:vAlign w:val="bottom"/>
          </w:tcPr>
          <w:p>
            <w:pPr>
              <w:spacing w:after="0"/>
              <w:rPr>
                <w:sz w:val="21"/>
                <w:szCs w:val="21"/>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displays a rollforward of the accrual for restructuring costs recorded in accounts payable and accrued expenses on the condensed 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Employee costs</w:t>
            </w:r>
          </w:p>
        </w:tc>
      </w:tr>
      <w:tr>
        <w:trPr>
          <w:trHeight w:val="37"/>
        </w:trPr>
        <w:tc>
          <w:tcPr>
            <w:tcW w:w="91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9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37"/>
        </w:trPr>
        <w:tc>
          <w:tcPr>
            <w:tcW w:w="9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activity:</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liability as of January 1,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incurred</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liability as of September 30,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3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October 2021, we issued Carvana eight tranches of warrants, comprised of three tranches of “short-term warrants” and five tranches of “long-term warrants,” with the opportunity to purchase a maximum of 7.2 million shares of Class A common stock.</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2024, all of the short-term warrants have vested and all of the respective compensation cost has been recognized. While the short-term warrants are vested and outstanding, it is not a possible outcome for the long-term warrants to also vest, so they are considered not probable of vesting. We recognized warrant compensation expense related to these equity-classified warrants based on policies originating through the integrated automobile insurance solution for Carvana’s online buying platform. All of these warrants are out-of-the-money and therefore have no intrinsic value as of September 30, 2024.</w:t>
      </w:r>
    </w:p>
    <w:p>
      <w:pPr>
        <w:spacing w:after="0" w:line="1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recognized warrant compensation expense of zero and $5.0 million for the three months ended September 30, 2024 and 2023, respectively. We recognized warrant compensation expense of $3.8 million and $13.3 million for the nine months ended September 30, 2024 and 2023, respectively. Warrant compensation expense is recorded in other insurance expense in the condensed consolidated statements of operations and comprehensive income (loss).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Share-Based Compensation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an equity incentive plan, or the Plan, for the issuance and grant of equity awards (restricted stock, restricted stock units, or RSUs, performance-based restricted stock units, or PSUs, and incentive and nonqualified stock options) to our officers, directors, employees and certain advisors. As of September 30, 2024, we had 1.9 million common shares available for issuance under the Plan.</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these RSU and PSU awards vest, we fund the related payroll tax withholding and remittance obligations by either (i) withholding shares of our Class A common stock that would have otherwise been issued with respect to such awards and pay the relevant tax authorities in cash to satisfy such tax obligations or (ii) allowing holders of such awards to pay us an amount in cash, via a broker, sufficient to cover the applicable tax withholding obligations. We recognize the related tax withholding liability for employee taxes on the date of the event triggering the measurement and payment of the tax to the taxing authority, which is the vesting date. The obligation to satisfy the employee portion of tax withholding in the event of net share settlement is reflected as a reduction of additional paid-in capital in our condensed consolidated balance sheets.</w:t>
      </w:r>
    </w:p>
    <w:p>
      <w:pPr>
        <w:spacing w:after="0" w:line="1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displays share-based compensation expense recorded in the condensed consolidated statements of operations and comprehensive income (loss):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8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total share-based compensation expense by type of award: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 expense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16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restricted stock unit expense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 option expense</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$0.6 million, $21.6 million, and $1.2 million of unrecognized compensation cost related to unvested stock options, RSUs, and PSUs, respectively. The remaining costs are expected to be recognized over a period of approximately two years for unvested stock options, and three years for RSUs and PSUs.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and PSU activity for the nine months ended September 30, 2024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center"/>
              <w:ind w:right="97"/>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1"/>
                <w:szCs w:val="11"/>
                <w:color w:val="auto"/>
              </w:rPr>
            </w:pPr>
          </w:p>
        </w:tc>
        <w:tc>
          <w:tcPr>
            <w:tcW w:w="14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 and Performance-Based Restricted Stock Units</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142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20" w:type="dxa"/>
            <w:vAlign w:val="bottom"/>
          </w:tcPr>
          <w:p>
            <w:pPr>
              <w:spacing w:after="0"/>
              <w:rPr>
                <w:sz w:val="17"/>
                <w:szCs w:val="17"/>
                <w:color w:val="auto"/>
              </w:rPr>
            </w:pPr>
          </w:p>
        </w:tc>
        <w:tc>
          <w:tcPr>
            <w:tcW w:w="14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3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560" w:type="dxa"/>
            <w:vAlign w:val="bottom"/>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color w:val="auto"/>
                <w:w w:val="97"/>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center"/>
              <w:ind w:left="1097"/>
              <w:spacing w:after="0"/>
              <w:rPr>
                <w:sz w:val="20"/>
                <w:szCs w:val="20"/>
                <w:color w:val="auto"/>
              </w:rPr>
            </w:pPr>
            <w:r>
              <w:rPr>
                <w:rFonts w:ascii="Times New Roman" w:cs="Times New Roman" w:eastAsia="Times New Roman" w:hAnsi="Times New Roman"/>
                <w:sz w:val="18"/>
                <w:szCs w:val="18"/>
                <w:color w:val="auto"/>
                <w:w w:val="97"/>
              </w:rPr>
              <w:t>0.3</w:t>
            </w:r>
          </w:p>
        </w:tc>
        <w:tc>
          <w:tcPr>
            <w:tcW w:w="26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48.63</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center"/>
              <w:ind w:left="1077"/>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center"/>
              <w:ind w:left="1077"/>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560" w:type="dxa"/>
            <w:vAlign w:val="bottom"/>
            <w:tcBorders>
              <w:bottom w:val="single" w:sz="8" w:color="auto"/>
            </w:tcBorders>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color w:val="auto"/>
                <w:w w:val="97"/>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for the nine months ended September 30, 2024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80" w:type="dxa"/>
            <w:vAlign w:val="bottom"/>
          </w:tcPr>
          <w:p>
            <w:pPr>
              <w:spacing w:after="0"/>
              <w:rPr>
                <w:sz w:val="11"/>
                <w:szCs w:val="11"/>
                <w:color w:val="auto"/>
              </w:rPr>
            </w:pPr>
          </w:p>
        </w:tc>
        <w:tc>
          <w:tcPr>
            <w:tcW w:w="14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4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80" w:type="dxa"/>
            <w:vAlign w:val="bottom"/>
          </w:tcPr>
          <w:p>
            <w:pPr>
              <w:spacing w:after="0"/>
              <w:rPr>
                <w:sz w:val="16"/>
                <w:szCs w:val="16"/>
                <w:color w:val="auto"/>
              </w:rPr>
            </w:pPr>
          </w:p>
        </w:tc>
        <w:tc>
          <w:tcPr>
            <w:tcW w:w="14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exercise price and term amounts)</w:t>
            </w: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January 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33.68</w:t>
            </w:r>
          </w:p>
        </w:tc>
        <w:tc>
          <w:tcPr>
            <w:tcW w:w="1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7.05</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82.00</w:t>
            </w:r>
          </w:p>
        </w:tc>
        <w:tc>
          <w:tcPr>
            <w:tcW w:w="1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September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33.99</w:t>
            </w:r>
          </w:p>
        </w:tc>
        <w:tc>
          <w:tcPr>
            <w:tcW w:w="1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From time to time, we are party to litigation and legal proceedings relating to our business operations. While the outcome of all legal actions is not presently determinable, except as disclosed below, we do not believe that we are party to any current or pending legal action that if concluded adversely could reasonably be expected to have a material adverse effect on our financial condition or results of operations and cash flow.</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alleged that defendants made false or misleading statements and omissions of purportedly material fact, in violation of Sections 10(b) and 20(a) of the Exchange Act and Rule 10b-5 thereunder, and of Sections 11 and 15 of the Securities Act in connection with and following the Company’s initial public offering. The complaint sought unspecified damages. The defendants’ motion to dismiss the claims set forth in the complaint was granted and the lawsuit was dismissed with prejudice on March 31, 2023, which dismissal was affirmed on April 29, 2024, by the United States Court of Appeals for the Sixth Circuit. The plaintiffs filed a petition for a writ of certiorari on August 28, 2024 with the United States Supreme Court, which defendants have opposed. The Company intends to continue to vigorously defend against the allegations. We cannot predict the outcome or estimate the likelihood or magnitude of our possible or potential loss contingency.</w:t>
      </w:r>
    </w:p>
    <w:p>
      <w:pPr>
        <w:spacing w:after="0" w:line="1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contingently liable for possible future assessments under regulatory requirements for insolvencies and impairments of unaffiliated insurance companies.</w:t>
      </w:r>
    </w:p>
    <w:p>
      <w:pPr>
        <w:spacing w:after="0" w:line="104"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the computation of basic and diluted EPS for both Class A and Class B common stock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7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8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basic (both Class A and B)</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and PSUs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 (both Class A and B)</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 (both Class A and B):</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vMerge w:val="continue"/>
          </w:tcPr>
          <w:p>
            <w:pPr>
              <w:spacing w:after="0"/>
              <w:rPr>
                <w:sz w:val="17"/>
                <w:szCs w:val="17"/>
                <w:color w:val="auto"/>
              </w:rPr>
            </w:pPr>
          </w:p>
        </w:tc>
        <w:tc>
          <w:tcPr>
            <w:tcW w:w="840" w:type="dxa"/>
            <w:vAlign w:val="bottom"/>
            <w:tcBorders>
              <w:bottom w:val="single" w:sz="8" w:color="auto"/>
            </w:tcBorders>
          </w:tcPr>
          <w:p>
            <w:pPr>
              <w:jc w:val="right"/>
              <w:ind w:right="657"/>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we operated at a loss and therefore, the conversion of common stock equivalents would increase the denominator of the diluted EPS calculation and create a lower loss per share. Therefore, these common stock equivalents are considered anti-dilutive and diluted EPS is equal to basic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We excluded the following potentially dilutive common stock equivalents, presented based on amounts outstanding at each period end, from the computation of diluted EPS attributable to common shareholders for the periods indicated because including them would have had an anti-dilutive effect: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right="1240"/>
        <w:spacing w:after="0" w:line="313" w:lineRule="auto"/>
        <w:rPr>
          <w:sz w:val="20"/>
          <w:szCs w:val="20"/>
          <w:color w:val="auto"/>
        </w:rPr>
      </w:pPr>
      <w:r>
        <w:rPr>
          <w:rFonts w:ascii="Times New Roman" w:cs="Times New Roman" w:eastAsia="Times New Roman" w:hAnsi="Times New Roman"/>
          <w:sz w:val="18"/>
          <w:szCs w:val="18"/>
          <w:color w:val="auto"/>
        </w:rPr>
        <w:t>Options to purchase common stock Nonvested shares subject to repurchase RSUs and PSUs</w:t>
      </w:r>
    </w:p>
    <w:p>
      <w:pPr>
        <w:ind w:left="20"/>
        <w:spacing w:after="0" w:line="281" w:lineRule="auto"/>
        <w:rPr>
          <w:sz w:val="20"/>
          <w:szCs w:val="20"/>
          <w:color w:val="auto"/>
        </w:rPr>
      </w:pPr>
      <w:r>
        <w:rPr>
          <w:rFonts w:ascii="Times New Roman" w:cs="Times New Roman" w:eastAsia="Times New Roman" w:hAnsi="Times New Roman"/>
          <w:sz w:val="18"/>
          <w:szCs w:val="18"/>
          <w:color w:val="auto"/>
        </w:rPr>
        <w:t>Redeemable convertible preferred stock (as converted to common stock)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82"/>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86"/>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-1182370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-839470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-359410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600"/>
            <w:col w:w="6540"/>
          </w:cols>
          <w:pgMar w:left="320" w:top="1440" w:right="339" w:bottom="1440" w:gutter="0" w:footer="0" w:header="0"/>
          <w:type w:val="continuous"/>
        </w:sectPr>
      </w:pPr>
    </w:p>
    <w:p>
      <w:pPr>
        <w:spacing w:after="0" w:line="8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GEOGRAPHICAL BREAKDOWN OF GROSS PREMIUMS WRITTEN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premiums written by state is as follows for the three and nine months ended September 30,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r>
      <w:tr>
        <w:trPr>
          <w:trHeight w:val="23"/>
        </w:trPr>
        <w:tc>
          <w:tcPr>
            <w:tcW w:w="2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2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r>
      <w:tr>
        <w:trPr>
          <w:trHeight w:val="196"/>
        </w:trPr>
        <w:tc>
          <w:tcPr>
            <w:tcW w:w="2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Georgia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Colorado</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Carolina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others states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41.3</w:t>
            </w:r>
          </w:p>
        </w:tc>
      </w:tr>
      <w:tr>
        <w:trPr>
          <w:trHeight w:val="248"/>
        </w:trPr>
        <w:tc>
          <w:tcPr>
            <w:tcW w:w="2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136"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2024, we entered into the Amended Term Loan that resulted in extinguishment of $237.1 million of the Term Loan, modification of</w:t>
      </w:r>
    </w:p>
    <w:p>
      <w:pPr>
        <w:spacing w:after="0" w:line="27"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$62.9 million of the Term Loan, and new borrowings of $137.1 million from new BlackRock funds. The resulting principal amount under the Amended Term Loan is $200.0 million and has a maturity date of October 29, 2030. Interest is variable and calculated quarterly between SOFR plus 5.25% and SOFR plus 6.00%, with a SOFR floor of 1.00%, based upon the debt-to-capital ratio payable quarterly, in cash.</w:t>
      </w:r>
    </w:p>
    <w:p>
      <w:pPr>
        <w:spacing w:after="0" w:line="1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Amended Term Loan, during the fourth quarter of 2024 we expensed approximately $5.5 million of unamortized debt discount and issuance costs related to the extinguishment; and we incurred approximately $3.0 million of debt discount and issuance costs related to the new borrowings, most of which will be capitalized and amortized over the life of the Amended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2023 filed with the Securities and Exchange Commission, or SEC, on February 21, 2024, or the 2023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2023 10-K for a discussion of important factors that could cause our actual results to differ materially from those anticipated in these forward-looking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Root is a technology insurance company revolutionizing personal insurance with a pricing model based upon fairness and a modern customer experience. We operate primarily a direct-to-consumer model in which currently we acquire the majority of our customers through mobile apps. We are also focused on expanding our partnership channel, where we acquire customers using various means, including through embedded integrations.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Root advantage is derived from our unique ability to efficiently and effectively bind auto insurance policies quickly, through direct and partnership channels, aided by segmenting individual risk based on complex behavioral data and proprietary telematics models.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to ongoing customer engagement.</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scale the business, we aim to drive new customer growth by capitalizing on our two distribution channels: direct and partnership. In both channels we seek to optimize unit economics. Loss ratios for customers in their initial term are generally higher than in subsequent terms. As a young insurance company, compared to our peers, our results are disproportionately weighted toward new customers. We believe our data- and technology-driven approach allows for rapid response to macroeconomic trends through quick, appropriate rate actions. Our ability to continually enhance our underwriting and segmentation capabilities has contributed to improvement in our gross loss ratios. Our marketing spend is grounded in a disciplined data-science approach, targeting customers that align with our lifetime expected returns. Over time we expect to build a base of recurring customers with more favorable loss ratios, resulting in the following financial impacts:</w:t>
      </w:r>
    </w:p>
    <w:p>
      <w:pPr>
        <w:spacing w:after="0" w:line="131" w:lineRule="exact"/>
        <w:rPr>
          <w:sz w:val="20"/>
          <w:szCs w:val="20"/>
          <w:color w:val="auto"/>
        </w:rPr>
      </w:pPr>
    </w:p>
    <w:p>
      <w:pPr>
        <w:ind w:left="660" w:right="280" w:hanging="328"/>
        <w:spacing w:after="0" w:line="25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Improved loss ratio</w:t>
      </w:r>
      <w:r>
        <w:rPr>
          <w:rFonts w:ascii="Times New Roman" w:cs="Times New Roman" w:eastAsia="Times New Roman" w:hAnsi="Times New Roman"/>
          <w:sz w:val="18"/>
          <w:szCs w:val="18"/>
          <w:color w:val="auto"/>
        </w:rPr>
        <w:t>. Through improvements in our pricing, underwriting and segmentation we have seen improvement to our gross loss ratios.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Renewal premiums, referring to premiums from a customer’s second term and beyond, generally have lower loss ratios as compared to new premiums in the customer’s first term. As we grow our business we anticipate, consistent with industry norms, that a greater proportion of our premiums will be from customer renewals and drive down the loss ratio across our portfolio. We also continue to revise contracts to tighten underwriting and utilize our data- and technology-driven approach to implement appropriate rate actions.</w:t>
      </w:r>
    </w:p>
    <w:p>
      <w:pPr>
        <w:spacing w:after="0" w:line="125"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Reduced marketing as a percentage of premium. </w:t>
      </w:r>
      <w:r>
        <w:rPr>
          <w:rFonts w:ascii="Times New Roman" w:cs="Times New Roman" w:eastAsia="Times New Roman" w:hAnsi="Times New Roman"/>
          <w:sz w:val="18"/>
          <w:szCs w:val="18"/>
          <w:color w:val="auto"/>
        </w:rPr>
        <w:t>Certain recurring customer premiums have no associated customer acquisition costs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minimal underwriting costs, driving profitability. As we grow our business, we anticipate, consistent with industry norms, that a greater proportion of our premiums will be from customer renewals with lower associated acquisition costs.</w:t>
      </w:r>
    </w:p>
    <w:p>
      <w:pPr>
        <w:spacing w:after="0" w:line="116" w:lineRule="exact"/>
        <w:rPr>
          <w:rFonts w:ascii="Times New Roman" w:cs="Times New Roman" w:eastAsia="Times New Roman" w:hAnsi="Times New Roman"/>
          <w:sz w:val="18"/>
          <w:szCs w:val="18"/>
          <w:color w:val="auto"/>
        </w:rPr>
      </w:pPr>
    </w:p>
    <w:p>
      <w:pPr>
        <w:ind w:left="660" w:right="30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revenue per customer. </w:t>
      </w:r>
      <w:r>
        <w:rPr>
          <w:rFonts w:ascii="Times New Roman" w:cs="Times New Roman" w:eastAsia="Times New Roman" w:hAnsi="Times New Roman"/>
          <w:sz w:val="18"/>
          <w:szCs w:val="18"/>
          <w:color w:val="auto"/>
        </w:rPr>
        <w:t>Over time we expect to refine our fee schedules to be more consistent with industry norms. This, paired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marketing, strengthened underwriting and pricing segmentation, will facilitate the opportunity to generate additional fee revenue per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use technology to drive efficiency across all functions, including distribution, underwriting, policy administration and claims in particular. We continue to develop machine learning loss models, which allow us to respond more quickly to changes in the market, improve pricing segmentation and take appropriate and timely rate actions. We believe this allows us to operate with a cost to acquire and cost to serve advantage. We efficiently acquire customers through multiple channels, including direct digital (performance), channel media, referrals, and partnership, including embedded, agency and affinity. Our evolving acquisition strategy includes utilizing our embedded insurance offering with current and future strategic partners. Our marketing costs have historically been well below industry averages, although in any given period, these costs can vary by acquisition strategy, channel mix, by state, seasonality or due to the competitive environment. Today, we acquire the vast majority of our customers through mobile apps. We believe that through prudent investment in and diversification of our marketing channels, including leveraging proprietary data science and technology and a focus on partnerships with our current and future strategic partners, will position us for more sustainable, long-term and profitable growth.</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These reinsurance structures deliver three core objectives: (1) prioritize revenue and targeted profitable customer growth while maintaining regulatory capital requirements; (2) source efficient capital to support customer acquisition costs; and (3) mitigate impact of large losses or tail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expect to continuously evaluate our utilization of third-party reinsurance while scaling our business in order to operate a capital-efficient business model. As our gross loss ratios continue to improve and stabilize over the long term, we expect to maintain the flexibility to modify our reinsurance program.</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Given the impact reinsurance has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may not be achievable under our regulatory landscape given our historical top-line growth and resulting capital requirements, which are relieved, in part, by obtaining reinsurance.</w:t>
      </w:r>
    </w:p>
    <w:p>
      <w:pPr>
        <w:spacing w:after="0" w:line="12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color w:val="auto"/>
        </w:rPr>
        <w:t>In addition to our gross basis metrics, management uses adjusted earnings before interest, tax, depreciation,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key metrics, see “—Key Performance Indicators” and for reconciliations of Direct Contribution and adjusted EBITDA to the most directly comparable generally accepted accounting principles in the United States, or GAAP, metric, see “—Non-GAAP Financial Measures.”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Comparability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Macroeconomic Factors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Economic instability has led to acute inflationary pressures, supply chain disruptions, changes in interest rates and changes in equity markets. There is a risk of inflation remaining elevated for an extended period, which could cause claims and claim expenses to increase, impact the performance of our investment portfolio or have other adverse effects, including variability in the competitive environment. We have seen an increase in vehicle repair and medical costs.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Reinsurance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reduced the utilization of reinsurance through a strategic reduction of external quota share. The changes to the reinsurance program aim to deliver improved economics and capital efficiency.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“—Non-GAAP Financial Measures” for additional information regarding our use of direct contribution and adjusted EBITDA and their reconciliations to the most directly comparable GAAP measures.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4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(dollars in millions, except premiums per policy)</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Policies in force</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407,313</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259,522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407,313</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259,522</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per policy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1,558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1,398</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in force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1,269.2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1,269.2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725.6</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331.7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970.6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503.9</w:t>
            </w:r>
          </w:p>
        </w:tc>
      </w:tr>
      <w:tr>
        <w:trPr>
          <w:trHeight w:val="27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317.0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900.0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421.4</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233.5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(123.4)</w:t>
            </w:r>
          </w:p>
        </w:tc>
      </w:tr>
      <w:tr>
        <w:trPr>
          <w:trHeight w:val="26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contribution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278.2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84.9</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68.8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ratio</w:t>
            </w: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93.2 %</w:t>
            </w: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expense ratio</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combined ratio</w:t>
            </w: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150.1 %</w:t>
            </w: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ratio</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LAE ratio</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expense ratio</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combined ratio</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119.9 %</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accident period loss ratio</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in Force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per Policy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in Force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Premiums Written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Premiums Earned</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define gross profit as total revenue minus net loss and LAE and other insurance expense. We view gross profit as an important metric because we believe it is informative of the financial performance of our core insurance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define direct contribution, a non-GAAP financial measure, as gross profit excluding net investment income, report costs, commission expenses related to our partnership channel, certain warrant compensation expense related to policies originating through the integrated automobile insurance solution for Carvana’s online buying platform, overhead allocated based on headcount, or Overhead, and salaries, health benefits, bonuses, employee retirement plan-related expenses and employee share-based compensation expense, or Personnel Costs, licenses, professional fees and other expenses,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progress towards the profitability of our total policy portfolio prior to the impact of reinsurance.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total revenue to direct contribution.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define adjusted EBITDA, a non-GAAP financial measure, as net income (loss) excluding interest expense, income tax expense, depreciation and amortization, share-based compensation, warrant compensation expense, restructuring charges,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(loss) calculated in accordance with GAAP, and other companies may define adjusted EBITDA differently.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net income (loss) to adjusted EBITDA.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LAE Ratio</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net loss and LAE ratio expressed as a percentage, as the ratio of net loss and LAE to net premiums earned. We view net loss and LAE ratio as an important metric because it allows us to evaluate loss trends as a percentage of net premiums and believe it is useful for investors to evaluate those separately from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Expense Ratio</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Combined Ratio</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Loss Ratio</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LAE Ratio</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define gross LAE ratio expressed as a percentage, as the ratio of gross LAE to gross premiums earned. We view gross LAE ratio as an important metric because it allows us to evaluate incurred losses and LAE separately prior to the impact of reinsurance.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Expense Ratio</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Combined Ratio</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Accident Period Loss Ratio</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revenue from net premiums earned, net investment income, fee income and other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Premiums written are deferred and earned pro rata over the policy period. Net premiums earned represents the earned portion of our gross premiums written, less the earned portion that is ceded to third-party reinsurers under our reinsurance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investment income represents interest earned from our cash and cash equivalents and fixed maturity and short-term investments less investment expenses. Net investment income also includes impairments related to low income housing tax credits investments in limited liability entities to offset certain state premium taxes. These tax credits are recognized when utilized. Net investment income is directly correlated with the overall size of our investment portfolio, market level of interest rates and changes in the fair value of our private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right="1500"/>
        <w:spacing w:after="0" w:line="438" w:lineRule="auto"/>
        <w:rPr>
          <w:sz w:val="20"/>
          <w:szCs w:val="20"/>
          <w:color w:val="auto"/>
        </w:rPr>
      </w:pPr>
      <w:r>
        <w:rPr>
          <w:rFonts w:ascii="Times New Roman" w:cs="Times New Roman" w:eastAsia="Times New Roman" w:hAnsi="Times New Roman"/>
          <w:sz w:val="18"/>
          <w:szCs w:val="18"/>
          <w:color w:val="auto"/>
        </w:rPr>
        <w:t xml:space="preserve">Net investment income will vary with the size and composition of our investment portfolio, market returns and the investment strategy. </w:t>
      </w:r>
      <w:r>
        <w:rPr>
          <w:rFonts w:ascii="Times New Roman" w:cs="Times New Roman" w:eastAsia="Times New Roman" w:hAnsi="Times New Roman"/>
          <w:sz w:val="18"/>
          <w:szCs w:val="18"/>
          <w:b w:val="1"/>
          <w:bCs w:val="1"/>
          <w:color w:val="auto"/>
        </w:rPr>
        <w:t>Fee Income</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income is primarily comprised of revenue earned from distributing website and mobile application policy inquiry leads in geographies where we do not have a presence, recognized when we generate the lead.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loss and LAE, sales and marketing, other insurance expense, technology and development, and general and administrative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Various other expenses incurred during claims processing are considered LAE. These amounts include Personnel Costs for claims-related employees; vendor expenses; software expense; internally developed software amortization; and Overhead.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includes expenses related to direct performance marketing, channel media, advertising, sponsorship, referral fees and the partnership channel. These expenses also include related Personnel Costs and Overhead related to our brand strategy, creative and business development activities, and certain data science activities. We incur sales and marketing expenses for all product offerings. Sales and marketing are expensed as incurred.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continue investing in and diversifying our marketing channels to attract and acquire new customers, increase our brand awareness, and expand our product offerings within certain markets. We expect that in the long-term, our sales and marketing will decrease as a percentage of revenue as the proportion of renewals to our total business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insurance expense includes underwriting expenses and any refunds related to these expenses, commission expenses related to our partnership channel, premium taxes which includes low income housing tax credits to offset certain state premium taxes, credit card and policy processing expenses, premium write-offs, insurance license expenses, certain warrant compensation expense related to policies originating through the integrated automobile insurance solution for Carvana’s online buying platform, and Personnel Costs and Overhead related to actuarial and certain data science activities. We amortize a portion of our deferred policy acquisition costs including certain commissions related to our partnership channel, premium taxes, and report costs related to the successful acquisition of a policy. Tax credits are recognized when utilized. Other insurance expense is expensed as incurred, except for costs related to deferred policy acquisition costs that are capitalized and subsequently amortized over the same period in which the related premiums are earned. Certain warrant compensation expense is recognized on a pro-rata basis considering progress toward achieving milestones for policies originated through the Integrated Platform as defined under the Carvana commercial agreement.</w:t>
      </w:r>
    </w:p>
    <w:p>
      <w:pPr>
        <w:spacing w:after="0" w:line="13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 We expect general and administrative expenses to decrease as a percentage of total revenue over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are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premiums earned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Fee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income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revenues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insurance expense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175.8 %</w:t>
            </w:r>
          </w:p>
        </w:tc>
      </w:tr>
      <w:tr>
        <w:trPr>
          <w:trHeight w:val="243"/>
        </w:trPr>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165.1 %</w:t>
            </w:r>
          </w:p>
        </w:tc>
      </w:tr>
      <w:tr>
        <w:trPr>
          <w:trHeight w:val="567"/>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70"/>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201.2 %</w:t>
            </w:r>
          </w:p>
        </w:tc>
      </w:tr>
      <w:tr>
        <w:trPr>
          <w:trHeight w:val="270"/>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149.8 %</w:t>
            </w:r>
          </w:p>
        </w:tc>
      </w:tr>
      <w:tr>
        <w:trPr>
          <w:trHeight w:val="270"/>
        </w:trPr>
        <w:tc>
          <w:tcPr>
            <w:tcW w:w="42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-2588260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-2245360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-1894205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-1551305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-1208405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-865505</wp:posOffset>
            </wp:positionV>
            <wp:extent cx="71323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-505460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-153670</wp:posOffset>
            </wp:positionV>
            <wp:extent cx="71323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149.8 %</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70"/>
        </w:trPr>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4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885.7 %</w:t>
            </w:r>
          </w:p>
        </w:tc>
      </w:tr>
      <w:tr>
        <w:trPr>
          <w:trHeight w:val="28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160.9 %</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premiums earned increased $179.3 million, or 179.3%, to $279.3 million for the three months ended September 30, 2024 compared to the same period in 2023. The increase was primarily due to an increase in policies in force as a result of increased direct performance marketing spend, reduced cessions of gross premiums earned to reinsurers between periods and greater premium per policy resulting from rate actions.</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and 2023, we ceded approximately 11.9% and 37.4% of our gross premiums earned, respectively. The change in cessions between periods was primarily driven by a strategic reduction of quota share reinsurance and commutations of certain reinsurance agreements as previously discussed in the second half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gross premiums written, ceded premiums written, net premiums written, gross premiums earned, ceded premiums earned and net premiums earned for the three months ended September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60" w:type="dxa"/>
            <w:vAlign w:val="bottom"/>
          </w:tcPr>
          <w:p>
            <w:pPr>
              <w:spacing w:after="0"/>
              <w:rPr>
                <w:sz w:val="16"/>
                <w:szCs w:val="16"/>
                <w:color w:val="auto"/>
              </w:rPr>
            </w:pPr>
          </w:p>
        </w:tc>
      </w:tr>
      <w:tr>
        <w:trPr>
          <w:trHeight w:val="37"/>
        </w:trPr>
        <w:tc>
          <w:tcPr>
            <w:tcW w:w="6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37"/>
        </w:trPr>
        <w:tc>
          <w:tcPr>
            <w:tcW w:w="6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written</w:t>
            </w: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7"/>
        </w:trPr>
        <w:tc>
          <w:tcPr>
            <w:tcW w:w="6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r>
      <w:tr>
        <w:trPr>
          <w:trHeight w:val="216"/>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98.4 %</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6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179.3 %</w:t>
            </w:r>
          </w:p>
        </w:tc>
      </w:tr>
      <w:tr>
        <w:trPr>
          <w:trHeight w:val="27"/>
        </w:trPr>
        <w:tc>
          <w:tcPr>
            <w:tcW w:w="6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Gross premiums written increased for the three months ended September 30, 2024 primarily due to growth in new writings as a result of increased direct performance marketing spend compared to the same period in 2023. The increase in gross premiums earned was primarily due to greater policies in force and an 11.4% increase in premium per policy primarily attributable to rate 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investment income decreased $1.0 million, or 11.1%, to $8.0 million for the three months ended September 30, 2024 compared to the same period in 2023. The decrease was primarily due to a $2.9 million impairment related to low income housing tax credits that were utilized in the period. This was partially offset by a $1.6 million increase in higher interest and dividends received primarily due to a larger investment portfolio.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Fee income increased $10.9 million, or 175.8%, to $17.1 million for the three months ended September 30, 2024 compared to the same period in 2023. The increase was primarily driven by a $6.9 million increase in policy fees due to increased policies in force. We also experienced a $3.3 million increase in installment fees attributable to an increase in collected fees, as a result of increased gross written premium.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Loss and LAE increased $98.7 million, or 115.0%, to $184.5 million for the three months ended September 30, 2024 compared to the same period in 2023. The increase was primarily due to additional losses incurred on increased gross premiums earned volume and reduced cessions of losses to reinsurers for the three months ended September 30, 2024 compared to the same period in 2023.</w:t>
      </w:r>
    </w:p>
    <w:p>
      <w:pPr>
        <w:spacing w:after="0" w:line="12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Gross accident period loss ratios decreased to 58.4% for the three months ended September 30, 2024, from 62.8% for the same period in 2023. The change in the ratios was driven by growth in average premium per policy primarily attributable to rate actions. This was partially offset by business tenure mix. We estimated a 6% increase in severity per claim and a 7% decrease in claim frequency for the three months ended September 30, 2024 compared to the same period in 2023 across our bodily injury, collision, and property damage coverages. The claim frequency estimates are tenure mix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$20.9 million, or 159.5%, to $34.0 million for the three months ended September 30, 2024 compared to the same period in 2023. The increase was primarily due to a $17.7 million increase in direct performance marketing spend to drive accretive growth and deeper market penetration in the states in which we operate. We also experienced a $2.4 million increase in experimental marketing spend as part of our efforts to diversify our distribution channels.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insurance expense increased $4.1 million, or 22.4%, to $22.4 million for the three months ended September 30, 2024 compared to the same period in 2023. The increase was primarily driven by a $5.9 million increase in premium write-offs as a result of greater policies in force. We also experienced a $5.7 million decrease in net ceding commission contra-expense as a result of a decline in ceded premiums written, largely attributable to a strategic reduction of quota share reinsurance in the second half of 2023. In addition, we experienced a $4.0 million increase in commission expenses related to the continued growth in our partnership channel including amortization of deferred policy acquisition costs and a $4.0 million increase in premium taxes primarily attributable to an increase in gross premiums earned. We also experienced a $1.5 million increase in policy processing fees as a result of greater premiums earned during the period. This was partially offset by a $6.7 million sales tax refund related to multiple prior years and a $5.0 million decrease in Carvana warrant expense. All short-term warrant expense has been recognized, as a result of all short-term warrants fully vesting. In addition, we experienced a $3.3 million decrease in premium taxes related to low income housing tax credit utilization in the period and a $3.2 million decrease in report costs primarily driven by enhanced efficiency and reduced costs for reports related to new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Net Unrealized Gains (Losses) on Investments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Changes in net unrealized gains (losses) on investments increased $6.2 million, or 885.7%, to net unrealized gains of $5.5 million for the three months ended September 30, 2024 compared to the same period in 2023. The increase is primarily attributable to changes in the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premiums earned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Fee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income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revenues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insurance expense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266.7 %</w:t>
            </w:r>
          </w:p>
        </w:tc>
      </w:tr>
      <w:tr>
        <w:trPr>
          <w:trHeight w:val="243"/>
        </w:trPr>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400.0 %</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226.6 %</w:t>
            </w:r>
          </w:p>
        </w:tc>
      </w:tr>
      <w:tr>
        <w:trPr>
          <w:trHeight w:val="567"/>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70"/>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130.9 %</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149.0 %</w:t>
            </w:r>
          </w:p>
        </w:tc>
      </w:tr>
      <w:tr>
        <w:trPr>
          <w:trHeight w:val="270"/>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107.1 %</w:t>
            </w:r>
          </w:p>
        </w:tc>
      </w:tr>
      <w:tr>
        <w:trPr>
          <w:trHeight w:val="270"/>
        </w:trPr>
        <w:tc>
          <w:tcPr>
            <w:tcW w:w="42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-2588260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-2245360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-1893570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-1550670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-1207770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-864870</wp:posOffset>
            </wp:positionV>
            <wp:extent cx="713232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-505460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-153670</wp:posOffset>
            </wp:positionV>
            <wp:extent cx="71323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107.1 %</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70"/>
        </w:trPr>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4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675.0 %</w:t>
            </w:r>
          </w:p>
        </w:tc>
      </w:tr>
      <w:tr>
        <w:trPr>
          <w:trHeight w:val="28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110.8 %</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premiums earned increased $547.3 million, or 244.4%, to $771.2 million for the nine months ended September 30, 2024 compared to the same period in 2023. The increase was primarily due to an increase in policies in force as a result of increased direct performance marketing spend, reduced cessions of gross premiums earned to reinsurers between periods and greater premium per policy resulting from rate actions.</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we ceded approximately 14.3% and 46.9% of our gross premiums earned, respectively. The change in cessions between periods was primarily driven by a strategic reduction of quota share reinsurance and commutations of certain reinsurance agreements as previously discussed in the second half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gross premiums written, ceded premiums written, net premiums written, gross premiums earned, ceded premiums earned and net premiums earned for the nine months ended September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503.9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premiums written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color w:val="auto"/>
                <w:w w:val="98"/>
              </w:rPr>
              <w:t>(118.4)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6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344.5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147.4 %</w:t>
            </w:r>
          </w:p>
        </w:tc>
      </w:tr>
      <w:tr>
        <w:trPr>
          <w:trHeight w:val="216"/>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113.6 %</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21"/>
                <w:szCs w:val="21"/>
                <w:color w:val="auto"/>
              </w:rPr>
            </w:pPr>
          </w:p>
        </w:tc>
        <w:tc>
          <w:tcPr>
            <w:tcW w:w="92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8"/>
              </w:rPr>
              <w:t>(128.8)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223.9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244.4 %</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Gross premiums written increased for the nine months ended September 30, 2024 primarily due to growth in new writings as a result of increased direct performance marketing spend compared to the same period in 2023. The increase in gross premiums earned was primarily due to greater policies in force and an 11.4% increase in premium per policy primarily attributable to rate 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Net investment income increased $4.7 million, or 20.9%, to $27.2 million for the nine months ended September 30, 2024 compared to the same period in 2023. This was primarily driven by a $7.1 million increase in interest and dividends received primarily due to a higher average cash balance and a larger investment portfolio. This was partially offset by a $3.1 million impairment related to low income housing tax credits that were utilized in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Fee income increased $35.2 million, or 266.7%, to $48.4 million for the nine months ended September 30, 2024 compared to the same period in 2023. The increase was primarily driven by a $20.2 million increase in policy fees due to increased policies in force. We also experienced a $13.0 million increase in installment fees attributable to an increase in collected fees, as a result of increased gross written premium.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Loss and LAE increased $332.6 million, or 159.4%, to $541.2 million for the nine months ended September 30, 2024 compared to the same period in 2023. The increase was primarily due to additional losses incurred on increased gross premiums earned volume and reduced cessions of losses to reinsurers for the nine months ended September 30, 2024 compared to the same period in 2023.</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Gross accident period loss ratios decreased to 60.3% for the nine months ended September 30, 2024, from 64.5% for the same period in 2023. The change in the ratios was driven by growth in average premium per policy primarily attributable to rate actions. This was partially offset by business tenure mix and higher loss costs as a result of increased severity per claim due to higher vehicle repair and medical costs. We estimated a 6% increase in severity per claim and a 3% decrease in claim frequency for the nine months ended September 30, 2024 compared to the same period in 2023 across our bodily injury, collision, and property damage coverages. The claim frequency estimates are tenure mix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$75.8 million, or 332.5%, to $98.6 million for the nine months ended September 30, 2024 compared to the same period in 2023. The increase was primarily due to a $69.4 million increase in direct performance marketing spend to drive accretive growth and deeper market penetration in the states in which we operate. We also experienced a $5.2 million increase in experimental marketing spend as part of our efforts to diversify our distribution channels.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insurance expense increased $52.9 million, or 238.3%, to $75.1 million for the nine months ended September 30, 2024 compared to the same period in 2023. The increase was primarily driven by a $21.0 million decrease in net ceding commission contra-expense as a result of a decline in ceded premiums written, largely attributable to a strategic reduction of quota share reinsurance in the second half of 2023. We also experienced a $14.8 million increase in premium write-offs as a result of greater policies in force. Commission expenses increased $11.1 million related to the continued growth in our partnership channel including amortization of deferred policy acquisition costs. Premium taxes increased $10.6 million primarily attributable to an increase in gross premiums earned. In addition, we experienced a $5.0 million increase in report costs due to an increase in customer applications and new writings growth and a $4.9 million increase in policy processing fees as a result of greater premium earned during the period. This was partially offset by a $9.5 million decrease in Carvana warrant expense. All short-term warrant expense has been recognized, as a result of all short-term warrants fully vesting. We also recorded a $6.7 million sales tax refund related to multiple prior years. In addition, we experienced a $3.5 million decrease in premium taxes related to low income housing tax credit utilization in the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Technology and development increased $6.2 million, or 19.1%, to $38.6 million for the nine months ended September 30, 2024 compared to the same period in 2023. The increase was primarily driven by a $2.5 million increase in Personnel Costs. We also experienced a $2.0 million increase in amortization primarily driven by accelerated amortization of internally developed software and a $1.8 million increase in software development expense as we continue to invest in developing and improving our technology platforms and infrastructure.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General and administrative decreased $10.5 million, or 16.6%, to $52.7 million for the nine months ended September 30, 2024 compared to the same period in 2023. The decrease was primarily driven by a $9.5 million decrease in legal and professional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definition of direct contribution and why management believes this measure provides useful information to investors, see “—Key Performance Indicators.”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total revenue to direct contribution for the three and nine months ended September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33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7"/>
                <w:szCs w:val="17"/>
                <w:color w:val="auto"/>
              </w:rPr>
            </w:pPr>
          </w:p>
        </w:tc>
        <w:tc>
          <w:tcPr>
            <w:tcW w:w="29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insurance expense</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from other insurance expense</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loss and loss adjustment expenses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ceding commission and other</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6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contribution</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60" w:hanging="332"/>
        <w:spacing w:after="0" w:line="294" w:lineRule="auto"/>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other insurance expense includes report costs, commission expenses related to our partnership channel, certain warrant compensation expense related to policies originating through the integrated automobile insurance solution for Carvana’s online buying platform, Personnel Costs, Overhead, licenses, professional fees and other</w:t>
      </w:r>
      <w:r>
        <w:rPr>
          <w:rFonts w:ascii="Times New Roman" w:cs="Times New Roman" w:eastAsia="Times New Roman" w:hAnsi="Times New Roman"/>
          <w:sz w:val="17"/>
          <w:szCs w:val="17"/>
          <w:color w:val="auto"/>
        </w:rPr>
        <w:t>.</w:t>
      </w:r>
    </w:p>
    <w:p>
      <w:pPr>
        <w:spacing w:after="0" w:line="35" w:lineRule="exact"/>
        <w:rPr>
          <w:rFonts w:ascii="Times New Roman" w:cs="Times New Roman" w:eastAsia="Times New Roman" w:hAnsi="Times New Roman"/>
          <w:sz w:val="14"/>
          <w:szCs w:val="14"/>
          <w:color w:val="auto"/>
        </w:rPr>
      </w:pPr>
    </w:p>
    <w:p>
      <w:pPr>
        <w:ind w:left="340" w:right="120" w:hanging="332"/>
        <w:spacing w:after="0" w:line="310" w:lineRule="auto"/>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ceding commission and other is comprised of ceding commissions received in connection with reinsurance ceded, partially offset by amortization of excess ceding commission and other impacts of reinsurance ceded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definition of adjusted EBITDA and why management believes this measure provides useful information to investors, see “—Key Performance Indicators.”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to adjusted EBITDA for the three and nine months ended September 30,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33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7"/>
                <w:szCs w:val="17"/>
                <w:color w:val="auto"/>
              </w:rPr>
            </w:pPr>
          </w:p>
        </w:tc>
        <w:tc>
          <w:tcPr>
            <w:tcW w:w="29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4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7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10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and other</w:t>
            </w:r>
            <w:r>
              <w:rPr>
                <w:rFonts w:ascii="Times New Roman" w:cs="Times New Roman" w:eastAsia="Times New Roman" w:hAnsi="Times New Roman"/>
                <w:sz w:val="23"/>
                <w:szCs w:val="23"/>
                <w:color w:val="auto"/>
                <w:vertAlign w:val="superscript"/>
              </w:rPr>
              <w:t>(2)</w:t>
            </w:r>
          </w:p>
        </w:tc>
        <w:tc>
          <w:tcPr>
            <w:tcW w:w="10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67" w:lineRule="exact"/>
        <w:rPr>
          <w:sz w:val="20"/>
          <w:szCs w:val="20"/>
          <w:color w:val="auto"/>
        </w:rPr>
      </w:pPr>
    </w:p>
    <w:p>
      <w:pPr>
        <w:ind w:left="340" w:right="80" w:hanging="332"/>
        <w:spacing w:after="0" w:line="268" w:lineRule="auto"/>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consist of employee costs, real estate exit costs and other. This includes share-based compensation of zero for the three and nine months ended September 30, 2024 and zero and $0.4 million for the three and nine months ended September 30, 2023, respectively. This also includes depreciation and amortization of zero and $0.2 million for the three and nine months ended September 30, 2024 and 2023, respectively. For further information on restructuring costs, see Note 9, “Restructuring Costs,” in the Notes to Condensed Consolidated Financial Statements.</w:t>
      </w:r>
    </w:p>
    <w:p>
      <w:pPr>
        <w:spacing w:after="0" w:line="131" w:lineRule="exact"/>
        <w:rPr>
          <w:rFonts w:ascii="Times New Roman" w:cs="Times New Roman" w:eastAsia="Times New Roman" w:hAnsi="Times New Roman"/>
          <w:sz w:val="14"/>
          <w:szCs w:val="14"/>
          <w:color w:val="auto"/>
        </w:rPr>
      </w:pPr>
    </w:p>
    <w:p>
      <w:pPr>
        <w:ind w:left="340" w:right="80" w:hanging="332"/>
        <w:spacing w:after="0" w:line="271" w:lineRule="auto"/>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Write-offs and other primarily reflects legal costs and other items that do not reflect our ongoing operating performance. Legal and other fees related to the 2022 misappropriation of funds by a former senior marketing employee of zero and $0.5 million for the three and nine months ended September 30, 2024, respectively, and $1.0 million and $3.4 million for the three and nine months ended September 30, 2023,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and reducing our cost of capital. We expect, from time to time, to engage in a variety of financing transactions for such purposes, including the issuance of stock and debt.</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events may impact our liquidity such as the economic instability resulting in acute inflationary pressures, supply chain disruptions, changes in interest rates, changes in equity markets and our utilization of reinsurance. There is a risk of inflation remaining elevated for an extended period, which could cause claims and claim expenses to increase, impact the performance of our investment portfolio or have other adverse effects. Fluctuations in interest rates could impact our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organized as a holding company, but our primary operations are conducted by two of our wholly-owned insurance subsidiaries, Root Insurance Company and Root Property &amp; Casualty Insurance Company, both Ohio-domiciled insurance companies. The payment of dividends by our insurance subsidiaries is subject to restrictions set forth in the insurance laws and regulations of the State of Ohio. To date, our insurance subsidiaries have not paid any dividends and, as of September 30, 2024, they were not permitted to pay any dividends without approval of the applicable superintendent, commissioner and/or director.</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September 30, 2024, our insurance subsidiaries maintained a risk-based capital level that is in excess of an amount that would require any corrective actions on our part.</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wholly-owned, Cayman Islands-based reinsurance subsidiary, Root Reinsurance Company, Ltd., or Root Re, maintains a Class B(iii) insurer license under Cayman Islands Monetary Authority, or CIMA. At September 30, 2024, Root Re was subject to compliance with certain capital levels and a net premiums earned to capital ratio of 15:1, which we maintained as of September 30, 2024.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notify CIMA before it can pay any dividend to the holding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On January 26, 2022, we closed on a $300.0 million five-year term loan, or Term Loan. The maturity of the Term Loan is January 27, 2027. Interest is payable quarterly and is determined on a floating interest rate calculated on the Secured Overnight Financing Rate, or SOFR, with a 1.0% floor, plus 9.0%.</w:t>
      </w:r>
    </w:p>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2024, we entered into the second amendment to the Term Loan, or Amended Term Loan, that resulted in extinguishment of $237.1 million of the Term Loan, modification of $62.9 million of the Term Loan, and new borrowings of $137.1 million from new BlackRock funds. The resulting principal amount under the Amended Term Loan is $200.0 million and has a maturity date of October 29, 2030. Interest is variable and calculated quarterly between SOFR plus 5.25% and SOFR plus 6.00%, with a SOFR floor of 1.00%, based upon the debt-to-capital ratio payable quarterly, in cash.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had $674.8 million in cash and cash equivalents, of which $439.2 million was held outside of regulated insurance entities.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had $274.8 million in marketable securities.</w:t>
      </w:r>
    </w:p>
    <w:p>
      <w:pPr>
        <w:spacing w:after="0" w:line="15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Tax withholding obligations arise upon vesting of shares of restricted stock units and performance-based restricted stock units, and these obligations must be satisfied at the time they arise through cash payments remitted to the relevant tax authorities. To the extent we satisfy our tax withholding obligations with respect to these equity compensation awards by withholding shares and remitting cash to the relevant tax authorities, the amount of cash payments due for taxes upon the vesting of such equity compensation awards is dependent on the price of our Class A common stock on the applicable vesting dates and could be substantial. Future obligations could have a negative impact on our liquidity and ability to use funds for operational purposes.</w:t>
      </w:r>
    </w:p>
    <w:p>
      <w:pPr>
        <w:spacing w:after="0" w:line="1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expect to receive a sales tax refund, including interest, of $7.5 million related to multiple prior years. The sales tax refund was primarily recorded as a contra-expense in other insurance expense on the condensed consolidated statements of operations and comprehensive income (loss).</w:t>
      </w:r>
    </w:p>
    <w:p>
      <w:pPr>
        <w:spacing w:after="0" w:line="122"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Through September 30, 2024, our debt covenants required cash and cash equivalents held in entities other than our insurance subsidiaries to be at least $150.0 million. We had to continue to satisfy the direct contribution to gross premiums earned ratio requirement of greater than 12% at the end of each fiscal quarter in order to maintain the threshold of $150.0 million. If we did not satisfy these requirements, the threshold would have returned to $200.0 million.</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Under the Amended Term Loan, our debt covenants require cash and cash equivalents held in entities other than our insurance subsidiaries to be at least $50.0 million.</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Through prudent deployment of capital we believe we have sufficient resources, and access to additional debt and equity capital, to adequately meet our obligations as they come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7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126.5</w:t>
            </w:r>
          </w:p>
        </w:tc>
        <w:tc>
          <w:tcPr>
            <w:tcW w:w="11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2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$126.5 million compared to $79.7 million of net cash used in operating activities for the nine months ended September 30, 2023. The increase in cash provided by operating activities was due to an increase in the loss and LAE reserves for the nine months ended September 30, 2024 reflecting the growth in policies in force, higher net income between the periods and timing of reinsurance payments. This was partially offset by timing of reinsurance receipts during the nine months ended September 30, 2024 compared to the same period in 2023 and the impact of commuting certain agreements with reinsurers in the second half of 2023.</w:t>
      </w:r>
    </w:p>
    <w:p>
      <w:pPr>
        <w:spacing w:after="0" w:line="1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$114.1 million compared to $46.2 million of net cash used in investing activities for the nine months ended September 30, 2023. The increase in cash used in investing activities was primarily due to purchases of investments which was partially offset by proceeds from maturities, calls and pay downs of investments.</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2024 was $16.3 million compared to $0.9 million of net cash used in financing activity for the nine months ended September 30, 2023. The increase in cash used in financing activities was primarily due to tax withholding obligations arising from the vesting of shares of RSUs and PSUs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from Contractual and Other Obligations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contractual and other obligations from those described in our 2023 10-K. We believe we have sufficient resources, and access to additional debt and equity capital, to adequately meet our obligations as they come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allowance for expected credit losses on premium receivables and reinsurance recoverables.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 — Critical Accounting Estimates,” in our 2023 10-K and the Notes to Condensed Consolidated Financial Statements appearing elsewhere in this Quarterly Report on Form 10-Q. During the nine months ended September 30, 2024, there were no material changes to our critical accounting estimates from those discussed in our 2023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quantitative and qualitative market risk disclosures included in the 2023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2024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6" w:name="page47"/>
    <w:bookmarkEnd w:id="4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the 2023 10-K. In addition to the other information set forth in this Quarterly Report on Form 10-Q, you should carefully consider the risk factors discussed in Part I, Item 1A. “Risk Factors,” in the 2023 10-K. You should not interpret the disclosure of any risk factor to imply the risk has not already materialized.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stock. We currently intend to retain all available funds and future earnings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Repurchase and Working Capital Restrictions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in the future.</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payment of any extraordinary dividend by one of our regulated insurance subsidiaries requires the prior approval of the superintendent of the supervisory Department of Insurance, or DOI. “Extraordinary dividend” is defined under the Ohio Revised Code as: (i) 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2023, neither Root Insurance Company nor Root Property &amp; Casualty Insurance Company were permitted to pay any dividends to us without approval of the superintendent of the supervisory DOI. See the section titled “Risk Factors — Risks Related to Our Business — Failure to maintain our risk-based capital at the required levels could adversely affect our ability to maintain regulatory authority to conduct our business,” included in the 2023 10-K.</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may, in the future, adopt statutory provisions more restrictive than those currently in effect.</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Further, the Amended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Amended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9" w:name="page50"/>
    <w:bookmarkEnd w:id="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Term Loan Amendment</w:t>
      </w:r>
    </w:p>
    <w:p>
      <w:pPr>
        <w:spacing w:after="0" w:line="175"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As described in Note 7, “Long-Term Debt,” above, on September 17, 2024, the Company entered into the First Term Loan Amendment to the Term Loan, which, among other things, provide for greater flexibility for investments in future U.S. Insurance Subsidiaries (as defined in the Amended Term Loan).</w:t>
      </w:r>
    </w:p>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described in Note 14, “Subsequent Events,” above, on October 29, 2024, the Company entered into the Second Term Loan Amendment, which, among other things:</w:t>
      </w:r>
    </w:p>
    <w:p>
      <w:pPr>
        <w:spacing w:after="0" w:line="108"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size of the Term Loan from $300.0 million to $200.0 million;</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maturity date of the Term Loan from January 27, 2027 to October 29, 2030;</w:t>
      </w:r>
    </w:p>
    <w:p>
      <w:pPr>
        <w:spacing w:after="0" w:line="171" w:lineRule="exact"/>
        <w:rPr>
          <w:rFonts w:ascii="Times New Roman" w:cs="Times New Roman" w:eastAsia="Times New Roman" w:hAnsi="Times New Roman"/>
          <w:sz w:val="18"/>
          <w:szCs w:val="18"/>
          <w:color w:val="auto"/>
        </w:rPr>
      </w:pPr>
    </w:p>
    <w:p>
      <w:pPr>
        <w:ind w:left="660" w:right="480" w:hanging="4"/>
        <w:spacing w:after="0" w:line="282" w:lineRule="auto"/>
        <w:tabs>
          <w:tab w:leader="none" w:pos="9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applicable margin of the term loan from 9.00% to a rate ranging from 5.25% to 6.00%, depending on the applicable Debt to Capital Ratio (as defined in the Amended Term Loan);</w:t>
      </w:r>
    </w:p>
    <w:p>
      <w:pPr>
        <w:spacing w:after="0" w:line="107" w:lineRule="exact"/>
        <w:rPr>
          <w:rFonts w:ascii="Times New Roman" w:cs="Times New Roman" w:eastAsia="Times New Roman" w:hAnsi="Times New Roman"/>
          <w:sz w:val="18"/>
          <w:szCs w:val="18"/>
          <w:color w:val="auto"/>
        </w:rPr>
      </w:pPr>
    </w:p>
    <w:p>
      <w:pPr>
        <w:ind w:left="660" w:right="180" w:hanging="4"/>
        <w:spacing w:after="0" w:line="282" w:lineRule="auto"/>
        <w:tabs>
          <w:tab w:leader="none" w:pos="9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reinstated a prepayment premium of 2.00% during the period from and after October 29, 2024 to but not including October 29, 2025, 1.00% during the period from and after October 29, 2025 to but not including October 29, 2026, and no prepayment premium thereafter;</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Direct Contribution to Gross Earned Premium Ratio (as defined in the Amended Term Loan) financial covenant;</w:t>
      </w:r>
    </w:p>
    <w:p>
      <w:pPr>
        <w:spacing w:after="0" w:line="171" w:lineRule="exact"/>
        <w:rPr>
          <w:rFonts w:ascii="Times New Roman" w:cs="Times New Roman" w:eastAsia="Times New Roman" w:hAnsi="Times New Roman"/>
          <w:sz w:val="18"/>
          <w:szCs w:val="18"/>
          <w:color w:val="auto"/>
        </w:rPr>
      </w:pPr>
    </w:p>
    <w:p>
      <w:pPr>
        <w:ind w:left="660" w:right="580" w:hanging="4"/>
        <w:spacing w:after="0" w:line="282" w:lineRule="auto"/>
        <w:tabs>
          <w:tab w:leader="none" w:pos="9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minimum liquidity covenant from $150.0 million to $50.0 million as set forth in the Amended Term Loan and the heading “Liquidity” in Item 2, Management’s Discussion and Analysis of Financial Condition and Results of Operations herein; and</w:t>
      </w:r>
    </w:p>
    <w:p>
      <w:pPr>
        <w:spacing w:after="0" w:line="107" w:lineRule="exact"/>
        <w:rPr>
          <w:rFonts w:ascii="Times New Roman" w:cs="Times New Roman" w:eastAsia="Times New Roman" w:hAnsi="Times New Roman"/>
          <w:sz w:val="18"/>
          <w:szCs w:val="18"/>
          <w:color w:val="auto"/>
        </w:rPr>
      </w:pPr>
    </w:p>
    <w:p>
      <w:pPr>
        <w:ind w:left="660" w:right="600" w:hanging="4"/>
        <w:spacing w:after="0" w:line="282" w:lineRule="auto"/>
        <w:tabs>
          <w:tab w:leader="none" w:pos="9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Regulated Subsidiary Equity (as defined in the Amended Term Loan) covenant from $100.0 million to $125.0 million.</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Second Term Loan Amendment, on October 29, 2024, the Company also entered into (i) amendments (the “Tranche 1 Warrant Amendments”) to the Tranche 1 Warrants (as defined in the Form 8-K of the Company dated January 26, 2022) to set an expiration date as of January 26, 2027 and (ii) an amended and restated Board Observation Side Letter (the “Amended and Restated Observer Letter”), which amends and restates the Observer Letter (as defined in the Form 8-K of the Company dated January 26, 2022) to change the BlackRock lender entities that are party thereto.</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First Term Loan Amendment, the Second Term Loan Amendment, the Tranche 1 Warrant Amendments and the Amended and Restated Observer Letter does not purport to be complete and is qualified in its entirety by reference to the full text of the First Term Loan Amendment, the Second Term Loan Amendment, the form of Tranche 1 Warrant Amendments and the Amended and Restated Observer Letter which are filed as Exhibits 10.1, 10.2, 4.5, and 10.3 respectively, to this Form 10-Q and are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under the Exchange Act) adopted, modified, or terminated a Rule 10b5-1 trading arrangement or a non-Rule 10b5-1 trading arrangement (as each term is defined in Item 408 of Regulation S-K) during the Company’s fiscal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860" w:type="dxa"/>
            <w:vAlign w:val="bottom"/>
            <w:gridSpan w:val="2"/>
            <w:vMerge w:val="restart"/>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860" w:type="dxa"/>
            <w:vAlign w:val="bottom"/>
            <w:gridSpan w:val="2"/>
            <w:vMerge w:val="continue"/>
          </w:tcPr>
          <w:p>
            <w:pPr>
              <w:spacing w:after="0"/>
              <w:rPr>
                <w:sz w:val="13"/>
                <w:szCs w:val="13"/>
                <w:color w:val="auto"/>
              </w:rPr>
            </w:pPr>
          </w:p>
        </w:tc>
        <w:tc>
          <w:tcPr>
            <w:tcW w:w="3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860" w:type="dxa"/>
            <w:vAlign w:val="bottom"/>
            <w:gridSpan w:val="2"/>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SEC File Number</w:t>
            </w: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35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Amended and Restated Certificate of Incorporation of</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2"/>
        </w:trPr>
        <w:tc>
          <w:tcPr>
            <w:tcW w:w="1120" w:type="dxa"/>
            <w:vAlign w:val="bottom"/>
          </w:tcPr>
          <w:p>
            <w:pPr>
              <w:spacing w:after="0"/>
              <w:rPr>
                <w:sz w:val="12"/>
                <w:szCs w:val="12"/>
                <w:color w:val="auto"/>
              </w:rPr>
            </w:pPr>
          </w:p>
        </w:tc>
        <w:tc>
          <w:tcPr>
            <w:tcW w:w="64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w w:val="97"/>
              </w:rPr>
            </w:pPr>
            <w:hyperlink r:id="rId92">
              <w:r>
                <w:rPr>
                  <w:rFonts w:ascii="Times New Roman" w:cs="Times New Roman" w:eastAsia="Times New Roman" w:hAnsi="Times New Roman"/>
                  <w:sz w:val="16"/>
                  <w:szCs w:val="16"/>
                  <w:color w:val="0000FF"/>
                  <w:w w:val="97"/>
                </w:rPr>
                <w:t>Root, Inc.</w:t>
              </w:r>
            </w:hyperlink>
          </w:p>
        </w:tc>
        <w:tc>
          <w:tcPr>
            <w:tcW w:w="2860" w:type="dxa"/>
            <w:vAlign w:val="bottom"/>
            <w:gridSpan w:val="1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3800" w:type="dxa"/>
            <w:vAlign w:val="bottom"/>
            <w:gridSpan w:val="25"/>
          </w:tcPr>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Certificate of Amendment to Amended and Restated</w:t>
              </w:r>
            </w:hyperlink>
          </w:p>
        </w:tc>
      </w:tr>
      <w:tr>
        <w:trPr>
          <w:trHeight w:val="142"/>
        </w:trPr>
        <w:tc>
          <w:tcPr>
            <w:tcW w:w="112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Certificate of Incorporation of Root, Inc.</w:t>
              </w:r>
            </w:hyperlink>
          </w:p>
        </w:tc>
        <w:tc>
          <w:tcPr>
            <w:tcW w:w="7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3800" w:type="dxa"/>
            <w:vAlign w:val="bottom"/>
            <w:gridSpan w:val="25"/>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Amended and Restated Bylaws of Root, Inc.</w:t>
              </w:r>
            </w:hyperlink>
          </w:p>
        </w:tc>
      </w:tr>
      <w:tr>
        <w:trPr>
          <w:trHeight w:val="20"/>
        </w:trPr>
        <w:tc>
          <w:tcPr>
            <w:tcW w:w="1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36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Certificate of Designations of Series A Preferred Stock,</w:t>
              </w:r>
            </w:hyperlink>
          </w:p>
        </w:tc>
        <w:tc>
          <w:tcPr>
            <w:tcW w:w="180" w:type="dxa"/>
            <w:vAlign w:val="bottom"/>
            <w:gridSpan w:val="5"/>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800" w:type="dxa"/>
            <w:vAlign w:val="bottom"/>
            <w:gridSpan w:val="25"/>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filed with the Delaware Secretary of State on October 1,</w:t>
              </w:r>
            </w:hyperlink>
          </w:p>
        </w:tc>
      </w:tr>
      <w:tr>
        <w:trPr>
          <w:trHeight w:val="142"/>
        </w:trPr>
        <w:tc>
          <w:tcPr>
            <w:tcW w:w="11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95">
              <w:r>
                <w:rPr>
                  <w:rFonts w:ascii="Times New Roman" w:cs="Times New Roman" w:eastAsia="Times New Roman" w:hAnsi="Times New Roman"/>
                  <w:sz w:val="16"/>
                  <w:szCs w:val="16"/>
                  <w:color w:val="0000FF"/>
                  <w:w w:val="93"/>
                </w:rPr>
                <w:t>2021</w:t>
              </w:r>
            </w:hyperlink>
          </w:p>
        </w:tc>
        <w:tc>
          <w:tcPr>
            <w:tcW w:w="3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3800" w:type="dxa"/>
            <w:vAlign w:val="bottom"/>
            <w:gridSpan w:val="25"/>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Form of Class A common stock certificate of the</w:t>
              </w:r>
            </w:hyperlink>
          </w:p>
        </w:tc>
      </w:tr>
      <w:tr>
        <w:trPr>
          <w:trHeight w:val="142"/>
        </w:trPr>
        <w:tc>
          <w:tcPr>
            <w:tcW w:w="1120" w:type="dxa"/>
            <w:vAlign w:val="bottom"/>
          </w:tcPr>
          <w:p>
            <w:pPr>
              <w:spacing w:after="0"/>
              <w:rPr>
                <w:sz w:val="12"/>
                <w:szCs w:val="12"/>
                <w:color w:val="auto"/>
              </w:rPr>
            </w:pPr>
          </w:p>
        </w:tc>
        <w:tc>
          <w:tcPr>
            <w:tcW w:w="7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7"/>
              </w:rPr>
            </w:pPr>
            <w:hyperlink r:id="rId96">
              <w:r>
                <w:rPr>
                  <w:rFonts w:ascii="Times New Roman" w:cs="Times New Roman" w:eastAsia="Times New Roman" w:hAnsi="Times New Roman"/>
                  <w:sz w:val="16"/>
                  <w:szCs w:val="16"/>
                  <w:color w:val="0000FF"/>
                  <w:w w:val="97"/>
                </w:rPr>
                <w:t>Registrant.</w:t>
              </w:r>
            </w:hyperlink>
          </w:p>
        </w:tc>
        <w:tc>
          <w:tcPr>
            <w:tcW w:w="2460" w:type="dxa"/>
            <w:vAlign w:val="bottom"/>
            <w:tcBorders>
              <w:top w:val="single" w:sz="8" w:color="0000FF"/>
            </w:tcBorders>
            <w:gridSpan w:val="6"/>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3800" w:type="dxa"/>
            <w:vAlign w:val="bottom"/>
            <w:gridSpan w:val="25"/>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Common Stock Purchase Warrants, dated as of October 1,</w:t>
              </w:r>
            </w:hyperlink>
          </w:p>
        </w:tc>
      </w:tr>
      <w:tr>
        <w:trPr>
          <w:trHeight w:val="142"/>
        </w:trPr>
        <w:tc>
          <w:tcPr>
            <w:tcW w:w="112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w w:val="99"/>
              </w:rPr>
            </w:pPr>
            <w:hyperlink r:id="rId97">
              <w:r>
                <w:rPr>
                  <w:rFonts w:ascii="Times New Roman" w:cs="Times New Roman" w:eastAsia="Times New Roman" w:hAnsi="Times New Roman"/>
                  <w:sz w:val="16"/>
                  <w:szCs w:val="16"/>
                  <w:color w:val="0000FF"/>
                  <w:w w:val="99"/>
                </w:rPr>
                <w:t>2021, by and between Root, Inc. and Carvana Group, LLC</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3800" w:type="dxa"/>
            <w:vAlign w:val="bottom"/>
            <w:gridSpan w:val="25"/>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Form of Common Stock Purchase Warrant (Tranche 1),</w:t>
              </w:r>
            </w:hyperlink>
          </w:p>
        </w:tc>
      </w:tr>
      <w:tr>
        <w:trPr>
          <w:trHeight w:val="142"/>
        </w:trPr>
        <w:tc>
          <w:tcPr>
            <w:tcW w:w="11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98">
              <w:r>
                <w:rPr>
                  <w:rFonts w:ascii="Times New Roman" w:cs="Times New Roman" w:eastAsia="Times New Roman" w:hAnsi="Times New Roman"/>
                  <w:sz w:val="16"/>
                  <w:szCs w:val="16"/>
                  <w:color w:val="0000FF"/>
                  <w:w w:val="99"/>
                </w:rPr>
                <w:t>dated January 26, 2022</w:t>
              </w:r>
            </w:hyperlink>
          </w:p>
        </w:tc>
        <w:tc>
          <w:tcPr>
            <w:tcW w:w="210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356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Form of Common Stock Purchase Warrant (Tranche 2)</w:t>
              </w:r>
            </w:hyperlink>
          </w:p>
        </w:tc>
        <w:tc>
          <w:tcPr>
            <w:tcW w:w="240" w:type="dxa"/>
            <w:vAlign w:val="bottom"/>
            <w:gridSpan w:val="8"/>
          </w:tcPr>
          <w:p>
            <w:pPr>
              <w:spacing w:after="0"/>
              <w:rPr>
                <w:sz w:val="21"/>
                <w:szCs w:val="2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38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First Amendment to Form of Common Stock Purchase</w:t>
            </w:r>
          </w:p>
        </w:tc>
      </w:tr>
      <w:tr>
        <w:trPr>
          <w:trHeight w:val="142"/>
        </w:trPr>
        <w:tc>
          <w:tcPr>
            <w:tcW w:w="1120" w:type="dxa"/>
            <w:vAlign w:val="bottom"/>
          </w:tcPr>
          <w:p>
            <w:pPr>
              <w:spacing w:after="0"/>
              <w:rPr>
                <w:sz w:val="12"/>
                <w:szCs w:val="12"/>
                <w:color w:val="auto"/>
              </w:rPr>
            </w:pPr>
          </w:p>
        </w:tc>
        <w:tc>
          <w:tcPr>
            <w:tcW w:w="354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Warrant (Tranche 1), dated October 29, 2024</w:t>
            </w: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38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First Amendment to Term Loan Agreement, dated</w:t>
            </w:r>
          </w:p>
        </w:tc>
      </w:tr>
      <w:tr>
        <w:trPr>
          <w:trHeight w:val="169"/>
        </w:trPr>
        <w:tc>
          <w:tcPr>
            <w:tcW w:w="1120" w:type="dxa"/>
            <w:vAlign w:val="bottom"/>
          </w:tcPr>
          <w:p>
            <w:pPr>
              <w:spacing w:after="0"/>
              <w:rPr>
                <w:sz w:val="14"/>
                <w:szCs w:val="14"/>
                <w:color w:val="auto"/>
              </w:rPr>
            </w:pPr>
          </w:p>
        </w:tc>
        <w:tc>
          <w:tcPr>
            <w:tcW w:w="32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September 17, 2024, by and among the Company,</w:t>
            </w:r>
          </w:p>
        </w:tc>
        <w:tc>
          <w:tcPr>
            <w:tcW w:w="560" w:type="dxa"/>
            <w:vAlign w:val="bottom"/>
            <w:gridSpan w:val="15"/>
          </w:tcPr>
          <w:p>
            <w:pPr>
              <w:ind w:left="40"/>
              <w:spacing w:after="0" w:line="169" w:lineRule="exact"/>
              <w:rPr>
                <w:sz w:val="20"/>
                <w:szCs w:val="20"/>
                <w:color w:val="auto"/>
              </w:rPr>
            </w:pPr>
            <w:r>
              <w:rPr>
                <w:rFonts w:ascii="Times New Roman" w:cs="Times New Roman" w:eastAsia="Times New Roman" w:hAnsi="Times New Roman"/>
                <w:sz w:val="16"/>
                <w:szCs w:val="16"/>
                <w:color w:val="0000FF"/>
              </w:rPr>
              <w:t>Caret</w:t>
            </w:r>
          </w:p>
        </w:tc>
      </w:tr>
      <w:tr>
        <w:trPr>
          <w:trHeight w:val="169"/>
        </w:trPr>
        <w:tc>
          <w:tcPr>
            <w:tcW w:w="112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6"/>
                <w:szCs w:val="16"/>
                <w:color w:val="0000FF"/>
                <w:w w:val="98"/>
              </w:rPr>
              <w:t>Holdings, Inc., as borrower, the loan parties party thereto</w:t>
            </w:r>
          </w:p>
        </w:tc>
        <w:tc>
          <w:tcPr>
            <w:tcW w:w="80" w:type="dxa"/>
            <w:vAlign w:val="bottom"/>
            <w:tcBorders>
              <w:bottom w:val="single" w:sz="8" w:color="0000FF"/>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3700" w:type="dxa"/>
            <w:vAlign w:val="bottom"/>
            <w:tcBorders>
              <w:bottom w:val="single" w:sz="8" w:color="0000FF"/>
            </w:tcBorders>
            <w:gridSpan w:val="22"/>
          </w:tcPr>
          <w:p>
            <w:pPr>
              <w:spacing w:after="0" w:line="155" w:lineRule="exact"/>
              <w:rPr>
                <w:sz w:val="20"/>
                <w:szCs w:val="20"/>
                <w:color w:val="auto"/>
              </w:rPr>
            </w:pPr>
            <w:r>
              <w:rPr>
                <w:rFonts w:ascii="Times New Roman" w:cs="Times New Roman" w:eastAsia="Times New Roman" w:hAnsi="Times New Roman"/>
                <w:sz w:val="16"/>
                <w:szCs w:val="16"/>
                <w:color w:val="0000FF"/>
                <w:w w:val="98"/>
              </w:rPr>
              <w:t>and Acquiom Agency Services LLC, as the administrative</w:t>
            </w:r>
          </w:p>
        </w:tc>
        <w:tc>
          <w:tcPr>
            <w:tcW w:w="8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3780" w:type="dxa"/>
            <w:vAlign w:val="bottom"/>
            <w:gridSpan w:val="24"/>
          </w:tcPr>
          <w:p>
            <w:pPr>
              <w:spacing w:after="0" w:line="169" w:lineRule="exact"/>
              <w:rPr>
                <w:sz w:val="20"/>
                <w:szCs w:val="20"/>
                <w:color w:val="auto"/>
              </w:rPr>
            </w:pPr>
            <w:r>
              <w:rPr>
                <w:rFonts w:ascii="Times New Roman" w:cs="Times New Roman" w:eastAsia="Times New Roman" w:hAnsi="Times New Roman"/>
                <w:sz w:val="16"/>
                <w:szCs w:val="16"/>
                <w:color w:val="0000FF"/>
              </w:rPr>
              <w:t>agent for the lenders party thereto</w:t>
            </w: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38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Second Amendment to Term Loan Agreement, dated</w:t>
            </w:r>
          </w:p>
        </w:tc>
      </w:tr>
      <w:tr>
        <w:trPr>
          <w:trHeight w:val="169"/>
        </w:trPr>
        <w:tc>
          <w:tcPr>
            <w:tcW w:w="11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w w:val="99"/>
              </w:rPr>
              <w:t>October 29, 2024, by and among the Company, Caret</w:t>
            </w:r>
          </w:p>
        </w:tc>
        <w:tc>
          <w:tcPr>
            <w:tcW w:w="40" w:type="dxa"/>
            <w:vAlign w:val="bottom"/>
            <w:tcBorders>
              <w:bottom w:val="single" w:sz="8" w:color="0000FF"/>
            </w:tcBorders>
          </w:tcPr>
          <w:p>
            <w:pPr>
              <w:spacing w:after="0"/>
              <w:rPr>
                <w:sz w:val="14"/>
                <w:szCs w:val="14"/>
                <w:color w:val="auto"/>
              </w:rPr>
            </w:pPr>
          </w:p>
        </w:tc>
        <w:tc>
          <w:tcPr>
            <w:tcW w:w="120" w:type="dxa"/>
            <w:vAlign w:val="bottom"/>
            <w:gridSpan w:val="4"/>
          </w:tcPr>
          <w:p>
            <w:pPr>
              <w:spacing w:after="0"/>
              <w:rPr>
                <w:sz w:val="14"/>
                <w:szCs w:val="14"/>
                <w:color w:val="auto"/>
              </w:rPr>
            </w:pPr>
          </w:p>
        </w:tc>
        <w:tc>
          <w:tcPr>
            <w:tcW w:w="220" w:type="dxa"/>
            <w:vAlign w:val="bottom"/>
            <w:gridSpan w:val="7"/>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800" w:type="dxa"/>
            <w:vAlign w:val="bottom"/>
            <w:gridSpan w:val="25"/>
          </w:tcPr>
          <w:p>
            <w:pPr>
              <w:spacing w:after="0" w:line="169" w:lineRule="exact"/>
              <w:rPr>
                <w:sz w:val="20"/>
                <w:szCs w:val="20"/>
                <w:color w:val="auto"/>
              </w:rPr>
            </w:pPr>
            <w:r>
              <w:rPr>
                <w:rFonts w:ascii="Times New Roman" w:cs="Times New Roman" w:eastAsia="Times New Roman" w:hAnsi="Times New Roman"/>
                <w:sz w:val="16"/>
                <w:szCs w:val="16"/>
                <w:color w:val="0000FF"/>
              </w:rPr>
              <w:t>Holdings, Inc., as borrower, the loan parties party thereto</w:t>
            </w:r>
          </w:p>
        </w:tc>
      </w:tr>
      <w:tr>
        <w:trPr>
          <w:trHeight w:val="155"/>
        </w:trPr>
        <w:tc>
          <w:tcPr>
            <w:tcW w:w="1120" w:type="dxa"/>
            <w:vAlign w:val="bottom"/>
          </w:tcPr>
          <w:p>
            <w:pPr>
              <w:spacing w:after="0"/>
              <w:rPr>
                <w:sz w:val="13"/>
                <w:szCs w:val="13"/>
                <w:color w:val="auto"/>
              </w:rPr>
            </w:pPr>
          </w:p>
        </w:tc>
        <w:tc>
          <w:tcPr>
            <w:tcW w:w="3700" w:type="dxa"/>
            <w:vAlign w:val="bottom"/>
            <w:tcBorders>
              <w:top w:val="single" w:sz="8" w:color="0000FF"/>
            </w:tcBorders>
            <w:gridSpan w:val="22"/>
          </w:tcPr>
          <w:p>
            <w:pPr>
              <w:spacing w:after="0" w:line="155" w:lineRule="exact"/>
              <w:rPr>
                <w:sz w:val="20"/>
                <w:szCs w:val="20"/>
                <w:color w:val="auto"/>
              </w:rPr>
            </w:pPr>
            <w:r>
              <w:rPr>
                <w:rFonts w:ascii="Times New Roman" w:cs="Times New Roman" w:eastAsia="Times New Roman" w:hAnsi="Times New Roman"/>
                <w:sz w:val="16"/>
                <w:szCs w:val="16"/>
                <w:color w:val="0000FF"/>
                <w:w w:val="98"/>
              </w:rPr>
              <w:t>and Acquiom Agency Services LLC, as the administrative</w:t>
            </w:r>
          </w:p>
        </w:tc>
        <w:tc>
          <w:tcPr>
            <w:tcW w:w="100" w:type="dxa"/>
            <w:vAlign w:val="bottom"/>
            <w:gridSpan w:val="3"/>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378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6"/>
                <w:szCs w:val="16"/>
                <w:color w:val="0000FF"/>
              </w:rPr>
              <w:t>agent for the lenders party thereto</w:t>
            </w: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38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Amended and restated Board Observation Side Letter</w:t>
            </w:r>
          </w:p>
        </w:tc>
      </w:tr>
      <w:tr>
        <w:trPr>
          <w:trHeight w:val="20"/>
        </w:trPr>
        <w:tc>
          <w:tcPr>
            <w:tcW w:w="1120" w:type="dxa"/>
            <w:vAlign w:val="bottom"/>
          </w:tcPr>
          <w:p>
            <w:pPr>
              <w:spacing w:after="0" w:line="20" w:lineRule="exact"/>
              <w:rPr>
                <w:sz w:val="1"/>
                <w:szCs w:val="1"/>
                <w:color w:val="auto"/>
              </w:rPr>
            </w:pPr>
          </w:p>
        </w:tc>
        <w:tc>
          <w:tcPr>
            <w:tcW w:w="3320" w:type="dxa"/>
            <w:vAlign w:val="bottom"/>
            <w:gridSpan w:val="11"/>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8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w:t>
            </w:r>
          </w:p>
        </w:tc>
      </w:tr>
      <w:tr>
        <w:trPr>
          <w:trHeight w:val="169"/>
        </w:trPr>
        <w:tc>
          <w:tcPr>
            <w:tcW w:w="11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rPr>
              <w:t>Rules 13a-14(a) and 15d-14(a) under the Securities</w:t>
            </w:r>
          </w:p>
        </w:tc>
        <w:tc>
          <w:tcPr>
            <w:tcW w:w="260" w:type="dxa"/>
            <w:vAlign w:val="bottom"/>
            <w:tcBorders>
              <w:top w:val="single" w:sz="8" w:color="0000FF"/>
            </w:tcBorders>
            <w:gridSpan w:val="7"/>
          </w:tcPr>
          <w:p>
            <w:pPr>
              <w:spacing w:after="0"/>
              <w:rPr>
                <w:sz w:val="14"/>
                <w:szCs w:val="14"/>
                <w:color w:val="auto"/>
              </w:rPr>
            </w:pPr>
          </w:p>
        </w:tc>
        <w:tc>
          <w:tcPr>
            <w:tcW w:w="220" w:type="dxa"/>
            <w:vAlign w:val="bottom"/>
            <w:gridSpan w:val="7"/>
          </w:tcPr>
          <w:p>
            <w:pPr>
              <w:spacing w:after="0"/>
              <w:rPr>
                <w:sz w:val="14"/>
                <w:szCs w:val="14"/>
                <w:color w:val="auto"/>
              </w:rPr>
            </w:pPr>
          </w:p>
        </w:tc>
      </w:tr>
    </w:tbl>
    <w:p>
      <w:pPr>
        <w:ind w:left="1140"/>
        <w:spacing w:after="0" w:line="262" w:lineRule="auto"/>
        <w:rPr>
          <w:sz w:val="20"/>
          <w:szCs w:val="20"/>
          <w:color w:val="auto"/>
        </w:rPr>
      </w:pPr>
      <w:r>
        <w:rPr>
          <w:rFonts w:ascii="Times New Roman" w:cs="Times New Roman" w:eastAsia="Times New Roman" w:hAnsi="Times New Roman"/>
          <w:sz w:val="16"/>
          <w:szCs w:val="16"/>
          <w:u w:val="single" w:color="auto"/>
          <w:color w:val="0000FF"/>
        </w:rPr>
        <w:t>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30, 2020</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August 15, 2022</w:t>
            </w:r>
          </w:p>
        </w:tc>
        <w:tc>
          <w:tcPr>
            <w:tcW w:w="0" w:type="dxa"/>
            <w:vAlign w:val="bottom"/>
          </w:tcPr>
          <w:p>
            <w:pPr>
              <w:spacing w:after="0"/>
              <w:rPr>
                <w:sz w:val="1"/>
                <w:szCs w:val="1"/>
                <w:color w:val="auto"/>
              </w:rPr>
            </w:pPr>
          </w:p>
        </w:tc>
      </w:tr>
      <w:tr>
        <w:trPr>
          <w:trHeight w:val="364"/>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22, 2023</w:t>
            </w:r>
          </w:p>
        </w:tc>
        <w:tc>
          <w:tcPr>
            <w:tcW w:w="0" w:type="dxa"/>
            <w:vAlign w:val="bottom"/>
          </w:tcPr>
          <w:p>
            <w:pPr>
              <w:spacing w:after="0"/>
              <w:rPr>
                <w:sz w:val="1"/>
                <w:szCs w:val="1"/>
                <w:color w:val="auto"/>
              </w:rPr>
            </w:pPr>
          </w:p>
        </w:tc>
      </w:tr>
      <w:tr>
        <w:trPr>
          <w:trHeight w:val="446"/>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1, 2021</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S-1/A</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8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color w:val="auto"/>
              </w:rPr>
              <w:t>October 20, 2020</w:t>
            </w: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1, 2021</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27, 2022</w:t>
            </w:r>
          </w:p>
        </w:tc>
        <w:tc>
          <w:tcPr>
            <w:tcW w:w="0" w:type="dxa"/>
            <w:vAlign w:val="bottom"/>
          </w:tcPr>
          <w:p>
            <w:pPr>
              <w:spacing w:after="0"/>
              <w:rPr>
                <w:sz w:val="1"/>
                <w:szCs w:val="1"/>
                <w:color w:val="auto"/>
              </w:rPr>
            </w:pPr>
          </w:p>
        </w:tc>
      </w:tr>
      <w:tr>
        <w:trPr>
          <w:trHeight w:val="364"/>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27,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4" w:lineRule="exact"/>
        <w:rPr>
          <w:sz w:val="20"/>
          <w:szCs w:val="20"/>
          <w:color w:val="auto"/>
        </w:rPr>
      </w:pPr>
    </w:p>
    <w:p>
      <w:pPr>
        <w:sectPr>
          <w:pgSz w:w="11900" w:h="16838" w:orient="portrait"/>
          <w:cols w:equalWidth="0" w:num="3">
            <w:col w:w="4980" w:space="180"/>
            <w:col w:w="4620" w:space="720"/>
            <w:col w:w="740"/>
          </w:cols>
          <w:pgMar w:left="320" w:top="1332" w:right="339" w:bottom="1440" w:gutter="0" w:footer="0" w:header="0"/>
          <w:type w:val="continuous"/>
        </w:sectPr>
      </w:pPr>
    </w:p>
    <w:tbl>
      <w:tblPr>
        <w:tblLayout w:type="fixed"/>
        <w:tblInd w:w="20" w:type="dxa"/>
        <w:tblCellMar>
          <w:top w:w="0" w:type="dxa"/>
          <w:left w:w="0" w:type="dxa"/>
          <w:bottom w:w="0" w:type="dxa"/>
          <w:right w:w="0" w:type="dxa"/>
        </w:tblCellMar>
      </w:tblPr>
      <w:tr>
        <w:trPr>
          <w:trHeight w:val="204"/>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31.2</w:t>
            </w:r>
          </w:p>
        </w:tc>
        <w:tc>
          <w:tcPr>
            <w:tcW w:w="38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w:t>
            </w: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rPr>
              <w:t>Rules 13a-14(a) and 15d-14(a) under the Securities</w:t>
            </w:r>
          </w:p>
        </w:tc>
        <w:tc>
          <w:tcPr>
            <w:tcW w:w="22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5640" w:type="dxa"/>
            <w:vAlign w:val="bottom"/>
            <w:vMerge w:val="restart"/>
          </w:tcPr>
          <w:p>
            <w:pPr>
              <w:ind w:left="55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09"/>
        </w:trPr>
        <w:tc>
          <w:tcPr>
            <w:tcW w:w="1120" w:type="dxa"/>
            <w:vAlign w:val="bottom"/>
          </w:tcPr>
          <w:p>
            <w:pPr>
              <w:spacing w:after="0"/>
              <w:rPr>
                <w:sz w:val="9"/>
                <w:szCs w:val="9"/>
                <w:color w:val="auto"/>
              </w:rPr>
            </w:pPr>
          </w:p>
        </w:tc>
        <w:tc>
          <w:tcPr>
            <w:tcW w:w="3840" w:type="dxa"/>
            <w:vAlign w:val="bottom"/>
            <w:gridSpan w:val="3"/>
            <w:vMerge w:val="restart"/>
          </w:tcPr>
          <w:p>
            <w:pPr>
              <w:spacing w:after="0" w:line="169" w:lineRule="exact"/>
              <w:rPr>
                <w:sz w:val="20"/>
                <w:szCs w:val="20"/>
                <w:color w:val="auto"/>
              </w:rPr>
            </w:pPr>
            <w:r>
              <w:rPr>
                <w:rFonts w:ascii="Times New Roman" w:cs="Times New Roman" w:eastAsia="Times New Roman" w:hAnsi="Times New Roman"/>
                <w:sz w:val="16"/>
                <w:szCs w:val="16"/>
                <w:color w:val="0000FF"/>
              </w:rPr>
              <w:t>Exchange Act of 1934, as Adopted Pursuant to Section 302</w:t>
            </w:r>
          </w:p>
        </w:tc>
        <w:tc>
          <w:tcPr>
            <w:tcW w:w="5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3840" w:type="dxa"/>
            <w:vAlign w:val="bottom"/>
            <w:tcBorders>
              <w:bottom w:val="single" w:sz="8" w:color="0000FF"/>
            </w:tcBorders>
            <w:gridSpan w:val="3"/>
            <w:vMerge w:val="continue"/>
          </w:tcPr>
          <w:p>
            <w:pPr>
              <w:spacing w:after="0"/>
              <w:rPr>
                <w:sz w:val="5"/>
                <w:szCs w:val="5"/>
                <w:color w:val="auto"/>
              </w:rPr>
            </w:pPr>
          </w:p>
        </w:tc>
        <w:tc>
          <w:tcPr>
            <w:tcW w:w="56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Times New Roman" w:cs="Times New Roman" w:eastAsia="Times New Roman" w:hAnsi="Times New Roman"/>
          <w:sz w:val="16"/>
          <w:szCs w:val="16"/>
          <w:u w:val="single" w:color="auto"/>
          <w:color w:val="0000FF"/>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52" w:name="page53"/>
    <w:bookmarkEnd w:id="52"/>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101.INS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101.SCH</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101.CAL</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101.DEF</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101.LAB</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101.PRE</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Financial Officer Pursuant to 18 U.S.C. Section 1350, as</w:t>
            </w:r>
          </w:p>
        </w:tc>
        <w:tc>
          <w:tcPr>
            <w:tcW w:w="2840" w:type="dxa"/>
            <w:vAlign w:val="bottom"/>
          </w:tcPr>
          <w:p>
            <w:pPr>
              <w:spacing w:after="0"/>
              <w:rPr>
                <w:sz w:val="14"/>
                <w:szCs w:val="14"/>
                <w:color w:val="auto"/>
              </w:rPr>
            </w:pPr>
          </w:p>
        </w:tc>
        <w:tc>
          <w:tcPr>
            <w:tcW w:w="2940" w:type="dxa"/>
            <w:vAlign w:val="bottom"/>
            <w:vMerge w:val="restart"/>
          </w:tcPr>
          <w:p>
            <w:pPr>
              <w:ind w:left="28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09"/>
        </w:trPr>
        <w:tc>
          <w:tcPr>
            <w:tcW w:w="3660" w:type="dxa"/>
            <w:vAlign w:val="bottom"/>
            <w:tcBorders>
              <w:top w:val="single" w:sz="8" w:color="0000FF"/>
            </w:tcBorders>
            <w:gridSpan w:val="3"/>
            <w:vMerge w:val="restart"/>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906 of the Sarbanes-Oxley</w:t>
            </w:r>
          </w:p>
        </w:tc>
        <w:tc>
          <w:tcPr>
            <w:tcW w:w="2880" w:type="dxa"/>
            <w:vAlign w:val="bottom"/>
            <w:gridSpan w:val="2"/>
            <w:vMerge w:val="restart"/>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660" w:type="dxa"/>
            <w:vAlign w:val="bottom"/>
            <w:gridSpan w:val="3"/>
            <w:vMerge w:val="continue"/>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620" w:type="dxa"/>
            <w:vAlign w:val="bottom"/>
            <w:tcBorders>
              <w:top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FF"/>
              </w:rPr>
              <w:t>Act of 2002.</w:t>
            </w:r>
          </w:p>
        </w:tc>
        <w:tc>
          <w:tcPr>
            <w:tcW w:w="292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Document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Document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Document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Document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and contained in Exhibit 101).</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2">
            <w:col w:w="640" w:space="500"/>
            <w:col w:w="10060"/>
          </w:cols>
          <w:pgMar w:left="320" w:top="1373" w:right="37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7" w:lineRule="exact"/>
        <w:rPr>
          <w:sz w:val="20"/>
          <w:szCs w:val="20"/>
          <w:color w:val="auto"/>
        </w:rPr>
      </w:pPr>
    </w:p>
    <w:p>
      <w:pPr>
        <w:ind w:left="80" w:right="220" w:hanging="72"/>
        <w:spacing w:after="0" w:line="259" w:lineRule="auto"/>
        <w:tabs>
          <w:tab w:leader="none" w:pos="10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ind w:left="80" w:hanging="80"/>
        <w:spacing w:after="0" w:line="283" w:lineRule="auto"/>
        <w:rPr>
          <w:sz w:val="20"/>
          <w:szCs w:val="20"/>
          <w:color w:val="auto"/>
        </w:rPr>
      </w:pPr>
      <w:r>
        <w:rPr>
          <w:rFonts w:ascii="Times New Roman" w:cs="Times New Roman" w:eastAsia="Times New Roman" w:hAnsi="Times New Roman"/>
          <w:sz w:val="14"/>
          <w:szCs w:val="14"/>
          <w:color w:val="auto"/>
        </w:rPr>
        <w:t>**Schedules and exhibits to this Exhibit omitted pursuant to Regulation S-K Item 601(a)(5) and (b)(10). The Company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type w:val="continuous"/>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Root, Inc.</w:t>
      </w:r>
    </w:p>
    <w:p>
      <w:pPr>
        <w:sectPr>
          <w:pgSz w:w="11900" w:h="16838" w:orient="portrait"/>
          <w:cols w:equalWidth="0" w:num="1">
            <w:col w:w="11200"/>
          </w:cols>
          <w:pgMar w:left="320" w:top="1332" w:right="379" w:bottom="1440" w:gutter="0" w:footer="0" w:header="0"/>
        </w:sectPr>
      </w:pPr>
    </w:p>
    <w:p>
      <w:pPr>
        <w:spacing w:after="0" w:line="320"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40290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40887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Forish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40887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Forish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300" w:space="520"/>
            <w:col w:w="6380"/>
          </w:cols>
          <w:pgMar w:left="320" w:top="133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1332" w:right="379"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 PURCHASE WARRANT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ROOT, INC.</w:t>
      </w:r>
    </w:p>
    <w:p>
      <w:pPr>
        <w:spacing w:after="0" w:line="20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AMENDMENT NO. 1 TO COMMON STOCK PURCHASE WARRANT OF ROOT,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dated as of October 29, 2024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executed on behalf of the Company and the Holder (as identified on the signature pages hereto) pursuant to Section 6(p) of the Warrant (as defined below). Capitalized terms used and not otherwise defined herein have the meanings set forth in the Warrant (as defined below).</w:t>
      </w: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the Holder have entered into that certain Common Stock Purchase Warrant of Root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dated as of January 26, 2022 (as amended, amended and restated, modified or otherwise supplemented, the “</w:t>
      </w:r>
      <w:r>
        <w:rPr>
          <w:rFonts w:ascii="Times New Roman" w:cs="Times New Roman" w:eastAsia="Times New Roman" w:hAnsi="Times New Roman"/>
          <w:sz w:val="21"/>
          <w:szCs w:val="21"/>
          <w:b w:val="1"/>
          <w:bCs w:val="1"/>
          <w:i w:val="1"/>
          <w:iCs w:val="1"/>
          <w:color w:val="auto"/>
        </w:rPr>
        <w:t>Warrant</w:t>
      </w:r>
      <w:r>
        <w:rPr>
          <w:rFonts w:ascii="Times New Roman" w:cs="Times New Roman" w:eastAsia="Times New Roman" w:hAnsi="Times New Roman"/>
          <w:sz w:val="21"/>
          <w:szCs w:val="21"/>
          <w:color w:val="auto"/>
        </w:rPr>
        <w:t>”); and</w:t>
      </w:r>
    </w:p>
    <w:p>
      <w:pPr>
        <w:spacing w:after="0" w:line="15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6(p) of the Warrant, the Warrant may be amended upon the written consent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the Holder.</w:t>
      </w:r>
    </w:p>
    <w:p>
      <w:pPr>
        <w:spacing w:after="0" w:line="17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undersigned hereby agree as follows:</w:t>
      </w:r>
    </w:p>
    <w:p>
      <w:pPr>
        <w:spacing w:after="0" w:line="17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660" w:hanging="328"/>
        <w:spacing w:after="0" w:line="236" w:lineRule="auto"/>
        <w:tabs>
          <w:tab w:leader="none" w:pos="65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paragraph immediately after the phrase “Issuance Date: January 26, 2022” and immediately before Section 1 of the Warrant, the phrase “until the later to occur of (i) 5:00 p.m. (New York City time) on the fifth (5th) anniversary of the Issuance Date and (ii) the date on which all obligations under the Credit Agreement are repaid in full in cash and all commitments terminated thereunder, unless earlier terminated as provided herein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is hereby deleted and replaced with the following phrase: “until 5:00 p.m. (New York City time) on January 26, 2027, unless earlier terminated as provided herein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6(k) of the Warrant is amended and restated in its entirety as follows:</w:t>
      </w:r>
    </w:p>
    <w:p>
      <w:pPr>
        <w:spacing w:after="0" w:line="233" w:lineRule="exact"/>
        <w:rPr>
          <w:sz w:val="20"/>
          <w:szCs w:val="20"/>
          <w:color w:val="auto"/>
        </w:rPr>
      </w:pPr>
    </w:p>
    <w:p>
      <w:pPr>
        <w:jc w:val="both"/>
        <w:ind w:firstLine="194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The Company and the Holders intend to treat the Amendment as not resulting in a deemed exchange of the Warrants, and the Company and the Holders agree to report the amendment to this Warrant dated as of October 29, 2024, as such to the extent permitted to do so and this position is not challenged.”</w:t>
      </w:r>
    </w:p>
    <w:p>
      <w:pPr>
        <w:spacing w:after="0" w:line="183" w:lineRule="exact"/>
        <w:rPr>
          <w:sz w:val="20"/>
          <w:szCs w:val="20"/>
          <w:color w:val="auto"/>
        </w:rPr>
      </w:pPr>
    </w:p>
    <w:p>
      <w:pPr>
        <w:jc w:val="both"/>
        <w:ind w:left="660" w:hanging="328"/>
        <w:spacing w:after="0" w:line="24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Limited Effect</w:t>
      </w:r>
      <w:r>
        <w:rPr>
          <w:rFonts w:ascii="Times New Roman" w:cs="Times New Roman" w:eastAsia="Times New Roman" w:hAnsi="Times New Roman"/>
          <w:sz w:val="22"/>
          <w:szCs w:val="22"/>
          <w:color w:val="auto"/>
        </w:rPr>
        <w:t>. Except as amended hereby, the Warrant shall continue in full force and effect in accordance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Upon the execution hereof, no reference to this Amendment need be made in the Warrant or any other instrument or document executed in connection herewith or therewith, or in any certificate, letter or communication issued or made pursuant to, or with respect to, the Warrant or this Amendment, with any</w:t>
      </w:r>
    </w:p>
    <w:p>
      <w:pPr>
        <w:sectPr>
          <w:pgSz w:w="11900" w:h="16838" w:orient="portrait"/>
          <w:cols w:equalWidth="0" w:num="1">
            <w:col w:w="11240"/>
          </w:cols>
          <w:pgMar w:left="320" w:top="1404" w:right="339" w:bottom="1440" w:gutter="0" w:footer="0" w:header="0"/>
        </w:sectPr>
      </w:pPr>
    </w:p>
    <w:bookmarkStart w:id="55" w:name="page56"/>
    <w:bookmarkEnd w:id="55"/>
    <w:p>
      <w:pPr>
        <w:ind w:left="328"/>
        <w:spacing w:after="0"/>
        <w:rPr>
          <w:sz w:val="20"/>
          <w:szCs w:val="20"/>
          <w:color w:val="auto"/>
        </w:rPr>
      </w:pPr>
      <w:r>
        <w:rPr>
          <w:rFonts w:ascii="Times New Roman" w:cs="Times New Roman" w:eastAsia="Times New Roman" w:hAnsi="Times New Roman"/>
          <w:sz w:val="22"/>
          <w:szCs w:val="22"/>
          <w:color w:val="auto"/>
        </w:rPr>
        <w:t>reference to the Warrant in any of such items being sufficient to refer to the Warrant as amended hereby.</w:t>
      </w:r>
    </w:p>
    <w:p>
      <w:pPr>
        <w:spacing w:after="0" w:line="229" w:lineRule="exact"/>
        <w:rPr>
          <w:sz w:val="20"/>
          <w:szCs w:val="20"/>
          <w:color w:val="auto"/>
        </w:rPr>
      </w:pPr>
    </w:p>
    <w:p>
      <w:pPr>
        <w:jc w:val="both"/>
        <w:ind w:left="328" w:hanging="328"/>
        <w:spacing w:after="0" w:line="241" w:lineRule="auto"/>
        <w:tabs>
          <w:tab w:leader="none" w:pos="32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Amendment, the Warrant and those documents expressly referred to herein and therein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documents entered into in connection herewith or therewith set forth the entire agreement among the parties hereto and thereto with respect to the subject matter hereof and thereof, and supersede any prior understandings or agreements among the parties hereto and thereto, written or oral, with respect to the subject matter hereof and thereof.</w:t>
      </w:r>
    </w:p>
    <w:p>
      <w:pPr>
        <w:spacing w:after="0" w:line="198" w:lineRule="exact"/>
        <w:rPr>
          <w:rFonts w:ascii="Times New Roman" w:cs="Times New Roman" w:eastAsia="Times New Roman" w:hAnsi="Times New Roman"/>
          <w:sz w:val="20"/>
          <w:szCs w:val="20"/>
          <w:color w:val="auto"/>
        </w:rPr>
      </w:pPr>
    </w:p>
    <w:p>
      <w:pPr>
        <w:jc w:val="both"/>
        <w:ind w:left="328" w:hanging="328"/>
        <w:spacing w:after="0"/>
        <w:tabs>
          <w:tab w:leader="none" w:pos="32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Incorporation by Reference</w:t>
      </w:r>
      <w:r>
        <w:rPr>
          <w:rFonts w:ascii="Times New Roman" w:cs="Times New Roman" w:eastAsia="Times New Roman" w:hAnsi="Times New Roman"/>
          <w:sz w:val="22"/>
          <w:szCs w:val="22"/>
          <w:color w:val="auto"/>
        </w:rPr>
        <w:t>. The provisions of Section 6(h), Section 6(l) and Sections (o) through (r) of the Warrant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incorporated herein by reference and shall apply to the terms and provisions of this Amendment and the parties hereto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5668"/>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0908"/>
          </w:cols>
          <w:pgMar w:left="652" w:top="14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have executed this Amendment as of the date first written above.</w:t>
      </w:r>
    </w:p>
    <w:p>
      <w:pPr>
        <w:sectPr>
          <w:pgSz w:w="11900" w:h="16838" w:orient="portrait"/>
          <w:cols w:equalWidth="0" w:num="1">
            <w:col w:w="9600"/>
          </w:cols>
          <w:pgMar w:left="980" w:top="1404" w:right="131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242423"/>
        </w:rPr>
        <w:t>COMPANY</w:t>
      </w:r>
      <w:r>
        <w:rPr>
          <w:rFonts w:ascii="Times New Roman" w:cs="Times New Roman" w:eastAsia="Times New Roman" w:hAnsi="Times New Roman"/>
          <w:sz w:val="22"/>
          <w:szCs w:val="22"/>
          <w:b w:val="1"/>
          <w:bCs w:val="1"/>
          <w:color w:val="242423"/>
        </w:rPr>
        <w:t>:</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242423"/>
        </w:rPr>
        <w:t>ROOT,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242423"/>
        </w:rPr>
        <w:t>By: ______________________________</w:t>
      </w:r>
    </w:p>
    <w:p>
      <w:pPr>
        <w:spacing w:after="0" w:line="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242423"/>
        </w:rPr>
        <w:t>Name: Megan Binkley</w:t>
      </w:r>
    </w:p>
    <w:p>
      <w:pPr>
        <w:ind w:left="3240"/>
        <w:spacing w:after="0"/>
        <w:rPr>
          <w:sz w:val="20"/>
          <w:szCs w:val="20"/>
          <w:color w:val="auto"/>
        </w:rPr>
      </w:pPr>
      <w:r>
        <w:rPr>
          <w:rFonts w:ascii="Times New Roman" w:cs="Times New Roman" w:eastAsia="Times New Roman" w:hAnsi="Times New Roman"/>
          <w:sz w:val="22"/>
          <w:szCs w:val="22"/>
          <w:color w:val="242423"/>
        </w:rPr>
        <w:t>Title: Chief Financial Officer</w:t>
      </w:r>
    </w:p>
    <w:p>
      <w:pPr>
        <w:sectPr>
          <w:pgSz w:w="11900" w:h="16838" w:orient="portrait"/>
          <w:cols w:equalWidth="0" w:num="1">
            <w:col w:w="9600"/>
          </w:cols>
          <w:pgMar w:left="980" w:top="1404" w:right="1319" w:bottom="1440" w:gutter="0" w:footer="0" w:header="0"/>
          <w:type w:val="continuous"/>
        </w:sectPr>
      </w:pPr>
    </w:p>
    <w:bookmarkStart w:id="57" w:name="page58"/>
    <w:bookmarkEnd w:id="57"/>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242423"/>
        </w:rPr>
        <w:t>HOLDER</w:t>
      </w:r>
      <w:r>
        <w:rPr>
          <w:rFonts w:ascii="Times New Roman" w:cs="Times New Roman" w:eastAsia="Times New Roman" w:hAnsi="Times New Roman"/>
          <w:sz w:val="22"/>
          <w:szCs w:val="22"/>
          <w:b w:val="1"/>
          <w:bCs w:val="1"/>
          <w:color w:val="242423"/>
        </w:rPr>
        <w:t>:</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242423"/>
        </w:rPr>
        <w:t>[HOLDER]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242423"/>
        </w:rPr>
        <w:t>By: ______________________________</w:t>
      </w:r>
    </w:p>
    <w:p>
      <w:pPr>
        <w:spacing w:after="0" w:line="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242423"/>
        </w:rPr>
        <w:t>Name:</w:t>
      </w:r>
    </w:p>
    <w:p>
      <w:pPr>
        <w:ind w:left="2780"/>
        <w:spacing w:after="0"/>
        <w:rPr>
          <w:sz w:val="20"/>
          <w:szCs w:val="20"/>
          <w:color w:val="auto"/>
        </w:rPr>
      </w:pPr>
      <w:r>
        <w:rPr>
          <w:rFonts w:ascii="Times New Roman" w:cs="Times New Roman" w:eastAsia="Times New Roman" w:hAnsi="Times New Roman"/>
          <w:sz w:val="22"/>
          <w:szCs w:val="22"/>
          <w:color w:val="242423"/>
        </w:rPr>
        <w:t>Title:</w:t>
      </w:r>
    </w:p>
    <w:p>
      <w:pPr>
        <w:sectPr>
          <w:pgSz w:w="11900" w:h="16838" w:orient="portrait"/>
          <w:cols w:equalWidth="0" w:num="1">
            <w:col w:w="9019"/>
          </w:cols>
          <w:pgMar w:left="1440" w:top="1404" w:right="1440" w:bottom="1440" w:gutter="0" w:footer="0" w:header="0"/>
        </w:sectPr>
      </w:pPr>
    </w:p>
    <w:bookmarkStart w:id="58" w:name="page59"/>
    <w:bookmarkEnd w:id="58"/>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Executed Version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LOAN CREDIT AGREEMENT</w:t>
      </w:r>
    </w:p>
    <w:p>
      <w:pPr>
        <w:spacing w:after="0" w:line="22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This FIRST AMENDMENT (this "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September 17, 2024 is made by and among CARET HOLDINGS,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other Loan Parties party hereto, the Lenders party hereto (the "</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and Acquiom Agency Services LLC,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PRELIMINARY STATEMENTS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reference is made to that certain Term Loan Agreement, dated as of January 26, 2022 (as amended, restated, amended and restated, supplemented or otherwise modified prior to the date hereof,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and as amended by this Amendment,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the Borrower, the other Loan Parties from time to time party thereto, the Lenders from time to time party thereto and the Administrative Agent;</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in connection with the proposed formation of one of more Insurance Subsidiaries, the Borrower has requested that the Lenders amend certain terms of the Existing Credit Agreement;</w:t>
      </w:r>
    </w:p>
    <w:p>
      <w:pPr>
        <w:spacing w:after="0" w:line="10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WHEREAS, subject to the terms and conditions set forth in this Amendment, the parties hereto have agreed to amend the Existing Credit Agreement as more fully set forth herein.</w:t>
      </w:r>
    </w:p>
    <w:p>
      <w:pPr>
        <w:spacing w:after="0" w:line="1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agreements, provisions and covenants herein contained, the parties hereto agree as follows:</w:t>
      </w:r>
    </w:p>
    <w:p>
      <w:pPr>
        <w:spacing w:after="0" w:line="104" w:lineRule="exact"/>
        <w:rPr>
          <w:sz w:val="20"/>
          <w:szCs w:val="20"/>
          <w:color w:val="auto"/>
        </w:rPr>
      </w:pPr>
    </w:p>
    <w:p>
      <w:pPr>
        <w:jc w:val="both"/>
        <w:ind w:left="660" w:right="20" w:hanging="328"/>
        <w:spacing w:after="0" w:line="239"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Unless otherwise specifically defined herein, each capitalized term used herein has the meaning assigned to such term in the Existing Credit Agreement. The rules of construction and other interpretive provisions specified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of the Existing Credit Agreement shall apply to this Amendment, including terms defined in the preamble and recitals hereto.</w:t>
      </w:r>
    </w:p>
    <w:p>
      <w:pPr>
        <w:spacing w:after="0" w:line="112"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Subject to the satisfaction of the conditions to effectiveness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below, the Existing Credit Agreement is amended as follows:</w:t>
      </w:r>
    </w:p>
    <w:p>
      <w:pPr>
        <w:spacing w:after="0" w:line="100" w:lineRule="exact"/>
        <w:rPr>
          <w:sz w:val="20"/>
          <w:szCs w:val="20"/>
          <w:color w:val="auto"/>
        </w:rPr>
      </w:pPr>
    </w:p>
    <w:p>
      <w:pPr>
        <w:ind w:left="660" w:hanging="328"/>
        <w:spacing w:after="0" w:line="262" w:lineRule="auto"/>
        <w:tabs>
          <w:tab w:leader="none" w:pos="65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definition of "Permitted Investments" appearing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Existing Credit Agreement is hereby amended by amending and restating clause (vi) thereof in its entirety to read as follows:</w:t>
      </w:r>
    </w:p>
    <w:p>
      <w:pPr>
        <w:spacing w:after="0" w:line="100" w:lineRule="exact"/>
        <w:rPr>
          <w:sz w:val="20"/>
          <w:szCs w:val="20"/>
          <w:color w:val="auto"/>
        </w:rPr>
      </w:pPr>
    </w:p>
    <w:p>
      <w:pPr>
        <w:jc w:val="both"/>
        <w:ind w:left="1960"/>
        <w:spacing w:after="0" w:line="244" w:lineRule="auto"/>
        <w:rPr>
          <w:sz w:val="20"/>
          <w:szCs w:val="20"/>
          <w:color w:val="auto"/>
        </w:rPr>
      </w:pPr>
      <w:r>
        <w:rPr>
          <w:rFonts w:ascii="Times New Roman" w:cs="Times New Roman" w:eastAsia="Times New Roman" w:hAnsi="Times New Roman"/>
          <w:sz w:val="22"/>
          <w:szCs w:val="22"/>
          <w:color w:val="auto"/>
        </w:rPr>
        <w:t>"(vi) Investments of any of RIC, RRC, RPC or any other U.S. Insurance Subsidiary, as applicable, in each case, in the ordinary course of business, and consistent with the investment policy approved by the Board of Directors of Holdings, the Borrower or their respective Subsidiaries, as applicable;"</w:t>
      </w:r>
    </w:p>
    <w:p>
      <w:pPr>
        <w:sectPr>
          <w:pgSz w:w="11900" w:h="16838" w:orient="portrait"/>
          <w:cols w:equalWidth="0" w:num="1">
            <w:col w:w="11240"/>
          </w:cols>
          <w:pgMar w:left="320" w:top="1440" w:right="339" w:bottom="1440" w:gutter="0" w:footer="0" w:header="0"/>
        </w:sectPr>
      </w:pPr>
    </w:p>
    <w:bookmarkStart w:id="59" w:name="page60"/>
    <w:bookmarkEnd w:id="59"/>
    <w:p>
      <w:pPr>
        <w:ind w:left="328" w:hanging="328"/>
        <w:spacing w:after="0" w:line="262" w:lineRule="auto"/>
        <w:tabs>
          <w:tab w:leader="none" w:pos="32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definition of "Regulated Subsidiary Equity" appearing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Existing Credit Agreement is hereby amended and restated in its entirety to read as follows:</w:t>
      </w:r>
    </w:p>
    <w:p>
      <w:pPr>
        <w:spacing w:after="0" w:line="100" w:lineRule="exact"/>
        <w:rPr>
          <w:sz w:val="20"/>
          <w:szCs w:val="20"/>
          <w:color w:val="auto"/>
        </w:rPr>
      </w:pPr>
    </w:p>
    <w:p>
      <w:pPr>
        <w:jc w:val="both"/>
        <w:ind w:left="162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Regulated Subsidiary Equity</w:t>
      </w:r>
      <w:r>
        <w:rPr>
          <w:rFonts w:ascii="Times New Roman" w:cs="Times New Roman" w:eastAsia="Times New Roman" w:hAnsi="Times New Roman"/>
          <w:sz w:val="22"/>
          <w:szCs w:val="22"/>
          <w:color w:val="auto"/>
        </w:rPr>
        <w:t>” shall mean, as of any date of determination, the total equity reflected on the balance sheet of the Insurance Subsidiaries prepared in accordance with GAAP. For the avoidance of doubt, the equity of any Insurance Subsidiary that is wholly owned by another Insurance Subsidiary shall not be double-counted in determining the Regulated Subsidiary Equity."</w:t>
      </w:r>
    </w:p>
    <w:p>
      <w:pPr>
        <w:spacing w:after="0" w:line="109" w:lineRule="exact"/>
        <w:rPr>
          <w:sz w:val="20"/>
          <w:szCs w:val="20"/>
          <w:color w:val="auto"/>
        </w:rPr>
      </w:pPr>
    </w:p>
    <w:p>
      <w:pPr>
        <w:ind w:left="328" w:hanging="328"/>
        <w:spacing w:after="0" w:line="262" w:lineRule="auto"/>
        <w:tabs>
          <w:tab w:leader="none" w:pos="32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(j) in Section 5.1 (</w:t>
      </w:r>
      <w:r>
        <w:rPr>
          <w:rFonts w:ascii="Times New Roman" w:cs="Times New Roman" w:eastAsia="Times New Roman" w:hAnsi="Times New Roman"/>
          <w:sz w:val="22"/>
          <w:szCs w:val="22"/>
          <w:i w:val="1"/>
          <w:iCs w:val="1"/>
          <w:color w:val="auto"/>
        </w:rPr>
        <w:t>Financial Statements and Other Information</w:t>
      </w:r>
      <w:r>
        <w:rPr>
          <w:rFonts w:ascii="Times New Roman" w:cs="Times New Roman" w:eastAsia="Times New Roman" w:hAnsi="Times New Roman"/>
          <w:sz w:val="22"/>
          <w:szCs w:val="22"/>
          <w:color w:val="auto"/>
        </w:rPr>
        <w:t>) of the Existing Credit Agreement is hereby amended and restated in its entirety to read as follows:</w:t>
      </w:r>
    </w:p>
    <w:p>
      <w:pPr>
        <w:spacing w:after="0" w:line="100" w:lineRule="exact"/>
        <w:rPr>
          <w:sz w:val="20"/>
          <w:szCs w:val="20"/>
          <w:color w:val="auto"/>
        </w:rPr>
      </w:pPr>
    </w:p>
    <w:p>
      <w:pPr>
        <w:jc w:val="both"/>
        <w:ind w:left="1628"/>
        <w:spacing w:after="0" w:line="244" w:lineRule="auto"/>
        <w:rPr>
          <w:sz w:val="20"/>
          <w:szCs w:val="20"/>
          <w:color w:val="auto"/>
        </w:rPr>
      </w:pPr>
      <w:r>
        <w:rPr>
          <w:rFonts w:ascii="Times New Roman" w:cs="Times New Roman" w:eastAsia="Times New Roman" w:hAnsi="Times New Roman"/>
          <w:sz w:val="22"/>
          <w:szCs w:val="22"/>
          <w:color w:val="auto"/>
        </w:rPr>
        <w:t xml:space="preserve">"(j) as soon as available, and in any event within 45 days after request by any Lender, a completed BlackRock ESG Questionnaire;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request may be made electronically through the "eFront" platform upon the implementation thereof; and"</w:t>
      </w:r>
    </w:p>
    <w:p>
      <w:pPr>
        <w:spacing w:after="0" w:line="115" w:lineRule="exact"/>
        <w:rPr>
          <w:sz w:val="20"/>
          <w:szCs w:val="20"/>
          <w:color w:val="auto"/>
        </w:rPr>
      </w:pPr>
    </w:p>
    <w:p>
      <w:pPr>
        <w:ind w:left="328" w:hanging="328"/>
        <w:spacing w:after="0" w:line="262" w:lineRule="auto"/>
        <w:tabs>
          <w:tab w:leader="none" w:pos="32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(g) in Section 7.4 (</w:t>
      </w:r>
      <w:r>
        <w:rPr>
          <w:rFonts w:ascii="Times New Roman" w:cs="Times New Roman" w:eastAsia="Times New Roman" w:hAnsi="Times New Roman"/>
          <w:sz w:val="22"/>
          <w:szCs w:val="22"/>
          <w:i w:val="1"/>
          <w:iCs w:val="1"/>
          <w:color w:val="auto"/>
        </w:rPr>
        <w:t>Investments, Loans</w:t>
      </w:r>
      <w:r>
        <w:rPr>
          <w:rFonts w:ascii="Times New Roman" w:cs="Times New Roman" w:eastAsia="Times New Roman" w:hAnsi="Times New Roman"/>
          <w:sz w:val="22"/>
          <w:szCs w:val="22"/>
          <w:color w:val="auto"/>
        </w:rPr>
        <w:t>) of the Existing Credit Agreement is hereby amended and restated in its entirety to read as follows:</w:t>
      </w:r>
    </w:p>
    <w:p>
      <w:pPr>
        <w:spacing w:after="0" w:line="100" w:lineRule="exact"/>
        <w:rPr>
          <w:sz w:val="20"/>
          <w:szCs w:val="20"/>
          <w:color w:val="auto"/>
        </w:rPr>
      </w:pPr>
    </w:p>
    <w:p>
      <w:pPr>
        <w:jc w:val="both"/>
        <w:ind w:left="1628"/>
        <w:spacing w:after="0" w:line="234" w:lineRule="auto"/>
        <w:rPr>
          <w:sz w:val="20"/>
          <w:szCs w:val="20"/>
          <w:color w:val="auto"/>
        </w:rPr>
      </w:pPr>
      <w:r>
        <w:rPr>
          <w:rFonts w:ascii="Times New Roman" w:cs="Times New Roman" w:eastAsia="Times New Roman" w:hAnsi="Times New Roman"/>
          <w:sz w:val="22"/>
          <w:szCs w:val="22"/>
          <w:color w:val="auto"/>
        </w:rPr>
        <w:t xml:space="preserve">"(g) other Investments made by any Loan Party or any U.S. Insurance Subsidiary in any U.S. Insurance Subsidiary so long as (i) no Default or Event of Default has occurred and is continuing or would result therefrom and (ii) the Borrower is in pro forma compliance with each of the financial covenants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at the time of, and immediately after giving effect to, such Investment, in each case, calculated on a pro forma basis as of the most recently ended Fiscal Month-end, in the case of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and Fiscal Quarter-end, in the case of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as applicable ;"</w:t>
      </w:r>
    </w:p>
    <w:p>
      <w:pPr>
        <w:spacing w:after="0" w:line="123" w:lineRule="exact"/>
        <w:rPr>
          <w:sz w:val="20"/>
          <w:szCs w:val="20"/>
          <w:color w:val="auto"/>
        </w:rPr>
      </w:pPr>
    </w:p>
    <w:p>
      <w:pPr>
        <w:ind w:left="328" w:right="20" w:hanging="328"/>
        <w:spacing w:after="0" w:line="262" w:lineRule="auto"/>
        <w:tabs>
          <w:tab w:leader="none" w:pos="32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7.2 (</w:t>
      </w:r>
      <w:r>
        <w:rPr>
          <w:rFonts w:ascii="Times New Roman" w:cs="Times New Roman" w:eastAsia="Times New Roman" w:hAnsi="Times New Roman"/>
          <w:sz w:val="22"/>
          <w:szCs w:val="22"/>
          <w:i w:val="1"/>
          <w:iCs w:val="1"/>
          <w:color w:val="auto"/>
        </w:rPr>
        <w:t>Liens</w:t>
      </w:r>
      <w:r>
        <w:rPr>
          <w:rFonts w:ascii="Times New Roman" w:cs="Times New Roman" w:eastAsia="Times New Roman" w:hAnsi="Times New Roman"/>
          <w:sz w:val="22"/>
          <w:szCs w:val="22"/>
          <w:color w:val="auto"/>
        </w:rPr>
        <w:t>) of the Existing Credit Agreement is hereby amended by adding the following new paragraph immediately after clause (j) thereof:</w:t>
      </w:r>
    </w:p>
    <w:p>
      <w:pPr>
        <w:spacing w:after="0" w:line="100" w:lineRule="exact"/>
        <w:rPr>
          <w:sz w:val="20"/>
          <w:szCs w:val="20"/>
          <w:color w:val="auto"/>
        </w:rPr>
      </w:pPr>
    </w:p>
    <w:p>
      <w:pPr>
        <w:jc w:val="both"/>
        <w:ind w:left="1628"/>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herein, each Insurance Subsidiary agrees that it shall not, and each of Holdings and the Borrower shall not permit any Insurance Subsidiary to, create, incur, assume or suffer to exist any Lien that supports debt for borrowed money on any of its or their assets or property now owned or hereafter acquired, to any person, except to the Administrative Agent for the benefit of the Secured Parties."</w:t>
      </w:r>
    </w:p>
    <w:p>
      <w:pPr>
        <w:spacing w:after="0" w:line="119" w:lineRule="exact"/>
        <w:rPr>
          <w:sz w:val="20"/>
          <w:szCs w:val="20"/>
          <w:color w:val="auto"/>
        </w:rPr>
      </w:pPr>
    </w:p>
    <w:p>
      <w:pPr>
        <w:ind w:left="328" w:hanging="328"/>
        <w:spacing w:after="0" w:line="249" w:lineRule="auto"/>
        <w:tabs>
          <w:tab w:leader="none" w:pos="3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(a)(i) in Section 10.1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of the Existing Credit Agreement is hereby amended and restated in its entirety to read as follows:</w:t>
      </w:r>
    </w:p>
    <w:p>
      <w:pPr>
        <w:spacing w:after="0" w:line="114"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Written Notices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2428" w:hanging="322"/>
        <w:spacing w:after="0" w:line="258" w:lineRule="auto"/>
        <w:tabs>
          <w:tab w:leader="none" w:pos="24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all notices and other communications to any party herein to be effective shall be</w:t>
      </w:r>
    </w:p>
    <w:p>
      <w:pPr>
        <w:sectPr>
          <w:pgSz w:w="11900" w:h="16838" w:orient="portrait"/>
          <w:cols w:equalWidth="0" w:num="1">
            <w:col w:w="10908"/>
          </w:cols>
          <w:pgMar w:left="652" w:top="1404" w:right="339" w:bottom="1440" w:gutter="0" w:footer="0" w:header="0"/>
        </w:sectPr>
      </w:pPr>
    </w:p>
    <w:bookmarkStart w:id="60" w:name="page61"/>
    <w:bookmarkEnd w:id="60"/>
    <w:p>
      <w:pPr>
        <w:ind w:left="2760" w:right="40"/>
        <w:spacing w:after="0" w:line="258" w:lineRule="auto"/>
        <w:rPr>
          <w:sz w:val="20"/>
          <w:szCs w:val="20"/>
          <w:color w:val="auto"/>
        </w:rPr>
      </w:pPr>
      <w:r>
        <w:rPr>
          <w:rFonts w:ascii="Times New Roman" w:cs="Times New Roman" w:eastAsia="Times New Roman" w:hAnsi="Times New Roman"/>
          <w:sz w:val="22"/>
          <w:szCs w:val="22"/>
          <w:color w:val="auto"/>
        </w:rPr>
        <w:t>in writing and shall be delivered by hand or overnight courier service, mailed by certified or registered mail or sent by facsimile or electronic mail, as follows: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 the Borrower:</w:t>
            </w:r>
          </w:p>
        </w:tc>
        <w:tc>
          <w:tcPr>
            <w:tcW w:w="7700" w:type="dxa"/>
            <w:vAlign w:val="bottom"/>
            <w:tcBorders>
              <w:top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Caret Holdings, Inc.</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80 E. Rich Street, Suite 500</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Columbus, OH 43215</w:t>
            </w:r>
          </w:p>
        </w:tc>
      </w:tr>
      <w:tr>
        <w:trPr>
          <w:trHeight w:val="229"/>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29" w:lineRule="exact"/>
              <w:rPr>
                <w:sz w:val="20"/>
                <w:szCs w:val="20"/>
                <w:color w:val="auto"/>
              </w:rPr>
            </w:pPr>
            <w:r>
              <w:rPr>
                <w:rFonts w:ascii="Times New Roman" w:cs="Times New Roman" w:eastAsia="Times New Roman" w:hAnsi="Times New Roman"/>
                <w:sz w:val="22"/>
                <w:szCs w:val="22"/>
                <w:color w:val="auto"/>
              </w:rPr>
              <w:t>Attention: Megan Binkley, Chief Financial Officer</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2"/>
                <w:szCs w:val="22"/>
                <w:color w:val="auto"/>
              </w:rPr>
              <w:t>Email: megan.binkley@joinroot.com</w:t>
            </w:r>
          </w:p>
        </w:tc>
      </w:tr>
      <w:tr>
        <w:trPr>
          <w:trHeight w:val="61"/>
        </w:trPr>
        <w:tc>
          <w:tcPr>
            <w:tcW w:w="3560" w:type="dxa"/>
            <w:vAlign w:val="bottom"/>
            <w:tcBorders>
              <w:left w:val="single" w:sz="8" w:color="auto"/>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32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180" w:type="dxa"/>
            <w:vAlign w:val="bottom"/>
            <w:tcBorders>
              <w:bottom w:val="single" w:sz="8" w:color="auto"/>
              <w:right w:val="single" w:sz="8" w:color="auto"/>
            </w:tcBorders>
          </w:tcPr>
          <w:p>
            <w:pPr>
              <w:spacing w:after="0"/>
              <w:rPr>
                <w:sz w:val="5"/>
                <w:szCs w:val="5"/>
                <w:color w:val="auto"/>
              </w:rPr>
            </w:pPr>
          </w:p>
        </w:tc>
      </w:tr>
      <w:tr>
        <w:trPr>
          <w:trHeight w:val="236"/>
        </w:trPr>
        <w:tc>
          <w:tcPr>
            <w:tcW w:w="3560" w:type="dxa"/>
            <w:vAlign w:val="bottom"/>
            <w:tcBorders>
              <w:left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22"/>
                <w:szCs w:val="22"/>
                <w:color w:val="auto"/>
              </w:rPr>
              <w:t>With copies to (for information</w:t>
            </w:r>
          </w:p>
        </w:tc>
        <w:tc>
          <w:tcPr>
            <w:tcW w:w="7700" w:type="dxa"/>
            <w:vAlign w:val="bottom"/>
            <w:tcBorders>
              <w:right w:val="single" w:sz="8" w:color="auto"/>
            </w:tcBorders>
            <w:gridSpan w:val="8"/>
          </w:tcPr>
          <w:p>
            <w:pPr>
              <w:spacing w:after="0" w:line="236" w:lineRule="exact"/>
              <w:rPr>
                <w:sz w:val="20"/>
                <w:szCs w:val="20"/>
                <w:color w:val="auto"/>
              </w:rPr>
            </w:pPr>
            <w:r>
              <w:rPr>
                <w:rFonts w:ascii="Times New Roman" w:cs="Times New Roman" w:eastAsia="Times New Roman" w:hAnsi="Times New Roman"/>
                <w:sz w:val="22"/>
                <w:szCs w:val="22"/>
                <w:color w:val="auto"/>
              </w:rPr>
              <w:t>Kirkland &amp; Ellis LLP</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purposes only):</w:t>
            </w: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333 South Hope Street, 29th Floor</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Los Angeles, CA 90071</w:t>
            </w:r>
          </w:p>
        </w:tc>
      </w:tr>
      <w:tr>
        <w:trPr>
          <w:trHeight w:val="229"/>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29" w:lineRule="exact"/>
              <w:rPr>
                <w:sz w:val="20"/>
                <w:szCs w:val="20"/>
                <w:color w:val="auto"/>
              </w:rPr>
            </w:pPr>
            <w:r>
              <w:rPr>
                <w:rFonts w:ascii="Times New Roman" w:cs="Times New Roman" w:eastAsia="Times New Roman" w:hAnsi="Times New Roman"/>
                <w:sz w:val="22"/>
                <w:szCs w:val="22"/>
                <w:color w:val="auto"/>
              </w:rPr>
              <w:t>Attention: David M. Nemecek, P.C.</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2"/>
                <w:szCs w:val="22"/>
                <w:color w:val="auto"/>
              </w:rPr>
              <w:t>Email: david.nemecek@kirkland.com</w:t>
            </w:r>
          </w:p>
        </w:tc>
      </w:tr>
      <w:tr>
        <w:trPr>
          <w:trHeight w:val="518"/>
        </w:trPr>
        <w:tc>
          <w:tcPr>
            <w:tcW w:w="3560" w:type="dxa"/>
            <w:vAlign w:val="bottom"/>
            <w:tcBorders>
              <w:left w:val="single" w:sz="8" w:color="auto"/>
              <w:right w:val="single" w:sz="8" w:color="auto"/>
            </w:tcBorders>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w:t>
            </w:r>
          </w:p>
        </w:tc>
        <w:tc>
          <w:tcPr>
            <w:tcW w:w="2640" w:type="dxa"/>
            <w:vAlign w:val="bottom"/>
            <w:tcBorders>
              <w:top w:val="single" w:sz="8" w:color="auto"/>
            </w:tcBorders>
            <w:gridSpan w:val="4"/>
          </w:tcPr>
          <w:p>
            <w:pPr>
              <w:spacing w:after="0"/>
              <w:rPr>
                <w:sz w:val="24"/>
                <w:szCs w:val="24"/>
                <w:color w:val="auto"/>
              </w:rPr>
            </w:pPr>
          </w:p>
        </w:tc>
        <w:tc>
          <w:tcPr>
            <w:tcW w:w="4420" w:type="dxa"/>
            <w:vAlign w:val="bottom"/>
            <w:tcBorders>
              <w:right w:val="single" w:sz="8" w:color="auto"/>
            </w:tcBorders>
            <w:gridSpan w:val="2"/>
          </w:tcPr>
          <w:p>
            <w:pPr>
              <w:spacing w:after="0"/>
              <w:rPr>
                <w:sz w:val="24"/>
                <w:szCs w:val="24"/>
                <w:color w:val="auto"/>
              </w:rPr>
            </w:pPr>
          </w:p>
        </w:tc>
      </w:tr>
      <w:tr>
        <w:trPr>
          <w:trHeight w:val="447"/>
        </w:trPr>
        <w:tc>
          <w:tcPr>
            <w:tcW w:w="356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Kirkland &amp; Ellis LLP</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San Francisco, CA 94104</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Attention: Katie Taylor</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2"/>
                <w:szCs w:val="22"/>
                <w:color w:val="auto"/>
              </w:rPr>
              <w:t>Email: katie.taylor@kirkland.com</w:t>
            </w:r>
          </w:p>
        </w:tc>
      </w:tr>
      <w:tr>
        <w:trPr>
          <w:trHeight w:val="48"/>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32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r>
      <w:tr>
        <w:trPr>
          <w:trHeight w:val="236"/>
        </w:trPr>
        <w:tc>
          <w:tcPr>
            <w:tcW w:w="3560" w:type="dxa"/>
            <w:vAlign w:val="bottom"/>
            <w:tcBorders>
              <w:left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22"/>
                <w:szCs w:val="22"/>
                <w:color w:val="auto"/>
              </w:rPr>
              <w:t>To the Administrative Agent:</w:t>
            </w:r>
          </w:p>
        </w:tc>
        <w:tc>
          <w:tcPr>
            <w:tcW w:w="7700" w:type="dxa"/>
            <w:vAlign w:val="bottom"/>
            <w:tcBorders>
              <w:right w:val="single" w:sz="8" w:color="auto"/>
            </w:tcBorders>
            <w:gridSpan w:val="8"/>
          </w:tcPr>
          <w:p>
            <w:pPr>
              <w:spacing w:after="0" w:line="236" w:lineRule="exact"/>
              <w:rPr>
                <w:sz w:val="20"/>
                <w:szCs w:val="20"/>
                <w:color w:val="auto"/>
              </w:rPr>
            </w:pPr>
            <w:r>
              <w:rPr>
                <w:rFonts w:ascii="Times New Roman" w:cs="Times New Roman" w:eastAsia="Times New Roman" w:hAnsi="Times New Roman"/>
                <w:sz w:val="22"/>
                <w:szCs w:val="22"/>
                <w:color w:val="auto"/>
              </w:rPr>
              <w:t>Acquiom Agency Services LLC</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950 17th Street, Suite 1400</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Denver, CO 80202</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29" w:lineRule="exact"/>
              <w:rPr>
                <w:sz w:val="20"/>
                <w:szCs w:val="20"/>
                <w:color w:val="auto"/>
              </w:rPr>
            </w:pPr>
            <w:r>
              <w:rPr>
                <w:rFonts w:ascii="Times New Roman" w:cs="Times New Roman" w:eastAsia="Times New Roman" w:hAnsi="Times New Roman"/>
                <w:sz w:val="22"/>
                <w:szCs w:val="22"/>
                <w:color w:val="auto"/>
              </w:rPr>
              <w:t>Attention: Karyn Kesselring; Loan Agency</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2"/>
                <w:szCs w:val="22"/>
                <w:color w:val="auto"/>
              </w:rPr>
              <w:t>Email: kkesselring@srsacquiom.com</w:t>
            </w:r>
          </w:p>
        </w:tc>
      </w:tr>
      <w:tr>
        <w:trPr>
          <w:trHeight w:val="223"/>
        </w:trPr>
        <w:tc>
          <w:tcPr>
            <w:tcW w:w="3560" w:type="dxa"/>
            <w:vAlign w:val="bottom"/>
            <w:tcBorders>
              <w:left w:val="single" w:sz="8" w:color="auto"/>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8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w w:val="96"/>
              </w:rPr>
              <w:t>loanagency@srsacquiom.com</w:t>
            </w:r>
          </w:p>
        </w:tc>
        <w:tc>
          <w:tcPr>
            <w:tcW w:w="300" w:type="dxa"/>
            <w:vAlign w:val="bottom"/>
            <w:gridSpan w:val="2"/>
          </w:tcPr>
          <w:p>
            <w:pPr>
              <w:spacing w:after="0"/>
              <w:rPr>
                <w:sz w:val="19"/>
                <w:szCs w:val="19"/>
                <w:color w:val="auto"/>
              </w:rPr>
            </w:pPr>
          </w:p>
        </w:tc>
        <w:tc>
          <w:tcPr>
            <w:tcW w:w="4180" w:type="dxa"/>
            <w:vAlign w:val="bottom"/>
            <w:tcBorders>
              <w:right w:val="single" w:sz="8" w:color="auto"/>
            </w:tcBorders>
          </w:tcPr>
          <w:p>
            <w:pPr>
              <w:spacing w:after="0"/>
              <w:rPr>
                <w:sz w:val="19"/>
                <w:szCs w:val="19"/>
                <w:color w:val="auto"/>
              </w:rPr>
            </w:pPr>
          </w:p>
        </w:tc>
      </w:tr>
      <w:tr>
        <w:trPr>
          <w:trHeight w:val="48"/>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320" w:type="dxa"/>
            <w:vAlign w:val="bottom"/>
            <w:tcBorders>
              <w:top w:val="single" w:sz="8" w:color="auto"/>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r>
      <w:tr>
        <w:trPr>
          <w:trHeight w:val="236"/>
        </w:trPr>
        <w:tc>
          <w:tcPr>
            <w:tcW w:w="3560" w:type="dxa"/>
            <w:vAlign w:val="bottom"/>
            <w:tcBorders>
              <w:left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22"/>
                <w:szCs w:val="22"/>
                <w:color w:val="auto"/>
              </w:rPr>
              <w:t>With copies to (for information</w:t>
            </w:r>
          </w:p>
        </w:tc>
        <w:tc>
          <w:tcPr>
            <w:tcW w:w="7700" w:type="dxa"/>
            <w:vAlign w:val="bottom"/>
            <w:tcBorders>
              <w:right w:val="single" w:sz="8" w:color="auto"/>
            </w:tcBorders>
            <w:gridSpan w:val="8"/>
          </w:tcPr>
          <w:p>
            <w:pPr>
              <w:spacing w:after="0" w:line="236" w:lineRule="exact"/>
              <w:rPr>
                <w:sz w:val="20"/>
                <w:szCs w:val="20"/>
                <w:color w:val="auto"/>
              </w:rPr>
            </w:pPr>
            <w:r>
              <w:rPr>
                <w:rFonts w:ascii="Times New Roman" w:cs="Times New Roman" w:eastAsia="Times New Roman" w:hAnsi="Times New Roman"/>
                <w:sz w:val="22"/>
                <w:szCs w:val="22"/>
                <w:color w:val="auto"/>
              </w:rPr>
              <w:t>Clifford Chance US LLP</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purposes only):</w:t>
            </w: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Two Manhattan West</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8"/>
          </w:tcPr>
          <w:p>
            <w:pPr>
              <w:spacing w:after="0" w:line="243" w:lineRule="exact"/>
              <w:rPr>
                <w:sz w:val="20"/>
                <w:szCs w:val="20"/>
                <w:color w:val="auto"/>
              </w:rPr>
            </w:pPr>
            <w:r>
              <w:rPr>
                <w:rFonts w:ascii="Times New Roman" w:cs="Times New Roman" w:eastAsia="Times New Roman" w:hAnsi="Times New Roman"/>
                <w:sz w:val="22"/>
                <w:szCs w:val="22"/>
                <w:color w:val="auto"/>
              </w:rPr>
              <w:t>375 9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Avenue New York, New York 10001-1696</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29" w:lineRule="exact"/>
              <w:rPr>
                <w:sz w:val="20"/>
                <w:szCs w:val="20"/>
                <w:color w:val="auto"/>
              </w:rPr>
            </w:pPr>
            <w:r>
              <w:rPr>
                <w:rFonts w:ascii="Times New Roman" w:cs="Times New Roman" w:eastAsia="Times New Roman" w:hAnsi="Times New Roman"/>
                <w:sz w:val="22"/>
                <w:szCs w:val="22"/>
                <w:color w:val="auto"/>
              </w:rPr>
              <w:t>Attention: Gary Brooks</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8"/>
          </w:tcPr>
          <w:p>
            <w:pPr>
              <w:spacing w:after="0" w:line="230" w:lineRule="exact"/>
              <w:rPr>
                <w:sz w:val="20"/>
                <w:szCs w:val="20"/>
                <w:color w:val="auto"/>
              </w:rPr>
            </w:pPr>
            <w:r>
              <w:rPr>
                <w:rFonts w:ascii="Times New Roman" w:cs="Times New Roman" w:eastAsia="Times New Roman" w:hAnsi="Times New Roman"/>
                <w:sz w:val="22"/>
                <w:szCs w:val="22"/>
                <w:color w:val="auto"/>
              </w:rPr>
              <w:t>Email: gary.brooks@cliffordchance.com</w:t>
            </w:r>
          </w:p>
        </w:tc>
      </w:tr>
      <w:tr>
        <w:trPr>
          <w:trHeight w:val="61"/>
        </w:trPr>
        <w:tc>
          <w:tcPr>
            <w:tcW w:w="3560" w:type="dxa"/>
            <w:vAlign w:val="bottom"/>
            <w:tcBorders>
              <w:left w:val="single" w:sz="8" w:color="auto"/>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32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418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260"/>
          </w:cols>
          <w:pgMar w:left="320" w:top="1408" w:right="319" w:bottom="1440" w:gutter="0" w:footer="0" w:header="0"/>
        </w:sectPr>
      </w:pPr>
    </w:p>
    <w:bookmarkStart w:id="61" w:name="page62"/>
    <w:bookmarkEnd w:id="6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 BlackRock:</w:t>
            </w:r>
          </w:p>
        </w:tc>
        <w:tc>
          <w:tcPr>
            <w:tcW w:w="770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c/o BlackRock Financial Management, Inc.</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50 Hudson Yards</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New York, New York 10001</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Attention: Mark Lawrence</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Telephone: +1 646-231-1477 (Mark Lawrence)</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4"/>
          </w:tcPr>
          <w:p>
            <w:pPr>
              <w:spacing w:after="0" w:line="230" w:lineRule="exact"/>
              <w:rPr>
                <w:sz w:val="20"/>
                <w:szCs w:val="20"/>
                <w:color w:val="auto"/>
              </w:rPr>
            </w:pPr>
            <w:r>
              <w:rPr>
                <w:rFonts w:ascii="Times New Roman" w:cs="Times New Roman" w:eastAsia="Times New Roman" w:hAnsi="Times New Roman"/>
                <w:sz w:val="22"/>
                <w:szCs w:val="22"/>
                <w:color w:val="auto"/>
              </w:rPr>
              <w:t>Email: Mark.A.Lawrence@blackrock.com</w:t>
            </w:r>
          </w:p>
        </w:tc>
      </w:tr>
      <w:tr>
        <w:trPr>
          <w:trHeight w:val="20"/>
        </w:trPr>
        <w:tc>
          <w:tcPr>
            <w:tcW w:w="3560" w:type="dxa"/>
            <w:vAlign w:val="bottom"/>
            <w:tcBorders>
              <w:left w:val="single" w:sz="8" w:color="auto"/>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r>
      <w:tr>
        <w:trPr>
          <w:trHeight w:val="466"/>
        </w:trPr>
        <w:tc>
          <w:tcPr>
            <w:tcW w:w="356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with copies to (which shall not constitute notice):</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c/o BlackRock, Inc.</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Office of the General Counsel</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50 Hudson Yards</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New York, New York 10001</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Attention: Lucy Liu</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4"/>
          </w:tcPr>
          <w:p>
            <w:pPr>
              <w:spacing w:after="0" w:line="230" w:lineRule="exact"/>
              <w:rPr>
                <w:sz w:val="20"/>
                <w:szCs w:val="20"/>
                <w:color w:val="auto"/>
              </w:rPr>
            </w:pPr>
            <w:r>
              <w:rPr>
                <w:rFonts w:ascii="Times New Roman" w:cs="Times New Roman" w:eastAsia="Times New Roman" w:hAnsi="Times New Roman"/>
                <w:sz w:val="22"/>
                <w:szCs w:val="22"/>
                <w:color w:val="auto"/>
              </w:rPr>
              <w:t>Email: LegalTransactions@blackrock.com</w:t>
            </w:r>
          </w:p>
        </w:tc>
      </w:tr>
      <w:tr>
        <w:trPr>
          <w:trHeight w:val="518"/>
        </w:trPr>
        <w:tc>
          <w:tcPr>
            <w:tcW w:w="3560" w:type="dxa"/>
            <w:vAlign w:val="bottom"/>
            <w:tcBorders>
              <w:left w:val="single" w:sz="8" w:color="auto"/>
              <w:right w:val="single" w:sz="8" w:color="auto"/>
            </w:tcBorders>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and</w:t>
            </w:r>
          </w:p>
        </w:tc>
        <w:tc>
          <w:tcPr>
            <w:tcW w:w="3060" w:type="dxa"/>
            <w:vAlign w:val="bottom"/>
            <w:tcBorders>
              <w:top w:val="single" w:sz="8" w:color="auto"/>
            </w:tcBorders>
          </w:tcPr>
          <w:p>
            <w:pPr>
              <w:spacing w:after="0"/>
              <w:rPr>
                <w:sz w:val="24"/>
                <w:szCs w:val="24"/>
                <w:color w:val="auto"/>
              </w:rPr>
            </w:pPr>
          </w:p>
        </w:tc>
        <w:tc>
          <w:tcPr>
            <w:tcW w:w="4000" w:type="dxa"/>
            <w:vAlign w:val="bottom"/>
            <w:tcBorders>
              <w:right w:val="single" w:sz="8" w:color="auto"/>
            </w:tcBorders>
            <w:gridSpan w:val="2"/>
          </w:tcPr>
          <w:p>
            <w:pPr>
              <w:spacing w:after="0"/>
              <w:rPr>
                <w:sz w:val="24"/>
                <w:szCs w:val="24"/>
                <w:color w:val="auto"/>
              </w:rPr>
            </w:pPr>
          </w:p>
        </w:tc>
      </w:tr>
      <w:tr>
        <w:trPr>
          <w:trHeight w:val="447"/>
        </w:trPr>
        <w:tc>
          <w:tcPr>
            <w:tcW w:w="356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Clifford Chance US LLP</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Two Manhattan West</w:t>
            </w:r>
          </w:p>
        </w:tc>
      </w:tr>
      <w:tr>
        <w:trPr>
          <w:trHeight w:val="229"/>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4"/>
          </w:tcPr>
          <w:p>
            <w:pPr>
              <w:spacing w:after="0" w:line="229" w:lineRule="exact"/>
              <w:rPr>
                <w:sz w:val="20"/>
                <w:szCs w:val="20"/>
                <w:color w:val="auto"/>
              </w:rPr>
            </w:pPr>
            <w:r>
              <w:rPr>
                <w:rFonts w:ascii="Times New Roman" w:cs="Times New Roman" w:eastAsia="Times New Roman" w:hAnsi="Times New Roman"/>
                <w:sz w:val="22"/>
                <w:szCs w:val="22"/>
                <w:color w:val="auto"/>
              </w:rPr>
              <w:t>375 9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Avenue</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New York, New York 10001-1696</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Attention: Andrew Young</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gridSpan w:val="4"/>
          </w:tcPr>
          <w:p>
            <w:pPr>
              <w:spacing w:after="0" w:line="243" w:lineRule="exact"/>
              <w:rPr>
                <w:sz w:val="20"/>
                <w:szCs w:val="20"/>
                <w:color w:val="auto"/>
              </w:rPr>
            </w:pPr>
            <w:r>
              <w:rPr>
                <w:rFonts w:ascii="Times New Roman" w:cs="Times New Roman" w:eastAsia="Times New Roman" w:hAnsi="Times New Roman"/>
                <w:sz w:val="22"/>
                <w:szCs w:val="22"/>
                <w:color w:val="auto"/>
              </w:rPr>
              <w:t>Telephone: +1 212-878-8012</w:t>
            </w:r>
          </w:p>
        </w:tc>
      </w:tr>
      <w:tr>
        <w:trPr>
          <w:trHeight w:val="230"/>
        </w:trPr>
        <w:tc>
          <w:tcPr>
            <w:tcW w:w="3560" w:type="dxa"/>
            <w:vAlign w:val="bottom"/>
            <w:tcBorders>
              <w:left w:val="single" w:sz="8" w:color="auto"/>
              <w:right w:val="single" w:sz="8" w:color="auto"/>
            </w:tcBorders>
          </w:tcPr>
          <w:p>
            <w:pPr>
              <w:spacing w:after="0"/>
              <w:rPr>
                <w:sz w:val="19"/>
                <w:szCs w:val="19"/>
                <w:color w:val="auto"/>
              </w:rPr>
            </w:pPr>
          </w:p>
        </w:tc>
        <w:tc>
          <w:tcPr>
            <w:tcW w:w="7700" w:type="dxa"/>
            <w:vAlign w:val="bottom"/>
            <w:tcBorders>
              <w:right w:val="single" w:sz="8" w:color="auto"/>
            </w:tcBorders>
            <w:gridSpan w:val="4"/>
          </w:tcPr>
          <w:p>
            <w:pPr>
              <w:spacing w:after="0" w:line="230" w:lineRule="exact"/>
              <w:rPr>
                <w:sz w:val="20"/>
                <w:szCs w:val="20"/>
                <w:color w:val="auto"/>
              </w:rPr>
            </w:pPr>
            <w:r>
              <w:rPr>
                <w:rFonts w:ascii="Times New Roman" w:cs="Times New Roman" w:eastAsia="Times New Roman" w:hAnsi="Times New Roman"/>
                <w:sz w:val="22"/>
                <w:szCs w:val="22"/>
                <w:color w:val="auto"/>
              </w:rPr>
              <w:t>Email: andrew.young@cliffordchance.com</w:t>
            </w:r>
          </w:p>
        </w:tc>
      </w:tr>
      <w:tr>
        <w:trPr>
          <w:trHeight w:val="48"/>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6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3980" w:type="dxa"/>
            <w:vAlign w:val="bottom"/>
            <w:tcBorders>
              <w:bottom w:val="single" w:sz="8" w:color="auto"/>
              <w:right w:val="single" w:sz="8" w:color="auto"/>
            </w:tcBorders>
          </w:tcPr>
          <w:p>
            <w:pPr>
              <w:spacing w:after="0"/>
              <w:rPr>
                <w:sz w:val="4"/>
                <w:szCs w:val="4"/>
                <w:color w:val="auto"/>
              </w:rPr>
            </w:pPr>
          </w:p>
        </w:tc>
      </w:tr>
      <w:tr>
        <w:trPr>
          <w:trHeight w:val="236"/>
        </w:trPr>
        <w:tc>
          <w:tcPr>
            <w:tcW w:w="3560" w:type="dxa"/>
            <w:vAlign w:val="bottom"/>
            <w:tcBorders>
              <w:left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22"/>
                <w:szCs w:val="22"/>
                <w:color w:val="auto"/>
              </w:rPr>
              <w:t>To any other Lender:</w:t>
            </w:r>
          </w:p>
        </w:tc>
        <w:tc>
          <w:tcPr>
            <w:tcW w:w="7700" w:type="dxa"/>
            <w:vAlign w:val="bottom"/>
            <w:tcBorders>
              <w:right w:val="single" w:sz="8" w:color="auto"/>
            </w:tcBorders>
            <w:gridSpan w:val="4"/>
          </w:tcPr>
          <w:p>
            <w:pPr>
              <w:spacing w:after="0" w:line="236" w:lineRule="exact"/>
              <w:rPr>
                <w:sz w:val="20"/>
                <w:szCs w:val="20"/>
                <w:color w:val="auto"/>
              </w:rPr>
            </w:pPr>
            <w:r>
              <w:rPr>
                <w:rFonts w:ascii="Times New Roman" w:cs="Times New Roman" w:eastAsia="Times New Roman" w:hAnsi="Times New Roman"/>
                <w:sz w:val="22"/>
                <w:szCs w:val="22"/>
                <w:color w:val="auto"/>
              </w:rPr>
              <w:t>the address set forth in the Administrative Questionnaire or the Assignment and</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Acceptance executed by such Lender</w:t>
            </w:r>
          </w:p>
        </w:tc>
      </w:tr>
    </w:tbl>
    <w:p>
      <w:pPr>
        <w:spacing w:after="0" w:line="200" w:lineRule="exact"/>
        <w:rPr>
          <w:sz w:val="20"/>
          <w:szCs w:val="20"/>
          <w:color w:val="auto"/>
        </w:rPr>
      </w:pPr>
    </w:p>
    <w:p>
      <w:pPr>
        <w:spacing w:after="0" w:line="272" w:lineRule="exact"/>
        <w:rPr>
          <w:sz w:val="20"/>
          <w:szCs w:val="20"/>
          <w:color w:val="auto"/>
        </w:rPr>
      </w:pPr>
    </w:p>
    <w:p>
      <w:pPr>
        <w:ind w:left="660" w:right="200"/>
        <w:spacing w:after="0" w:line="258" w:lineRule="auto"/>
        <w:rPr>
          <w:sz w:val="20"/>
          <w:szCs w:val="20"/>
          <w:color w:val="auto"/>
        </w:rPr>
      </w:pPr>
      <w:r>
        <w:rPr>
          <w:rFonts w:ascii="Times New Roman" w:cs="Times New Roman" w:eastAsia="Times New Roman" w:hAnsi="Times New Roman"/>
          <w:sz w:val="22"/>
          <w:szCs w:val="22"/>
          <w:color w:val="auto"/>
        </w:rPr>
        <w:t>Any party hereto may change its address or facsimile number for notices and other communications hereunder by notice to the other parties hereto.</w:t>
      </w:r>
    </w:p>
    <w:p>
      <w:pPr>
        <w:spacing w:after="0" w:line="9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Effectiveness</w:t>
      </w:r>
      <w:r>
        <w:rPr>
          <w:rFonts w:ascii="Times New Roman" w:cs="Times New Roman" w:eastAsia="Times New Roman" w:hAnsi="Times New Roman"/>
          <w:sz w:val="22"/>
          <w:szCs w:val="22"/>
          <w:color w:val="auto"/>
        </w:rPr>
        <w:t>. This Amendment shall become effective upon the following:</w:t>
      </w:r>
    </w:p>
    <w:p>
      <w:pPr>
        <w:spacing w:after="0" w:line="152"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29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by each party hereto of a copy of this Amendment executed by the Borrower, each other Loan Party party hereto, the Required Lenders and the Administrative Agent; and</w:t>
      </w:r>
    </w:p>
    <w:p>
      <w:pPr>
        <w:spacing w:after="0" w:line="104" w:lineRule="exact"/>
        <w:rPr>
          <w:rFonts w:ascii="Times New Roman" w:cs="Times New Roman" w:eastAsia="Times New Roman" w:hAnsi="Times New Roman"/>
          <w:sz w:val="22"/>
          <w:szCs w:val="22"/>
          <w:color w:val="auto"/>
        </w:rPr>
      </w:pPr>
    </w:p>
    <w:p>
      <w:pPr>
        <w:jc w:val="both"/>
        <w:ind w:left="1300" w:right="20" w:hanging="320"/>
        <w:spacing w:after="0" w:line="244" w:lineRule="auto"/>
        <w:tabs>
          <w:tab w:leader="none" w:pos="129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Parties shall have paid all reasonable and documented out-of-pocket costs and expenses of the Lenders and the Administrative Agent to the extent required to be paid under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the Credit Agreement and unpaid on the date hereof (including the attorney costs of Clifford Chance US LLP).</w:t>
      </w:r>
    </w:p>
    <w:p>
      <w:pPr>
        <w:spacing w:after="0" w:line="119"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Lenders to enter into this Amendment, the Borrower hereby represents and warrants as follows:</w:t>
      </w:r>
    </w:p>
    <w:p>
      <w:pPr>
        <w:spacing w:after="0" w:line="185"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29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Loan Party of this Amendment and the Credit Agreement have been duly authorized by all necessary</w:t>
      </w:r>
    </w:p>
    <w:p>
      <w:pPr>
        <w:sectPr>
          <w:pgSz w:w="11900" w:h="16838" w:orient="portrait"/>
          <w:cols w:equalWidth="0" w:num="1">
            <w:col w:w="11260"/>
          </w:cols>
          <w:pgMar w:left="320" w:top="1440" w:right="319" w:bottom="1440" w:gutter="0" w:footer="0" w:header="0"/>
        </w:sectPr>
      </w:pPr>
    </w:p>
    <w:bookmarkStart w:id="62" w:name="page63"/>
    <w:bookmarkEnd w:id="62"/>
    <w:p>
      <w:pPr>
        <w:ind w:left="968"/>
        <w:spacing w:after="0"/>
        <w:rPr>
          <w:sz w:val="20"/>
          <w:szCs w:val="20"/>
          <w:color w:val="auto"/>
        </w:rPr>
      </w:pPr>
      <w:r>
        <w:rPr>
          <w:rFonts w:ascii="Times New Roman" w:cs="Times New Roman" w:eastAsia="Times New Roman" w:hAnsi="Times New Roman"/>
          <w:sz w:val="22"/>
          <w:szCs w:val="22"/>
          <w:color w:val="auto"/>
        </w:rPr>
        <w:t>organizational and, if required, shareholder, partner or member action on the part of such Loan Party.</w:t>
      </w:r>
    </w:p>
    <w:p>
      <w:pPr>
        <w:spacing w:after="0" w:line="152" w:lineRule="exact"/>
        <w:rPr>
          <w:sz w:val="20"/>
          <w:szCs w:val="20"/>
          <w:color w:val="auto"/>
        </w:rPr>
      </w:pPr>
    </w:p>
    <w:p>
      <w:pPr>
        <w:jc w:val="both"/>
        <w:ind w:left="968" w:hanging="320"/>
        <w:spacing w:after="0" w:line="239" w:lineRule="auto"/>
        <w:tabs>
          <w:tab w:leader="none" w:pos="96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constitutes, and the Credit Agreement continues to constitute valid and binding obligations of each Loan Party, enforceable against each Loan Party in accordance with their respective terms, except as may be limited by applicable bankruptcy, insolvency, reorganization, moratorium or similar laws affecting the enforcement of creditors' rights generally and by general principles of equity.</w:t>
      </w:r>
    </w:p>
    <w:p>
      <w:pPr>
        <w:spacing w:after="0" w:line="126" w:lineRule="exact"/>
        <w:rPr>
          <w:rFonts w:ascii="Times New Roman" w:cs="Times New Roman" w:eastAsia="Times New Roman" w:hAnsi="Times New Roman"/>
          <w:sz w:val="22"/>
          <w:szCs w:val="22"/>
          <w:color w:val="auto"/>
        </w:rPr>
      </w:pPr>
    </w:p>
    <w:p>
      <w:pPr>
        <w:jc w:val="both"/>
        <w:ind w:left="968" w:hanging="320"/>
        <w:spacing w:after="0" w:line="234" w:lineRule="auto"/>
        <w:tabs>
          <w:tab w:leader="none" w:pos="96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Amendment, each of the representations and warranties made by each Loan Party in the Credit Agreement is true and correct in all material respects (other than those representations and warranties that are expressly qualified by “Material Adverse Effect” or other materiality, which representations and warranties shall be true and correct in all respects) on and as of the date hereof as if made on and as of the date hereof (or, if such representation or warranty is expressly stated to have been made as of a specific date, as of such specific date).</w:t>
      </w:r>
    </w:p>
    <w:p>
      <w:pPr>
        <w:spacing w:after="0" w:line="126"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Default has occurred or would exist immediately after giving effect to this Amendment.</w:t>
      </w:r>
    </w:p>
    <w:p>
      <w:pPr>
        <w:spacing w:after="0" w:line="233"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968" w:hanging="320"/>
        <w:spacing w:after="0" w:line="244" w:lineRule="auto"/>
        <w:tabs>
          <w:tab w:leader="none" w:pos="965"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Effectiveness</w:t>
      </w:r>
      <w:r>
        <w:rPr>
          <w:rFonts w:ascii="Times New Roman" w:cs="Times New Roman" w:eastAsia="Times New Roman" w:hAnsi="Times New Roman"/>
          <w:sz w:val="21"/>
          <w:szCs w:val="21"/>
          <w:color w:val="auto"/>
        </w:rPr>
        <w:t>. Except as expressly amended, the Credit Agreement, the other Loan Documents and all other documents, instruments and agreements executed and/or delivered in connection therewith, and all obligations thereunder and all guarantees, security interests and other credit support provided, shall remain in full force and effect, and are hereby ratified, reaffirmed and confirmed. The execution, delivery and effectiveness of this Amendment shall not operate as a waiver of any right, power or remedy of any Lender, nor constitute a waiver of any provision of the Credit Agreement, any Loan Document or any other documents, instruments or agreements executed and/or delivered under or in connection therewith. Upon the effectiveness of this Amendment, each reference in the Credit Agreement to "this Agreement", "hereunder", "hereof", "herein" or words of like import shall mean and be a reference to the Credit Agreement as amended hereby, and each reference in the other Loan Documents to the "Credit Agreement," "thereunder," "thereof," "therein" or words of like import shall mean and be a reference to the Credit Agreement as amended hereby. This Amendment constitutes a Loan Document.</w:t>
      </w:r>
    </w:p>
    <w:p>
      <w:pPr>
        <w:spacing w:after="0" w:line="120" w:lineRule="exact"/>
        <w:rPr>
          <w:rFonts w:ascii="Times New Roman" w:cs="Times New Roman" w:eastAsia="Times New Roman" w:hAnsi="Times New Roman"/>
          <w:sz w:val="21"/>
          <w:szCs w:val="21"/>
          <w:color w:val="auto"/>
        </w:rPr>
      </w:pPr>
    </w:p>
    <w:p>
      <w:pPr>
        <w:jc w:val="both"/>
        <w:ind w:left="968" w:hanging="320"/>
        <w:spacing w:after="0" w:line="234" w:lineRule="auto"/>
        <w:tabs>
          <w:tab w:leader="none" w:pos="96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Each Loan Party hereby expressly acknowledges the terms of this Amendment and reaffirms, as of the date hereof, (a) the terms, conditions, obligations covenants and agreements contained in each Loan Document to which it is a party, including, in each case, such terms, conditions, obligations covenants and agreements as in effect immediately after giving effect to this Amendment and the transactions contemplated hereby and (b) its guarantee of the Obligations, as applicable, and its grant of Liens, as applicable, on the Collateral to secure the Obligations pursuant to the Collateral Documents, with all such Liens continuing in full force and effect after giving effect to this Amendment.</w:t>
      </w:r>
    </w:p>
    <w:p>
      <w:pPr>
        <w:sectPr>
          <w:pgSz w:w="11900" w:h="16838" w:orient="portrait"/>
          <w:cols w:equalWidth="0" w:num="1">
            <w:col w:w="10908"/>
          </w:cols>
          <w:pgMar w:left="652" w:top="1408" w:right="339" w:bottom="1440" w:gutter="0" w:footer="0" w:header="0"/>
        </w:sectPr>
      </w:pPr>
    </w:p>
    <w:bookmarkStart w:id="63" w:name="page64"/>
    <w:bookmarkEnd w:id="63"/>
    <w:p>
      <w:pPr>
        <w:jc w:val="both"/>
        <w:ind w:left="328" w:hanging="328"/>
        <w:spacing w:after="0" w:line="239" w:lineRule="auto"/>
        <w:tabs>
          <w:tab w:leader="none" w:pos="3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Borrower agrees to reimburse the Lenders and the Administrative Agent for their reasonable and documented out-of-pocket costs and expenses incurred in connection with this Amendment, in accordance with the provisions of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the Credit Agreement (and without duplication of such provision or any provision of this Amendment).</w:t>
      </w:r>
    </w:p>
    <w:p>
      <w:pPr>
        <w:spacing w:after="0" w:line="126" w:lineRule="exact"/>
        <w:rPr>
          <w:rFonts w:ascii="Times New Roman" w:cs="Times New Roman" w:eastAsia="Times New Roman" w:hAnsi="Times New Roman"/>
          <w:sz w:val="22"/>
          <w:szCs w:val="22"/>
          <w:color w:val="auto"/>
        </w:rPr>
      </w:pPr>
    </w:p>
    <w:p>
      <w:pPr>
        <w:ind w:left="328" w:hanging="328"/>
        <w:spacing w:after="0" w:line="258" w:lineRule="auto"/>
        <w:tabs>
          <w:tab w:leader="none" w:pos="3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Consent to Service of Process; Waiver of Jury Trial</w:t>
      </w:r>
      <w:r>
        <w:rPr>
          <w:rFonts w:ascii="Times New Roman" w:cs="Times New Roman" w:eastAsia="Times New Roman" w:hAnsi="Times New Roman"/>
          <w:sz w:val="22"/>
          <w:szCs w:val="22"/>
          <w:color w:val="auto"/>
        </w:rPr>
        <w:t xml:space="preserve">. The entirety of Sections 10.5 and 10.6 of the Credit Agreement are hereby incorporated by reference herein, in each case,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90" w:lineRule="exact"/>
        <w:rPr>
          <w:rFonts w:ascii="Times New Roman" w:cs="Times New Roman" w:eastAsia="Times New Roman" w:hAnsi="Times New Roman"/>
          <w:sz w:val="22"/>
          <w:szCs w:val="22"/>
          <w:color w:val="auto"/>
        </w:rPr>
      </w:pPr>
    </w:p>
    <w:p>
      <w:pPr>
        <w:ind w:left="328" w:right="20" w:hanging="328"/>
        <w:spacing w:after="0" w:line="258" w:lineRule="auto"/>
        <w:tabs>
          <w:tab w:leader="none" w:pos="3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in this Amendment are included herein for convenience of reference only and shall not constitute a part of this Amendment for any other purpose.</w:t>
      </w:r>
    </w:p>
    <w:p>
      <w:pPr>
        <w:spacing w:after="0" w:line="104" w:lineRule="exact"/>
        <w:rPr>
          <w:rFonts w:ascii="Times New Roman" w:cs="Times New Roman" w:eastAsia="Times New Roman" w:hAnsi="Times New Roman"/>
          <w:sz w:val="22"/>
          <w:szCs w:val="22"/>
          <w:color w:val="auto"/>
        </w:rPr>
      </w:pPr>
    </w:p>
    <w:p>
      <w:pPr>
        <w:jc w:val="both"/>
        <w:ind w:left="328" w:hanging="328"/>
        <w:spacing w:after="0" w:line="235" w:lineRule="auto"/>
        <w:tabs>
          <w:tab w:leader="none" w:pos="3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w:t>
      </w:r>
      <w:r>
        <w:rPr>
          <w:rFonts w:ascii="Times New Roman" w:cs="Times New Roman" w:eastAsia="Times New Roman" w:hAnsi="Times New Roman"/>
          <w:sz w:val="22"/>
          <w:szCs w:val="22"/>
          <w:color w:val="auto"/>
        </w:rPr>
        <w:t>. This Amendment may be executed by one or more of the parties to this Amendment on any number of separate counterparts, and all of said counterparts taken together shall be deemed to constitute one and the same instrument. This Amendment,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Amendment or any other Loan Document by facsimile transmission or by electronic mail in PDF or TIFF format shall be as effective as delivery of a manually executed counterpart hereof.</w:t>
      </w:r>
    </w:p>
    <w:p>
      <w:pPr>
        <w:spacing w:after="0" w:line="124" w:lineRule="exact"/>
        <w:rPr>
          <w:rFonts w:ascii="Times New Roman" w:cs="Times New Roman" w:eastAsia="Times New Roman" w:hAnsi="Times New Roman"/>
          <w:sz w:val="22"/>
          <w:szCs w:val="22"/>
          <w:color w:val="auto"/>
        </w:rPr>
      </w:pPr>
    </w:p>
    <w:p>
      <w:pPr>
        <w:jc w:val="both"/>
        <w:ind w:left="328" w:hanging="328"/>
        <w:spacing w:after="0" w:line="238" w:lineRule="auto"/>
        <w:tabs>
          <w:tab w:leader="none" w:pos="3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Agent Authorization</w:t>
      </w:r>
      <w:r>
        <w:rPr>
          <w:rFonts w:ascii="Times New Roman" w:cs="Times New Roman" w:eastAsia="Times New Roman" w:hAnsi="Times New Roman"/>
          <w:sz w:val="22"/>
          <w:szCs w:val="22"/>
          <w:color w:val="auto"/>
        </w:rPr>
        <w:t>. By its execution hereof, each of the undersigned Lenders, constituting the Required Lenders, hereby authorizes and directs the Administrative Agent to execute and deliver this Amendment on the date hereof.</w:t>
      </w: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10908"/>
          </w:cols>
          <w:pgMar w:left="652" w:top="1408" w:right="339" w:bottom="1440" w:gutter="0" w:footer="0" w:header="0"/>
        </w:sectPr>
      </w:pPr>
    </w:p>
    <w:bookmarkStart w:id="64" w:name="page65"/>
    <w:bookmarkEnd w:id="64"/>
    <w:p>
      <w:pPr>
        <w:spacing w:after="0" w:line="243"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by their proper and duly authorized officers as of the day and year first above written.</w:t>
      </w:r>
    </w:p>
    <w:p>
      <w:pPr>
        <w:ind w:left="3900"/>
        <w:spacing w:after="0"/>
        <w:rPr>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w:t>
      </w:r>
    </w:p>
    <w:p>
      <w:pPr>
        <w:spacing w:after="0" w:line="1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CARET HOLDINGS,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Megan Binkley</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Megan Binkley</w:t>
      </w:r>
    </w:p>
    <w:p>
      <w:pPr>
        <w:ind w:left="39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ROOT,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Megan Binkley</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Megan Binkley</w:t>
      </w:r>
    </w:p>
    <w:p>
      <w:pPr>
        <w:ind w:left="39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11160"/>
          </w:cols>
          <w:pgMar w:left="320" w:top="1408" w:right="419" w:bottom="1440" w:gutter="0" w:footer="0" w:header="0"/>
        </w:sectPr>
      </w:pPr>
    </w:p>
    <w:bookmarkStart w:id="65" w:name="page66"/>
    <w:bookmarkEnd w:id="65"/>
    <w:p>
      <w:pPr>
        <w:ind w:left="3560"/>
        <w:spacing w:after="0"/>
        <w:rPr>
          <w:sz w:val="20"/>
          <w:szCs w:val="20"/>
          <w:color w:val="auto"/>
        </w:rPr>
      </w:pPr>
      <w:r>
        <w:rPr>
          <w:rFonts w:ascii="Times New Roman" w:cs="Times New Roman" w:eastAsia="Times New Roman" w:hAnsi="Times New Roman"/>
          <w:sz w:val="20"/>
          <w:szCs w:val="20"/>
          <w:u w:val="single" w:color="auto"/>
          <w:color w:val="auto"/>
        </w:rPr>
        <w:t>OTHER LOAN PARTIES</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Root Insurance Agency, LLC</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Taylor Matthews</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Taylor Matthews</w:t>
      </w:r>
    </w:p>
    <w:p>
      <w:pPr>
        <w:ind w:left="27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Root Lone Star Insurance Agency, Inc.</w:t>
      </w:r>
    </w:p>
    <w:p>
      <w:pPr>
        <w:spacing w:after="0" w:line="200" w:lineRule="exact"/>
        <w:rPr>
          <w:sz w:val="20"/>
          <w:szCs w:val="20"/>
          <w:color w:val="auto"/>
        </w:rPr>
      </w:pPr>
    </w:p>
    <w:p>
      <w:pPr>
        <w:spacing w:after="0" w:line="3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Taylor Matthews</w:t>
      </w:r>
    </w:p>
    <w:p>
      <w:pPr>
        <w:ind w:left="2780"/>
        <w:spacing w:after="0" w:line="233" w:lineRule="auto"/>
        <w:rPr>
          <w:sz w:val="20"/>
          <w:szCs w:val="20"/>
          <w:color w:val="auto"/>
        </w:rPr>
      </w:pPr>
      <w:r>
        <w:rPr>
          <w:rFonts w:ascii="Times New Roman" w:cs="Times New Roman" w:eastAsia="Times New Roman" w:hAnsi="Times New Roman"/>
          <w:sz w:val="20"/>
          <w:szCs w:val="20"/>
          <w:color w:val="auto"/>
        </w:rPr>
        <w:t>Name: Taylor Matthews</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Root Enterprise, LLC</w:t>
      </w:r>
    </w:p>
    <w:p>
      <w:pPr>
        <w:spacing w:after="0" w:line="200" w:lineRule="exact"/>
        <w:rPr>
          <w:sz w:val="20"/>
          <w:szCs w:val="20"/>
          <w:color w:val="auto"/>
        </w:rPr>
      </w:pPr>
    </w:p>
    <w:p>
      <w:pPr>
        <w:spacing w:after="0" w:line="27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Taylor Matthews</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Taylor Matthews</w:t>
      </w:r>
    </w:p>
    <w:p>
      <w:pPr>
        <w:ind w:left="27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Root Scout, LLC</w:t>
      </w:r>
    </w:p>
    <w:p>
      <w:pPr>
        <w:spacing w:after="0" w:line="200" w:lineRule="exact"/>
        <w:rPr>
          <w:sz w:val="20"/>
          <w:szCs w:val="20"/>
          <w:color w:val="auto"/>
        </w:rPr>
      </w:pPr>
    </w:p>
    <w:p>
      <w:pPr>
        <w:spacing w:after="0" w:line="27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Taylor Matthews</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Taylor Matthews</w:t>
      </w:r>
    </w:p>
    <w:p>
      <w:pPr>
        <w:ind w:left="27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66" w:name="page67"/>
    <w:bookmarkEnd w:id="66"/>
    <w:p>
      <w:pPr>
        <w:ind w:left="3500"/>
        <w:spacing w:after="0"/>
        <w:rPr>
          <w:sz w:val="20"/>
          <w:szCs w:val="20"/>
          <w:color w:val="auto"/>
        </w:rPr>
      </w:pP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PDL SCO LP</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its General Partner, PDL SCO GP Ltd.</w:t>
      </w: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Pearce Wilder Brisbin</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Pearce Wilder Brisbin</w:t>
      </w: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99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67" w:name="page68"/>
    <w:bookmarkEnd w:id="67"/>
    <w:p>
      <w:pPr>
        <w:ind w:left="2780"/>
        <w:spacing w:after="0"/>
        <w:rPr>
          <w:sz w:val="20"/>
          <w:szCs w:val="20"/>
          <w:color w:val="auto"/>
        </w:rPr>
      </w:pP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TELEMATIC OFFSHORE, LTD.</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BlackRock Financial Management, Inc., its Manager</w:t>
      </w: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Jeff Dunbar</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Jeff Dunbar</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80"/>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type w:val="continuous"/>
        </w:sectPr>
      </w:pPr>
    </w:p>
    <w:bookmarkStart w:id="68" w:name="page69"/>
    <w:bookmarkEnd w:id="68"/>
    <w:p>
      <w:pPr>
        <w:ind w:left="2780"/>
        <w:spacing w:after="0"/>
        <w:rPr>
          <w:sz w:val="20"/>
          <w:szCs w:val="20"/>
          <w:color w:val="auto"/>
        </w:rPr>
      </w:pPr>
      <w:r>
        <w:rPr>
          <w:rFonts w:ascii="Times New Roman" w:cs="Times New Roman" w:eastAsia="Times New Roman" w:hAnsi="Times New Roman"/>
          <w:sz w:val="20"/>
          <w:szCs w:val="20"/>
          <w:color w:val="auto"/>
        </w:rPr>
        <w:t>ASG 2021 OFFSHORE HOLDINGS II, L.P.</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BlackRock Financial Management, Inc., its manager</w:t>
      </w:r>
    </w:p>
    <w:p>
      <w:pPr>
        <w:spacing w:after="0" w:line="200" w:lineRule="exact"/>
        <w:rPr>
          <w:sz w:val="20"/>
          <w:szCs w:val="20"/>
          <w:color w:val="auto"/>
        </w:rPr>
      </w:pPr>
    </w:p>
    <w:p>
      <w:pPr>
        <w:spacing w:after="0" w:line="27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Paul Braude</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Paul Braude</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80"/>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type w:val="continuous"/>
        </w:sectPr>
      </w:pPr>
    </w:p>
    <w:bookmarkStart w:id="69" w:name="page70"/>
    <w:bookmarkEnd w:id="69"/>
    <w:p>
      <w:pPr>
        <w:ind w:left="2780"/>
        <w:spacing w:after="0"/>
        <w:rPr>
          <w:sz w:val="20"/>
          <w:szCs w:val="20"/>
          <w:color w:val="auto"/>
        </w:rPr>
      </w:pPr>
      <w:r>
        <w:rPr>
          <w:rFonts w:ascii="Times New Roman" w:cs="Times New Roman" w:eastAsia="Times New Roman" w:hAnsi="Times New Roman"/>
          <w:sz w:val="20"/>
          <w:szCs w:val="20"/>
          <w:color w:val="auto"/>
        </w:rPr>
        <w:t>GCO II AGGREGATOR 2 L.P.</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BlackRock Financial Management, Inc., its manager</w:t>
      </w:r>
    </w:p>
    <w:p>
      <w:pPr>
        <w:spacing w:after="0" w:line="200" w:lineRule="exact"/>
        <w:rPr>
          <w:sz w:val="20"/>
          <w:szCs w:val="20"/>
          <w:color w:val="auto"/>
        </w:rPr>
      </w:pPr>
    </w:p>
    <w:p>
      <w:pPr>
        <w:spacing w:after="0" w:line="27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A. Lawrence</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Mark A. Lawrence</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80"/>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type w:val="continuous"/>
        </w:sectPr>
      </w:pPr>
    </w:p>
    <w:bookmarkStart w:id="70" w:name="page71"/>
    <w:bookmarkEnd w:id="70"/>
    <w:p>
      <w:pPr>
        <w:ind w:left="2780"/>
        <w:spacing w:after="0"/>
        <w:rPr>
          <w:sz w:val="20"/>
          <w:szCs w:val="20"/>
          <w:color w:val="auto"/>
        </w:rPr>
      </w:pPr>
      <w:r>
        <w:rPr>
          <w:rFonts w:ascii="Times New Roman" w:cs="Times New Roman" w:eastAsia="Times New Roman" w:hAnsi="Times New Roman"/>
          <w:sz w:val="19"/>
          <w:szCs w:val="19"/>
          <w:color w:val="auto"/>
        </w:rPr>
        <w:t>BLACKROCK DIVERSIFIED PRIVATE DEBT FUND</w:t>
      </w:r>
    </w:p>
    <w:p>
      <w:pPr>
        <w:spacing w:after="0" w:line="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MASTER LP</w:t>
      </w:r>
    </w:p>
    <w:p>
      <w:pPr>
        <w:ind w:left="2780"/>
        <w:spacing w:after="0" w:line="225" w:lineRule="auto"/>
        <w:rPr>
          <w:sz w:val="20"/>
          <w:szCs w:val="20"/>
          <w:color w:val="auto"/>
        </w:rPr>
      </w:pPr>
      <w:r>
        <w:rPr>
          <w:rFonts w:ascii="Times New Roman" w:cs="Times New Roman" w:eastAsia="Times New Roman" w:hAnsi="Times New Roman"/>
          <w:sz w:val="20"/>
          <w:szCs w:val="20"/>
          <w:color w:val="auto"/>
        </w:rPr>
        <w:t>By: BlackRock Financial Management, Inc., its</w:t>
      </w:r>
    </w:p>
    <w:p>
      <w:pPr>
        <w:ind w:left="2780"/>
        <w:spacing w:after="0"/>
        <w:rPr>
          <w:sz w:val="20"/>
          <w:szCs w:val="20"/>
          <w:color w:val="auto"/>
        </w:rPr>
      </w:pPr>
      <w:r>
        <w:rPr>
          <w:rFonts w:ascii="Times New Roman" w:cs="Times New Roman" w:eastAsia="Times New Roman" w:hAnsi="Times New Roman"/>
          <w:sz w:val="20"/>
          <w:szCs w:val="20"/>
          <w:color w:val="auto"/>
        </w:rPr>
        <w:t>Investment Manager</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Mark A. Lawrence</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Mark A. Lawrence</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80"/>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type w:val="continuous"/>
        </w:sectPr>
      </w:pPr>
    </w:p>
    <w:bookmarkStart w:id="71" w:name="page72"/>
    <w:bookmarkEnd w:id="71"/>
    <w:p>
      <w:pPr>
        <w:jc w:val="center"/>
        <w:ind w:right="-100"/>
        <w:spacing w:after="0"/>
        <w:rPr>
          <w:sz w:val="20"/>
          <w:szCs w:val="20"/>
          <w:color w:val="auto"/>
        </w:rPr>
      </w:pPr>
      <w:r>
        <w:rPr>
          <w:rFonts w:ascii="Times New Roman" w:cs="Times New Roman" w:eastAsia="Times New Roman" w:hAnsi="Times New Roman"/>
          <w:sz w:val="19"/>
          <w:szCs w:val="19"/>
          <w:color w:val="auto"/>
        </w:rPr>
        <w:t>BLACKROCK CAPITAL MARKETS, LLC</w:t>
      </w:r>
    </w:p>
    <w:p>
      <w:pPr>
        <w:spacing w:after="0" w:line="200" w:lineRule="exact"/>
        <w:rPr>
          <w:sz w:val="20"/>
          <w:szCs w:val="20"/>
          <w:color w:val="auto"/>
        </w:rPr>
      </w:pPr>
    </w:p>
    <w:p>
      <w:pPr>
        <w:spacing w:after="0" w:line="2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Phil Tseng</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Phil Tseng</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99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72" w:name="page73"/>
    <w:bookmarkEnd w:id="72"/>
    <w:p>
      <w:pPr>
        <w:ind w:left="2120" w:right="2099"/>
        <w:spacing w:after="0" w:line="255" w:lineRule="auto"/>
        <w:rPr>
          <w:sz w:val="20"/>
          <w:szCs w:val="20"/>
          <w:color w:val="auto"/>
        </w:rPr>
      </w:pPr>
      <w:r>
        <w:rPr>
          <w:rFonts w:ascii="Times New Roman" w:cs="Times New Roman" w:eastAsia="Times New Roman" w:hAnsi="Times New Roman"/>
          <w:sz w:val="19"/>
          <w:szCs w:val="19"/>
          <w:color w:val="auto"/>
        </w:rPr>
        <w:t>TENNENBAUM SENIOR LOAN FUND II, LP TENNENBAUM SENIOR LOAN FUND V, LLC TCP DIRECT LENDING FUND VIII-A, LLC RELIANCE STANDARD LIFE INSURANCE COMPANY PHILADELPHIA INDEMNITY INSURANCE COMPANY</w:t>
      </w:r>
    </w:p>
    <w:p>
      <w:pPr>
        <w:spacing w:after="0" w:line="18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On behalf of each of the above entities:</w:t>
      </w:r>
    </w:p>
    <w:p>
      <w:pPr>
        <w:spacing w:after="0" w:line="24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TENNENBAUM CAPITAL PARTNERS, LLC</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0" w:lineRule="exact"/>
        <w:rPr>
          <w:sz w:val="20"/>
          <w:szCs w:val="20"/>
          <w:color w:val="auto"/>
        </w:rPr>
      </w:pPr>
    </w:p>
    <w:p>
      <w:pPr>
        <w:spacing w:after="0" w:line="25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Phil Tseng</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Phil Tseng</w:t>
      </w:r>
    </w:p>
    <w:p>
      <w:pPr>
        <w:ind w:left="21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99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73" w:name="page74"/>
    <w:bookmarkEnd w:id="73"/>
    <w:p>
      <w:pPr>
        <w:ind w:left="2780"/>
        <w:spacing w:after="0"/>
        <w:rPr>
          <w:sz w:val="20"/>
          <w:szCs w:val="20"/>
          <w:color w:val="auto"/>
        </w:rPr>
      </w:pPr>
      <w:r>
        <w:rPr>
          <w:rFonts w:ascii="Times New Roman" w:cs="Times New Roman" w:eastAsia="Times New Roman" w:hAnsi="Times New Roman"/>
          <w:sz w:val="20"/>
          <w:szCs w:val="20"/>
          <w:color w:val="auto"/>
        </w:rPr>
        <w:t>TCP DLF VIII 2018 CLO, LLC</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SERIES I of SVOF/MM, LLC</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Its: Collateral Manager</w:t>
      </w: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Phil Tseng</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Phil Tseng</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99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74" w:name="page75"/>
    <w:bookmarkEnd w:id="74"/>
    <w:p>
      <w:pPr>
        <w:ind w:left="2780"/>
        <w:spacing w:after="0"/>
        <w:rPr>
          <w:sz w:val="20"/>
          <w:szCs w:val="20"/>
          <w:color w:val="auto"/>
        </w:rPr>
      </w:pPr>
      <w:r>
        <w:rPr>
          <w:rFonts w:ascii="Times New Roman" w:cs="Times New Roman" w:eastAsia="Times New Roman" w:hAnsi="Times New Roman"/>
          <w:sz w:val="20"/>
          <w:szCs w:val="20"/>
          <w:color w:val="auto"/>
        </w:rPr>
        <w:t>BLACKROCK DLF IX 2019 CLO, LLC</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BLACKROCK DLF IX 2019-G CLO, LLC</w:t>
      </w:r>
    </w:p>
    <w:p>
      <w:pPr>
        <w:ind w:left="2780"/>
        <w:spacing w:after="0" w:line="225" w:lineRule="auto"/>
        <w:rPr>
          <w:sz w:val="20"/>
          <w:szCs w:val="20"/>
          <w:color w:val="auto"/>
        </w:rPr>
      </w:pPr>
      <w:r>
        <w:rPr>
          <w:rFonts w:ascii="Times New Roman" w:cs="Times New Roman" w:eastAsia="Times New Roman" w:hAnsi="Times New Roman"/>
          <w:sz w:val="20"/>
          <w:szCs w:val="20"/>
          <w:color w:val="auto"/>
        </w:rPr>
        <w:t>BLACKROCK DLF IX 2020-1 CLO, LLC</w:t>
      </w:r>
    </w:p>
    <w:p>
      <w:pPr>
        <w:ind w:left="2780"/>
        <w:spacing w:after="0"/>
        <w:rPr>
          <w:sz w:val="20"/>
          <w:szCs w:val="20"/>
          <w:color w:val="auto"/>
        </w:rPr>
      </w:pPr>
      <w:r>
        <w:rPr>
          <w:rFonts w:ascii="Times New Roman" w:cs="Times New Roman" w:eastAsia="Times New Roman" w:hAnsi="Times New Roman"/>
          <w:sz w:val="20"/>
          <w:szCs w:val="20"/>
          <w:color w:val="auto"/>
        </w:rPr>
        <w:t>BLACKROCK DLF IX CLO 2021-1, LLC</w:t>
      </w:r>
    </w:p>
    <w:p>
      <w:pPr>
        <w:ind w:left="2780"/>
        <w:spacing w:after="0"/>
        <w:rPr>
          <w:sz w:val="20"/>
          <w:szCs w:val="20"/>
          <w:color w:val="auto"/>
        </w:rPr>
      </w:pPr>
      <w:r>
        <w:rPr>
          <w:rFonts w:ascii="Times New Roman" w:cs="Times New Roman" w:eastAsia="Times New Roman" w:hAnsi="Times New Roman"/>
          <w:sz w:val="20"/>
          <w:szCs w:val="20"/>
          <w:color w:val="auto"/>
        </w:rPr>
        <w:t>BLACKROCK DLF IX CLO 2021-2, LLC</w:t>
      </w: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BlackRock Capital Investment Advisors, LLC.</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Its: Collateral Manager</w:t>
      </w: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Phil Tseng</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Phil Tseng</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99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75" w:name="page76"/>
    <w:bookmarkEnd w:id="75"/>
    <w:p>
      <w:pPr>
        <w:ind w:left="2780"/>
        <w:spacing w:after="0"/>
        <w:rPr>
          <w:sz w:val="20"/>
          <w:szCs w:val="20"/>
          <w:color w:val="auto"/>
        </w:rPr>
      </w:pPr>
      <w:r>
        <w:rPr>
          <w:rFonts w:ascii="Times New Roman" w:cs="Times New Roman" w:eastAsia="Times New Roman" w:hAnsi="Times New Roman"/>
          <w:sz w:val="20"/>
          <w:szCs w:val="20"/>
          <w:color w:val="auto"/>
        </w:rPr>
        <w:t>BLACKROCK DLF IX ICAV,</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an umbrella type Irish collective asset management</w:t>
      </w:r>
    </w:p>
    <w:p>
      <w:pPr>
        <w:ind w:left="2780"/>
        <w:spacing w:after="0" w:line="225" w:lineRule="auto"/>
        <w:rPr>
          <w:sz w:val="20"/>
          <w:szCs w:val="20"/>
          <w:color w:val="auto"/>
        </w:rPr>
      </w:pPr>
      <w:r>
        <w:rPr>
          <w:rFonts w:ascii="Times New Roman" w:cs="Times New Roman" w:eastAsia="Times New Roman" w:hAnsi="Times New Roman"/>
          <w:sz w:val="20"/>
          <w:szCs w:val="20"/>
          <w:color w:val="auto"/>
        </w:rPr>
        <w:t>vehicle acting solely for and on behalf of its sub-fund</w:t>
      </w:r>
    </w:p>
    <w:p>
      <w:pPr>
        <w:ind w:left="2780"/>
        <w:spacing w:after="0"/>
        <w:rPr>
          <w:sz w:val="20"/>
          <w:szCs w:val="20"/>
          <w:color w:val="auto"/>
        </w:rPr>
      </w:pPr>
      <w:r>
        <w:rPr>
          <w:rFonts w:ascii="Times New Roman" w:cs="Times New Roman" w:eastAsia="Times New Roman" w:hAnsi="Times New Roman"/>
          <w:sz w:val="20"/>
          <w:szCs w:val="20"/>
          <w:color w:val="auto"/>
        </w:rPr>
        <w:t>BLACKROCK DIRECT LENDING FUND IX-U</w:t>
      </w:r>
    </w:p>
    <w:p>
      <w:pPr>
        <w:ind w:left="2780"/>
        <w:spacing w:after="0"/>
        <w:rPr>
          <w:sz w:val="20"/>
          <w:szCs w:val="20"/>
          <w:color w:val="auto"/>
        </w:rPr>
      </w:pPr>
      <w:r>
        <w:rPr>
          <w:rFonts w:ascii="Times New Roman" w:cs="Times New Roman" w:eastAsia="Times New Roman" w:hAnsi="Times New Roman"/>
          <w:sz w:val="20"/>
          <w:szCs w:val="20"/>
          <w:color w:val="auto"/>
        </w:rPr>
        <w:t>(IRELAND)</w:t>
      </w: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Blackrock Capital Investment Advisors, LLC</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Its: Investment Manager acting as attorney-in-fact</w:t>
      </w: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Phil Tseng</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Phil Tseng</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99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76" w:name="page77"/>
    <w:bookmarkEnd w:id="76"/>
    <w:p>
      <w:pPr>
        <w:ind w:left="2780"/>
        <w:spacing w:after="0"/>
        <w:rPr>
          <w:sz w:val="20"/>
          <w:szCs w:val="20"/>
          <w:color w:val="auto"/>
        </w:rPr>
      </w:pPr>
      <w:r>
        <w:rPr>
          <w:rFonts w:ascii="Times New Roman" w:cs="Times New Roman" w:eastAsia="Times New Roman" w:hAnsi="Times New Roman"/>
          <w:sz w:val="20"/>
          <w:szCs w:val="20"/>
          <w:color w:val="auto"/>
        </w:rPr>
        <w:t>BLACKROCK DLF IX ICAV,</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an umbrella type Irish collective asset management</w:t>
      </w:r>
    </w:p>
    <w:p>
      <w:pPr>
        <w:ind w:left="2780"/>
        <w:spacing w:after="0" w:line="225" w:lineRule="auto"/>
        <w:rPr>
          <w:sz w:val="20"/>
          <w:szCs w:val="20"/>
          <w:color w:val="auto"/>
        </w:rPr>
      </w:pPr>
      <w:r>
        <w:rPr>
          <w:rFonts w:ascii="Times New Roman" w:cs="Times New Roman" w:eastAsia="Times New Roman" w:hAnsi="Times New Roman"/>
          <w:sz w:val="20"/>
          <w:szCs w:val="20"/>
          <w:color w:val="auto"/>
        </w:rPr>
        <w:t>vehicle acting solely for and on behalf of its sub-fund</w:t>
      </w:r>
    </w:p>
    <w:p>
      <w:pPr>
        <w:ind w:left="2780"/>
        <w:spacing w:after="0"/>
        <w:rPr>
          <w:sz w:val="20"/>
          <w:szCs w:val="20"/>
          <w:color w:val="auto"/>
        </w:rPr>
      </w:pPr>
      <w:r>
        <w:rPr>
          <w:rFonts w:ascii="Times New Roman" w:cs="Times New Roman" w:eastAsia="Times New Roman" w:hAnsi="Times New Roman"/>
          <w:sz w:val="20"/>
          <w:szCs w:val="20"/>
          <w:color w:val="auto"/>
        </w:rPr>
        <w:t>BLACKROCK DIRECT LENDING FUND IX-L</w:t>
      </w:r>
    </w:p>
    <w:p>
      <w:pPr>
        <w:ind w:left="2780"/>
        <w:spacing w:after="0"/>
        <w:rPr>
          <w:sz w:val="20"/>
          <w:szCs w:val="20"/>
          <w:color w:val="auto"/>
        </w:rPr>
      </w:pPr>
      <w:r>
        <w:rPr>
          <w:rFonts w:ascii="Times New Roman" w:cs="Times New Roman" w:eastAsia="Times New Roman" w:hAnsi="Times New Roman"/>
          <w:sz w:val="20"/>
          <w:szCs w:val="20"/>
          <w:color w:val="auto"/>
        </w:rPr>
        <w:t>(IRELAND)</w:t>
      </w: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Blackrock Capital Investment Advisors, LLC</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Its: Investment Manager acting as attorney-in-fact</w:t>
      </w: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Phil Tseng</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Phil Tseng</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99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77" w:name="page78"/>
    <w:bookmarkEnd w:id="77"/>
    <w:p>
      <w:pPr>
        <w:ind w:left="2780"/>
        <w:spacing w:after="0"/>
        <w:rPr>
          <w:sz w:val="20"/>
          <w:szCs w:val="20"/>
          <w:color w:val="auto"/>
        </w:rPr>
      </w:pPr>
      <w:r>
        <w:rPr>
          <w:rFonts w:ascii="Times New Roman" w:cs="Times New Roman" w:eastAsia="Times New Roman" w:hAnsi="Times New Roman"/>
          <w:sz w:val="20"/>
          <w:szCs w:val="20"/>
          <w:color w:val="auto"/>
        </w:rPr>
        <w:t>BLACKROCK DIRECT LENDING FUND IX-U</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(LUXEMBOURG) SCSP</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Blackrock Capital Investment Advisors, LLC</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Phil Tseng</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Phil Tseng</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999"/>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sectPr>
      </w:pPr>
    </w:p>
    <w:bookmarkStart w:id="78" w:name="page79"/>
    <w:bookmarkEnd w:id="78"/>
    <w:p>
      <w:pPr>
        <w:ind w:left="2780"/>
        <w:spacing w:after="0"/>
        <w:rPr>
          <w:sz w:val="20"/>
          <w:szCs w:val="20"/>
          <w:color w:val="auto"/>
        </w:rPr>
      </w:pP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Acquiom Agency Services LLC</w:t>
      </w:r>
    </w:p>
    <w:p>
      <w:pPr>
        <w:spacing w:after="0" w:line="200" w:lineRule="exact"/>
        <w:rPr>
          <w:sz w:val="20"/>
          <w:szCs w:val="20"/>
          <w:color w:val="auto"/>
        </w:rPr>
      </w:pPr>
    </w:p>
    <w:p>
      <w:pPr>
        <w:spacing w:after="0" w:line="3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Karyn Kesselring</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Karyn Kesselring</w:t>
      </w: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16"/>
          <w:szCs w:val="16"/>
          <w:i w:val="1"/>
          <w:iCs w:val="1"/>
          <w:color w:val="auto"/>
        </w:rPr>
        <w:t>[First Amendment to Term Loan Agreement]</w:t>
      </w:r>
    </w:p>
    <w:p>
      <w:pPr>
        <w:sectPr>
          <w:pgSz w:w="11900" w:h="16838" w:orient="portrait"/>
          <w:cols w:equalWidth="0" w:num="1">
            <w:col w:w="9019"/>
          </w:cols>
          <w:pgMar w:left="1440" w:top="1413" w:right="1440" w:bottom="1440" w:gutter="0" w:footer="0" w:header="0"/>
          <w:type w:val="continuous"/>
        </w:sectPr>
      </w:pPr>
    </w:p>
    <w:bookmarkStart w:id="79" w:name="page80"/>
    <w:bookmarkEnd w:id="79"/>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LIMITED CONSENT AND SECOND AMENDMENT</w:t>
      </w:r>
    </w:p>
    <w:p>
      <w:pPr>
        <w:spacing w:after="0" w:line="24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6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TERM LOAN CREDIT AGREEMENT</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LIMITED CONSENT AND SECOND AMENDMENT TO TERM LOAN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October 29, 2024 is made by and among CARET HOLDINGS,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other Loan Parties party hereto, the Prior Lenders (as defined below), the Second Amendment Lenders (as defined below) and the Lenders party hereto and Acquiom Agency Services LLC,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PRELIMINARY STATEMENTS</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WHEREAS, reference is made to that certain Term Loan Agreement, dated as of January 26, 2022 (as amended by that certain First Amendment to Term Loan Credit Agreement dated as of September 17, 2024 and as further amended, restated, amended and restated, supplemented or otherwise modified prior to the date hereof,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and as amended by this Amendment,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the Borrower, the other Loan Parties from time to time party thereto, the Lenders from time to time party thereto and the Administrative Agent;</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reference is made to that certain Guaranty and Security Agreement, dated as of January 26, 2022 (as amended, restated, amended and restated, supplemented or otherwise modified prior to the date hereof, the “</w:t>
      </w:r>
      <w:r>
        <w:rPr>
          <w:rFonts w:ascii="Times New Roman" w:cs="Times New Roman" w:eastAsia="Times New Roman" w:hAnsi="Times New Roman"/>
          <w:sz w:val="22"/>
          <w:szCs w:val="22"/>
          <w:u w:val="single" w:color="auto"/>
          <w:color w:val="auto"/>
        </w:rPr>
        <w:t>Existing Guaranty and Security Agreement</w:t>
      </w:r>
      <w:r>
        <w:rPr>
          <w:rFonts w:ascii="Times New Roman" w:cs="Times New Roman" w:eastAsia="Times New Roman" w:hAnsi="Times New Roman"/>
          <w:sz w:val="22"/>
          <w:szCs w:val="22"/>
          <w:color w:val="auto"/>
        </w:rPr>
        <w:t>” and as amended by this Amendment, the “</w:t>
      </w:r>
      <w:r>
        <w:rPr>
          <w:rFonts w:ascii="Times New Roman" w:cs="Times New Roman" w:eastAsia="Times New Roman" w:hAnsi="Times New Roman"/>
          <w:sz w:val="22"/>
          <w:szCs w:val="22"/>
          <w:u w:val="single" w:color="auto"/>
          <w:color w:val="auto"/>
        </w:rPr>
        <w:t>Guaranty and 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Loan Parties in favor of the Administrative Agent;</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Borrower has requested that all of the Lenders as of the time immediately prior to the effectiveness of this Amendment (such Lenders, the “</w:t>
      </w:r>
      <w:r>
        <w:rPr>
          <w:rFonts w:ascii="Times New Roman" w:cs="Times New Roman" w:eastAsia="Times New Roman" w:hAnsi="Times New Roman"/>
          <w:sz w:val="22"/>
          <w:szCs w:val="22"/>
          <w:u w:val="single" w:color="auto"/>
          <w:color w:val="auto"/>
        </w:rPr>
        <w:t>Prior Lenders</w:t>
      </w:r>
      <w:r>
        <w:rPr>
          <w:rFonts w:ascii="Times New Roman" w:cs="Times New Roman" w:eastAsia="Times New Roman" w:hAnsi="Times New Roman"/>
          <w:sz w:val="22"/>
          <w:szCs w:val="22"/>
          <w:color w:val="auto"/>
        </w:rPr>
        <w:t xml:space="preserve">”) consent to a non-pro rata optional prepayment of the Loans in the amount of $237,061,087.10 on the date hereof as set forth on </w:t>
      </w:r>
      <w:r>
        <w:rPr>
          <w:rFonts w:ascii="Times New Roman" w:cs="Times New Roman" w:eastAsia="Times New Roman" w:hAnsi="Times New Roman"/>
          <w:sz w:val="22"/>
          <w:szCs w:val="22"/>
          <w:u w:val="single" w:color="auto"/>
          <w:color w:val="auto"/>
        </w:rPr>
        <w:t>Annex E</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Non-Pro Rata Optional Prepayment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WHEREAS, the Borrower has requested that the Second Amendment Lenders (as defined below) provide commitments to fund the Second Amendment Term Loans (as defined below) in the aggregate amount of $137,061,087.10 on the date hereof in the amounts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the Credit Agreement, as updated pursuant to this amendment</w:t>
      </w:r>
      <w:r>
        <w:rPr>
          <w:rFonts w:ascii="Times New Roman" w:cs="Times New Roman" w:eastAsia="Times New Roman" w:hAnsi="Times New Roman"/>
          <w:sz w:val="22"/>
          <w:szCs w:val="22"/>
          <w:color w:val="FF0000"/>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subject to the terms and conditions set forth in this Amendment, the parties hereto have agreed to amend the Existing Credit Agreement as more fully set forth herein.</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agreements, provisions and covenants herein contained, the parties hereto agree as follows:</w:t>
      </w:r>
    </w:p>
    <w:p>
      <w:pPr>
        <w:spacing w:after="0" w:line="185" w:lineRule="exact"/>
        <w:rPr>
          <w:sz w:val="20"/>
          <w:szCs w:val="20"/>
          <w:color w:val="auto"/>
        </w:rPr>
      </w:pPr>
    </w:p>
    <w:p>
      <w:pPr>
        <w:jc w:val="both"/>
        <w:ind w:firstLine="973"/>
        <w:spacing w:after="0" w:line="256" w:lineRule="auto"/>
        <w:tabs>
          <w:tab w:leader="none" w:pos="15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Unless otherwise specifically defined herein, each capitalized term used herein has the meaning assigned to such term in the Existing Credit Agreement. The rules of construction and other interpretive provisions specified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of the Existing Credit Agreement shall apply to this Amendment, including terms defined in the preamble and recitals hereto.</w:t>
      </w:r>
    </w:p>
    <w:p>
      <w:pPr>
        <w:sectPr>
          <w:pgSz w:w="11900" w:h="16838" w:orient="portrait"/>
          <w:cols w:equalWidth="0" w:num="1">
            <w:col w:w="10180"/>
          </w:cols>
          <w:pgMar w:left="1380" w:top="689" w:right="339" w:bottom="1440" w:gutter="0" w:footer="0" w:header="0"/>
        </w:sectPr>
      </w:pPr>
    </w:p>
    <w:bookmarkStart w:id="80" w:name="page81"/>
    <w:bookmarkEnd w:id="80"/>
    <w:p>
      <w:pPr>
        <w:ind w:left="-60" w:firstLine="892"/>
        <w:spacing w:after="0" w:line="271" w:lineRule="auto"/>
        <w:tabs>
          <w:tab w:leader="none" w:pos="147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Subject to the satisfaction of the conditions to effectiveness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below, the parties hereto agree as follows:</w:t>
      </w:r>
    </w:p>
    <w:p>
      <w:pPr>
        <w:spacing w:after="0" w:line="194" w:lineRule="exact"/>
        <w:rPr>
          <w:rFonts w:ascii="Times New Roman" w:cs="Times New Roman" w:eastAsia="Times New Roman" w:hAnsi="Times New Roman"/>
          <w:sz w:val="22"/>
          <w:szCs w:val="22"/>
          <w:color w:val="auto"/>
        </w:rPr>
      </w:pPr>
    </w:p>
    <w:p>
      <w:pPr>
        <w:jc w:val="both"/>
        <w:ind w:left="-60" w:firstLine="1540"/>
        <w:spacing w:after="0" w:line="249" w:lineRule="auto"/>
        <w:tabs>
          <w:tab w:leader="none" w:pos="212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Existing Credit Agreement</w:t>
      </w:r>
      <w:r>
        <w:rPr>
          <w:rFonts w:ascii="Times New Roman" w:cs="Times New Roman" w:eastAsia="Times New Roman" w:hAnsi="Times New Roman"/>
          <w:sz w:val="22"/>
          <w:szCs w:val="22"/>
          <w:color w:val="auto"/>
        </w:rPr>
        <w:t>. The Existing Credit Agreement (excluding the schedules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exhibits thereto, which shall remain in full force and effect, except as specifically amended and restated pursuant to the applicable sub-sections of this Section 2) is hereby amended, 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attached hereto,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to add the double-underlined text (indicated textually in the same manner as the following example: </w:t>
      </w:r>
      <w:r>
        <w:rPr>
          <w:rFonts w:ascii="Times New Roman" w:cs="Times New Roman" w:eastAsia="Times New Roman" w:hAnsi="Times New Roman"/>
          <w:sz w:val="22"/>
          <w:szCs w:val="22"/>
          <w:u w:val="single" w:color="auto"/>
          <w:color w:val="0B0BC5"/>
        </w:rPr>
        <w:t>double-underlined text</w:t>
      </w:r>
      <w:r>
        <w:rPr>
          <w:rFonts w:ascii="Times New Roman" w:cs="Times New Roman" w:eastAsia="Times New Roman" w:hAnsi="Times New Roman"/>
          <w:sz w:val="22"/>
          <w:szCs w:val="22"/>
          <w:color w:val="auto"/>
        </w:rPr>
        <w:t xml:space="preserve">), and to move from its location the stricken text in green (indicated textually in the same manner as the following example: </w:t>
      </w:r>
      <w:r>
        <w:rPr>
          <w:rFonts w:ascii="Times New Roman" w:cs="Times New Roman" w:eastAsia="Times New Roman" w:hAnsi="Times New Roman"/>
          <w:sz w:val="22"/>
          <w:szCs w:val="22"/>
          <w:color w:val="0DA30D"/>
          <w:strike w:val="1"/>
        </w:rPr>
        <w:t>moved from text</w:t>
      </w:r>
      <w:r>
        <w:rPr>
          <w:rFonts w:ascii="Times New Roman" w:cs="Times New Roman" w:eastAsia="Times New Roman" w:hAnsi="Times New Roman"/>
          <w:sz w:val="22"/>
          <w:szCs w:val="22"/>
          <w:color w:val="000000"/>
        </w:rPr>
        <w:t>) and to move into its new location the double-underlined text in green (indicated textually in the</w:t>
      </w:r>
      <w:r>
        <w:rPr>
          <w:rFonts w:ascii="Times New Roman" w:cs="Times New Roman" w:eastAsia="Times New Roman" w:hAnsi="Times New Roman"/>
          <w:sz w:val="22"/>
          <w:szCs w:val="22"/>
          <w:color w:val="0DA30D"/>
        </w:rPr>
        <w:t xml:space="preserve"> </w:t>
      </w:r>
      <w:r>
        <w:rPr>
          <w:rFonts w:ascii="Times New Roman" w:cs="Times New Roman" w:eastAsia="Times New Roman" w:hAnsi="Times New Roman"/>
          <w:sz w:val="22"/>
          <w:szCs w:val="22"/>
          <w:color w:val="000000"/>
        </w:rPr>
        <w:t xml:space="preserve">same manner as the following example: </w:t>
      </w:r>
      <w:r>
        <w:rPr>
          <w:rFonts w:ascii="Times New Roman" w:cs="Times New Roman" w:eastAsia="Times New Roman" w:hAnsi="Times New Roman"/>
          <w:sz w:val="22"/>
          <w:szCs w:val="22"/>
          <w:u w:val="single" w:color="auto"/>
          <w:color w:val="0DA30D"/>
        </w:rPr>
        <w:t>moved to text</w:t>
      </w:r>
      <w:r>
        <w:rPr>
          <w:rFonts w:ascii="Times New Roman" w:cs="Times New Roman" w:eastAsia="Times New Roman" w:hAnsi="Times New Roman"/>
          <w:sz w:val="22"/>
          <w:szCs w:val="22"/>
          <w:color w:val="000000"/>
        </w:rPr>
        <w:t>).</w:t>
      </w:r>
    </w:p>
    <w:p>
      <w:pPr>
        <w:spacing w:after="0" w:line="208" w:lineRule="exact"/>
        <w:rPr>
          <w:rFonts w:ascii="Times New Roman" w:cs="Times New Roman" w:eastAsia="Times New Roman" w:hAnsi="Times New Roman"/>
          <w:sz w:val="22"/>
          <w:szCs w:val="22"/>
          <w:color w:val="auto"/>
        </w:rPr>
      </w:pPr>
    </w:p>
    <w:p>
      <w:pPr>
        <w:jc w:val="both"/>
        <w:ind w:left="-60" w:firstLine="1540"/>
        <w:spacing w:after="0" w:line="259" w:lineRule="auto"/>
        <w:tabs>
          <w:tab w:leader="none" w:pos="212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Amendments to Existing Schedules to the Existing Credit Agreement</w:t>
      </w:r>
      <w:r>
        <w:rPr>
          <w:rFonts w:ascii="Times New Roman" w:cs="Times New Roman" w:eastAsia="Times New Roman" w:hAnsi="Times New Roman"/>
          <w:sz w:val="22"/>
          <w:szCs w:val="22"/>
          <w:color w:val="auto"/>
        </w:rPr>
        <w:t>. All of the existing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schedules to the Existing Credit Agreement are hereby deleted in their entirety and replaced with the corresponding schedules to the Credit Agreement set forth in </w:t>
      </w:r>
      <w:r>
        <w:rPr>
          <w:rFonts w:ascii="Times New Roman" w:cs="Times New Roman" w:eastAsia="Times New Roman" w:hAnsi="Times New Roman"/>
          <w:sz w:val="22"/>
          <w:szCs w:val="22"/>
          <w:u w:val="single" w:color="auto"/>
          <w:color w:val="auto"/>
        </w:rPr>
        <w:t>Annex B-1</w:t>
      </w:r>
      <w:r>
        <w:rPr>
          <w:rFonts w:ascii="Times New Roman" w:cs="Times New Roman" w:eastAsia="Times New Roman" w:hAnsi="Times New Roman"/>
          <w:sz w:val="22"/>
          <w:szCs w:val="22"/>
          <w:color w:val="auto"/>
        </w:rPr>
        <w:t xml:space="preserve"> attached to this Amendment.</w:t>
      </w:r>
    </w:p>
    <w:p>
      <w:pPr>
        <w:spacing w:after="0" w:line="206" w:lineRule="exact"/>
        <w:rPr>
          <w:rFonts w:ascii="Times New Roman" w:cs="Times New Roman" w:eastAsia="Times New Roman" w:hAnsi="Times New Roman"/>
          <w:sz w:val="22"/>
          <w:szCs w:val="22"/>
          <w:color w:val="auto"/>
        </w:rPr>
      </w:pPr>
    </w:p>
    <w:p>
      <w:pPr>
        <w:ind w:left="-60" w:firstLine="1540"/>
        <w:spacing w:after="0" w:line="275" w:lineRule="auto"/>
        <w:tabs>
          <w:tab w:leader="none" w:pos="212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Amendments to Add Schedules to the Credit Agreement</w:t>
      </w:r>
      <w:r>
        <w:rPr>
          <w:rFonts w:ascii="Times New Roman" w:cs="Times New Roman" w:eastAsia="Times New Roman" w:hAnsi="Times New Roman"/>
          <w:sz w:val="22"/>
          <w:szCs w:val="22"/>
          <w:color w:val="auto"/>
        </w:rPr>
        <w:t>. Each of the following new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schedules is hereby added to the Credit Agreement in the form set forth in </w:t>
      </w:r>
      <w:r>
        <w:rPr>
          <w:rFonts w:ascii="Times New Roman" w:cs="Times New Roman" w:eastAsia="Times New Roman" w:hAnsi="Times New Roman"/>
          <w:sz w:val="22"/>
          <w:szCs w:val="22"/>
          <w:u w:val="single" w:color="auto"/>
          <w:color w:val="auto"/>
        </w:rPr>
        <w:t>Annex B-2</w:t>
      </w:r>
      <w:r>
        <w:rPr>
          <w:rFonts w:ascii="Times New Roman" w:cs="Times New Roman" w:eastAsia="Times New Roman" w:hAnsi="Times New Roman"/>
          <w:sz w:val="22"/>
          <w:szCs w:val="22"/>
          <w:color w:val="auto"/>
        </w:rPr>
        <w:t xml:space="preserve"> attached to this Amendment:</w:t>
      </w:r>
    </w:p>
    <w:p>
      <w:pPr>
        <w:spacing w:after="0" w:line="180" w:lineRule="exact"/>
        <w:rPr>
          <w:rFonts w:ascii="Times New Roman" w:cs="Times New Roman" w:eastAsia="Times New Roman" w:hAnsi="Times New Roman"/>
          <w:sz w:val="22"/>
          <w:szCs w:val="22"/>
          <w:color w:val="auto"/>
        </w:rPr>
      </w:pPr>
    </w:p>
    <w:p>
      <w:pPr>
        <w:ind w:left="2780" w:hanging="532"/>
        <w:spacing w:after="0"/>
        <w:tabs>
          <w:tab w:leader="none" w:pos="278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7.1(j) (Certain Agreements).</w:t>
      </w:r>
    </w:p>
    <w:p>
      <w:pPr>
        <w:spacing w:after="0" w:line="242" w:lineRule="exact"/>
        <w:rPr>
          <w:rFonts w:ascii="Times New Roman" w:cs="Times New Roman" w:eastAsia="Times New Roman" w:hAnsi="Times New Roman"/>
          <w:sz w:val="22"/>
          <w:szCs w:val="22"/>
          <w:color w:val="auto"/>
        </w:rPr>
      </w:pPr>
    </w:p>
    <w:p>
      <w:pPr>
        <w:jc w:val="both"/>
        <w:ind w:left="-60" w:firstLine="1540"/>
        <w:spacing w:after="0" w:line="265" w:lineRule="auto"/>
        <w:tabs>
          <w:tab w:leader="none" w:pos="212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Amendments to Exhibits to the Existing Credit Agreement</w:t>
      </w:r>
      <w:r>
        <w:rPr>
          <w:rFonts w:ascii="Times New Roman" w:cs="Times New Roman" w:eastAsia="Times New Roman" w:hAnsi="Times New Roman"/>
          <w:sz w:val="22"/>
          <w:szCs w:val="22"/>
          <w:color w:val="auto"/>
        </w:rPr>
        <w:t>. Each of the following exhibits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Existing Credit Agreement is hereby deleted in its entirety and replaced with the corresponding exhibits set forth in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attached to this Amendment:</w:t>
      </w:r>
    </w:p>
    <w:p>
      <w:pPr>
        <w:spacing w:after="0" w:line="192" w:lineRule="exact"/>
        <w:rPr>
          <w:rFonts w:ascii="Times New Roman" w:cs="Times New Roman" w:eastAsia="Times New Roman" w:hAnsi="Times New Roman"/>
          <w:sz w:val="22"/>
          <w:szCs w:val="22"/>
          <w:color w:val="auto"/>
        </w:rPr>
      </w:pPr>
    </w:p>
    <w:p>
      <w:pPr>
        <w:ind w:left="2780" w:hanging="532"/>
        <w:spacing w:after="0"/>
        <w:tabs>
          <w:tab w:leader="none" w:pos="278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3.1(b)(vi) (Form of Officer’s Certificate);</w:t>
      </w:r>
    </w:p>
    <w:p>
      <w:pPr>
        <w:spacing w:after="0" w:line="246" w:lineRule="exact"/>
        <w:rPr>
          <w:rFonts w:ascii="Times New Roman" w:cs="Times New Roman" w:eastAsia="Times New Roman" w:hAnsi="Times New Roman"/>
          <w:sz w:val="22"/>
          <w:szCs w:val="22"/>
          <w:color w:val="auto"/>
        </w:rPr>
      </w:pPr>
    </w:p>
    <w:p>
      <w:pPr>
        <w:ind w:left="2780" w:hanging="591"/>
        <w:spacing w:after="0"/>
        <w:tabs>
          <w:tab w:leader="none" w:pos="278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5.1(d) (Form of Monthly Certificated Liquidity Report); and</w:t>
      </w:r>
    </w:p>
    <w:p>
      <w:pPr>
        <w:spacing w:after="0" w:line="246" w:lineRule="exact"/>
        <w:rPr>
          <w:rFonts w:ascii="Times New Roman" w:cs="Times New Roman" w:eastAsia="Times New Roman" w:hAnsi="Times New Roman"/>
          <w:sz w:val="22"/>
          <w:szCs w:val="22"/>
          <w:color w:val="auto"/>
        </w:rPr>
      </w:pPr>
    </w:p>
    <w:p>
      <w:pPr>
        <w:ind w:left="2780" w:hanging="651"/>
        <w:spacing w:after="0"/>
        <w:tabs>
          <w:tab w:leader="none" w:pos="278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5.1(e) (Form of Compliance Certificate).</w:t>
      </w:r>
    </w:p>
    <w:p>
      <w:pPr>
        <w:spacing w:after="0" w:line="242" w:lineRule="exact"/>
        <w:rPr>
          <w:rFonts w:ascii="Times New Roman" w:cs="Times New Roman" w:eastAsia="Times New Roman" w:hAnsi="Times New Roman"/>
          <w:sz w:val="22"/>
          <w:szCs w:val="22"/>
          <w:color w:val="auto"/>
        </w:rPr>
      </w:pPr>
    </w:p>
    <w:p>
      <w:pPr>
        <w:jc w:val="both"/>
        <w:ind w:left="-60" w:firstLine="1540"/>
        <w:spacing w:after="0" w:line="258" w:lineRule="auto"/>
        <w:tabs>
          <w:tab w:leader="none" w:pos="212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Amendments to Existing Schedules to the Existing Guaranty and Security Agreement</w:t>
      </w:r>
      <w:r>
        <w:rPr>
          <w:rFonts w:ascii="Times New Roman" w:cs="Times New Roman" w:eastAsia="Times New Roman" w:hAnsi="Times New Roman"/>
          <w:sz w:val="22"/>
          <w:szCs w:val="22"/>
          <w:color w:val="auto"/>
        </w:rPr>
        <w:t>.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existing schedules to the Existing Guaranty and Security Agreement are hereby deleted in their entirety and replaced with the corresponding schedules to the Guaranty and Security Agreement set forth in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attached to this Amendment.</w:t>
      </w:r>
    </w:p>
    <w:p>
      <w:pPr>
        <w:spacing w:after="0" w:line="198"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Consent and Agreements.</w:t>
      </w:r>
    </w:p>
    <w:p>
      <w:pPr>
        <w:spacing w:after="0" w:line="246" w:lineRule="exact"/>
        <w:rPr>
          <w:rFonts w:ascii="Times New Roman" w:cs="Times New Roman" w:eastAsia="Times New Roman" w:hAnsi="Times New Roman"/>
          <w:sz w:val="22"/>
          <w:szCs w:val="22"/>
          <w:color w:val="auto"/>
        </w:rPr>
      </w:pPr>
    </w:p>
    <w:p>
      <w:pPr>
        <w:jc w:val="both"/>
        <w:ind w:left="-60" w:firstLine="1540"/>
        <w:spacing w:after="0" w:line="253" w:lineRule="auto"/>
        <w:tabs>
          <w:tab w:leader="none" w:pos="212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their signature attached hereto, each Prior Lender hereby consents to the Non-Pro Rata Optional Prepayment and agrees that (i) the Non-Pro Rata Optional Prepayment shall be permitted to be made on the Second Amendment Effective Date without any prior notice requirement and (ii) the Non-Pro Rata Optional Prepayment shall be paid without any Prepayment Premium, in each case, notwithstanding anything to the contrary in the Existing Credit Agreement.</w:t>
      </w:r>
    </w:p>
    <w:p>
      <w:pPr>
        <w:sectPr>
          <w:pgSz w:w="11900" w:h="16838" w:orient="portrait"/>
          <w:cols w:equalWidth="0" w:num="1">
            <w:col w:w="10120"/>
          </w:cols>
          <w:pgMar w:left="1440" w:top="693" w:right="339" w:bottom="1440" w:gutter="0" w:footer="0" w:header="0"/>
        </w:sectPr>
      </w:pPr>
    </w:p>
    <w:bookmarkStart w:id="81" w:name="page82"/>
    <w:bookmarkEnd w:id="81"/>
    <w:p>
      <w:pPr>
        <w:jc w:val="both"/>
        <w:ind w:left="-60" w:firstLine="1540"/>
        <w:spacing w:after="0" w:line="275" w:lineRule="auto"/>
        <w:tabs>
          <w:tab w:leader="none" w:pos="212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satisfaction of the conditions set forth in Section 4 below, on the terms set forth herein and in the Credit Agreement, each Lender set forth as a “Second Amendment Lender”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to the Credit Agreement, as updated pursuant to this Amendment (each such Lender, a “</w:t>
      </w:r>
      <w:r>
        <w:rPr>
          <w:rFonts w:ascii="Times New Roman" w:cs="Times New Roman" w:eastAsia="Times New Roman" w:hAnsi="Times New Roman"/>
          <w:sz w:val="21"/>
          <w:szCs w:val="21"/>
          <w:u w:val="single" w:color="auto"/>
          <w:color w:val="auto"/>
        </w:rPr>
        <w:t>Second Amendment Lender</w:t>
      </w:r>
      <w:r>
        <w:rPr>
          <w:rFonts w:ascii="Times New Roman" w:cs="Times New Roman" w:eastAsia="Times New Roman" w:hAnsi="Times New Roman"/>
          <w:sz w:val="21"/>
          <w:szCs w:val="21"/>
          <w:color w:val="auto"/>
        </w:rPr>
        <w:t xml:space="preserve">”) agrees, severally and not jointly, to make a Term Loan in an amount equal to the amount set forth opposite such Second Amendment Lender’s name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to the Credit Agreement, as updated pursuant to this Amendment (each such Term Loan, a “</w:t>
      </w:r>
      <w:r>
        <w:rPr>
          <w:rFonts w:ascii="Times New Roman" w:cs="Times New Roman" w:eastAsia="Times New Roman" w:hAnsi="Times New Roman"/>
          <w:sz w:val="21"/>
          <w:szCs w:val="21"/>
          <w:u w:val="single" w:color="auto"/>
          <w:color w:val="auto"/>
        </w:rPr>
        <w:t>Second Amendment Term Loan</w:t>
      </w:r>
      <w:r>
        <w:rPr>
          <w:rFonts w:ascii="Times New Roman" w:cs="Times New Roman" w:eastAsia="Times New Roman" w:hAnsi="Times New Roman"/>
          <w:sz w:val="21"/>
          <w:szCs w:val="21"/>
          <w:color w:val="auto"/>
        </w:rPr>
        <w:t>”) on the Second Amendment Effective Date (all such Second Amendment Lenders’ commitments, in aggregate, the “</w:t>
      </w:r>
      <w:r>
        <w:rPr>
          <w:rFonts w:ascii="Times New Roman" w:cs="Times New Roman" w:eastAsia="Times New Roman" w:hAnsi="Times New Roman"/>
          <w:sz w:val="21"/>
          <w:szCs w:val="21"/>
          <w:u w:val="single" w:color="auto"/>
          <w:color w:val="auto"/>
        </w:rPr>
        <w:t>Second Amendment Term Loan Commitment</w:t>
      </w:r>
      <w:r>
        <w:rPr>
          <w:rFonts w:ascii="Times New Roman" w:cs="Times New Roman" w:eastAsia="Times New Roman" w:hAnsi="Times New Roman"/>
          <w:sz w:val="21"/>
          <w:szCs w:val="21"/>
          <w:color w:val="auto"/>
        </w:rPr>
        <w:t>”).</w:t>
      </w:r>
    </w:p>
    <w:p>
      <w:pPr>
        <w:spacing w:after="0" w:line="196" w:lineRule="exact"/>
        <w:rPr>
          <w:rFonts w:ascii="Times New Roman" w:cs="Times New Roman" w:eastAsia="Times New Roman" w:hAnsi="Times New Roman"/>
          <w:sz w:val="21"/>
          <w:szCs w:val="21"/>
          <w:color w:val="auto"/>
        </w:rPr>
      </w:pPr>
    </w:p>
    <w:p>
      <w:pPr>
        <w:jc w:val="both"/>
        <w:ind w:left="-60" w:firstLine="1540"/>
        <w:spacing w:after="0" w:line="259" w:lineRule="auto"/>
        <w:tabs>
          <w:tab w:leader="none" w:pos="212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Second Amendment Effective Date, (i) each Second Amendment Lender shall be a “Lender” for all purposes under the Credit Agreement and the other Loan Documents and perform all the obligations of, and have all the rights of, a Lender thereunder, (ii) each of the Second Amendment Term Loan Commitments of each Second Amendment Lender shall be “Term Loan Commitment” for all purposes under the Credit Agreement and the other Loan Documents, and (iii) except to the extent otherwise provided for in this Amendment, the Second Amendment Term Loan of each Second Amendment Lender shall be a “Term Loan”, in the case of each of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subject to terms and provisions identical to those applicable to the Term Loans outstanding immediately prior to the Second Amendment Effective Date (such Term Loans, the “</w:t>
      </w:r>
      <w:r>
        <w:rPr>
          <w:rFonts w:ascii="Times New Roman" w:cs="Times New Roman" w:eastAsia="Times New Roman" w:hAnsi="Times New Roman"/>
          <w:sz w:val="22"/>
          <w:szCs w:val="22"/>
          <w:u w:val="single" w:color="auto"/>
          <w:color w:val="auto"/>
        </w:rPr>
        <w:t>Existing Term Loans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jc w:val="both"/>
        <w:ind w:left="-60" w:firstLine="1540"/>
        <w:spacing w:after="0" w:line="270" w:lineRule="auto"/>
        <w:tabs>
          <w:tab w:leader="none" w:pos="212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previously terminated, the commitments of the Second Amendment Lenders pursuant to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shall terminate upon the making of the Second Amendment Term Loans on the Second Amendment Effective Date.</w:t>
      </w:r>
    </w:p>
    <w:p>
      <w:pPr>
        <w:spacing w:after="0" w:line="199" w:lineRule="exact"/>
        <w:rPr>
          <w:rFonts w:ascii="Times New Roman" w:cs="Times New Roman" w:eastAsia="Times New Roman" w:hAnsi="Times New Roman"/>
          <w:sz w:val="22"/>
          <w:szCs w:val="22"/>
          <w:color w:val="auto"/>
        </w:rPr>
      </w:pPr>
    </w:p>
    <w:p>
      <w:pPr>
        <w:jc w:val="both"/>
        <w:ind w:left="-60" w:firstLine="1540"/>
        <w:spacing w:after="0" w:line="258" w:lineRule="auto"/>
        <w:tabs>
          <w:tab w:leader="none" w:pos="212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Second Amendment Lender: (i) confirms that a copy of the Credit Agreement and the other applicable Loan Documents, together with copies of the financial statements referred to therein and such other documents and information as it has deemed appropriate to make its own credit analysis and decision to enter into this Amendment and make a Second Amendment Term Loan, have been made available to such Second Amendment Lender; (ii) agrees that it will, independently and without reliance upon Administrative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Administrative Agent to take such action as agent on its behalf and to exercise such powers under the Credit Agreement and the other Loan Documents as are delegated to Administrative Agent, by the terms thereof, together with such powers as are reasonably incidental thereto; and (iv) acknowledges and agrees that, upon the Second Amendment Effective Date, such Second Amendment Lender shall be subject to and bound by the terms thereof, and shall perform all the obligations of and shall have all rights of a Lender thereunder.</w:t>
      </w:r>
    </w:p>
    <w:p>
      <w:pPr>
        <w:spacing w:after="0" w:line="217" w:lineRule="exact"/>
        <w:rPr>
          <w:rFonts w:ascii="Times New Roman" w:cs="Times New Roman" w:eastAsia="Times New Roman" w:hAnsi="Times New Roman"/>
          <w:sz w:val="22"/>
          <w:szCs w:val="22"/>
          <w:color w:val="auto"/>
        </w:rPr>
      </w:pPr>
    </w:p>
    <w:p>
      <w:pPr>
        <w:jc w:val="both"/>
        <w:ind w:left="-60" w:firstLine="1540"/>
        <w:spacing w:after="0" w:line="278" w:lineRule="auto"/>
        <w:tabs>
          <w:tab w:leader="none" w:pos="212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agrees that the proceeds of the Second Amendment Term Loans shall be used solely as follows: (i) on the Second Amendment Effective Date, first, to add cash to the balance sheets of the Loan Parties (including to replenish balance sheet cash used in connection with the Non-Pro Rata Optional Prepayment) and to fund the payment of fees, costs and expenses incurred by the Loan Parties in connection with the Non-Pro Rata Optional Prepayment and the issuance of the Second Amendment Term Loans; and (ii) after the Second</w:t>
      </w:r>
    </w:p>
    <w:p>
      <w:pPr>
        <w:sectPr>
          <w:pgSz w:w="11900" w:h="16838" w:orient="portrait"/>
          <w:cols w:equalWidth="0" w:num="1">
            <w:col w:w="10120"/>
          </w:cols>
          <w:pgMar w:left="1440" w:top="693" w:right="339" w:bottom="1440" w:gutter="0" w:footer="0" w:header="0"/>
        </w:sectPr>
      </w:pPr>
    </w:p>
    <w:bookmarkStart w:id="82" w:name="page83"/>
    <w:bookmarkEnd w:id="82"/>
    <w:p>
      <w:pPr>
        <w:spacing w:after="0" w:line="284" w:lineRule="auto"/>
        <w:rPr>
          <w:sz w:val="20"/>
          <w:szCs w:val="20"/>
          <w:color w:val="auto"/>
        </w:rPr>
      </w:pPr>
      <w:r>
        <w:rPr>
          <w:rFonts w:ascii="Times New Roman" w:cs="Times New Roman" w:eastAsia="Times New Roman" w:hAnsi="Times New Roman"/>
          <w:sz w:val="22"/>
          <w:szCs w:val="22"/>
          <w:color w:val="auto"/>
        </w:rPr>
        <w:t>Amendment Effective Date, to the extent any proceeds remain, to fund working capital and general corporate purposes of the Loan Parties, in each case, not prohibited by the Credit Agreement.</w:t>
      </w:r>
    </w:p>
    <w:p>
      <w:pPr>
        <w:spacing w:after="0" w:line="184" w:lineRule="exact"/>
        <w:rPr>
          <w:sz w:val="20"/>
          <w:szCs w:val="20"/>
          <w:color w:val="auto"/>
        </w:rPr>
      </w:pPr>
    </w:p>
    <w:p>
      <w:pPr>
        <w:jc w:val="both"/>
        <w:ind w:firstLine="892"/>
        <w:spacing w:after="0" w:line="265" w:lineRule="auto"/>
        <w:tabs>
          <w:tab w:leader="none" w:pos="15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Effectiveness</w:t>
      </w:r>
      <w:r>
        <w:rPr>
          <w:rFonts w:ascii="Times New Roman" w:cs="Times New Roman" w:eastAsia="Times New Roman" w:hAnsi="Times New Roman"/>
          <w:sz w:val="22"/>
          <w:szCs w:val="22"/>
          <w:color w:val="auto"/>
        </w:rPr>
        <w:t xml:space="preserve">. This Amendment, the consents and agreements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each Second Amendment Lender’s obligation to provide the Second Amendment Term Loans pursuant to this Amendment shall become effective as of the first date on which all of the following conditions precedent are satisfied (or waived in accordance with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of the Credit Agreement):</w:t>
      </w:r>
    </w:p>
    <w:p>
      <w:pPr>
        <w:spacing w:after="0" w:line="205" w:lineRule="exact"/>
        <w:rPr>
          <w:rFonts w:ascii="Times New Roman" w:cs="Times New Roman" w:eastAsia="Times New Roman" w:hAnsi="Times New Roman"/>
          <w:sz w:val="22"/>
          <w:szCs w:val="22"/>
          <w:color w:val="auto"/>
        </w:rPr>
      </w:pPr>
    </w:p>
    <w:p>
      <w:pPr>
        <w:ind w:firstLine="1540"/>
        <w:spacing w:after="0" w:line="284" w:lineRule="auto"/>
        <w:tabs>
          <w:tab w:leader="none" w:pos="218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by each party hereto of a copy of this Amendment executed by the Borrower, each other Loan Party party hereto, the Lenders and the Administrative Agent;</w:t>
      </w:r>
    </w:p>
    <w:p>
      <w:pPr>
        <w:spacing w:after="0" w:line="184" w:lineRule="exact"/>
        <w:rPr>
          <w:rFonts w:ascii="Times New Roman" w:cs="Times New Roman" w:eastAsia="Times New Roman" w:hAnsi="Times New Roman"/>
          <w:sz w:val="22"/>
          <w:szCs w:val="22"/>
          <w:color w:val="auto"/>
        </w:rPr>
      </w:pPr>
    </w:p>
    <w:p>
      <w:pPr>
        <w:ind w:firstLine="1540"/>
        <w:spacing w:after="0" w:line="284" w:lineRule="auto"/>
        <w:tabs>
          <w:tab w:leader="none" w:pos="218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by the Administrative Agent (or its counsel) of the following, each in form and substance reasonably satisfactory to the Administrative Agent and the Lenders:</w:t>
      </w:r>
    </w:p>
    <w:p>
      <w:pPr>
        <w:spacing w:after="0" w:line="184" w:lineRule="exact"/>
        <w:rPr>
          <w:rFonts w:ascii="Times New Roman" w:cs="Times New Roman" w:eastAsia="Times New Roman" w:hAnsi="Times New Roman"/>
          <w:sz w:val="22"/>
          <w:szCs w:val="22"/>
          <w:color w:val="auto"/>
        </w:rPr>
      </w:pPr>
    </w:p>
    <w:p>
      <w:pPr>
        <w:ind w:left="2840" w:hanging="532"/>
        <w:spacing w:after="0"/>
        <w:tabs>
          <w:tab w:leader="none" w:pos="28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amendments to the Warrants, duly executed by the parties thereto;</w:t>
      </w:r>
    </w:p>
    <w:p>
      <w:pPr>
        <w:spacing w:after="0" w:line="260" w:lineRule="exact"/>
        <w:rPr>
          <w:rFonts w:ascii="Times New Roman" w:cs="Times New Roman" w:eastAsia="Times New Roman" w:hAnsi="Times New Roman"/>
          <w:sz w:val="22"/>
          <w:szCs w:val="22"/>
          <w:color w:val="auto"/>
        </w:rPr>
      </w:pPr>
    </w:p>
    <w:p>
      <w:pPr>
        <w:ind w:left="2840" w:right="20" w:hanging="591"/>
        <w:spacing w:after="0" w:line="284" w:lineRule="auto"/>
        <w:tabs>
          <w:tab w:leader="none" w:pos="28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Observation Side Letter, duly executed by Holdings and the Lenders and other Persons party thereto;</w:t>
      </w:r>
    </w:p>
    <w:p>
      <w:pPr>
        <w:spacing w:after="0" w:line="184" w:lineRule="exact"/>
        <w:rPr>
          <w:rFonts w:ascii="Times New Roman" w:cs="Times New Roman" w:eastAsia="Times New Roman" w:hAnsi="Times New Roman"/>
          <w:sz w:val="22"/>
          <w:szCs w:val="22"/>
          <w:color w:val="auto"/>
        </w:rPr>
      </w:pPr>
    </w:p>
    <w:p>
      <w:pPr>
        <w:ind w:left="2840" w:hanging="651"/>
        <w:spacing w:after="0" w:line="284" w:lineRule="auto"/>
        <w:tabs>
          <w:tab w:leader="none" w:pos="28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Second Amendment BlackRock Fee Letter, duly executed by the Borrower and the Lenders party thereto;</w:t>
      </w:r>
    </w:p>
    <w:p>
      <w:pPr>
        <w:spacing w:after="0" w:line="184" w:lineRule="exact"/>
        <w:rPr>
          <w:rFonts w:ascii="Times New Roman" w:cs="Times New Roman" w:eastAsia="Times New Roman" w:hAnsi="Times New Roman"/>
          <w:sz w:val="22"/>
          <w:szCs w:val="22"/>
          <w:color w:val="auto"/>
        </w:rPr>
      </w:pPr>
    </w:p>
    <w:p>
      <w:pPr>
        <w:ind w:left="2840" w:right="20" w:hanging="640"/>
        <w:spacing w:after="0" w:line="284" w:lineRule="auto"/>
        <w:tabs>
          <w:tab w:leader="none" w:pos="28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Perfection Certificate, dated as of the date hereof, duly executed by each Loan Party in favor of the Administrative Agent and the Lenders;</w:t>
      </w:r>
    </w:p>
    <w:p>
      <w:pPr>
        <w:spacing w:after="0" w:line="184" w:lineRule="exact"/>
        <w:rPr>
          <w:rFonts w:ascii="Times New Roman" w:cs="Times New Roman" w:eastAsia="Times New Roman" w:hAnsi="Times New Roman"/>
          <w:sz w:val="22"/>
          <w:szCs w:val="22"/>
          <w:color w:val="auto"/>
        </w:rPr>
      </w:pPr>
    </w:p>
    <w:p>
      <w:pPr>
        <w:ind w:left="2840" w:hanging="579"/>
        <w:spacing w:after="0"/>
        <w:tabs>
          <w:tab w:leader="none" w:pos="28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of customary lien and judgment searches with respect to each Loan Party;</w:t>
      </w:r>
    </w:p>
    <w:p>
      <w:pPr>
        <w:spacing w:after="0" w:line="260" w:lineRule="exact"/>
        <w:rPr>
          <w:rFonts w:ascii="Times New Roman" w:cs="Times New Roman" w:eastAsia="Times New Roman" w:hAnsi="Times New Roman"/>
          <w:sz w:val="22"/>
          <w:szCs w:val="22"/>
          <w:color w:val="auto"/>
        </w:rPr>
      </w:pPr>
    </w:p>
    <w:p>
      <w:pPr>
        <w:ind w:left="2840" w:right="20" w:hanging="640"/>
        <w:spacing w:after="0" w:line="284" w:lineRule="auto"/>
        <w:tabs>
          <w:tab w:leader="none" w:pos="28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of prepayment with respect to $237,061,087.10 of Loans to be prepaid on the date hereof, duly executed by the Borrower;</w:t>
      </w:r>
    </w:p>
    <w:p>
      <w:pPr>
        <w:spacing w:after="0" w:line="184" w:lineRule="exact"/>
        <w:rPr>
          <w:rFonts w:ascii="Times New Roman" w:cs="Times New Roman" w:eastAsia="Times New Roman" w:hAnsi="Times New Roman"/>
          <w:sz w:val="22"/>
          <w:szCs w:val="22"/>
          <w:color w:val="auto"/>
        </w:rPr>
      </w:pPr>
    </w:p>
    <w:p>
      <w:pPr>
        <w:ind w:left="2840" w:hanging="699"/>
        <w:spacing w:after="0" w:line="284" w:lineRule="auto"/>
        <w:tabs>
          <w:tab w:leader="none" w:pos="28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of Borrowing with respect to the funding of any Second Amendment Loans to be made on the date hereof, duly executed by the Borrower;</w:t>
      </w:r>
    </w:p>
    <w:p>
      <w:pPr>
        <w:spacing w:after="0" w:line="184" w:lineRule="exact"/>
        <w:rPr>
          <w:rFonts w:ascii="Times New Roman" w:cs="Times New Roman" w:eastAsia="Times New Roman" w:hAnsi="Times New Roman"/>
          <w:sz w:val="22"/>
          <w:szCs w:val="22"/>
          <w:color w:val="auto"/>
        </w:rPr>
      </w:pPr>
    </w:p>
    <w:p>
      <w:pPr>
        <w:jc w:val="both"/>
        <w:ind w:left="2840" w:hanging="759"/>
        <w:spacing w:after="0" w:line="274" w:lineRule="auto"/>
        <w:tabs>
          <w:tab w:leader="none" w:pos="2840"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of the Secretary or Assistant Secretary of each Loan Party, substantially in the form of </w:t>
      </w:r>
      <w:r>
        <w:rPr>
          <w:rFonts w:ascii="Times New Roman" w:cs="Times New Roman" w:eastAsia="Times New Roman" w:hAnsi="Times New Roman"/>
          <w:sz w:val="21"/>
          <w:szCs w:val="21"/>
          <w:u w:val="single" w:color="auto"/>
          <w:color w:val="auto"/>
        </w:rPr>
        <w:t>Exhibit 3.1(b)(iii)</w:t>
      </w:r>
      <w:r>
        <w:rPr>
          <w:rFonts w:ascii="Times New Roman" w:cs="Times New Roman" w:eastAsia="Times New Roman" w:hAnsi="Times New Roman"/>
          <w:sz w:val="21"/>
          <w:szCs w:val="21"/>
          <w:color w:val="auto"/>
        </w:rPr>
        <w:t xml:space="preserve"> to the Credit Agreement, attaching and certifying copies of (x) its bylaws, limited liability company agreement, declaration of sole member or partnership agreement, as applicable, or equivalent thereof, (y) its articles or certificate of incorporation, certificate of formation, articles of organization or certificate of partnership, as applicable, or equivalent thereof and (z) the resolutions of its Board of Directors, shareholders (if required) or comparable authorizations, authorizing the execution, delivery and performance of the Loan</w:t>
      </w:r>
    </w:p>
    <w:p>
      <w:pPr>
        <w:sectPr>
          <w:pgSz w:w="11900" w:h="16838" w:orient="portrait"/>
          <w:cols w:equalWidth="0" w:num="1">
            <w:col w:w="10180"/>
          </w:cols>
          <w:pgMar w:left="1380" w:top="693" w:right="339" w:bottom="1440" w:gutter="0" w:footer="0" w:header="0"/>
        </w:sectPr>
      </w:pPr>
    </w:p>
    <w:bookmarkStart w:id="83" w:name="page84"/>
    <w:bookmarkEnd w:id="83"/>
    <w:p>
      <w:pPr>
        <w:jc w:val="both"/>
        <w:ind w:left="2780"/>
        <w:spacing w:after="0" w:line="270" w:lineRule="auto"/>
        <w:rPr>
          <w:sz w:val="20"/>
          <w:szCs w:val="20"/>
          <w:color w:val="auto"/>
        </w:rPr>
      </w:pPr>
      <w:r>
        <w:rPr>
          <w:rFonts w:ascii="Times New Roman" w:cs="Times New Roman" w:eastAsia="Times New Roman" w:hAnsi="Times New Roman"/>
          <w:sz w:val="22"/>
          <w:szCs w:val="22"/>
          <w:color w:val="auto"/>
        </w:rPr>
        <w:t>Document(s) to which it is a party and certifying the name, title and true signature of each officer of such Loan Party executing the Loan Document(s) to which it is a party;</w:t>
      </w:r>
    </w:p>
    <w:p>
      <w:pPr>
        <w:spacing w:after="0" w:line="199" w:lineRule="exact"/>
        <w:rPr>
          <w:sz w:val="20"/>
          <w:szCs w:val="20"/>
          <w:color w:val="auto"/>
        </w:rPr>
      </w:pPr>
    </w:p>
    <w:p>
      <w:pPr>
        <w:jc w:val="both"/>
        <w:ind w:left="2780" w:hanging="640"/>
        <w:spacing w:after="0" w:line="270" w:lineRule="auto"/>
        <w:tabs>
          <w:tab w:leader="none" w:pos="27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good standing or existence, as may be available from the Secretary of State of the jurisdiction of organization of each Loan Party issued on the date hereof or as reasonably close to the date hereof as possible;</w:t>
      </w:r>
    </w:p>
    <w:p>
      <w:pPr>
        <w:spacing w:after="0" w:line="199" w:lineRule="exact"/>
        <w:rPr>
          <w:rFonts w:ascii="Times New Roman" w:cs="Times New Roman" w:eastAsia="Times New Roman" w:hAnsi="Times New Roman"/>
          <w:sz w:val="22"/>
          <w:szCs w:val="22"/>
          <w:color w:val="auto"/>
        </w:rPr>
      </w:pPr>
    </w:p>
    <w:p>
      <w:pPr>
        <w:jc w:val="both"/>
        <w:ind w:left="2780" w:hanging="579"/>
        <w:spacing w:after="0" w:line="260" w:lineRule="auto"/>
        <w:tabs>
          <w:tab w:leader="none" w:pos="27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opinions of Kirkland &amp; Ellis LLP and Jones Day, counsel to the Loan Parties, as applicable, addressed to the Administrative Agent and each of the Lenders, and covering such matters relating to the Loan Parties, the Loan Documents and the transactions contemplated therein as the Administrative Agent and the Lenders shall reasonably request (which opinions shall expressly permit reliance by permitted successors and assigns of the Administrative Agent and the Lenders);</w:t>
      </w:r>
    </w:p>
    <w:p>
      <w:pPr>
        <w:spacing w:after="0" w:line="214" w:lineRule="exact"/>
        <w:rPr>
          <w:rFonts w:ascii="Times New Roman" w:cs="Times New Roman" w:eastAsia="Times New Roman" w:hAnsi="Times New Roman"/>
          <w:sz w:val="22"/>
          <w:szCs w:val="22"/>
          <w:color w:val="auto"/>
        </w:rPr>
      </w:pPr>
    </w:p>
    <w:p>
      <w:pPr>
        <w:jc w:val="both"/>
        <w:ind w:left="2780" w:hanging="640"/>
        <w:spacing w:after="0" w:line="258" w:lineRule="auto"/>
        <w:tabs>
          <w:tab w:leader="none" w:pos="27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substantially in the form of </w:t>
      </w:r>
      <w:r>
        <w:rPr>
          <w:rFonts w:ascii="Times New Roman" w:cs="Times New Roman" w:eastAsia="Times New Roman" w:hAnsi="Times New Roman"/>
          <w:sz w:val="22"/>
          <w:szCs w:val="22"/>
          <w:u w:val="single" w:color="auto"/>
          <w:color w:val="auto"/>
        </w:rPr>
        <w:t>Exhibit 3.1(b)(vi)</w:t>
      </w:r>
      <w:r>
        <w:rPr>
          <w:rFonts w:ascii="Times New Roman" w:cs="Times New Roman" w:eastAsia="Times New Roman" w:hAnsi="Times New Roman"/>
          <w:sz w:val="22"/>
          <w:szCs w:val="22"/>
          <w:color w:val="auto"/>
        </w:rPr>
        <w:t xml:space="preserve"> to the Credit Agreement, dated as of the date hereof, and signed by a Responsible Officer of the Borrower, certifying that immediately after giving effect to consummation of the transactions contemplated to occur on the date hereof, (A) no Default or Event of Default exists or shall result therefrom, (B) all representations and warranties of each Loan Party set forth in the Loan Documents are true and correct in all material respects (other than those representations and warranties that are expressly qualified by “Material Adverse Effect” or other materiality, which representations and warranties shall be true and correct in all respects) and (C) since December 31, 2023, there shall have been no change which has had or would reasonably be expected to have a Material Adverse Effect;</w:t>
      </w:r>
    </w:p>
    <w:p>
      <w:pPr>
        <w:spacing w:after="0" w:line="221" w:lineRule="exact"/>
        <w:rPr>
          <w:rFonts w:ascii="Times New Roman" w:cs="Times New Roman" w:eastAsia="Times New Roman" w:hAnsi="Times New Roman"/>
          <w:sz w:val="22"/>
          <w:szCs w:val="22"/>
          <w:color w:val="auto"/>
        </w:rPr>
      </w:pPr>
    </w:p>
    <w:p>
      <w:pPr>
        <w:ind w:left="2780" w:hanging="699"/>
        <w:spacing w:after="0" w:line="309" w:lineRule="auto"/>
        <w:tabs>
          <w:tab w:leader="none" w:pos="278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satisfactory to the Administrative Agent and the Lenders that the Liquidity of the Borrower and the other Loan Parties shall be no less than $50,000,000; and</w:t>
      </w:r>
    </w:p>
    <w:p>
      <w:pPr>
        <w:spacing w:after="0" w:line="161" w:lineRule="exact"/>
        <w:rPr>
          <w:rFonts w:ascii="Times New Roman" w:cs="Times New Roman" w:eastAsia="Times New Roman" w:hAnsi="Times New Roman"/>
          <w:sz w:val="21"/>
          <w:szCs w:val="21"/>
          <w:color w:val="auto"/>
        </w:rPr>
      </w:pPr>
    </w:p>
    <w:p>
      <w:pPr>
        <w:ind w:left="2780" w:hanging="759"/>
        <w:spacing w:after="0" w:line="284" w:lineRule="auto"/>
        <w:tabs>
          <w:tab w:leader="none" w:pos="27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customary insurance policies and endorsements thereto maintained in accordance with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of the Credit Agreement;</w:t>
      </w:r>
    </w:p>
    <w:p>
      <w:pPr>
        <w:spacing w:after="0" w:line="184" w:lineRule="exact"/>
        <w:rPr>
          <w:rFonts w:ascii="Times New Roman" w:cs="Times New Roman" w:eastAsia="Times New Roman" w:hAnsi="Times New Roman"/>
          <w:sz w:val="22"/>
          <w:szCs w:val="22"/>
          <w:color w:val="auto"/>
        </w:rPr>
      </w:pPr>
    </w:p>
    <w:p>
      <w:pPr>
        <w:jc w:val="both"/>
        <w:ind w:left="-60" w:firstLine="1540"/>
        <w:spacing w:after="0" w:line="270" w:lineRule="auto"/>
        <w:tabs>
          <w:tab w:leader="none" w:pos="212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Parties shall have paid all reasonable and documented out-of-pocket costs and expenses of the Lenders and the Administrative Agent to the extent required to be paid under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the Credit Agreement and unpaid on the date hereof (including the attorney costs of Clifford Chance US LLP); and</w:t>
      </w:r>
    </w:p>
    <w:p>
      <w:pPr>
        <w:sectPr>
          <w:pgSz w:w="11900" w:h="16838" w:orient="portrait"/>
          <w:cols w:equalWidth="0" w:num="1">
            <w:col w:w="10120"/>
          </w:cols>
          <w:pgMar w:left="1440" w:top="693" w:right="339" w:bottom="1440" w:gutter="0" w:footer="0" w:header="0"/>
        </w:sectPr>
      </w:pPr>
    </w:p>
    <w:bookmarkStart w:id="84" w:name="page85"/>
    <w:bookmarkEnd w:id="84"/>
    <w:p>
      <w:pPr>
        <w:jc w:val="both"/>
        <w:ind w:firstLine="1540"/>
        <w:spacing w:after="0" w:line="244" w:lineRule="auto"/>
        <w:tabs>
          <w:tab w:leader="none" w:pos="218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the foregoing, with respect to the Second Amendment Term Loans made on the Second Amendment Effective Date, the conditions set forth in Section 3.2 of the Credit Agreement shall have been satisfied.</w:t>
      </w:r>
    </w:p>
    <w:p>
      <w:pPr>
        <w:spacing w:after="0" w:line="200" w:lineRule="exact"/>
        <w:rPr>
          <w:rFonts w:ascii="Times New Roman" w:cs="Times New Roman" w:eastAsia="Times New Roman" w:hAnsi="Times New Roman"/>
          <w:sz w:val="22"/>
          <w:szCs w:val="22"/>
          <w:color w:val="auto"/>
        </w:rPr>
      </w:pPr>
    </w:p>
    <w:p>
      <w:pPr>
        <w:ind w:firstLine="244"/>
        <w:spacing w:after="0" w:line="258" w:lineRule="auto"/>
        <w:tabs>
          <w:tab w:leader="none" w:pos="89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Lenders to enter into this Amendment, the Borrower hereby represents and warrants as follows:</w:t>
      </w:r>
    </w:p>
    <w:p>
      <w:pPr>
        <w:spacing w:after="0" w:line="185" w:lineRule="exact"/>
        <w:rPr>
          <w:rFonts w:ascii="Times New Roman" w:cs="Times New Roman" w:eastAsia="Times New Roman" w:hAnsi="Times New Roman"/>
          <w:sz w:val="22"/>
          <w:szCs w:val="22"/>
          <w:color w:val="auto"/>
        </w:rPr>
      </w:pPr>
    </w:p>
    <w:p>
      <w:pPr>
        <w:jc w:val="both"/>
        <w:ind w:firstLine="1540"/>
        <w:spacing w:after="0" w:line="233" w:lineRule="auto"/>
        <w:tabs>
          <w:tab w:leader="none" w:pos="218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Loan Party of this Amendment and the Credit Agreement have been duly authorized by all necessary organizational and, if required, shareholder, partner or member action on the part of such Loan Party.</w:t>
      </w:r>
    </w:p>
    <w:p>
      <w:pPr>
        <w:spacing w:after="0" w:line="2" w:lineRule="exact"/>
        <w:rPr>
          <w:rFonts w:ascii="Times New Roman" w:cs="Times New Roman" w:eastAsia="Times New Roman" w:hAnsi="Times New Roman"/>
          <w:sz w:val="22"/>
          <w:szCs w:val="22"/>
          <w:color w:val="auto"/>
        </w:rPr>
      </w:pPr>
    </w:p>
    <w:p>
      <w:pPr>
        <w:jc w:val="both"/>
        <w:ind w:firstLine="1540"/>
        <w:spacing w:after="0" w:line="234" w:lineRule="auto"/>
        <w:tabs>
          <w:tab w:leader="none" w:pos="218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constitutes, and the Credit Agreement continues to constitute valid and binding obligations of each Loan Party, enforceable against each Loan Party in accordance with their respective terms, except as may be limited by applicable bankruptcy, insolvency, reorganization, moratorium or similar laws affecting the enforcement of creditors' rights generally and by general principles of equity.</w:t>
      </w:r>
    </w:p>
    <w:p>
      <w:pPr>
        <w:spacing w:after="0" w:line="204" w:lineRule="exact"/>
        <w:rPr>
          <w:rFonts w:ascii="Times New Roman" w:cs="Times New Roman" w:eastAsia="Times New Roman" w:hAnsi="Times New Roman"/>
          <w:sz w:val="22"/>
          <w:szCs w:val="22"/>
          <w:color w:val="auto"/>
        </w:rPr>
      </w:pPr>
    </w:p>
    <w:p>
      <w:pPr>
        <w:jc w:val="both"/>
        <w:ind w:firstLine="1540"/>
        <w:spacing w:after="0" w:line="236" w:lineRule="auto"/>
        <w:tabs>
          <w:tab w:leader="none" w:pos="218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Amendment, each of the representations and warranties made by each Loan Party in the Credit Agreement is true and correct in all material respects (other than those representations and warranties that are expressly qualified by “Material Adverse Effect” or other materiality, which representations and warranties shall be true and correct in all respects) on and as of the date hereof as if made on and as of the date hereof (or, if such representation or warranty is expressly stated to have been made as of a specific date, as of such specific date).</w:t>
      </w:r>
    </w:p>
    <w:p>
      <w:pPr>
        <w:spacing w:after="0" w:line="208" w:lineRule="exact"/>
        <w:rPr>
          <w:rFonts w:ascii="Times New Roman" w:cs="Times New Roman" w:eastAsia="Times New Roman" w:hAnsi="Times New Roman"/>
          <w:sz w:val="22"/>
          <w:szCs w:val="22"/>
          <w:color w:val="auto"/>
        </w:rPr>
      </w:pPr>
    </w:p>
    <w:p>
      <w:pPr>
        <w:ind w:left="2180" w:hanging="640"/>
        <w:spacing w:after="0"/>
        <w:tabs>
          <w:tab w:leader="none" w:pos="218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or Default has occurred or would exist immediately after giving effect</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this Amendment.</w:t>
      </w:r>
    </w:p>
    <w:p>
      <w:pPr>
        <w:spacing w:after="0" w:line="209" w:lineRule="exact"/>
        <w:rPr>
          <w:rFonts w:ascii="Times New Roman" w:cs="Times New Roman" w:eastAsia="Times New Roman" w:hAnsi="Times New Roman"/>
          <w:sz w:val="21"/>
          <w:szCs w:val="21"/>
          <w:color w:val="auto"/>
        </w:rPr>
      </w:pPr>
    </w:p>
    <w:p>
      <w:pPr>
        <w:ind w:left="900" w:hanging="656"/>
        <w:spacing w:after="0"/>
        <w:tabs>
          <w:tab w:leader="none" w:pos="9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540"/>
        <w:spacing w:after="0" w:line="232" w:lineRule="auto"/>
        <w:tabs>
          <w:tab w:leader="none" w:pos="218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Effectiveness</w:t>
      </w:r>
      <w:r>
        <w:rPr>
          <w:rFonts w:ascii="Times New Roman" w:cs="Times New Roman" w:eastAsia="Times New Roman" w:hAnsi="Times New Roman"/>
          <w:sz w:val="22"/>
          <w:szCs w:val="22"/>
          <w:color w:val="auto"/>
        </w:rPr>
        <w:t>. This Amendment is not intended by the parties to be, and shall not be construed to be, a novation of the Credit Agreement. Except as expressly amended, the Credit Agreement, the other Loan Documents and all other documents, instruments and agreements executed and/or delivered in connection therewith, and all obligations thereunder and all guarantees, security interests and other credit support provided, shall remain in full force and effect, and are hereby ratified, reaffirmed and confirmed. The execution, delivery and effectiveness of this Amendment shall not operate as a waiver of any right, power or remedy of any Lender, nor constitute a waiver of any provision of the Credit Agreement, any Loan Document or any other documents, instruments or agreements executed and/or delivered under or in connection therewith. Upon the effectiveness of this Amendment, each reference in the Credit Agreement to “this Agreement”, “hereunder”, “hereof”, “herein” or words of like import shall mean and be a reference to the Existing Credit Agreement as amended hereby, and each reference in the other Loan Documents to the “Credit Agreement,” “thereunder,” “thereof,” “therein” or words of like import shall mean and be a reference to the Existing Credit Agreement as amended hereby. This Amendment constitutes a Loan Document.</w:t>
      </w:r>
    </w:p>
    <w:p>
      <w:pPr>
        <w:spacing w:after="0" w:line="209" w:lineRule="exact"/>
        <w:rPr>
          <w:rFonts w:ascii="Times New Roman" w:cs="Times New Roman" w:eastAsia="Times New Roman" w:hAnsi="Times New Roman"/>
          <w:sz w:val="22"/>
          <w:szCs w:val="22"/>
          <w:color w:val="auto"/>
        </w:rPr>
      </w:pPr>
    </w:p>
    <w:p>
      <w:pPr>
        <w:jc w:val="both"/>
        <w:ind w:firstLine="1540"/>
        <w:spacing w:after="0" w:line="236" w:lineRule="auto"/>
        <w:tabs>
          <w:tab w:leader="none" w:pos="218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Each Loan Party hereby expressly acknowledges the terms of this Amendment and reaffirms, as of the date hereof, (a) the terms, conditions, obligations covenants and agreements contained in each Loan Document to which it is a party, including, in each case, such terms, conditions, obligations covenants and agreements as in effect immediately after giving effect to this Amendment and the transactions contemplated hereby and (b) its guarantee of the Obligations, as applicable, and its grant of Liens, as applicable, on the Collateral</w:t>
      </w:r>
    </w:p>
    <w:p>
      <w:pPr>
        <w:sectPr>
          <w:pgSz w:w="11900" w:h="16838" w:orient="portrait"/>
          <w:cols w:equalWidth="0" w:num="1">
            <w:col w:w="10180"/>
          </w:cols>
          <w:pgMar w:left="1380" w:top="679" w:right="339" w:bottom="1440" w:gutter="0" w:footer="0" w:header="0"/>
        </w:sectPr>
      </w:pPr>
    </w:p>
    <w:bookmarkStart w:id="85" w:name="page86"/>
    <w:bookmarkEnd w:id="85"/>
    <w:p>
      <w:pPr>
        <w:ind w:right="20"/>
        <w:spacing w:after="0" w:line="258" w:lineRule="auto"/>
        <w:rPr>
          <w:sz w:val="20"/>
          <w:szCs w:val="20"/>
          <w:color w:val="auto"/>
        </w:rPr>
      </w:pPr>
      <w:r>
        <w:rPr>
          <w:rFonts w:ascii="Times New Roman" w:cs="Times New Roman" w:eastAsia="Times New Roman" w:hAnsi="Times New Roman"/>
          <w:sz w:val="22"/>
          <w:szCs w:val="22"/>
          <w:color w:val="auto"/>
        </w:rPr>
        <w:t>to secure the Obligations pursuant to the Collateral Documents, with all such Liens continuing in full force and effect after giving effect to this Amendment.</w:t>
      </w:r>
    </w:p>
    <w:p>
      <w:pPr>
        <w:spacing w:after="0" w:line="185" w:lineRule="exact"/>
        <w:rPr>
          <w:sz w:val="20"/>
          <w:szCs w:val="20"/>
          <w:color w:val="auto"/>
        </w:rPr>
      </w:pPr>
    </w:p>
    <w:p>
      <w:pPr>
        <w:jc w:val="both"/>
        <w:ind w:firstLine="244"/>
        <w:spacing w:after="0" w:line="239" w:lineRule="auto"/>
        <w:tabs>
          <w:tab w:leader="none" w:pos="8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Borrower agrees to reimburse the Lenders and the Administrative Agent for their reasonable and documented out-of-pocket costs and expenses incurred in connection with this Amendment, in accordance with the provisions of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the Credit Agreement (and without duplication of such provision or any provision of this Amendment).</w:t>
      </w:r>
    </w:p>
    <w:p>
      <w:pPr>
        <w:spacing w:after="0" w:line="207" w:lineRule="exact"/>
        <w:rPr>
          <w:rFonts w:ascii="Times New Roman" w:cs="Times New Roman" w:eastAsia="Times New Roman" w:hAnsi="Times New Roman"/>
          <w:sz w:val="22"/>
          <w:szCs w:val="22"/>
          <w:color w:val="auto"/>
        </w:rPr>
      </w:pPr>
    </w:p>
    <w:p>
      <w:pPr>
        <w:ind w:firstLine="244"/>
        <w:spacing w:after="0" w:line="282" w:lineRule="auto"/>
        <w:tabs>
          <w:tab w:leader="none" w:pos="89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Jurisdiction; Consent to Service of Process; Waiver of Jury Trial</w:t>
      </w:r>
      <w:r>
        <w:rPr>
          <w:rFonts w:ascii="Times New Roman" w:cs="Times New Roman" w:eastAsia="Times New Roman" w:hAnsi="Times New Roman"/>
          <w:sz w:val="21"/>
          <w:szCs w:val="21"/>
          <w:color w:val="auto"/>
        </w:rPr>
        <w:t xml:space="preserve">. The entirety of Sections 10.5 and 10.6 of the Credit Agreement are hereby incorporated by reference herein, in each case,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ind w:firstLine="244"/>
        <w:spacing w:after="0" w:line="258" w:lineRule="auto"/>
        <w:tabs>
          <w:tab w:leader="none" w:pos="8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in this Amendment are included herein for convenience of reference only and shall not constitute a part of this Amendment for any other purpose.</w:t>
      </w:r>
    </w:p>
    <w:p>
      <w:pPr>
        <w:spacing w:after="0" w:line="185" w:lineRule="exact"/>
        <w:rPr>
          <w:rFonts w:ascii="Times New Roman" w:cs="Times New Roman" w:eastAsia="Times New Roman" w:hAnsi="Times New Roman"/>
          <w:sz w:val="22"/>
          <w:szCs w:val="22"/>
          <w:color w:val="auto"/>
        </w:rPr>
      </w:pPr>
    </w:p>
    <w:p>
      <w:pPr>
        <w:jc w:val="both"/>
        <w:ind w:firstLine="244"/>
        <w:spacing w:after="0" w:line="235" w:lineRule="auto"/>
        <w:tabs>
          <w:tab w:leader="none" w:pos="8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w:t>
      </w:r>
      <w:r>
        <w:rPr>
          <w:rFonts w:ascii="Times New Roman" w:cs="Times New Roman" w:eastAsia="Times New Roman" w:hAnsi="Times New Roman"/>
          <w:sz w:val="22"/>
          <w:szCs w:val="22"/>
          <w:color w:val="auto"/>
        </w:rPr>
        <w:t>. This Amendment may be executed by one or more of the parties to this Amendment on any number of separate counterparts, and all of said counterparts taken together shall be deemed to constitute one and the same instrument. This Amendment,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Amendment or any other Loan Document by facsimile transmission or by electronic mail in PDF or TIFF format shall be as effective as delivery of a manually executed counterpart hereof.</w:t>
      </w:r>
    </w:p>
    <w:p>
      <w:pPr>
        <w:spacing w:after="0" w:line="205" w:lineRule="exact"/>
        <w:rPr>
          <w:rFonts w:ascii="Times New Roman" w:cs="Times New Roman" w:eastAsia="Times New Roman" w:hAnsi="Times New Roman"/>
          <w:sz w:val="22"/>
          <w:szCs w:val="22"/>
          <w:color w:val="auto"/>
        </w:rPr>
      </w:pPr>
    </w:p>
    <w:p>
      <w:pPr>
        <w:ind w:firstLine="244"/>
        <w:spacing w:after="0" w:line="245" w:lineRule="auto"/>
        <w:tabs>
          <w:tab w:leader="none" w:pos="88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Agent Authorization</w:t>
      </w:r>
      <w:r>
        <w:rPr>
          <w:rFonts w:ascii="Times New Roman" w:cs="Times New Roman" w:eastAsia="Times New Roman" w:hAnsi="Times New Roman"/>
          <w:sz w:val="22"/>
          <w:szCs w:val="22"/>
          <w:color w:val="auto"/>
        </w:rPr>
        <w:t>. By its execution hereof, each of the undersigned Lenders hereby authorizes and directs the Administrative Agent to execute and deliver this Amendment on the date hereof.</w:t>
      </w:r>
    </w:p>
    <w:p>
      <w:pPr>
        <w:spacing w:after="0" w:line="19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10180"/>
          </w:cols>
          <w:pgMar w:left="1380" w:top="679" w:right="339" w:bottom="1440" w:gutter="0" w:footer="0" w:header="0"/>
        </w:sectPr>
      </w:pPr>
    </w:p>
    <w:bookmarkStart w:id="86" w:name="page87"/>
    <w:bookmarkEnd w:id="86"/>
    <w:p>
      <w:pPr>
        <w:ind w:firstLine="486"/>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by their proper and duly authorized officers as of the day and year first above written.</w:t>
      </w:r>
    </w:p>
    <w:p>
      <w:pPr>
        <w:spacing w:after="0" w:line="18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CARET HOLDINGS, INC.</w:t>
      </w: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-13970</wp:posOffset>
            </wp:positionV>
            <wp:extent cx="15621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2"/>
          <w:szCs w:val="22"/>
          <w:color w:val="auto"/>
        </w:rPr>
        <w:t>Name: Megan Binkley</w:t>
      </w:r>
    </w:p>
    <w:p>
      <w:pPr>
        <w:ind w:left="2780"/>
        <w:spacing w:after="0"/>
        <w:rPr>
          <w:sz w:val="20"/>
          <w:szCs w:val="20"/>
          <w:color w:val="auto"/>
        </w:rPr>
      </w:pPr>
      <w:r>
        <w:rPr>
          <w:rFonts w:ascii="Times New Roman" w:cs="Times New Roman" w:eastAsia="Times New Roman" w:hAnsi="Times New Roman"/>
          <w:sz w:val="22"/>
          <w:szCs w:val="22"/>
          <w:color w:val="auto"/>
        </w:rPr>
        <w:t>Title: Chief Financial Officer &amp; Assistant Secretary</w:t>
      </w:r>
    </w:p>
    <w:p>
      <w:pPr>
        <w:spacing w:after="0" w:line="200" w:lineRule="exact"/>
        <w:rPr>
          <w:sz w:val="20"/>
          <w:szCs w:val="20"/>
          <w:color w:val="auto"/>
        </w:rPr>
      </w:pP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ROOT, INC.</w:t>
      </w: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-13970</wp:posOffset>
            </wp:positionV>
            <wp:extent cx="15621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2"/>
          <w:szCs w:val="22"/>
          <w:color w:val="auto"/>
        </w:rPr>
        <w:t>Name: Megan Binkley</w:t>
      </w:r>
    </w:p>
    <w:p>
      <w:pPr>
        <w:ind w:left="2780"/>
        <w:spacing w:after="0"/>
        <w:rPr>
          <w:sz w:val="20"/>
          <w:szCs w:val="20"/>
          <w:color w:val="auto"/>
        </w:rPr>
      </w:pPr>
      <w:r>
        <w:rPr>
          <w:rFonts w:ascii="Times New Roman" w:cs="Times New Roman" w:eastAsia="Times New Roman" w:hAnsi="Times New Roman"/>
          <w:sz w:val="22"/>
          <w:szCs w:val="22"/>
          <w:color w:val="auto"/>
        </w:rPr>
        <w:t>Title: Chief Financial Officer &amp; Assistant Secretary</w:t>
      </w:r>
    </w:p>
    <w:p>
      <w:pPr>
        <w:sectPr>
          <w:pgSz w:w="11900" w:h="16838" w:orient="portrait"/>
          <w:cols w:equalWidth="0" w:num="1">
            <w:col w:w="9940"/>
          </w:cols>
          <w:pgMar w:left="1380" w:top="679" w:right="579" w:bottom="1440" w:gutter="0" w:footer="0" w:header="0"/>
        </w:sectPr>
      </w:pPr>
    </w:p>
    <w:bookmarkStart w:id="87" w:name="page88"/>
    <w:bookmarkEnd w:id="87"/>
    <w:p>
      <w:pPr>
        <w:ind w:left="2720"/>
        <w:spacing w:after="0"/>
        <w:rPr>
          <w:sz w:val="20"/>
          <w:szCs w:val="20"/>
          <w:color w:val="auto"/>
        </w:rPr>
      </w:pPr>
      <w:r>
        <w:rPr>
          <w:rFonts w:ascii="Times New Roman" w:cs="Times New Roman" w:eastAsia="Times New Roman" w:hAnsi="Times New Roman"/>
          <w:sz w:val="22"/>
          <w:szCs w:val="22"/>
          <w:u w:val="single" w:color="auto"/>
          <w:color w:val="auto"/>
        </w:rPr>
        <w:t>OTHER LOAN PARTIES</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ROOT INSURANCE AGENCY, LLC</w:t>
      </w:r>
    </w:p>
    <w:p>
      <w:pPr>
        <w:spacing w:after="0" w:line="200" w:lineRule="exact"/>
        <w:rPr>
          <w:sz w:val="20"/>
          <w:szCs w:val="20"/>
          <w:color w:val="auto"/>
        </w:rPr>
      </w:pPr>
    </w:p>
    <w:p>
      <w:pPr>
        <w:spacing w:after="0" w:line="2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621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Megan Binkley</w:t>
      </w:r>
    </w:p>
    <w:p>
      <w:pPr>
        <w:ind w:left="2720"/>
        <w:spacing w:after="0"/>
        <w:rPr>
          <w:sz w:val="20"/>
          <w:szCs w:val="20"/>
          <w:color w:val="auto"/>
        </w:rPr>
      </w:pPr>
      <w:r>
        <w:rPr>
          <w:rFonts w:ascii="Times New Roman" w:cs="Times New Roman" w:eastAsia="Times New Roman" w:hAnsi="Times New Roman"/>
          <w:sz w:val="22"/>
          <w:szCs w:val="22"/>
          <w:color w:val="auto"/>
        </w:rPr>
        <w:t>Title: Chief Accounting Officer &amp; Assistant Secretary</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ROOT LONE STAR INSURANCE AGENCY, INC.</w:t>
      </w:r>
    </w:p>
    <w:p>
      <w:pPr>
        <w:spacing w:after="0" w:line="200" w:lineRule="exact"/>
        <w:rPr>
          <w:sz w:val="20"/>
          <w:szCs w:val="20"/>
          <w:color w:val="auto"/>
        </w:rPr>
      </w:pPr>
    </w:p>
    <w:p>
      <w:pPr>
        <w:spacing w:after="0" w:line="2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621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2720"/>
        <w:spacing w:after="0" w:line="231" w:lineRule="auto"/>
        <w:rPr>
          <w:sz w:val="20"/>
          <w:szCs w:val="20"/>
          <w:color w:val="auto"/>
        </w:rPr>
      </w:pPr>
      <w:r>
        <w:rPr>
          <w:rFonts w:ascii="Times New Roman" w:cs="Times New Roman" w:eastAsia="Times New Roman" w:hAnsi="Times New Roman"/>
          <w:sz w:val="22"/>
          <w:szCs w:val="22"/>
          <w:color w:val="auto"/>
        </w:rPr>
        <w:t>Name: Megan Binkley</w:t>
      </w:r>
    </w:p>
    <w:p>
      <w:pPr>
        <w:ind w:left="2700"/>
        <w:spacing w:after="0"/>
        <w:rPr>
          <w:sz w:val="20"/>
          <w:szCs w:val="20"/>
          <w:color w:val="auto"/>
        </w:rPr>
      </w:pPr>
      <w:r>
        <w:rPr>
          <w:rFonts w:ascii="Times New Roman" w:cs="Times New Roman" w:eastAsia="Times New Roman" w:hAnsi="Times New Roman"/>
          <w:sz w:val="21"/>
          <w:szCs w:val="21"/>
          <w:color w:val="auto"/>
        </w:rPr>
        <w:t>Title: Chief Financial Officer, Chief Accounting Officer &amp; Assistant Secretary</w:t>
      </w:r>
    </w:p>
    <w:p>
      <w:pPr>
        <w:spacing w:after="0" w:line="200" w:lineRule="exact"/>
        <w:rPr>
          <w:sz w:val="20"/>
          <w:szCs w:val="20"/>
          <w:color w:val="auto"/>
        </w:rPr>
      </w:pPr>
    </w:p>
    <w:p>
      <w:pPr>
        <w:spacing w:after="0" w:line="26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ROOT ENTERPRISE, LLC</w:t>
      </w:r>
    </w:p>
    <w:p>
      <w:pPr>
        <w:spacing w:after="0" w:line="200" w:lineRule="exact"/>
        <w:rPr>
          <w:sz w:val="20"/>
          <w:szCs w:val="20"/>
          <w:color w:val="auto"/>
        </w:rPr>
      </w:pPr>
    </w:p>
    <w:p>
      <w:pPr>
        <w:spacing w:after="0" w:line="2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621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Megan Binkley</w:t>
      </w:r>
    </w:p>
    <w:p>
      <w:pPr>
        <w:ind w:left="2720"/>
        <w:spacing w:after="0"/>
        <w:rPr>
          <w:sz w:val="20"/>
          <w:szCs w:val="20"/>
          <w:color w:val="auto"/>
        </w:rPr>
      </w:pPr>
      <w:r>
        <w:rPr>
          <w:rFonts w:ascii="Times New Roman" w:cs="Times New Roman" w:eastAsia="Times New Roman" w:hAnsi="Times New Roman"/>
          <w:sz w:val="22"/>
          <w:szCs w:val="22"/>
          <w:color w:val="auto"/>
        </w:rPr>
        <w:t>Title: Chief Accounting Officer &amp; Assistant Secretary</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ROOT SCOUT, LLC</w:t>
      </w:r>
    </w:p>
    <w:p>
      <w:pPr>
        <w:spacing w:after="0" w:line="200" w:lineRule="exact"/>
        <w:rPr>
          <w:sz w:val="20"/>
          <w:szCs w:val="20"/>
          <w:color w:val="auto"/>
        </w:rPr>
      </w:pPr>
    </w:p>
    <w:p>
      <w:pPr>
        <w:spacing w:after="0" w:line="2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621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Megan Binkley</w:t>
      </w:r>
    </w:p>
    <w:p>
      <w:pPr>
        <w:ind w:left="2720"/>
        <w:spacing w:after="0"/>
        <w:rPr>
          <w:sz w:val="20"/>
          <w:szCs w:val="20"/>
          <w:color w:val="auto"/>
        </w:rPr>
      </w:pPr>
      <w:r>
        <w:rPr>
          <w:rFonts w:ascii="Times New Roman" w:cs="Times New Roman" w:eastAsia="Times New Roman" w:hAnsi="Times New Roman"/>
          <w:sz w:val="22"/>
          <w:szCs w:val="22"/>
          <w:color w:val="auto"/>
        </w:rPr>
        <w:t>Title: Chief Accounting Officer &amp; Assistant Secretary</w:t>
      </w:r>
    </w:p>
    <w:p>
      <w:pPr>
        <w:sectPr>
          <w:pgSz w:w="11900" w:h="16838" w:orient="portrait"/>
          <w:cols w:equalWidth="0" w:num="1">
            <w:col w:w="9480"/>
          </w:cols>
          <w:pgMar w:left="1440" w:top="679" w:right="979" w:bottom="1440" w:gutter="0" w:footer="0" w:header="0"/>
        </w:sectPr>
      </w:pPr>
    </w:p>
    <w:bookmarkStart w:id="88" w:name="page89"/>
    <w:bookmarkEnd w:id="88"/>
    <w:p>
      <w:pPr>
        <w:ind w:left="2720"/>
        <w:spacing w:after="0"/>
        <w:rPr>
          <w:sz w:val="20"/>
          <w:szCs w:val="20"/>
          <w:color w:val="auto"/>
        </w:rPr>
      </w:pP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GCO II AGGREGATOR 2 L.P.</w:t>
      </w:r>
    </w:p>
    <w:p>
      <w:pPr>
        <w:spacing w:after="0" w:line="2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By: BlackRock Financial Management, Inc., its manager</w:t>
      </w:r>
    </w:p>
    <w:p>
      <w:pPr>
        <w:spacing w:after="0" w:line="200" w:lineRule="exact"/>
        <w:rPr>
          <w:sz w:val="20"/>
          <w:szCs w:val="20"/>
          <w:color w:val="auto"/>
        </w:rPr>
      </w:pPr>
    </w:p>
    <w:p>
      <w:pPr>
        <w:spacing w:after="0" w:line="28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Mark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84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Mark Lawrence</w:t>
      </w:r>
    </w:p>
    <w:p>
      <w:pPr>
        <w:ind w:left="27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TELEMATIC OFFSHORE, LTD.</w:t>
      </w:r>
    </w:p>
    <w:p>
      <w:pPr>
        <w:spacing w:after="0" w:line="2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By: BlackRock Financial Management, Inc., its Manager</w:t>
      </w:r>
    </w:p>
    <w:p>
      <w:pPr>
        <w:spacing w:after="0" w:line="200" w:lineRule="exact"/>
        <w:rPr>
          <w:sz w:val="20"/>
          <w:szCs w:val="20"/>
          <w:color w:val="auto"/>
        </w:rPr>
      </w:pPr>
    </w:p>
    <w:p>
      <w:pPr>
        <w:spacing w:after="0" w:line="27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Jeff Dunbar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4986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149860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Jeff Dunbar</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ASG 2021 OFFSHORE HOLDINGS II, L.P.</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By: BlackRock Financial Management, Inc., its manager</w:t>
      </w:r>
    </w:p>
    <w:p>
      <w:pPr>
        <w:spacing w:after="0" w:line="200" w:lineRule="exact"/>
        <w:rPr>
          <w:sz w:val="20"/>
          <w:szCs w:val="20"/>
          <w:color w:val="auto"/>
        </w:rPr>
      </w:pPr>
    </w:p>
    <w:p>
      <w:pPr>
        <w:spacing w:after="0" w:line="2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Paul Braude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240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Paul Braude</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019"/>
          </w:cols>
          <w:pgMar w:left="1440" w:top="679" w:right="1440" w:bottom="1440" w:gutter="0" w:footer="0" w:header="0"/>
        </w:sectPr>
      </w:pPr>
    </w:p>
    <w:bookmarkStart w:id="89" w:name="page90"/>
    <w:bookmarkEnd w:id="89"/>
    <w:p>
      <w:pPr>
        <w:ind w:left="2720"/>
        <w:spacing w:after="0"/>
        <w:rPr>
          <w:sz w:val="20"/>
          <w:szCs w:val="20"/>
          <w:color w:val="auto"/>
        </w:rPr>
      </w:pPr>
      <w:r>
        <w:rPr>
          <w:rFonts w:ascii="Times New Roman" w:cs="Times New Roman" w:eastAsia="Times New Roman" w:hAnsi="Times New Roman"/>
          <w:sz w:val="22"/>
          <w:szCs w:val="22"/>
          <w:color w:val="auto"/>
        </w:rPr>
        <w:t>BLACKROCK DLF IX ICAV,</w:t>
      </w:r>
    </w:p>
    <w:p>
      <w:pPr>
        <w:spacing w:after="0" w:line="14" w:lineRule="exact"/>
        <w:rPr>
          <w:sz w:val="20"/>
          <w:szCs w:val="20"/>
          <w:color w:val="auto"/>
        </w:rPr>
      </w:pPr>
    </w:p>
    <w:p>
      <w:pPr>
        <w:ind w:left="2720" w:right="1679"/>
        <w:spacing w:after="0" w:line="241" w:lineRule="auto"/>
        <w:rPr>
          <w:sz w:val="20"/>
          <w:szCs w:val="20"/>
          <w:color w:val="auto"/>
        </w:rPr>
      </w:pPr>
      <w:r>
        <w:rPr>
          <w:rFonts w:ascii="Times New Roman" w:cs="Times New Roman" w:eastAsia="Times New Roman" w:hAnsi="Times New Roman"/>
          <w:sz w:val="21"/>
          <w:szCs w:val="21"/>
          <w:color w:val="auto"/>
        </w:rPr>
        <w:t>an umbrella type Irish collective asset management vehicle acting solely for and on behalf of its sub-fund</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 xml:space="preserve">BLACKROCK DIRECT LENDING FUND IX-L </w:t>
      </w:r>
      <w:r>
        <w:rPr>
          <w:rFonts w:ascii="Times New Roman" w:cs="Times New Roman" w:eastAsia="Times New Roman" w:hAnsi="Times New Roman"/>
          <w:sz w:val="18"/>
          <w:szCs w:val="18"/>
          <w:b w:val="1"/>
          <w:bCs w:val="1"/>
          <w:color w:val="auto"/>
        </w:rPr>
        <w:t>(IRELAND)</w:t>
      </w:r>
    </w:p>
    <w:p>
      <w:pPr>
        <w:spacing w:after="0" w:line="200" w:lineRule="exact"/>
        <w:rPr>
          <w:sz w:val="20"/>
          <w:szCs w:val="20"/>
          <w:color w:val="auto"/>
        </w:rPr>
      </w:pPr>
    </w:p>
    <w:p>
      <w:pPr>
        <w:spacing w:after="0" w:line="2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 acting as attorney-in-fact</w:t>
      </w:r>
    </w:p>
    <w:p>
      <w:pPr>
        <w:spacing w:after="0" w:line="200" w:lineRule="exact"/>
        <w:rPr>
          <w:sz w:val="20"/>
          <w:szCs w:val="20"/>
          <w:color w:val="auto"/>
        </w:rPr>
      </w:pPr>
    </w:p>
    <w:p>
      <w:pPr>
        <w:spacing w:after="0" w:line="2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278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line="231" w:lineRule="auto"/>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TENNENBAUM SENIOR LOAN FUND V, LLC</w:t>
      </w:r>
    </w:p>
    <w:p>
      <w:pPr>
        <w:spacing w:after="0" w:line="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RELIANCE STANDARD LIFE INSURANCE</w:t>
      </w:r>
    </w:p>
    <w:p>
      <w:pPr>
        <w:ind w:left="2720"/>
        <w:spacing w:after="0" w:line="230" w:lineRule="auto"/>
        <w:rPr>
          <w:sz w:val="20"/>
          <w:szCs w:val="20"/>
          <w:color w:val="auto"/>
        </w:rPr>
      </w:pPr>
      <w:r>
        <w:rPr>
          <w:rFonts w:ascii="Times New Roman" w:cs="Times New Roman" w:eastAsia="Times New Roman" w:hAnsi="Times New Roman"/>
          <w:sz w:val="22"/>
          <w:szCs w:val="22"/>
          <w:b w:val="1"/>
          <w:bCs w:val="1"/>
          <w:color w:val="auto"/>
        </w:rPr>
        <w:t>COMPANY</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PHILADELPHIA INDEMNITY INSURANCE COMPANY</w:t>
      </w:r>
    </w:p>
    <w:p>
      <w:pPr>
        <w:spacing w:after="0" w:line="200" w:lineRule="exact"/>
        <w:rPr>
          <w:sz w:val="20"/>
          <w:szCs w:val="20"/>
          <w:color w:val="auto"/>
        </w:rPr>
      </w:pPr>
    </w:p>
    <w:p>
      <w:pPr>
        <w:spacing w:after="0" w:line="2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On behalf of each of the above entities:</w:t>
      </w:r>
    </w:p>
    <w:p>
      <w:pPr>
        <w:spacing w:after="0" w:line="23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TENNENBAUM CAPITAL PARTNERS,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0" w:lineRule="exact"/>
        <w:rPr>
          <w:sz w:val="20"/>
          <w:szCs w:val="20"/>
          <w:color w:val="auto"/>
        </w:rPr>
      </w:pPr>
    </w:p>
    <w:p>
      <w:pPr>
        <w:spacing w:after="0" w:line="2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278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1527810" cy="889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019"/>
          </w:cols>
          <w:pgMar w:left="1440" w:top="922" w:right="1440" w:bottom="1440" w:gutter="0" w:footer="0" w:header="0"/>
        </w:sectPr>
      </w:pPr>
    </w:p>
    <w:bookmarkStart w:id="90" w:name="page91"/>
    <w:bookmarkEnd w:id="90"/>
    <w:p>
      <w:pPr>
        <w:ind w:left="2720"/>
        <w:spacing w:after="0"/>
        <w:rPr>
          <w:sz w:val="20"/>
          <w:szCs w:val="20"/>
          <w:color w:val="auto"/>
        </w:rPr>
      </w:pPr>
      <w:r>
        <w:rPr>
          <w:rFonts w:ascii="Times New Roman" w:cs="Times New Roman" w:eastAsia="Times New Roman" w:hAnsi="Times New Roman"/>
          <w:sz w:val="22"/>
          <w:szCs w:val="22"/>
          <w:b w:val="1"/>
          <w:bCs w:val="1"/>
          <w:color w:val="auto"/>
        </w:rPr>
        <w:t>TCP DLF VIII 2018 CLO, LLC</w:t>
      </w:r>
    </w:p>
    <w:p>
      <w:pPr>
        <w:spacing w:after="0" w:line="200" w:lineRule="exact"/>
        <w:rPr>
          <w:sz w:val="20"/>
          <w:szCs w:val="20"/>
          <w:color w:val="auto"/>
        </w:rPr>
      </w:pPr>
    </w:p>
    <w:p>
      <w:pPr>
        <w:spacing w:after="0" w:line="2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SERIES I of SVOF/MM,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Collateral Manager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278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4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BLACKROCK DLF IX 2019 CLO,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BLACKROCK DLF IX 2020-1 CLO, LLC</w:t>
      </w:r>
    </w:p>
    <w:p>
      <w:pPr>
        <w:spacing w:after="0" w:line="200" w:lineRule="exact"/>
        <w:rPr>
          <w:sz w:val="20"/>
          <w:szCs w:val="20"/>
          <w:color w:val="auto"/>
        </w:rPr>
      </w:pPr>
    </w:p>
    <w:p>
      <w:pPr>
        <w:spacing w:after="0" w:line="23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By: BlackRock Capital Investment Advisors, LLC.</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Collateral Manager</w:t>
      </w:r>
    </w:p>
    <w:p>
      <w:pPr>
        <w:spacing w:after="0" w:line="200" w:lineRule="exact"/>
        <w:rPr>
          <w:sz w:val="20"/>
          <w:szCs w:val="20"/>
          <w:color w:val="auto"/>
        </w:rPr>
      </w:pPr>
    </w:p>
    <w:p>
      <w:pPr>
        <w:spacing w:after="0" w:line="2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278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019"/>
          </w:cols>
          <w:pgMar w:left="1440" w:top="675" w:right="1440" w:bottom="1440" w:gutter="0" w:footer="0" w:header="0"/>
        </w:sectPr>
      </w:pPr>
    </w:p>
    <w:bookmarkStart w:id="91" w:name="page92"/>
    <w:bookmarkEnd w:id="91"/>
    <w:p>
      <w:pPr>
        <w:ind w:left="2720"/>
        <w:spacing w:after="0"/>
        <w:rPr>
          <w:sz w:val="20"/>
          <w:szCs w:val="20"/>
          <w:color w:val="auto"/>
        </w:rPr>
      </w:pPr>
      <w:r>
        <w:rPr>
          <w:rFonts w:ascii="Times New Roman" w:cs="Times New Roman" w:eastAsia="Times New Roman" w:hAnsi="Times New Roman"/>
          <w:sz w:val="20"/>
          <w:szCs w:val="20"/>
          <w:b w:val="1"/>
          <w:bCs w:val="1"/>
          <w:color w:val="auto"/>
        </w:rPr>
        <w:t>GLOBAL CREDIT OPPORTUNITIES (CANADA) LP</w:t>
      </w:r>
    </w:p>
    <w:p>
      <w:pPr>
        <w:spacing w:after="0" w:line="242" w:lineRule="exact"/>
        <w:rPr>
          <w:sz w:val="20"/>
          <w:szCs w:val="20"/>
          <w:color w:val="auto"/>
        </w:rPr>
      </w:pPr>
    </w:p>
    <w:p>
      <w:pPr>
        <w:ind w:left="2700"/>
        <w:spacing w:after="0" w:line="258" w:lineRule="auto"/>
        <w:rPr>
          <w:sz w:val="20"/>
          <w:szCs w:val="20"/>
          <w:color w:val="auto"/>
        </w:rPr>
      </w:pPr>
      <w:r>
        <w:rPr>
          <w:rFonts w:ascii="Times New Roman" w:cs="Times New Roman" w:eastAsia="Times New Roman" w:hAnsi="Times New Roman"/>
          <w:sz w:val="22"/>
          <w:szCs w:val="22"/>
          <w:color w:val="auto"/>
        </w:rPr>
        <w:t>By: its general partner, BLACKROCK GLOBAL CREDIT OPPORTUNITIES (CANADA GENPAR) LIMITED</w:t>
      </w:r>
    </w:p>
    <w:p>
      <w:pPr>
        <w:spacing w:after="0" w:line="200" w:lineRule="exact"/>
        <w:rPr>
          <w:sz w:val="20"/>
          <w:szCs w:val="20"/>
          <w:color w:val="auto"/>
        </w:rPr>
      </w:pPr>
    </w:p>
    <w:p>
      <w:pPr>
        <w:spacing w:after="0" w:line="21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Mark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84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Mark Lawrence</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520"/>
          </w:cols>
          <w:pgMar w:left="1440" w:top="923" w:right="939" w:bottom="1440" w:gutter="0" w:footer="0" w:header="0"/>
        </w:sectPr>
      </w:pPr>
    </w:p>
    <w:bookmarkStart w:id="92" w:name="page93"/>
    <w:bookmarkEnd w:id="92"/>
    <w:p>
      <w:pPr>
        <w:ind w:left="2720"/>
        <w:spacing w:after="0"/>
        <w:rPr>
          <w:sz w:val="20"/>
          <w:szCs w:val="20"/>
          <w:color w:val="auto"/>
        </w:rPr>
      </w:pPr>
      <w:r>
        <w:rPr>
          <w:rFonts w:ascii="Times New Roman" w:cs="Times New Roman" w:eastAsia="Times New Roman" w:hAnsi="Times New Roman"/>
          <w:sz w:val="20"/>
          <w:szCs w:val="20"/>
          <w:b w:val="1"/>
          <w:bCs w:val="1"/>
          <w:color w:val="auto"/>
        </w:rPr>
        <w:t>PDL SCO LP</w:t>
      </w:r>
    </w:p>
    <w:p>
      <w:pPr>
        <w:spacing w:after="0" w:line="24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By its General Partner, PDL SCO GP Ltd.</w:t>
      </w:r>
    </w:p>
    <w:p>
      <w:pPr>
        <w:spacing w:after="0" w:line="24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Wilder Brisbin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5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2720"/>
        <w:spacing w:after="0" w:line="231" w:lineRule="auto"/>
        <w:rPr>
          <w:sz w:val="20"/>
          <w:szCs w:val="20"/>
          <w:color w:val="auto"/>
        </w:rPr>
      </w:pPr>
      <w:r>
        <w:rPr>
          <w:rFonts w:ascii="Times New Roman" w:cs="Times New Roman" w:eastAsia="Times New Roman" w:hAnsi="Times New Roman"/>
          <w:sz w:val="22"/>
          <w:szCs w:val="22"/>
          <w:color w:val="auto"/>
        </w:rPr>
        <w:t>Name: Wilder Brisbin</w:t>
      </w:r>
    </w:p>
    <w:p>
      <w:pPr>
        <w:ind w:left="27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1409" w:right="1440" w:bottom="1440" w:gutter="0" w:footer="0" w:header="0"/>
        </w:sectPr>
      </w:pPr>
    </w:p>
    <w:bookmarkStart w:id="93" w:name="page94"/>
    <w:bookmarkEnd w:id="93"/>
    <w:p>
      <w:pPr>
        <w:ind w:left="2720"/>
        <w:spacing w:after="0"/>
        <w:rPr>
          <w:sz w:val="20"/>
          <w:szCs w:val="20"/>
          <w:color w:val="auto"/>
        </w:rPr>
      </w:pPr>
      <w:r>
        <w:rPr>
          <w:rFonts w:ascii="Times New Roman" w:cs="Times New Roman" w:eastAsia="Times New Roman" w:hAnsi="Times New Roman"/>
          <w:sz w:val="22"/>
          <w:szCs w:val="22"/>
          <w:b w:val="1"/>
          <w:bCs w:val="1"/>
          <w:color w:val="auto"/>
        </w:rPr>
        <w:t>TCP DIRECT LENDING FUND VIII-A,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TENNENBAUM SENIOR LOAN FUND II, LP</w:t>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On behalf of each of the above entities:</w:t>
      </w:r>
    </w:p>
    <w:p>
      <w:pPr>
        <w:spacing w:after="0" w:line="23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By: TENNENBAUM CAPITAL PARTNERS, LLC</w:t>
      </w:r>
    </w:p>
    <w:p>
      <w:pPr>
        <w:spacing w:after="0" w:line="2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BLACKROCK DLF IX 2019-G CLO, LLC</w:t>
      </w:r>
    </w:p>
    <w:p>
      <w:pPr>
        <w:spacing w:after="0" w:line="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BLACKROCK DLF IX CLO 2021-1, LLC</w:t>
      </w:r>
    </w:p>
    <w:p>
      <w:pPr>
        <w:ind w:left="2720"/>
        <w:spacing w:after="0" w:line="230" w:lineRule="auto"/>
        <w:rPr>
          <w:sz w:val="20"/>
          <w:szCs w:val="20"/>
          <w:color w:val="auto"/>
        </w:rPr>
      </w:pPr>
      <w:r>
        <w:rPr>
          <w:rFonts w:ascii="Times New Roman" w:cs="Times New Roman" w:eastAsia="Times New Roman" w:hAnsi="Times New Roman"/>
          <w:sz w:val="22"/>
          <w:szCs w:val="22"/>
          <w:b w:val="1"/>
          <w:bCs w:val="1"/>
          <w:color w:val="auto"/>
        </w:rPr>
        <w:t>BLACKROCK DLF X CLO 2022-1, LLC</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BLACKROCK DLF IX CLO 2021-2, LLC</w:t>
      </w:r>
    </w:p>
    <w:p>
      <w:pPr>
        <w:spacing w:after="0" w:line="20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By: BlackRock Capital Investment Advisors, LLC.</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Collateral Manager</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1527810" cy="889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019"/>
          </w:cols>
          <w:pgMar w:left="1440" w:top="918" w:right="1440" w:bottom="1440" w:gutter="0" w:footer="0" w:header="0"/>
        </w:sectPr>
      </w:pPr>
    </w:p>
    <w:bookmarkStart w:id="94" w:name="page95"/>
    <w:bookmarkEnd w:id="94"/>
    <w:p>
      <w:pPr>
        <w:ind w:left="2720"/>
        <w:spacing w:after="0"/>
        <w:rPr>
          <w:sz w:val="20"/>
          <w:szCs w:val="20"/>
          <w:color w:val="auto"/>
        </w:rPr>
      </w:pPr>
      <w:r>
        <w:rPr>
          <w:rFonts w:ascii="Times New Roman" w:cs="Times New Roman" w:eastAsia="Times New Roman" w:hAnsi="Times New Roman"/>
          <w:sz w:val="22"/>
          <w:szCs w:val="22"/>
          <w:color w:val="auto"/>
        </w:rPr>
        <w:t>BLACKROCK DLF IX ICAV,</w:t>
      </w:r>
    </w:p>
    <w:p>
      <w:pPr>
        <w:spacing w:after="0" w:line="14" w:lineRule="exact"/>
        <w:rPr>
          <w:sz w:val="20"/>
          <w:szCs w:val="20"/>
          <w:color w:val="auto"/>
        </w:rPr>
      </w:pPr>
    </w:p>
    <w:p>
      <w:pPr>
        <w:ind w:left="2720" w:right="1679"/>
        <w:spacing w:after="0" w:line="241" w:lineRule="auto"/>
        <w:rPr>
          <w:sz w:val="20"/>
          <w:szCs w:val="20"/>
          <w:color w:val="auto"/>
        </w:rPr>
      </w:pPr>
      <w:r>
        <w:rPr>
          <w:rFonts w:ascii="Times New Roman" w:cs="Times New Roman" w:eastAsia="Times New Roman" w:hAnsi="Times New Roman"/>
          <w:sz w:val="21"/>
          <w:szCs w:val="21"/>
          <w:color w:val="auto"/>
        </w:rPr>
        <w:t>an umbrella type Irish collective asset management vehicle acting solely for and on behalf of its sub-fund</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BLACKROCK DIRECT LENDING FUND IX-U (IRELAND)</w:t>
      </w:r>
    </w:p>
    <w:p>
      <w:pPr>
        <w:spacing w:after="0" w:line="200" w:lineRule="exact"/>
        <w:rPr>
          <w:sz w:val="20"/>
          <w:szCs w:val="20"/>
          <w:color w:val="auto"/>
        </w:rPr>
      </w:pPr>
    </w:p>
    <w:p>
      <w:pPr>
        <w:spacing w:after="0" w:line="2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 acting as attorney-in-fact</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line="231" w:lineRule="auto"/>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4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BLACKROCK IX-L FUNDING, LP</w:t>
      </w:r>
    </w:p>
    <w:p>
      <w:pPr>
        <w:spacing w:after="0" w:line="2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 acting as attorney-in-fact</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48" w:lineRule="exact"/>
        <w:rPr>
          <w:sz w:val="20"/>
          <w:szCs w:val="20"/>
          <w:color w:val="auto"/>
        </w:rPr>
      </w:pPr>
    </w:p>
    <w:p>
      <w:pPr>
        <w:ind w:left="2720" w:right="1759"/>
        <w:spacing w:after="0" w:line="262" w:lineRule="auto"/>
        <w:rPr>
          <w:sz w:val="20"/>
          <w:szCs w:val="20"/>
          <w:color w:val="auto"/>
        </w:rPr>
      </w:pPr>
      <w:r>
        <w:rPr>
          <w:rFonts w:ascii="Times New Roman" w:cs="Times New Roman" w:eastAsia="Times New Roman" w:hAnsi="Times New Roman"/>
          <w:sz w:val="22"/>
          <w:szCs w:val="22"/>
          <w:b w:val="1"/>
          <w:bCs w:val="1"/>
          <w:color w:val="auto"/>
        </w:rPr>
        <w:t>BLACKROCK DIRECT LENDING FUND IX-U (LUXEMBOURG) SCSP</w:t>
      </w:r>
    </w:p>
    <w:p>
      <w:pPr>
        <w:spacing w:after="0" w:line="200" w:lineRule="exact"/>
        <w:rPr>
          <w:sz w:val="20"/>
          <w:szCs w:val="20"/>
          <w:color w:val="auto"/>
        </w:rPr>
      </w:pPr>
    </w:p>
    <w:p>
      <w:pPr>
        <w:spacing w:after="0" w:line="22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0" w:lineRule="exact"/>
        <w:rPr>
          <w:sz w:val="20"/>
          <w:szCs w:val="20"/>
          <w:color w:val="auto"/>
        </w:rPr>
      </w:pPr>
    </w:p>
    <w:p>
      <w:pPr>
        <w:spacing w:after="0" w:line="2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019"/>
          </w:cols>
          <w:pgMar w:left="1440" w:top="922" w:right="1440" w:bottom="1440" w:gutter="0" w:footer="0" w:header="0"/>
        </w:sectPr>
      </w:pPr>
    </w:p>
    <w:bookmarkStart w:id="95" w:name="page96"/>
    <w:bookmarkEnd w:id="95"/>
    <w:p>
      <w:pPr>
        <w:ind w:left="2700"/>
        <w:spacing w:after="0"/>
        <w:rPr>
          <w:sz w:val="20"/>
          <w:szCs w:val="20"/>
          <w:color w:val="auto"/>
        </w:rPr>
      </w:pPr>
      <w:r>
        <w:rPr>
          <w:rFonts w:ascii="Times New Roman" w:cs="Times New Roman" w:eastAsia="Times New Roman" w:hAnsi="Times New Roman"/>
          <w:sz w:val="21"/>
          <w:szCs w:val="21"/>
          <w:b w:val="1"/>
          <w:bCs w:val="1"/>
          <w:color w:val="auto"/>
        </w:rPr>
        <w:t>BLACKROCK DIRECT LENDING FUND X-U (LUXEMBOURG) SCSP</w:t>
      </w:r>
    </w:p>
    <w:p>
      <w:pPr>
        <w:spacing w:after="0" w:line="200" w:lineRule="exact"/>
        <w:rPr>
          <w:sz w:val="20"/>
          <w:szCs w:val="20"/>
          <w:color w:val="auto"/>
        </w:rPr>
      </w:pPr>
    </w:p>
    <w:p>
      <w:pPr>
        <w:spacing w:after="0" w:line="29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4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BLACKROCK LISI CREDIT FUND, LP</w:t>
      </w:r>
    </w:p>
    <w:p>
      <w:pPr>
        <w:spacing w:after="0" w:line="2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4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SSG BLK PRIVATE DEBT FUND L.P.</w:t>
      </w:r>
    </w:p>
    <w:p>
      <w:pPr>
        <w:spacing w:after="0" w:line="200" w:lineRule="exact"/>
        <w:rPr>
          <w:sz w:val="20"/>
          <w:szCs w:val="20"/>
          <w:color w:val="auto"/>
        </w:rPr>
      </w:pPr>
    </w:p>
    <w:p>
      <w:pPr>
        <w:spacing w:after="0" w:line="2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BLACKROCK MT. LASSEN SENIOR LOAN FUND XII, LLC</w:t>
      </w:r>
    </w:p>
    <w:p>
      <w:pPr>
        <w:spacing w:after="0" w:line="200" w:lineRule="exact"/>
        <w:rPr>
          <w:sz w:val="20"/>
          <w:szCs w:val="20"/>
          <w:color w:val="auto"/>
        </w:rPr>
      </w:pPr>
    </w:p>
    <w:p>
      <w:pPr>
        <w:spacing w:after="0" w:line="26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its Collateral Manager</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1527810" cy="889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540"/>
          </w:cols>
          <w:pgMar w:left="1440" w:top="1404" w:right="919" w:bottom="1440" w:gutter="0" w:footer="0" w:header="0"/>
        </w:sectPr>
      </w:pPr>
    </w:p>
    <w:bookmarkStart w:id="96" w:name="page97"/>
    <w:bookmarkEnd w:id="96"/>
    <w:p>
      <w:pPr>
        <w:ind w:left="2700"/>
        <w:spacing w:after="0"/>
        <w:rPr>
          <w:sz w:val="20"/>
          <w:szCs w:val="20"/>
          <w:color w:val="auto"/>
        </w:rPr>
      </w:pPr>
      <w:r>
        <w:rPr>
          <w:rFonts w:ascii="Times New Roman" w:cs="Times New Roman" w:eastAsia="Times New Roman" w:hAnsi="Times New Roman"/>
          <w:sz w:val="22"/>
          <w:szCs w:val="22"/>
          <w:b w:val="1"/>
          <w:bCs w:val="1"/>
          <w:color w:val="auto"/>
        </w:rPr>
        <w:t>BLACKROCK DIVERSIFIED PRIVATE DEBT FUND MASTER LP</w:t>
      </w:r>
    </w:p>
    <w:p>
      <w:pPr>
        <w:spacing w:after="0" w:line="200" w:lineRule="exact"/>
        <w:rPr>
          <w:sz w:val="20"/>
          <w:szCs w:val="20"/>
          <w:color w:val="auto"/>
        </w:rPr>
      </w:pPr>
    </w:p>
    <w:p>
      <w:pPr>
        <w:spacing w:after="0" w:line="2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Financial Management, Inc., its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Investment Manager</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Mark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84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Mark Lawrence</w:t>
      </w:r>
    </w:p>
    <w:p>
      <w:pPr>
        <w:ind w:left="27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b w:val="1"/>
          <w:bCs w:val="1"/>
          <w:color w:val="auto"/>
        </w:rPr>
        <w:t>BLACKROCK DIVERSIFIED PRIVATE DEBT USPC HOLDINGS LP</w:t>
      </w:r>
    </w:p>
    <w:p>
      <w:pPr>
        <w:spacing w:after="0" w:line="24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BlackRock Capital Investment Advisors, LLC</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Manager</w:t>
      </w:r>
    </w:p>
    <w:p>
      <w:pPr>
        <w:spacing w:after="0" w:line="20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380"/>
          </w:cols>
          <w:pgMar w:left="1440" w:top="1161" w:right="1079" w:bottom="1440" w:gutter="0" w:footer="0" w:header="0"/>
        </w:sectPr>
      </w:pPr>
    </w:p>
    <w:bookmarkStart w:id="97" w:name="page98"/>
    <w:bookmarkEnd w:id="97"/>
    <w:p>
      <w:pPr>
        <w:ind w:left="2720"/>
        <w:spacing w:after="0"/>
        <w:rPr>
          <w:sz w:val="20"/>
          <w:szCs w:val="20"/>
          <w:color w:val="auto"/>
        </w:rPr>
      </w:pPr>
      <w:r>
        <w:rPr>
          <w:rFonts w:ascii="Times New Roman" w:cs="Times New Roman" w:eastAsia="Times New Roman" w:hAnsi="Times New Roman"/>
          <w:sz w:val="22"/>
          <w:szCs w:val="22"/>
          <w:b w:val="1"/>
          <w:bCs w:val="1"/>
          <w:color w:val="auto"/>
        </w:rPr>
        <w:t>BLACKROCK SHASTA CLO XIII,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BLACKROCK SHASTA CLO XIV, LLC</w:t>
      </w:r>
    </w:p>
    <w:p>
      <w:pPr>
        <w:spacing w:after="0" w:line="200" w:lineRule="exact"/>
        <w:rPr>
          <w:sz w:val="20"/>
          <w:szCs w:val="20"/>
          <w:color w:val="auto"/>
        </w:rPr>
      </w:pPr>
    </w:p>
    <w:p>
      <w:pPr>
        <w:spacing w:after="0" w:line="2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By: BlackRock Capital Investment Advisors, LLC</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0" w:lineRule="exact"/>
        <w:rPr>
          <w:sz w:val="20"/>
          <w:szCs w:val="20"/>
          <w:color w:val="auto"/>
        </w:rPr>
      </w:pPr>
    </w:p>
    <w:p>
      <w:pPr>
        <w:spacing w:after="0" w:line="2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b w:val="1"/>
          <w:bCs w:val="1"/>
          <w:color w:val="auto"/>
        </w:rPr>
        <w:t>BLACKROCK DLF IX-L CLO, LP</w:t>
      </w:r>
    </w:p>
    <w:p>
      <w:pPr>
        <w:spacing w:after="0" w:line="200" w:lineRule="exact"/>
        <w:rPr>
          <w:sz w:val="20"/>
          <w:szCs w:val="20"/>
          <w:color w:val="auto"/>
        </w:rPr>
      </w:pPr>
    </w:p>
    <w:p>
      <w:pPr>
        <w:spacing w:after="0" w:line="2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color w:val="auto"/>
        </w:rPr>
        <w:t>By: BlackRock Capital Investment Advisors, LLC</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0" w:lineRule="exact"/>
        <w:rPr>
          <w:sz w:val="20"/>
          <w:szCs w:val="20"/>
          <w:color w:val="auto"/>
        </w:rPr>
      </w:pPr>
    </w:p>
    <w:p>
      <w:pPr>
        <w:spacing w:after="0" w:line="2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 Worrell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-13970</wp:posOffset>
            </wp:positionV>
            <wp:extent cx="15278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1527810" cy="889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2"/>
          <w:szCs w:val="22"/>
          <w:color w:val="auto"/>
        </w:rPr>
        <w:t>Name: Dan Worrell</w:t>
      </w:r>
    </w:p>
    <w:p>
      <w:pPr>
        <w:ind w:left="27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019"/>
          </w:cols>
          <w:pgMar w:left="1440" w:top="1404" w:right="1440" w:bottom="1440" w:gutter="0" w:footer="0" w:header="0"/>
        </w:sectPr>
      </w:pPr>
    </w:p>
    <w:bookmarkStart w:id="98" w:name="page99"/>
    <w:bookmarkEnd w:id="98"/>
    <w:p>
      <w:pPr>
        <w:ind w:left="2780"/>
        <w:spacing w:after="0"/>
        <w:rPr>
          <w:sz w:val="20"/>
          <w:szCs w:val="20"/>
          <w:color w:val="auto"/>
        </w:rPr>
      </w:pP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ACQUIOM AGENCY SERVICES LLC</w:t>
      </w:r>
    </w:p>
    <w:p>
      <w:pPr>
        <w:spacing w:after="0" w:line="200" w:lineRule="exact"/>
        <w:rPr>
          <w:sz w:val="20"/>
          <w:szCs w:val="20"/>
          <w:color w:val="auto"/>
        </w:rPr>
      </w:pPr>
    </w:p>
    <w:p>
      <w:pPr>
        <w:spacing w:after="0" w:line="29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/s/ Karyn Kesselring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15392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2720"/>
        <w:spacing w:after="0" w:line="231" w:lineRule="auto"/>
        <w:rPr>
          <w:sz w:val="20"/>
          <w:szCs w:val="20"/>
          <w:color w:val="auto"/>
        </w:rPr>
      </w:pPr>
      <w:r>
        <w:rPr>
          <w:rFonts w:ascii="Times New Roman" w:cs="Times New Roman" w:eastAsia="Times New Roman" w:hAnsi="Times New Roman"/>
          <w:sz w:val="22"/>
          <w:szCs w:val="22"/>
          <w:color w:val="auto"/>
        </w:rPr>
        <w:t>Name: Karyn Kesselring</w:t>
      </w:r>
    </w:p>
    <w:p>
      <w:pPr>
        <w:ind w:left="272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9019"/>
          </w:cols>
          <w:pgMar w:left="1440" w:top="679"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2"/>
          <w:szCs w:val="22"/>
          <w:color w:val="auto"/>
        </w:rPr>
        <w:t>ANNEX 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Amended Credit Agreement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679" w:right="1440" w:bottom="1440" w:gutter="0" w:footer="0" w:header="0"/>
        </w:sectPr>
      </w:pPr>
    </w:p>
    <w:bookmarkStart w:id="100" w:name="page101"/>
    <w:bookmarkEnd w:id="100"/>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u w:val="single" w:color="auto"/>
          <w:color w:val="3051F2"/>
        </w:rPr>
        <w:t>As amended by that certain First Amendment as of September 17, 2024</w:t>
      </w:r>
    </w:p>
    <w:p>
      <w:pPr>
        <w:jc w:val="right"/>
        <w:spacing w:after="0"/>
        <w:rPr>
          <w:sz w:val="20"/>
          <w:szCs w:val="20"/>
          <w:color w:val="auto"/>
        </w:rPr>
      </w:pPr>
      <w:r>
        <w:rPr>
          <w:rFonts w:ascii="Times New Roman" w:cs="Times New Roman" w:eastAsia="Times New Roman" w:hAnsi="Times New Roman"/>
          <w:sz w:val="20"/>
          <w:szCs w:val="20"/>
          <w:u w:val="single" w:color="auto"/>
          <w:color w:val="3051F2"/>
        </w:rPr>
        <w:t>As amended by that certain Second Amended dated as of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TERM LOAN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January 26, 2022 by and among</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CARET HOLDINGS, INC.</w:t>
      </w:r>
      <w:r>
        <w:rPr>
          <w:rFonts w:ascii="Times New Roman" w:cs="Times New Roman" w:eastAsia="Times New Roman" w:hAnsi="Times New Roman"/>
          <w:sz w:val="20"/>
          <w:szCs w:val="20"/>
          <w:color w:val="auto"/>
        </w:rPr>
        <w:t>,</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Borrower</w:t>
      </w:r>
    </w:p>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ROOT, INC.</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Holdings</w:t>
      </w:r>
    </w:p>
    <w:p>
      <w:pPr>
        <w:spacing w:after="0" w:line="3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THE OTHER LOAN PARTIES FROM TIME TO TIME PARTY HERETO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LENDERS</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FROM TIME TO TIME PARTY HERETO</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ACQUIOM AGENCY SERVICES LLC,</w:t>
      </w: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20"/>
        <w:spacing w:after="0"/>
        <w:rPr>
          <w:sz w:val="20"/>
          <w:szCs w:val="20"/>
          <w:color w:val="auto"/>
        </w:rPr>
      </w:pPr>
      <w:r>
        <w:rPr>
          <w:rFonts w:ascii="Times New Roman" w:cs="Times New Roman" w:eastAsia="Times New Roman" w:hAnsi="Times New Roman"/>
          <w:sz w:val="20"/>
          <w:szCs w:val="20"/>
          <w:u w:val="single" w:color="auto"/>
          <w:color w:val="008000"/>
        </w:rPr>
        <w:t xml:space="preserve">For the avoidance of doubt, </w:t>
      </w:r>
      <w:r>
        <w:rPr>
          <w:rFonts w:ascii="Times New Roman" w:cs="Times New Roman" w:eastAsia="Times New Roman" w:hAnsi="Times New Roman"/>
          <w:sz w:val="20"/>
          <w:szCs w:val="20"/>
          <w:u w:val="single" w:color="auto"/>
          <w:color w:val="0000FF"/>
        </w:rPr>
        <w:t>the base Term Loan Agreement on which the amendments reflected in this Annex A have been</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made includes conforming changes made to the Term Loan Agreement dated as of January 26, 2022 by that certain First Amendment to Term Loan Credit Agreement dated as of September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3051F2"/>
        </w:rPr>
        <w:t>1</w:t>
      </w:r>
    </w:p>
    <w:p>
      <w:pPr>
        <w:sectPr>
          <w:pgSz w:w="11900" w:h="16838" w:orient="portrait"/>
          <w:cols w:equalWidth="0" w:num="1">
            <w:col w:w="10120"/>
          </w:cols>
          <w:pgMar w:left="1440" w:top="977" w:right="339" w:bottom="1440" w:gutter="0" w:footer="0" w:header="0"/>
        </w:sectPr>
      </w:pPr>
    </w:p>
    <w:bookmarkStart w:id="101" w:name="page102"/>
    <w:bookmarkEnd w:id="101"/>
    <w:p>
      <w:pPr>
        <w:ind w:left="43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I DEFINITIONS; CONSTRUCTION</w:t>
      </w:r>
    </w:p>
    <w:p>
      <w:pPr>
        <w:spacing w:after="0" w:line="116" w:lineRule="exact"/>
        <w:rPr>
          <w:sz w:val="20"/>
          <w:szCs w:val="20"/>
          <w:color w:val="auto"/>
        </w:rPr>
      </w:pPr>
    </w:p>
    <w:p>
      <w:pPr>
        <w:ind w:left="94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Definitions</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auto"/>
        </w:rPr>
        <w:t>Classifications of Loans and Borrowings</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Accounting Terms and Determination</w:t>
      </w:r>
    </w:p>
    <w:p>
      <w:pPr>
        <w:ind w:left="940"/>
        <w:spacing w:after="0" w:line="208" w:lineRule="auto"/>
        <w:tabs>
          <w:tab w:leader="none" w:pos="24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color w:val="auto"/>
        </w:rPr>
        <w:t>Terms Generally</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19"/>
          <w:szCs w:val="19"/>
          <w:color w:val="auto"/>
        </w:rPr>
        <w:t>Divisions</w:t>
      </w:r>
    </w:p>
    <w:p>
      <w:pPr>
        <w:spacing w:after="0" w:line="1" w:lineRule="exact"/>
        <w:rPr>
          <w:sz w:val="20"/>
          <w:szCs w:val="20"/>
          <w:color w:val="auto"/>
        </w:rPr>
      </w:pPr>
    </w:p>
    <w:p>
      <w:pPr>
        <w:ind w:left="94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color w:val="auto"/>
        </w:rPr>
        <w:t>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II AMOUNT AND TERMS OF THE COMMITMENTS</w:t>
      </w:r>
    </w:p>
    <w:p>
      <w:pPr>
        <w:spacing w:after="0" w:line="210" w:lineRule="exact"/>
        <w:rPr>
          <w:sz w:val="20"/>
          <w:szCs w:val="20"/>
          <w:color w:val="auto"/>
        </w:rPr>
      </w:pPr>
    </w:p>
    <w:p>
      <w:pPr>
        <w:ind w:left="94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color w:val="auto"/>
        </w:rPr>
        <w:t>[Reserved]</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color w:val="auto"/>
        </w:rPr>
        <w:t>[Reserved]</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color w:val="auto"/>
        </w:rPr>
        <w:t>[Reserved]</w:t>
      </w:r>
    </w:p>
    <w:p>
      <w:pPr>
        <w:ind w:left="940"/>
        <w:spacing w:after="0" w:line="208" w:lineRule="auto"/>
        <w:tabs>
          <w:tab w:leader="none" w:pos="244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color w:val="auto"/>
        </w:rPr>
        <w:t>[Reserved]</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2.5.</w:t>
      </w:r>
      <w:r>
        <w:rPr>
          <w:sz w:val="20"/>
          <w:szCs w:val="20"/>
          <w:color w:val="auto"/>
        </w:rPr>
        <w:tab/>
      </w:r>
      <w:r>
        <w:rPr>
          <w:rFonts w:ascii="Times New Roman" w:cs="Times New Roman" w:eastAsia="Times New Roman" w:hAnsi="Times New Roman"/>
          <w:sz w:val="19"/>
          <w:szCs w:val="19"/>
          <w:color w:val="auto"/>
        </w:rPr>
        <w:t>Term Loan; Term Loan Commitments</w:t>
      </w:r>
    </w:p>
    <w:p>
      <w:pPr>
        <w:ind w:left="94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2.6.</w:t>
      </w:r>
      <w:r>
        <w:rPr>
          <w:sz w:val="20"/>
          <w:szCs w:val="20"/>
          <w:color w:val="auto"/>
        </w:rPr>
        <w:tab/>
      </w:r>
      <w:r>
        <w:rPr>
          <w:rFonts w:ascii="Times New Roman" w:cs="Times New Roman" w:eastAsia="Times New Roman" w:hAnsi="Times New Roman"/>
          <w:sz w:val="19"/>
          <w:szCs w:val="19"/>
          <w:color w:val="auto"/>
        </w:rPr>
        <w:t>Funding of Borrowings</w:t>
      </w:r>
    </w:p>
    <w:p>
      <w:pPr>
        <w:ind w:left="94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19"/>
          <w:szCs w:val="19"/>
          <w:color w:val="auto"/>
        </w:rPr>
        <w:t>[Reserved]</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2.8.</w:t>
      </w:r>
      <w:r>
        <w:rPr>
          <w:sz w:val="20"/>
          <w:szCs w:val="20"/>
          <w:color w:val="auto"/>
        </w:rPr>
        <w:tab/>
      </w:r>
      <w:r>
        <w:rPr>
          <w:rFonts w:ascii="Times New Roman" w:cs="Times New Roman" w:eastAsia="Times New Roman" w:hAnsi="Times New Roman"/>
          <w:sz w:val="19"/>
          <w:szCs w:val="19"/>
          <w:color w:val="auto"/>
        </w:rPr>
        <w:t>Repayment of Loans</w:t>
      </w:r>
    </w:p>
    <w:p>
      <w:pPr>
        <w:ind w:left="94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2.9.</w:t>
      </w:r>
      <w:r>
        <w:rPr>
          <w:sz w:val="20"/>
          <w:szCs w:val="20"/>
          <w:color w:val="auto"/>
        </w:rPr>
        <w:tab/>
      </w:r>
      <w:r>
        <w:rPr>
          <w:rFonts w:ascii="Times New Roman" w:cs="Times New Roman" w:eastAsia="Times New Roman" w:hAnsi="Times New Roman"/>
          <w:sz w:val="19"/>
          <w:szCs w:val="19"/>
          <w:color w:val="auto"/>
        </w:rPr>
        <w:t>Evidence of Indebtedness</w:t>
      </w:r>
    </w:p>
    <w:p>
      <w:pPr>
        <w:ind w:left="94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color w:val="auto"/>
        </w:rPr>
        <w:t>Optional Prepayments</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color w:val="auto"/>
        </w:rPr>
        <w:t>Mandatory Prepayments</w:t>
      </w:r>
    </w:p>
    <w:p>
      <w:pPr>
        <w:ind w:left="940"/>
        <w:spacing w:after="0" w:line="208" w:lineRule="auto"/>
        <w:tabs>
          <w:tab w:leader="none" w:pos="244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color w:val="auto"/>
        </w:rPr>
        <w:t>Interest on Loans</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color w:val="auto"/>
        </w:rPr>
        <w:t>Prepayment Premium</w:t>
      </w:r>
    </w:p>
    <w:p>
      <w:pPr>
        <w:ind w:left="94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color w:val="auto"/>
        </w:rPr>
        <w:t>Conversion</w:t>
      </w:r>
    </w:p>
    <w:p>
      <w:pPr>
        <w:ind w:left="94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color w:val="auto"/>
        </w:rPr>
        <w:t>Fees</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2.16.</w:t>
      </w:r>
      <w:r>
        <w:rPr>
          <w:sz w:val="20"/>
          <w:szCs w:val="20"/>
          <w:color w:val="auto"/>
        </w:rPr>
        <w:tab/>
      </w:r>
      <w:r>
        <w:rPr>
          <w:rFonts w:ascii="Times New Roman" w:cs="Times New Roman" w:eastAsia="Times New Roman" w:hAnsi="Times New Roman"/>
          <w:sz w:val="19"/>
          <w:szCs w:val="19"/>
          <w:color w:val="auto"/>
        </w:rPr>
        <w:t>Computation of Interest and Fees</w:t>
      </w:r>
    </w:p>
    <w:p>
      <w:pPr>
        <w:ind w:left="94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9"/>
          <w:szCs w:val="19"/>
          <w:color w:val="auto"/>
        </w:rPr>
        <w:t>Inability to Determine Interest Rates</w:t>
      </w:r>
    </w:p>
    <w:p>
      <w:pPr>
        <w:ind w:left="94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2.18.</w:t>
      </w:r>
      <w:r>
        <w:rPr>
          <w:sz w:val="20"/>
          <w:szCs w:val="20"/>
          <w:color w:val="auto"/>
        </w:rPr>
        <w:tab/>
      </w:r>
      <w:r>
        <w:rPr>
          <w:rFonts w:ascii="Times New Roman" w:cs="Times New Roman" w:eastAsia="Times New Roman" w:hAnsi="Times New Roman"/>
          <w:sz w:val="19"/>
          <w:szCs w:val="19"/>
          <w:color w:val="auto"/>
        </w:rPr>
        <w:t>Illegality</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2.19.</w:t>
      </w:r>
      <w:r>
        <w:rPr>
          <w:sz w:val="20"/>
          <w:szCs w:val="20"/>
          <w:color w:val="auto"/>
        </w:rPr>
        <w:tab/>
      </w:r>
      <w:r>
        <w:rPr>
          <w:rFonts w:ascii="Times New Roman" w:cs="Times New Roman" w:eastAsia="Times New Roman" w:hAnsi="Times New Roman"/>
          <w:sz w:val="19"/>
          <w:szCs w:val="19"/>
          <w:color w:val="auto"/>
        </w:rPr>
        <w:t>Increased Costs</w:t>
      </w:r>
    </w:p>
    <w:p>
      <w:pPr>
        <w:ind w:left="94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2.20.</w:t>
      </w:r>
      <w:r>
        <w:rPr>
          <w:sz w:val="20"/>
          <w:szCs w:val="20"/>
          <w:color w:val="auto"/>
        </w:rPr>
        <w:tab/>
      </w:r>
      <w:r>
        <w:rPr>
          <w:rFonts w:ascii="Times New Roman" w:cs="Times New Roman" w:eastAsia="Times New Roman" w:hAnsi="Times New Roman"/>
          <w:sz w:val="19"/>
          <w:szCs w:val="19"/>
          <w:color w:val="auto"/>
        </w:rPr>
        <w:t>Funding Indemnity</w:t>
      </w:r>
    </w:p>
    <w:p>
      <w:pPr>
        <w:ind w:left="94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2.21.</w:t>
      </w:r>
      <w:r>
        <w:rPr>
          <w:sz w:val="20"/>
          <w:szCs w:val="20"/>
          <w:color w:val="auto"/>
        </w:rPr>
        <w:tab/>
      </w:r>
      <w:r>
        <w:rPr>
          <w:rFonts w:ascii="Times New Roman" w:cs="Times New Roman" w:eastAsia="Times New Roman" w:hAnsi="Times New Roman"/>
          <w:sz w:val="19"/>
          <w:szCs w:val="19"/>
          <w:color w:val="auto"/>
        </w:rPr>
        <w:t>Taxes</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2.22.</w:t>
      </w:r>
      <w:r>
        <w:rPr>
          <w:sz w:val="20"/>
          <w:szCs w:val="20"/>
          <w:color w:val="auto"/>
        </w:rPr>
        <w:tab/>
      </w:r>
      <w:r>
        <w:rPr>
          <w:rFonts w:ascii="Times New Roman" w:cs="Times New Roman" w:eastAsia="Times New Roman" w:hAnsi="Times New Roman"/>
          <w:sz w:val="19"/>
          <w:szCs w:val="19"/>
          <w:color w:val="auto"/>
        </w:rPr>
        <w:t>Payments Generally; Pro Rata Treatment; Sharing of Set-offs</w:t>
      </w:r>
    </w:p>
    <w:p>
      <w:pPr>
        <w:ind w:left="94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2.23.</w:t>
      </w:r>
      <w:r>
        <w:rPr>
          <w:sz w:val="20"/>
          <w:szCs w:val="20"/>
          <w:color w:val="auto"/>
        </w:rPr>
        <w:tab/>
      </w:r>
      <w:r>
        <w:rPr>
          <w:rFonts w:ascii="Times New Roman" w:cs="Times New Roman" w:eastAsia="Times New Roman" w:hAnsi="Times New Roman"/>
          <w:sz w:val="19"/>
          <w:szCs w:val="19"/>
          <w:color w:val="auto"/>
        </w:rPr>
        <w:t>[Reserved]</w:t>
      </w:r>
    </w:p>
    <w:p>
      <w:pPr>
        <w:ind w:left="94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2.24.</w:t>
      </w:r>
      <w:r>
        <w:rPr>
          <w:sz w:val="20"/>
          <w:szCs w:val="20"/>
          <w:color w:val="auto"/>
        </w:rPr>
        <w:tab/>
      </w:r>
      <w:r>
        <w:rPr>
          <w:rFonts w:ascii="Times New Roman" w:cs="Times New Roman" w:eastAsia="Times New Roman" w:hAnsi="Times New Roman"/>
          <w:sz w:val="19"/>
          <w:szCs w:val="19"/>
          <w:color w:val="auto"/>
        </w:rPr>
        <w:t>[Reserved]</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2.25.</w:t>
      </w:r>
      <w:r>
        <w:rPr>
          <w:sz w:val="20"/>
          <w:szCs w:val="20"/>
          <w:color w:val="auto"/>
        </w:rPr>
        <w:tab/>
      </w:r>
      <w:r>
        <w:rPr>
          <w:rFonts w:ascii="Times New Roman" w:cs="Times New Roman" w:eastAsia="Times New Roman" w:hAnsi="Times New Roman"/>
          <w:sz w:val="19"/>
          <w:szCs w:val="19"/>
          <w:color w:val="auto"/>
        </w:rPr>
        <w:t>Mitigation of Obligations</w:t>
      </w:r>
    </w:p>
    <w:p>
      <w:pPr>
        <w:ind w:left="94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2.26.</w:t>
      </w:r>
      <w:r>
        <w:rPr>
          <w:sz w:val="20"/>
          <w:szCs w:val="20"/>
          <w:color w:val="auto"/>
        </w:rPr>
        <w:tab/>
      </w:r>
      <w:r>
        <w:rPr>
          <w:rFonts w:ascii="Times New Roman" w:cs="Times New Roman" w:eastAsia="Times New Roman" w:hAnsi="Times New Roman"/>
          <w:sz w:val="19"/>
          <w:szCs w:val="19"/>
          <w:color w:val="auto"/>
        </w:rPr>
        <w:t>Replacement of Lenders</w:t>
      </w:r>
    </w:p>
    <w:p>
      <w:pPr>
        <w:ind w:left="94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2.27.</w:t>
      </w:r>
      <w:r>
        <w:rPr>
          <w:sz w:val="20"/>
          <w:szCs w:val="20"/>
          <w:color w:val="auto"/>
        </w:rPr>
        <w:tab/>
      </w:r>
      <w:r>
        <w:rPr>
          <w:rFonts w:ascii="Times New Roman" w:cs="Times New Roman" w:eastAsia="Times New Roman" w:hAnsi="Times New Roman"/>
          <w:sz w:val="19"/>
          <w:szCs w:val="19"/>
          <w:color w:val="auto"/>
        </w:rPr>
        <w:t>Defaulting Lenders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III CONDITIONS PRECEDENT TO LOANS</w:t>
      </w:r>
    </w:p>
    <w:p>
      <w:pPr>
        <w:spacing w:after="0" w:line="8" w:lineRule="exact"/>
        <w:rPr>
          <w:sz w:val="20"/>
          <w:szCs w:val="20"/>
          <w:color w:val="auto"/>
        </w:rPr>
      </w:pPr>
    </w:p>
    <w:p>
      <w:pPr>
        <w:ind w:left="94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3.1.</w:t>
      </w:r>
      <w:r>
        <w:rPr>
          <w:sz w:val="20"/>
          <w:szCs w:val="20"/>
          <w:color w:val="auto"/>
        </w:rPr>
        <w:tab/>
      </w:r>
      <w:r>
        <w:rPr>
          <w:rFonts w:ascii="Times New Roman" w:cs="Times New Roman" w:eastAsia="Times New Roman" w:hAnsi="Times New Roman"/>
          <w:sz w:val="19"/>
          <w:szCs w:val="19"/>
          <w:color w:val="auto"/>
        </w:rPr>
        <w:t>Conditions to Effectiveness</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3.2.</w:t>
      </w:r>
      <w:r>
        <w:rPr>
          <w:sz w:val="20"/>
          <w:szCs w:val="20"/>
          <w:color w:val="auto"/>
        </w:rPr>
        <w:tab/>
      </w:r>
      <w:r>
        <w:rPr>
          <w:rFonts w:ascii="Times New Roman" w:cs="Times New Roman" w:eastAsia="Times New Roman" w:hAnsi="Times New Roman"/>
          <w:sz w:val="19"/>
          <w:szCs w:val="19"/>
          <w:color w:val="auto"/>
        </w:rPr>
        <w:t xml:space="preserve">Conditions to the </w:t>
      </w:r>
      <w:r>
        <w:rPr>
          <w:rFonts w:ascii="Times New Roman" w:cs="Times New Roman" w:eastAsia="Times New Roman" w:hAnsi="Times New Roman"/>
          <w:sz w:val="19"/>
          <w:szCs w:val="19"/>
          <w:u w:val="single" w:color="auto"/>
          <w:color w:val="3051F2"/>
        </w:rPr>
        <w:t>Initial Term Loan</w:t>
      </w:r>
      <w:r>
        <w:rPr>
          <w:rFonts w:ascii="Times New Roman" w:cs="Times New Roman" w:eastAsia="Times New Roman" w:hAnsi="Times New Roman"/>
          <w:sz w:val="19"/>
          <w:szCs w:val="19"/>
          <w:color w:val="auto"/>
        </w:rPr>
        <w:t xml:space="preserve"> Borrowing</w:t>
      </w:r>
    </w:p>
    <w:p>
      <w:pPr>
        <w:ind w:left="2460" w:right="560" w:hanging="1511"/>
        <w:spacing w:after="0" w:line="228" w:lineRule="auto"/>
        <w:tabs>
          <w:tab w:leader="none" w:pos="2440" w:val="left"/>
        </w:tabs>
        <w:rPr>
          <w:sz w:val="20"/>
          <w:szCs w:val="20"/>
          <w:color w:val="auto"/>
        </w:rPr>
      </w:pPr>
      <w:r>
        <w:rPr>
          <w:rFonts w:ascii="Times New Roman" w:cs="Times New Roman" w:eastAsia="Times New Roman" w:hAnsi="Times New Roman"/>
          <w:sz w:val="20"/>
          <w:szCs w:val="20"/>
          <w:color w:val="auto"/>
        </w:rPr>
        <w:t>Section 3.3.</w:t>
      </w:r>
      <w:r>
        <w:rPr>
          <w:sz w:val="20"/>
          <w:szCs w:val="20"/>
          <w:color w:val="auto"/>
        </w:rPr>
        <w:tab/>
      </w:r>
      <w:r>
        <w:rPr>
          <w:rFonts w:ascii="Times New Roman" w:cs="Times New Roman" w:eastAsia="Times New Roman" w:hAnsi="Times New Roman"/>
          <w:sz w:val="20"/>
          <w:szCs w:val="20"/>
          <w:color w:val="EE2724"/>
          <w:strike w:val="1"/>
        </w:rPr>
        <w:t>[Reserved]</w:t>
      </w:r>
      <w:r>
        <w:rPr>
          <w:rFonts w:ascii="Times New Roman" w:cs="Times New Roman" w:eastAsia="Times New Roman" w:hAnsi="Times New Roman"/>
          <w:sz w:val="20"/>
          <w:szCs w:val="20"/>
          <w:u w:val="single" w:color="auto"/>
          <w:color w:val="3051F2"/>
          <w:strike w:val="1"/>
        </w:rPr>
        <w:t>Conditions to the Second Amendment Effective Date Term Loan</w:t>
      </w:r>
      <w:r>
        <w:rPr>
          <w:rFonts w:ascii="Times New Roman" w:cs="Times New Roman" w:eastAsia="Times New Roman" w:hAnsi="Times New Roman"/>
          <w:sz w:val="20"/>
          <w:szCs w:val="20"/>
          <w:color w:val="EE2724"/>
          <w:strike w:val="1"/>
        </w:rPr>
        <w:t xml:space="preserve"> </w:t>
      </w:r>
      <w:r>
        <w:rPr>
          <w:rFonts w:ascii="Times New Roman" w:cs="Times New Roman" w:eastAsia="Times New Roman" w:hAnsi="Times New Roman"/>
          <w:sz w:val="20"/>
          <w:szCs w:val="20"/>
          <w:u w:val="single" w:color="auto"/>
          <w:color w:val="3051F2"/>
          <w:strike w:val="1"/>
        </w:rPr>
        <w:t>Borrowing</w:t>
      </w:r>
    </w:p>
    <w:p>
      <w:pPr>
        <w:spacing w:after="0" w:line="365" w:lineRule="exact"/>
        <w:rPr>
          <w:sz w:val="20"/>
          <w:szCs w:val="20"/>
          <w:color w:val="auto"/>
        </w:rPr>
      </w:pPr>
    </w:p>
    <w:p>
      <w:pPr>
        <w:jc w:val="center"/>
        <w:ind w:right="4280"/>
        <w:spacing w:after="0"/>
        <w:rPr>
          <w:sz w:val="20"/>
          <w:szCs w:val="20"/>
          <w:color w:val="auto"/>
        </w:rPr>
      </w:pPr>
      <w:r>
        <w:rPr>
          <w:rFonts w:ascii="Times New Roman" w:cs="Times New Roman" w:eastAsia="Times New Roman" w:hAnsi="Times New Roman"/>
          <w:sz w:val="19"/>
          <w:szCs w:val="19"/>
          <w:color w:val="auto"/>
        </w:rPr>
        <w:t>ARTICLE IV REPRESENTATIONS AND WARRANTIES</w:t>
      </w:r>
    </w:p>
    <w:p>
      <w:pPr>
        <w:spacing w:after="0" w:line="19" w:lineRule="exact"/>
        <w:rPr>
          <w:sz w:val="20"/>
          <w:szCs w:val="20"/>
          <w:color w:val="auto"/>
        </w:rPr>
      </w:pPr>
    </w:p>
    <w:p>
      <w:pPr>
        <w:ind w:left="94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19"/>
          <w:szCs w:val="19"/>
          <w:color w:val="auto"/>
        </w:rPr>
        <w:t>Existence; Power</w:t>
      </w:r>
    </w:p>
    <w:p>
      <w:pPr>
        <w:ind w:left="94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4.2.</w:t>
      </w:r>
      <w:r>
        <w:rPr>
          <w:sz w:val="20"/>
          <w:szCs w:val="20"/>
          <w:color w:val="auto"/>
        </w:rPr>
        <w:tab/>
      </w:r>
      <w:r>
        <w:rPr>
          <w:rFonts w:ascii="Times New Roman" w:cs="Times New Roman" w:eastAsia="Times New Roman" w:hAnsi="Times New Roman"/>
          <w:sz w:val="19"/>
          <w:szCs w:val="19"/>
          <w:color w:val="auto"/>
        </w:rPr>
        <w:t>Organizational Power; Authorization</w:t>
      </w:r>
    </w:p>
    <w:p>
      <w:pPr>
        <w:ind w:left="94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4.3.</w:t>
      </w:r>
      <w:r>
        <w:rPr>
          <w:sz w:val="20"/>
          <w:szCs w:val="20"/>
          <w:color w:val="auto"/>
        </w:rPr>
        <w:tab/>
      </w:r>
      <w:r>
        <w:rPr>
          <w:rFonts w:ascii="Times New Roman" w:cs="Times New Roman" w:eastAsia="Times New Roman" w:hAnsi="Times New Roman"/>
          <w:sz w:val="19"/>
          <w:szCs w:val="19"/>
          <w:color w:val="auto"/>
        </w:rPr>
        <w:t>Governmental Approvals; No Conflicts; No Default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strike w:val="1"/>
        </w:rPr>
        <w:t>6</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strike w:val="1"/>
        </w:rPr>
        <w:t>6</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36</w:t>
      </w:r>
      <w:r>
        <w:rPr>
          <w:rFonts w:ascii="Times New Roman" w:cs="Times New Roman" w:eastAsia="Times New Roman" w:hAnsi="Times New Roman"/>
          <w:sz w:val="20"/>
          <w:szCs w:val="20"/>
          <w:u w:val="single" w:color="auto"/>
          <w:color w:val="3051F2"/>
          <w:strike w:val="1"/>
        </w:rPr>
        <w:t>41</w:t>
      </w:r>
    </w:p>
    <w:p>
      <w:pPr>
        <w:jc w:val="right"/>
        <w:spacing w:after="0" w:line="197" w:lineRule="auto"/>
        <w:rPr>
          <w:sz w:val="20"/>
          <w:szCs w:val="20"/>
          <w:color w:val="auto"/>
        </w:rPr>
      </w:pPr>
      <w:r>
        <w:rPr>
          <w:rFonts w:ascii="Times New Roman" w:cs="Times New Roman" w:eastAsia="Times New Roman" w:hAnsi="Times New Roman"/>
          <w:sz w:val="20"/>
          <w:szCs w:val="20"/>
          <w:color w:val="EE2724"/>
          <w:strike w:val="1"/>
        </w:rPr>
        <w:t>36</w:t>
      </w:r>
      <w:r>
        <w:rPr>
          <w:rFonts w:ascii="Times New Roman" w:cs="Times New Roman" w:eastAsia="Times New Roman" w:hAnsi="Times New Roman"/>
          <w:sz w:val="20"/>
          <w:szCs w:val="20"/>
          <w:u w:val="single" w:color="auto"/>
          <w:color w:val="3051F2"/>
          <w:strike w:val="1"/>
        </w:rPr>
        <w:t>41</w:t>
      </w:r>
    </w:p>
    <w:p>
      <w:pPr>
        <w:jc w:val="right"/>
        <w:spacing w:after="0" w:line="212" w:lineRule="auto"/>
        <w:rPr>
          <w:sz w:val="20"/>
          <w:szCs w:val="20"/>
          <w:color w:val="auto"/>
        </w:rPr>
      </w:pPr>
      <w:r>
        <w:rPr>
          <w:rFonts w:ascii="Times New Roman" w:cs="Times New Roman" w:eastAsia="Times New Roman" w:hAnsi="Times New Roman"/>
          <w:sz w:val="20"/>
          <w:szCs w:val="20"/>
          <w:color w:val="EE2724"/>
          <w:strike w:val="1"/>
        </w:rPr>
        <w:t>36</w:t>
      </w:r>
      <w:r>
        <w:rPr>
          <w:rFonts w:ascii="Times New Roman" w:cs="Times New Roman" w:eastAsia="Times New Roman" w:hAnsi="Times New Roman"/>
          <w:sz w:val="20"/>
          <w:szCs w:val="20"/>
          <w:u w:val="single" w:color="auto"/>
          <w:color w:val="3051F2"/>
          <w:strike w:val="1"/>
        </w:rPr>
        <w:t>42</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37</w:t>
      </w:r>
      <w:r>
        <w:rPr>
          <w:rFonts w:ascii="Times New Roman" w:cs="Times New Roman" w:eastAsia="Times New Roman" w:hAnsi="Times New Roman"/>
          <w:sz w:val="20"/>
          <w:szCs w:val="20"/>
          <w:u w:val="single" w:color="auto"/>
          <w:color w:val="3051F2"/>
          <w:strike w:val="1"/>
        </w:rPr>
        <w:t>42</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EE2724"/>
          <w:strike w:val="1"/>
        </w:rPr>
        <w:t>37</w:t>
      </w:r>
      <w:r>
        <w:rPr>
          <w:rFonts w:ascii="Times New Roman" w:cs="Times New Roman" w:eastAsia="Times New Roman" w:hAnsi="Times New Roman"/>
          <w:sz w:val="20"/>
          <w:szCs w:val="20"/>
          <w:u w:val="single" w:color="auto"/>
          <w:color w:val="3051F2"/>
          <w:strike w:val="1"/>
        </w:rPr>
        <w:t>42</w:t>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3051F2"/>
        </w:rPr>
        <w:t>4</w:t>
      </w:r>
      <w:r>
        <w:rPr>
          <w:rFonts w:ascii="Times New Roman" w:cs="Times New Roman" w:eastAsia="Times New Roman" w:hAnsi="Times New Roman"/>
          <w:sz w:val="20"/>
          <w:szCs w:val="20"/>
          <w:color w:val="000000"/>
        </w:rPr>
        <w:t>3</w:t>
      </w:r>
      <w:r>
        <w:rPr>
          <w:rFonts w:ascii="Times New Roman" w:cs="Times New Roman" w:eastAsia="Times New Roman" w:hAnsi="Times New Roman"/>
          <w:sz w:val="20"/>
          <w:szCs w:val="20"/>
          <w:color w:val="EE2724"/>
          <w:strike w:val="1"/>
        </w:rPr>
        <w:t>8</w:t>
      </w:r>
    </w:p>
    <w:p>
      <w:pPr>
        <w:jc w:val="right"/>
        <w:spacing w:after="0" w:line="211" w:lineRule="auto"/>
        <w:rPr>
          <w:sz w:val="20"/>
          <w:szCs w:val="20"/>
          <w:color w:val="auto"/>
        </w:rPr>
      </w:pPr>
      <w:r>
        <w:rPr>
          <w:rFonts w:ascii="Times New Roman" w:cs="Times New Roman" w:eastAsia="Times New Roman" w:hAnsi="Times New Roman"/>
          <w:sz w:val="20"/>
          <w:szCs w:val="20"/>
          <w:u w:val="single" w:color="auto"/>
          <w:color w:val="3051F2"/>
        </w:rPr>
        <w:t>4</w:t>
      </w:r>
      <w:r>
        <w:rPr>
          <w:rFonts w:ascii="Times New Roman" w:cs="Times New Roman" w:eastAsia="Times New Roman" w:hAnsi="Times New Roman"/>
          <w:sz w:val="20"/>
          <w:szCs w:val="20"/>
          <w:color w:val="000000"/>
        </w:rPr>
        <w:t>3</w:t>
      </w:r>
      <w:r>
        <w:rPr>
          <w:rFonts w:ascii="Times New Roman" w:cs="Times New Roman" w:eastAsia="Times New Roman" w:hAnsi="Times New Roman"/>
          <w:sz w:val="20"/>
          <w:szCs w:val="20"/>
          <w:color w:val="EE2724"/>
          <w:strike w:val="1"/>
        </w:rPr>
        <w:t>8</w:t>
      </w:r>
    </w:p>
    <w:p>
      <w:pPr>
        <w:jc w:val="right"/>
        <w:spacing w:after="0" w:line="211" w:lineRule="auto"/>
        <w:rPr>
          <w:sz w:val="20"/>
          <w:szCs w:val="20"/>
          <w:color w:val="auto"/>
        </w:rPr>
      </w:pPr>
      <w:r>
        <w:rPr>
          <w:rFonts w:ascii="Times New Roman" w:cs="Times New Roman" w:eastAsia="Times New Roman" w:hAnsi="Times New Roman"/>
          <w:sz w:val="20"/>
          <w:szCs w:val="20"/>
          <w:u w:val="single" w:color="auto"/>
          <w:color w:val="3051F2"/>
        </w:rPr>
        <w:t>4</w:t>
      </w:r>
      <w:r>
        <w:rPr>
          <w:rFonts w:ascii="Times New Roman" w:cs="Times New Roman" w:eastAsia="Times New Roman" w:hAnsi="Times New Roman"/>
          <w:sz w:val="20"/>
          <w:szCs w:val="20"/>
          <w:color w:val="000000"/>
        </w:rPr>
        <w:t>3</w:t>
      </w:r>
      <w:r>
        <w:rPr>
          <w:rFonts w:ascii="Times New Roman" w:cs="Times New Roman" w:eastAsia="Times New Roman" w:hAnsi="Times New Roman"/>
          <w:sz w:val="20"/>
          <w:szCs w:val="20"/>
          <w:color w:val="EE2724"/>
          <w:strike w:val="1"/>
        </w:rPr>
        <w:t>8</w:t>
      </w:r>
    </w:p>
    <w:p>
      <w:pPr>
        <w:jc w:val="right"/>
        <w:spacing w:after="0" w:line="197" w:lineRule="auto"/>
        <w:rPr>
          <w:sz w:val="20"/>
          <w:szCs w:val="20"/>
          <w:color w:val="auto"/>
        </w:rPr>
      </w:pPr>
      <w:r>
        <w:rPr>
          <w:rFonts w:ascii="Times New Roman" w:cs="Times New Roman" w:eastAsia="Times New Roman" w:hAnsi="Times New Roman"/>
          <w:sz w:val="20"/>
          <w:szCs w:val="20"/>
          <w:u w:val="single" w:color="auto"/>
          <w:color w:val="3051F2"/>
        </w:rPr>
        <w:t>4</w:t>
      </w:r>
      <w:r>
        <w:rPr>
          <w:rFonts w:ascii="Times New Roman" w:cs="Times New Roman" w:eastAsia="Times New Roman" w:hAnsi="Times New Roman"/>
          <w:sz w:val="20"/>
          <w:szCs w:val="20"/>
          <w:color w:val="000000"/>
        </w:rPr>
        <w:t>3</w:t>
      </w:r>
      <w:r>
        <w:rPr>
          <w:rFonts w:ascii="Times New Roman" w:cs="Times New Roman" w:eastAsia="Times New Roman" w:hAnsi="Times New Roman"/>
          <w:sz w:val="20"/>
          <w:szCs w:val="20"/>
          <w:color w:val="EE2724"/>
          <w:strike w:val="1"/>
        </w:rPr>
        <w:t>8</w:t>
      </w:r>
    </w:p>
    <w:p>
      <w:pPr>
        <w:jc w:val="right"/>
        <w:spacing w:after="0" w:line="212" w:lineRule="auto"/>
        <w:rPr>
          <w:sz w:val="20"/>
          <w:szCs w:val="20"/>
          <w:color w:val="auto"/>
        </w:rPr>
      </w:pPr>
      <w:r>
        <w:rPr>
          <w:rFonts w:ascii="Times New Roman" w:cs="Times New Roman" w:eastAsia="Times New Roman" w:hAnsi="Times New Roman"/>
          <w:sz w:val="20"/>
          <w:szCs w:val="20"/>
          <w:u w:val="single" w:color="auto"/>
          <w:color w:val="3051F2"/>
        </w:rPr>
        <w:t>4</w:t>
      </w:r>
      <w:r>
        <w:rPr>
          <w:rFonts w:ascii="Times New Roman" w:cs="Times New Roman" w:eastAsia="Times New Roman" w:hAnsi="Times New Roman"/>
          <w:sz w:val="20"/>
          <w:szCs w:val="20"/>
          <w:color w:val="000000"/>
        </w:rPr>
        <w:t>3</w:t>
      </w:r>
      <w:r>
        <w:rPr>
          <w:rFonts w:ascii="Times New Roman" w:cs="Times New Roman" w:eastAsia="Times New Roman" w:hAnsi="Times New Roman"/>
          <w:sz w:val="20"/>
          <w:szCs w:val="20"/>
          <w:color w:val="EE2724"/>
          <w:strike w:val="1"/>
        </w:rPr>
        <w:t>8</w:t>
      </w:r>
    </w:p>
    <w:p>
      <w:pPr>
        <w:jc w:val="right"/>
        <w:spacing w:after="0" w:line="211" w:lineRule="auto"/>
        <w:rPr>
          <w:sz w:val="20"/>
          <w:szCs w:val="20"/>
          <w:color w:val="auto"/>
        </w:rPr>
      </w:pPr>
      <w:r>
        <w:rPr>
          <w:rFonts w:ascii="Times New Roman" w:cs="Times New Roman" w:eastAsia="Times New Roman" w:hAnsi="Times New Roman"/>
          <w:sz w:val="20"/>
          <w:szCs w:val="20"/>
          <w:u w:val="single" w:color="auto"/>
          <w:color w:val="3051F2"/>
        </w:rPr>
        <w:t>4</w:t>
      </w:r>
      <w:r>
        <w:rPr>
          <w:rFonts w:ascii="Times New Roman" w:cs="Times New Roman" w:eastAsia="Times New Roman" w:hAnsi="Times New Roman"/>
          <w:sz w:val="20"/>
          <w:szCs w:val="20"/>
          <w:color w:val="000000"/>
        </w:rPr>
        <w:t>3</w:t>
      </w:r>
      <w:r>
        <w:rPr>
          <w:rFonts w:ascii="Times New Roman" w:cs="Times New Roman" w:eastAsia="Times New Roman" w:hAnsi="Times New Roman"/>
          <w:sz w:val="20"/>
          <w:szCs w:val="20"/>
          <w:color w:val="EE2724"/>
          <w:strike w:val="1"/>
        </w:rPr>
        <w:t>8</w:t>
      </w:r>
    </w:p>
    <w:p>
      <w:pPr>
        <w:jc w:val="right"/>
        <w:spacing w:after="0" w:line="197" w:lineRule="auto"/>
        <w:rPr>
          <w:sz w:val="20"/>
          <w:szCs w:val="20"/>
          <w:color w:val="auto"/>
        </w:rPr>
      </w:pPr>
      <w:r>
        <w:rPr>
          <w:rFonts w:ascii="Times New Roman" w:cs="Times New Roman" w:eastAsia="Times New Roman" w:hAnsi="Times New Roman"/>
          <w:sz w:val="20"/>
          <w:szCs w:val="20"/>
          <w:u w:val="single" w:color="auto"/>
          <w:color w:val="3051F2"/>
        </w:rPr>
        <w:t>4</w:t>
      </w:r>
      <w:r>
        <w:rPr>
          <w:rFonts w:ascii="Times New Roman" w:cs="Times New Roman" w:eastAsia="Times New Roman" w:hAnsi="Times New Roman"/>
          <w:sz w:val="20"/>
          <w:szCs w:val="20"/>
          <w:color w:val="000000"/>
        </w:rPr>
        <w:t>3</w:t>
      </w:r>
      <w:r>
        <w:rPr>
          <w:rFonts w:ascii="Times New Roman" w:cs="Times New Roman" w:eastAsia="Times New Roman" w:hAnsi="Times New Roman"/>
          <w:sz w:val="20"/>
          <w:szCs w:val="20"/>
          <w:color w:val="EE2724"/>
          <w:strike w:val="1"/>
        </w:rPr>
        <w:t>8</w:t>
      </w:r>
    </w:p>
    <w:p>
      <w:pPr>
        <w:jc w:val="right"/>
        <w:spacing w:after="0" w:line="212" w:lineRule="auto"/>
        <w:rPr>
          <w:sz w:val="20"/>
          <w:szCs w:val="20"/>
          <w:color w:val="auto"/>
        </w:rPr>
      </w:pPr>
      <w:r>
        <w:rPr>
          <w:rFonts w:ascii="Times New Roman" w:cs="Times New Roman" w:eastAsia="Times New Roman" w:hAnsi="Times New Roman"/>
          <w:sz w:val="20"/>
          <w:szCs w:val="20"/>
          <w:color w:val="EE2724"/>
          <w:strike w:val="1"/>
        </w:rPr>
        <w:t>39</w:t>
      </w:r>
      <w:r>
        <w:rPr>
          <w:rFonts w:ascii="Times New Roman" w:cs="Times New Roman" w:eastAsia="Times New Roman" w:hAnsi="Times New Roman"/>
          <w:sz w:val="20"/>
          <w:szCs w:val="20"/>
          <w:u w:val="single" w:color="auto"/>
          <w:color w:val="3051F2"/>
          <w:strike w:val="1"/>
        </w:rPr>
        <w:t>44</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39</w:t>
      </w:r>
      <w:r>
        <w:rPr>
          <w:rFonts w:ascii="Times New Roman" w:cs="Times New Roman" w:eastAsia="Times New Roman" w:hAnsi="Times New Roman"/>
          <w:sz w:val="20"/>
          <w:szCs w:val="20"/>
          <w:u w:val="single" w:color="auto"/>
          <w:color w:val="3051F2"/>
          <w:strike w:val="1"/>
        </w:rPr>
        <w:t>44</w:t>
      </w:r>
    </w:p>
    <w:p>
      <w:pPr>
        <w:jc w:val="right"/>
        <w:spacing w:after="0" w:line="197" w:lineRule="auto"/>
        <w:rPr>
          <w:sz w:val="20"/>
          <w:szCs w:val="20"/>
          <w:color w:val="auto"/>
        </w:rPr>
      </w:pPr>
      <w:r>
        <w:rPr>
          <w:rFonts w:ascii="Times New Roman" w:cs="Times New Roman" w:eastAsia="Times New Roman" w:hAnsi="Times New Roman"/>
          <w:sz w:val="20"/>
          <w:szCs w:val="20"/>
          <w:color w:val="EE2724"/>
          <w:strike w:val="1"/>
        </w:rPr>
        <w:t>39</w:t>
      </w:r>
      <w:r>
        <w:rPr>
          <w:rFonts w:ascii="Times New Roman" w:cs="Times New Roman" w:eastAsia="Times New Roman" w:hAnsi="Times New Roman"/>
          <w:sz w:val="20"/>
          <w:szCs w:val="20"/>
          <w:u w:val="single" w:color="auto"/>
          <w:color w:val="3051F2"/>
          <w:strike w:val="1"/>
        </w:rPr>
        <w:t>44</w:t>
      </w:r>
    </w:p>
    <w:p>
      <w:pPr>
        <w:jc w:val="right"/>
        <w:spacing w:after="0" w:line="211" w:lineRule="auto"/>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5</w:t>
      </w:r>
    </w:p>
    <w:p>
      <w:pPr>
        <w:jc w:val="right"/>
        <w:spacing w:after="0" w:line="198" w:lineRule="auto"/>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5</w:t>
      </w:r>
    </w:p>
    <w:p>
      <w:pPr>
        <w:jc w:val="right"/>
        <w:spacing w:after="0" w:line="211" w:lineRule="auto"/>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8</w:t>
      </w:r>
    </w:p>
    <w:p>
      <w:pPr>
        <w:jc w:val="right"/>
        <w:spacing w:after="0" w:line="211" w:lineRule="auto"/>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198" w:lineRule="auto"/>
        <w:rPr>
          <w:sz w:val="20"/>
          <w:szCs w:val="20"/>
          <w:color w:val="auto"/>
        </w:rPr>
      </w:pPr>
      <w:r>
        <w:rPr>
          <w:rFonts w:ascii="Times New Roman" w:cs="Times New Roman" w:eastAsia="Times New Roman" w:hAnsi="Times New Roman"/>
          <w:sz w:val="20"/>
          <w:szCs w:val="20"/>
          <w:color w:val="EE2724"/>
          <w:strike w:val="1"/>
        </w:rPr>
        <w:t>44</w:t>
      </w:r>
      <w:r>
        <w:rPr>
          <w:rFonts w:ascii="Times New Roman" w:cs="Times New Roman" w:eastAsia="Times New Roman" w:hAnsi="Times New Roman"/>
          <w:sz w:val="20"/>
          <w:szCs w:val="20"/>
          <w:u w:val="single" w:color="auto"/>
          <w:color w:val="3051F2"/>
          <w:strike w:val="1"/>
        </w:rPr>
        <w:t>50</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4</w:t>
      </w:r>
      <w:r>
        <w:rPr>
          <w:rFonts w:ascii="Times New Roman" w:cs="Times New Roman" w:eastAsia="Times New Roman" w:hAnsi="Times New Roman"/>
          <w:sz w:val="20"/>
          <w:szCs w:val="20"/>
          <w:color w:val="000000"/>
        </w:rPr>
        <w:t>5</w:t>
      </w:r>
      <w:r>
        <w:rPr>
          <w:rFonts w:ascii="Times New Roman" w:cs="Times New Roman" w:eastAsia="Times New Roman" w:hAnsi="Times New Roman"/>
          <w:sz w:val="20"/>
          <w:szCs w:val="20"/>
          <w:u w:val="single" w:color="auto"/>
          <w:color w:val="3051F2"/>
        </w:rPr>
        <w:t>0</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4</w:t>
      </w:r>
      <w:r>
        <w:rPr>
          <w:rFonts w:ascii="Times New Roman" w:cs="Times New Roman" w:eastAsia="Times New Roman" w:hAnsi="Times New Roman"/>
          <w:sz w:val="20"/>
          <w:szCs w:val="20"/>
          <w:color w:val="000000"/>
        </w:rPr>
        <w:t>5</w:t>
      </w:r>
      <w:r>
        <w:rPr>
          <w:rFonts w:ascii="Times New Roman" w:cs="Times New Roman" w:eastAsia="Times New Roman" w:hAnsi="Times New Roman"/>
          <w:sz w:val="20"/>
          <w:szCs w:val="20"/>
          <w:u w:val="single" w:color="auto"/>
          <w:color w:val="3051F2"/>
        </w:rPr>
        <w:t>0</w:t>
      </w:r>
    </w:p>
    <w:p>
      <w:pPr>
        <w:jc w:val="right"/>
        <w:spacing w:after="0" w:line="197" w:lineRule="auto"/>
        <w:rPr>
          <w:sz w:val="20"/>
          <w:szCs w:val="20"/>
          <w:color w:val="auto"/>
        </w:rPr>
      </w:pPr>
      <w:r>
        <w:rPr>
          <w:rFonts w:ascii="Times New Roman" w:cs="Times New Roman" w:eastAsia="Times New Roman" w:hAnsi="Times New Roman"/>
          <w:sz w:val="20"/>
          <w:szCs w:val="20"/>
          <w:color w:val="EE2724"/>
          <w:strike w:val="1"/>
        </w:rPr>
        <w:t>4</w:t>
      </w:r>
      <w:r>
        <w:rPr>
          <w:rFonts w:ascii="Times New Roman" w:cs="Times New Roman" w:eastAsia="Times New Roman" w:hAnsi="Times New Roman"/>
          <w:sz w:val="20"/>
          <w:szCs w:val="20"/>
          <w:color w:val="000000"/>
        </w:rPr>
        <w:t>5</w:t>
      </w:r>
      <w:r>
        <w:rPr>
          <w:rFonts w:ascii="Times New Roman" w:cs="Times New Roman" w:eastAsia="Times New Roman" w:hAnsi="Times New Roman"/>
          <w:sz w:val="20"/>
          <w:szCs w:val="20"/>
          <w:u w:val="single" w:color="auto"/>
          <w:color w:val="3051F2"/>
        </w:rPr>
        <w:t>1</w:t>
      </w:r>
    </w:p>
    <w:p>
      <w:pPr>
        <w:jc w:val="right"/>
        <w:spacing w:after="0" w:line="212" w:lineRule="auto"/>
        <w:rPr>
          <w:sz w:val="20"/>
          <w:szCs w:val="20"/>
          <w:color w:val="auto"/>
        </w:rPr>
      </w:pPr>
      <w:r>
        <w:rPr>
          <w:rFonts w:ascii="Times New Roman" w:cs="Times New Roman" w:eastAsia="Times New Roman" w:hAnsi="Times New Roman"/>
          <w:sz w:val="20"/>
          <w:szCs w:val="20"/>
          <w:color w:val="EE2724"/>
          <w:strike w:val="1"/>
        </w:rPr>
        <w:t>47</w:t>
      </w:r>
      <w:r>
        <w:rPr>
          <w:rFonts w:ascii="Times New Roman" w:cs="Times New Roman" w:eastAsia="Times New Roman" w:hAnsi="Times New Roman"/>
          <w:sz w:val="20"/>
          <w:szCs w:val="20"/>
          <w:u w:val="single" w:color="auto"/>
          <w:color w:val="3051F2"/>
          <w:strike w:val="1"/>
        </w:rPr>
        <w:t>52</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47</w:t>
      </w:r>
      <w:r>
        <w:rPr>
          <w:rFonts w:ascii="Times New Roman" w:cs="Times New Roman" w:eastAsia="Times New Roman" w:hAnsi="Times New Roman"/>
          <w:sz w:val="20"/>
          <w:szCs w:val="20"/>
          <w:u w:val="single" w:color="auto"/>
          <w:color w:val="3051F2"/>
          <w:strike w:val="1"/>
        </w:rPr>
        <w:t>53</w:t>
      </w:r>
    </w:p>
    <w:p>
      <w:pPr>
        <w:jc w:val="right"/>
        <w:spacing w:after="0" w:line="197" w:lineRule="auto"/>
        <w:rPr>
          <w:sz w:val="20"/>
          <w:szCs w:val="20"/>
          <w:color w:val="auto"/>
        </w:rPr>
      </w:pPr>
      <w:r>
        <w:rPr>
          <w:rFonts w:ascii="Times New Roman" w:cs="Times New Roman" w:eastAsia="Times New Roman" w:hAnsi="Times New Roman"/>
          <w:sz w:val="20"/>
          <w:szCs w:val="20"/>
          <w:u w:val="single" w:color="auto"/>
          <w:color w:val="3051F2"/>
        </w:rPr>
        <w:t>5</w:t>
      </w:r>
      <w:r>
        <w:rPr>
          <w:rFonts w:ascii="Times New Roman" w:cs="Times New Roman" w:eastAsia="Times New Roman" w:hAnsi="Times New Roman"/>
          <w:sz w:val="20"/>
          <w:szCs w:val="20"/>
          <w:color w:val="000000"/>
        </w:rPr>
        <w:t>4</w:t>
      </w:r>
      <w:r>
        <w:rPr>
          <w:rFonts w:ascii="Times New Roman" w:cs="Times New Roman" w:eastAsia="Times New Roman" w:hAnsi="Times New Roman"/>
          <w:sz w:val="20"/>
          <w:szCs w:val="20"/>
          <w:color w:val="EE2724"/>
          <w:strike w:val="1"/>
        </w:rPr>
        <w:t>8</w:t>
      </w:r>
    </w:p>
    <w:p>
      <w:pPr>
        <w:jc w:val="right"/>
        <w:spacing w:after="0" w:line="212" w:lineRule="auto"/>
        <w:rPr>
          <w:sz w:val="20"/>
          <w:szCs w:val="20"/>
          <w:color w:val="auto"/>
        </w:rPr>
      </w:pPr>
      <w:r>
        <w:rPr>
          <w:rFonts w:ascii="Times New Roman" w:cs="Times New Roman" w:eastAsia="Times New Roman" w:hAnsi="Times New Roman"/>
          <w:sz w:val="20"/>
          <w:szCs w:val="20"/>
          <w:u w:val="single" w:color="auto"/>
          <w:color w:val="3051F2"/>
        </w:rPr>
        <w:t>5</w:t>
      </w:r>
      <w:r>
        <w:rPr>
          <w:rFonts w:ascii="Times New Roman" w:cs="Times New Roman" w:eastAsia="Times New Roman" w:hAnsi="Times New Roman"/>
          <w:sz w:val="20"/>
          <w:szCs w:val="20"/>
          <w:color w:val="000000"/>
        </w:rPr>
        <w:t>4</w:t>
      </w:r>
      <w:r>
        <w:rPr>
          <w:rFonts w:ascii="Times New Roman" w:cs="Times New Roman" w:eastAsia="Times New Roman" w:hAnsi="Times New Roman"/>
          <w:sz w:val="20"/>
          <w:szCs w:val="20"/>
          <w:color w:val="EE2724"/>
          <w:strike w:val="1"/>
        </w:rPr>
        <w:t>9</w:t>
      </w:r>
    </w:p>
    <w:p>
      <w:pPr>
        <w:jc w:val="right"/>
        <w:spacing w:after="0" w:line="211" w:lineRule="auto"/>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8</w:t>
      </w:r>
    </w:p>
    <w:p>
      <w:pPr>
        <w:jc w:val="right"/>
        <w:spacing w:after="0" w:line="197" w:lineRule="auto"/>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212" w:lineRule="auto"/>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211" w:lineRule="auto"/>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197" w:lineRule="auto"/>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color w:val="EE2724"/>
          <w:strike w:val="1"/>
        </w:rPr>
        <w:t>4</w:t>
      </w:r>
      <w:r>
        <w:rPr>
          <w:rFonts w:ascii="Times New Roman" w:cs="Times New Roman" w:eastAsia="Times New Roman" w:hAnsi="Times New Roman"/>
          <w:sz w:val="20"/>
          <w:szCs w:val="20"/>
          <w:u w:val="single" w:color="auto"/>
          <w:color w:val="3051F2"/>
        </w:rPr>
        <w:t>9</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EE2724"/>
          <w:strike w:val="1"/>
        </w:rPr>
        <w:t>54</w:t>
      </w:r>
      <w:r>
        <w:rPr>
          <w:rFonts w:ascii="Times New Roman" w:cs="Times New Roman" w:eastAsia="Times New Roman" w:hAnsi="Times New Roman"/>
          <w:sz w:val="20"/>
          <w:szCs w:val="20"/>
          <w:u w:val="single" w:color="auto"/>
          <w:color w:val="3051F2"/>
          <w:strike w:val="1"/>
        </w:rPr>
        <w:t>60</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EE2724"/>
          <w:strike w:val="1"/>
        </w:rPr>
        <w:t>55</w:t>
      </w:r>
      <w:r>
        <w:rPr>
          <w:rFonts w:ascii="Times New Roman" w:cs="Times New Roman" w:eastAsia="Times New Roman" w:hAnsi="Times New Roman"/>
          <w:sz w:val="20"/>
          <w:szCs w:val="20"/>
          <w:u w:val="single" w:color="auto"/>
          <w:color w:val="3051F2"/>
          <w:strike w:val="1"/>
        </w:rPr>
        <w:t>60</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55</w:t>
      </w:r>
      <w:r>
        <w:rPr>
          <w:rFonts w:ascii="Times New Roman" w:cs="Times New Roman" w:eastAsia="Times New Roman" w:hAnsi="Times New Roman"/>
          <w:sz w:val="20"/>
          <w:szCs w:val="20"/>
          <w:u w:val="single" w:color="auto"/>
          <w:color w:val="3051F2"/>
          <w:strike w:val="1"/>
        </w:rPr>
        <w:t>60</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57</w:t>
      </w:r>
      <w:r>
        <w:rPr>
          <w:rFonts w:ascii="Times New Roman" w:cs="Times New Roman" w:eastAsia="Times New Roman" w:hAnsi="Times New Roman"/>
          <w:sz w:val="20"/>
          <w:szCs w:val="20"/>
          <w:u w:val="single" w:color="auto"/>
          <w:color w:val="3051F2"/>
          <w:strike w:val="1"/>
        </w:rPr>
        <w:t>63</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EE2724"/>
          <w:strike w:val="1"/>
        </w:rPr>
        <w:t>57</w:t>
      </w:r>
      <w:r>
        <w:rPr>
          <w:rFonts w:ascii="Times New Roman" w:cs="Times New Roman" w:eastAsia="Times New Roman" w:hAnsi="Times New Roman"/>
          <w:sz w:val="20"/>
          <w:szCs w:val="20"/>
          <w:u w:val="single" w:color="auto"/>
          <w:color w:val="3051F2"/>
          <w:strike w:val="1"/>
        </w:rPr>
        <w:t>63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EE2724"/>
          <w:strike w:val="1"/>
        </w:rPr>
        <w:t>57</w:t>
      </w:r>
      <w:r>
        <w:rPr>
          <w:rFonts w:ascii="Times New Roman" w:cs="Times New Roman" w:eastAsia="Times New Roman" w:hAnsi="Times New Roman"/>
          <w:sz w:val="20"/>
          <w:szCs w:val="20"/>
          <w:u w:val="single" w:color="auto"/>
          <w:color w:val="3051F2"/>
          <w:strike w:val="1"/>
        </w:rPr>
        <w:t>63</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57</w:t>
      </w:r>
      <w:r>
        <w:rPr>
          <w:rFonts w:ascii="Times New Roman" w:cs="Times New Roman" w:eastAsia="Times New Roman" w:hAnsi="Times New Roman"/>
          <w:sz w:val="20"/>
          <w:szCs w:val="20"/>
          <w:u w:val="single" w:color="auto"/>
          <w:color w:val="3051F2"/>
          <w:strike w:val="1"/>
        </w:rPr>
        <w:t>63</w:t>
      </w:r>
    </w:p>
    <w:p>
      <w:pPr>
        <w:jc w:val="right"/>
        <w:spacing w:after="0" w:line="211" w:lineRule="auto"/>
        <w:rPr>
          <w:sz w:val="20"/>
          <w:szCs w:val="20"/>
          <w:color w:val="auto"/>
        </w:rPr>
      </w:pPr>
      <w:r>
        <w:rPr>
          <w:rFonts w:ascii="Times New Roman" w:cs="Times New Roman" w:eastAsia="Times New Roman" w:hAnsi="Times New Roman"/>
          <w:sz w:val="20"/>
          <w:szCs w:val="20"/>
          <w:color w:val="EE2724"/>
          <w:strike w:val="1"/>
        </w:rPr>
        <w:t>58</w:t>
      </w:r>
      <w:r>
        <w:rPr>
          <w:rFonts w:ascii="Times New Roman" w:cs="Times New Roman" w:eastAsia="Times New Roman" w:hAnsi="Times New Roman"/>
          <w:sz w:val="20"/>
          <w:szCs w:val="20"/>
          <w:u w:val="single" w:color="auto"/>
          <w:color w:val="3051F2"/>
          <w:strike w:val="1"/>
        </w:rPr>
        <w:t>63</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EE2724"/>
          <w:strike w:val="1"/>
        </w:rPr>
        <w:t>58</w:t>
      </w:r>
      <w:r>
        <w:rPr>
          <w:rFonts w:ascii="Times New Roman" w:cs="Times New Roman" w:eastAsia="Times New Roman" w:hAnsi="Times New Roman"/>
          <w:sz w:val="20"/>
          <w:szCs w:val="20"/>
          <w:u w:val="single" w:color="auto"/>
          <w:color w:val="3051F2"/>
          <w:strike w:val="1"/>
        </w:rPr>
        <w:t>64</w:t>
      </w:r>
    </w:p>
    <w:p>
      <w:pPr>
        <w:sectPr>
          <w:pgSz w:w="11900" w:h="16838" w:orient="portrait"/>
          <w:cols w:equalWidth="0" w:num="2">
            <w:col w:w="9020" w:space="720"/>
            <w:col w:w="520"/>
          </w:cols>
          <w:pgMar w:left="540" w:top="1395" w:right="1099" w:bottom="1440" w:gutter="0" w:footer="0" w:header="0"/>
        </w:sectPr>
      </w:pPr>
    </w:p>
    <w:bookmarkStart w:id="102" w:name="page103"/>
    <w:bookmarkEnd w:id="102"/>
    <w:p>
      <w:pPr>
        <w:ind w:left="96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4.4.</w:t>
      </w:r>
      <w:r>
        <w:rPr>
          <w:sz w:val="20"/>
          <w:szCs w:val="20"/>
          <w:color w:val="auto"/>
        </w:rPr>
        <w:tab/>
      </w:r>
      <w:r>
        <w:rPr>
          <w:rFonts w:ascii="Times New Roman" w:cs="Times New Roman" w:eastAsia="Times New Roman" w:hAnsi="Times New Roman"/>
          <w:sz w:val="19"/>
          <w:szCs w:val="19"/>
          <w:color w:val="auto"/>
        </w:rPr>
        <w:t>Financial Statements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4.5.</w:t>
      </w:r>
      <w:r>
        <w:rPr>
          <w:sz w:val="20"/>
          <w:szCs w:val="20"/>
          <w:color w:val="auto"/>
        </w:rPr>
        <w:tab/>
      </w:r>
      <w:r>
        <w:rPr>
          <w:rFonts w:ascii="Times New Roman" w:cs="Times New Roman" w:eastAsia="Times New Roman" w:hAnsi="Times New Roman"/>
          <w:sz w:val="19"/>
          <w:szCs w:val="19"/>
          <w:color w:val="auto"/>
        </w:rPr>
        <w:t>Litigation and Environmental Matters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4.6.</w:t>
      </w:r>
      <w:r>
        <w:rPr>
          <w:sz w:val="20"/>
          <w:szCs w:val="20"/>
          <w:color w:val="auto"/>
        </w:rPr>
        <w:tab/>
      </w:r>
      <w:r>
        <w:rPr>
          <w:rFonts w:ascii="Times New Roman" w:cs="Times New Roman" w:eastAsia="Times New Roman" w:hAnsi="Times New Roman"/>
          <w:sz w:val="19"/>
          <w:szCs w:val="19"/>
          <w:color w:val="auto"/>
        </w:rPr>
        <w:t>Compliance with Laws and Agreements</w:t>
      </w:r>
    </w:p>
    <w:p>
      <w:pPr>
        <w:ind w:left="960"/>
        <w:spacing w:after="0" w:line="208" w:lineRule="auto"/>
        <w:tabs>
          <w:tab w:leader="none" w:pos="2440" w:val="left"/>
        </w:tabs>
        <w:rPr>
          <w:sz w:val="20"/>
          <w:szCs w:val="20"/>
          <w:color w:val="auto"/>
        </w:rPr>
      </w:pPr>
      <w:r>
        <w:rPr>
          <w:rFonts w:ascii="Times New Roman" w:cs="Times New Roman" w:eastAsia="Times New Roman" w:hAnsi="Times New Roman"/>
          <w:sz w:val="20"/>
          <w:szCs w:val="20"/>
          <w:color w:val="auto"/>
        </w:rPr>
        <w:t>Section 4.7.</w:t>
      </w:r>
      <w:r>
        <w:rPr>
          <w:sz w:val="20"/>
          <w:szCs w:val="20"/>
          <w:color w:val="auto"/>
        </w:rPr>
        <w:tab/>
      </w:r>
      <w:r>
        <w:rPr>
          <w:rFonts w:ascii="Times New Roman" w:cs="Times New Roman" w:eastAsia="Times New Roman" w:hAnsi="Times New Roman"/>
          <w:sz w:val="19"/>
          <w:szCs w:val="19"/>
          <w:color w:val="auto"/>
        </w:rPr>
        <w:t>Investment Company Act</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4.8.</w:t>
      </w:r>
      <w:r>
        <w:rPr>
          <w:sz w:val="20"/>
          <w:szCs w:val="20"/>
          <w:color w:val="auto"/>
        </w:rPr>
        <w:tab/>
      </w:r>
      <w:r>
        <w:rPr>
          <w:rFonts w:ascii="Times New Roman" w:cs="Times New Roman" w:eastAsia="Times New Roman" w:hAnsi="Times New Roman"/>
          <w:sz w:val="19"/>
          <w:szCs w:val="19"/>
          <w:color w:val="auto"/>
        </w:rPr>
        <w:t>Taxes</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4.9.</w:t>
      </w:r>
      <w:r>
        <w:rPr>
          <w:sz w:val="20"/>
          <w:szCs w:val="20"/>
          <w:color w:val="auto"/>
        </w:rPr>
        <w:tab/>
      </w:r>
      <w:r>
        <w:rPr>
          <w:rFonts w:ascii="Times New Roman" w:cs="Times New Roman" w:eastAsia="Times New Roman" w:hAnsi="Times New Roman"/>
          <w:sz w:val="19"/>
          <w:szCs w:val="19"/>
          <w:color w:val="auto"/>
        </w:rPr>
        <w:t>Margin Regulations</w:t>
      </w:r>
    </w:p>
    <w:p>
      <w:pPr>
        <w:ind w:left="960"/>
        <w:spacing w:after="0" w:line="197" w:lineRule="auto"/>
        <w:tabs>
          <w:tab w:leader="none" w:pos="2440" w:val="left"/>
        </w:tabs>
        <w:rPr>
          <w:sz w:val="20"/>
          <w:szCs w:val="20"/>
          <w:color w:val="auto"/>
        </w:rPr>
      </w:pPr>
      <w:r>
        <w:rPr>
          <w:rFonts w:ascii="Times New Roman" w:cs="Times New Roman" w:eastAsia="Times New Roman" w:hAnsi="Times New Roman"/>
          <w:sz w:val="20"/>
          <w:szCs w:val="20"/>
          <w:color w:val="auto"/>
        </w:rPr>
        <w:t>Section 4.10.</w:t>
      </w:r>
      <w:r>
        <w:rPr>
          <w:sz w:val="20"/>
          <w:szCs w:val="20"/>
          <w:color w:val="auto"/>
        </w:rPr>
        <w:tab/>
      </w:r>
      <w:r>
        <w:rPr>
          <w:rFonts w:ascii="Times New Roman" w:cs="Times New Roman" w:eastAsia="Times New Roman" w:hAnsi="Times New Roman"/>
          <w:sz w:val="20"/>
          <w:szCs w:val="20"/>
          <w:color w:val="auto"/>
        </w:rPr>
        <w:t>ERISA</w:t>
      </w:r>
    </w:p>
    <w:p>
      <w:pPr>
        <w:jc w:val="right"/>
        <w:ind w:right="1920"/>
        <w:spacing w:after="0" w:line="222" w:lineRule="auto"/>
        <w:tabs>
          <w:tab w:leader="none" w:pos="6660" w:val="left"/>
        </w:tabs>
        <w:rPr>
          <w:sz w:val="20"/>
          <w:szCs w:val="20"/>
          <w:color w:val="auto"/>
        </w:rPr>
      </w:pPr>
      <w:r>
        <w:rPr>
          <w:rFonts w:ascii="Times New Roman" w:cs="Times New Roman" w:eastAsia="Times New Roman" w:hAnsi="Times New Roman"/>
          <w:sz w:val="20"/>
          <w:szCs w:val="20"/>
          <w:color w:val="auto"/>
        </w:rPr>
        <w:t>Section 4.11.</w:t>
      </w:r>
      <w:r>
        <w:rPr>
          <w:sz w:val="20"/>
          <w:szCs w:val="20"/>
          <w:color w:val="auto"/>
        </w:rPr>
        <w:tab/>
      </w:r>
      <w:r>
        <w:rPr>
          <w:rFonts w:ascii="Times New Roman" w:cs="Times New Roman" w:eastAsia="Times New Roman" w:hAnsi="Times New Roman"/>
          <w:sz w:val="19"/>
          <w:szCs w:val="19"/>
          <w:color w:val="auto"/>
        </w:rPr>
        <w:t>Ownership of Property; Intellectual Property; and Insurance</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4.12.</w:t>
      </w:r>
      <w:r>
        <w:rPr>
          <w:sz w:val="20"/>
          <w:szCs w:val="20"/>
          <w:color w:val="auto"/>
        </w:rPr>
        <w:tab/>
      </w:r>
      <w:r>
        <w:rPr>
          <w:rFonts w:ascii="Times New Roman" w:cs="Times New Roman" w:eastAsia="Times New Roman" w:hAnsi="Times New Roman"/>
          <w:sz w:val="19"/>
          <w:szCs w:val="19"/>
          <w:color w:val="auto"/>
        </w:rPr>
        <w:t>Disclosure</w:t>
      </w:r>
    </w:p>
    <w:p>
      <w:pPr>
        <w:ind w:left="96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4.13.</w:t>
      </w:r>
      <w:r>
        <w:rPr>
          <w:sz w:val="20"/>
          <w:szCs w:val="20"/>
          <w:color w:val="auto"/>
        </w:rPr>
        <w:tab/>
      </w:r>
      <w:r>
        <w:rPr>
          <w:rFonts w:ascii="Times New Roman" w:cs="Times New Roman" w:eastAsia="Times New Roman" w:hAnsi="Times New Roman"/>
          <w:sz w:val="19"/>
          <w:szCs w:val="19"/>
          <w:color w:val="auto"/>
        </w:rPr>
        <w:t>Labor Relations</w:t>
      </w:r>
    </w:p>
    <w:p>
      <w:pPr>
        <w:ind w:left="960"/>
        <w:spacing w:after="0" w:line="211" w:lineRule="auto"/>
        <w:tabs>
          <w:tab w:leader="none" w:pos="2440" w:val="left"/>
        </w:tabs>
        <w:rPr>
          <w:sz w:val="20"/>
          <w:szCs w:val="20"/>
          <w:color w:val="auto"/>
        </w:rPr>
      </w:pPr>
      <w:r>
        <w:rPr>
          <w:rFonts w:ascii="Times New Roman" w:cs="Times New Roman" w:eastAsia="Times New Roman" w:hAnsi="Times New Roman"/>
          <w:sz w:val="20"/>
          <w:szCs w:val="20"/>
          <w:color w:val="auto"/>
        </w:rPr>
        <w:t>Section 4.14.</w:t>
      </w:r>
      <w:r>
        <w:rPr>
          <w:sz w:val="20"/>
          <w:szCs w:val="20"/>
          <w:color w:val="auto"/>
        </w:rPr>
        <w:tab/>
      </w:r>
      <w:r>
        <w:rPr>
          <w:rFonts w:ascii="Times New Roman" w:cs="Times New Roman" w:eastAsia="Times New Roman" w:hAnsi="Times New Roman"/>
          <w:sz w:val="20"/>
          <w:szCs w:val="20"/>
          <w:color w:val="auto"/>
        </w:rPr>
        <w:t>Subsidiaries</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4.15.</w:t>
      </w:r>
      <w:r>
        <w:rPr>
          <w:sz w:val="20"/>
          <w:szCs w:val="20"/>
          <w:color w:val="auto"/>
        </w:rPr>
        <w:tab/>
      </w:r>
      <w:r>
        <w:rPr>
          <w:rFonts w:ascii="Times New Roman" w:cs="Times New Roman" w:eastAsia="Times New Roman" w:hAnsi="Times New Roman"/>
          <w:sz w:val="19"/>
          <w:szCs w:val="19"/>
          <w:color w:val="auto"/>
        </w:rPr>
        <w:t>Solvency</w:t>
      </w:r>
    </w:p>
    <w:p>
      <w:pPr>
        <w:ind w:left="96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4.16.</w:t>
      </w:r>
      <w:r>
        <w:rPr>
          <w:sz w:val="20"/>
          <w:szCs w:val="20"/>
          <w:color w:val="auto"/>
        </w:rPr>
        <w:tab/>
      </w:r>
      <w:r>
        <w:rPr>
          <w:rFonts w:ascii="Times New Roman" w:cs="Times New Roman" w:eastAsia="Times New Roman" w:hAnsi="Times New Roman"/>
          <w:sz w:val="19"/>
          <w:szCs w:val="19"/>
          <w:color w:val="auto"/>
        </w:rPr>
        <w:t>Deposit and Disbursement Accounts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4.17.</w:t>
      </w:r>
      <w:r>
        <w:rPr>
          <w:sz w:val="20"/>
          <w:szCs w:val="20"/>
          <w:color w:val="auto"/>
        </w:rPr>
        <w:tab/>
      </w:r>
      <w:r>
        <w:rPr>
          <w:rFonts w:ascii="Times New Roman" w:cs="Times New Roman" w:eastAsia="Times New Roman" w:hAnsi="Times New Roman"/>
          <w:sz w:val="19"/>
          <w:szCs w:val="19"/>
          <w:color w:val="auto"/>
        </w:rPr>
        <w:t>Collateral Documents</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4.18.</w:t>
      </w:r>
      <w:r>
        <w:rPr>
          <w:sz w:val="20"/>
          <w:szCs w:val="20"/>
          <w:color w:val="auto"/>
        </w:rPr>
        <w:tab/>
      </w:r>
      <w:r>
        <w:rPr>
          <w:rFonts w:ascii="Times New Roman" w:cs="Times New Roman" w:eastAsia="Times New Roman" w:hAnsi="Times New Roman"/>
          <w:sz w:val="19"/>
          <w:szCs w:val="19"/>
          <w:color w:val="auto"/>
        </w:rPr>
        <w:t>Material Agreements</w:t>
      </w:r>
    </w:p>
    <w:p>
      <w:pPr>
        <w:ind w:left="96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4.19.</w:t>
      </w:r>
      <w:r>
        <w:rPr>
          <w:sz w:val="20"/>
          <w:szCs w:val="20"/>
          <w:color w:val="auto"/>
        </w:rPr>
        <w:tab/>
      </w:r>
      <w:r>
        <w:rPr>
          <w:rFonts w:ascii="Times New Roman" w:cs="Times New Roman" w:eastAsia="Times New Roman" w:hAnsi="Times New Roman"/>
          <w:sz w:val="19"/>
          <w:szCs w:val="19"/>
          <w:color w:val="auto"/>
        </w:rPr>
        <w:t>Insurance Licenses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4.20.</w:t>
      </w:r>
      <w:r>
        <w:rPr>
          <w:sz w:val="20"/>
          <w:szCs w:val="20"/>
          <w:color w:val="auto"/>
        </w:rPr>
        <w:tab/>
      </w:r>
      <w:r>
        <w:rPr>
          <w:rFonts w:ascii="Times New Roman" w:cs="Times New Roman" w:eastAsia="Times New Roman" w:hAnsi="Times New Roman"/>
          <w:sz w:val="19"/>
          <w:szCs w:val="19"/>
          <w:color w:val="auto"/>
        </w:rPr>
        <w:t>Sanctions and Anti-Corruption Laws</w:t>
      </w:r>
    </w:p>
    <w:p>
      <w:pPr>
        <w:spacing w:after="0" w:line="1" w:lineRule="exact"/>
        <w:rPr>
          <w:sz w:val="20"/>
          <w:szCs w:val="20"/>
          <w:color w:val="auto"/>
        </w:rPr>
      </w:pPr>
    </w:p>
    <w:p>
      <w:pPr>
        <w:ind w:left="96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4.21.</w:t>
      </w:r>
      <w:r>
        <w:rPr>
          <w:sz w:val="20"/>
          <w:szCs w:val="20"/>
          <w:color w:val="auto"/>
        </w:rPr>
        <w:tab/>
      </w:r>
      <w:r>
        <w:rPr>
          <w:rFonts w:ascii="Times New Roman" w:cs="Times New Roman" w:eastAsia="Times New Roman" w:hAnsi="Times New Roman"/>
          <w:sz w:val="19"/>
          <w:szCs w:val="19"/>
          <w:color w:val="auto"/>
        </w:rPr>
        <w:t>Affected Financial Institutions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V AFFIRMATIVE COVENANTS</w:t>
      </w:r>
    </w:p>
    <w:tbl>
      <w:tblPr>
        <w:tblLayout w:type="fixed"/>
        <w:tblInd w:w="960" w:type="dxa"/>
        <w:tblCellMar>
          <w:top w:w="0" w:type="dxa"/>
          <w:left w:w="0" w:type="dxa"/>
          <w:bottom w:w="0" w:type="dxa"/>
          <w:right w:w="0" w:type="dxa"/>
        </w:tblCellMar>
      </w:tblPr>
      <w:tr>
        <w:trPr>
          <w:trHeight w:val="225"/>
        </w:trPr>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Section 5.1.</w:t>
            </w:r>
          </w:p>
        </w:tc>
        <w:tc>
          <w:tcPr>
            <w:tcW w:w="348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w w:val="98"/>
              </w:rPr>
              <w:t>Financial Statements and Other Information</w:t>
            </w:r>
          </w:p>
        </w:tc>
      </w:tr>
      <w:tr>
        <w:trPr>
          <w:trHeight w:val="193"/>
        </w:trPr>
        <w:tc>
          <w:tcPr>
            <w:tcW w:w="150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Section 5.2.</w:t>
            </w:r>
          </w:p>
        </w:tc>
        <w:tc>
          <w:tcPr>
            <w:tcW w:w="348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Notices of Material Events</w:t>
            </w:r>
          </w:p>
        </w:tc>
      </w:tr>
      <w:tr>
        <w:trPr>
          <w:trHeight w:val="203"/>
        </w:trPr>
        <w:tc>
          <w:tcPr>
            <w:tcW w:w="1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 5.3.</w:t>
            </w:r>
          </w:p>
        </w:tc>
        <w:tc>
          <w:tcPr>
            <w:tcW w:w="348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Existence; Conduct of Business</w:t>
            </w: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Section 5.4.</w:t>
            </w:r>
          </w:p>
        </w:tc>
        <w:tc>
          <w:tcPr>
            <w:tcW w:w="34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Compliance with Laws</w:t>
            </w:r>
          </w:p>
        </w:tc>
      </w:tr>
      <w:tr>
        <w:trPr>
          <w:trHeight w:val="193"/>
        </w:trPr>
        <w:tc>
          <w:tcPr>
            <w:tcW w:w="150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Section 5.5.</w:t>
            </w:r>
          </w:p>
        </w:tc>
        <w:tc>
          <w:tcPr>
            <w:tcW w:w="348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Payment of Obligations</w:t>
            </w:r>
          </w:p>
        </w:tc>
      </w:tr>
      <w:tr>
        <w:trPr>
          <w:trHeight w:val="203"/>
        </w:trPr>
        <w:tc>
          <w:tcPr>
            <w:tcW w:w="1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 5.6.</w:t>
            </w:r>
          </w:p>
        </w:tc>
        <w:tc>
          <w:tcPr>
            <w:tcW w:w="348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Books and Records</w:t>
            </w: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Section 5.7.</w:t>
            </w:r>
          </w:p>
        </w:tc>
        <w:tc>
          <w:tcPr>
            <w:tcW w:w="34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Visitation and Inspection</w:t>
            </w:r>
          </w:p>
        </w:tc>
      </w:tr>
      <w:tr>
        <w:trPr>
          <w:trHeight w:val="193"/>
        </w:trPr>
        <w:tc>
          <w:tcPr>
            <w:tcW w:w="150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Section 5.8.</w:t>
            </w:r>
          </w:p>
        </w:tc>
        <w:tc>
          <w:tcPr>
            <w:tcW w:w="348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Maintenance of Properties; Insurance</w:t>
            </w:r>
          </w:p>
        </w:tc>
      </w:tr>
      <w:tr>
        <w:trPr>
          <w:trHeight w:val="203"/>
        </w:trPr>
        <w:tc>
          <w:tcPr>
            <w:tcW w:w="1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 5.9.</w:t>
            </w:r>
          </w:p>
        </w:tc>
        <w:tc>
          <w:tcPr>
            <w:tcW w:w="348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Use of Proceeds; Margin Regulations</w:t>
            </w: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Section 5.10.</w:t>
            </w:r>
          </w:p>
        </w:tc>
        <w:tc>
          <w:tcPr>
            <w:tcW w:w="34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Casualty and Condemnation</w:t>
            </w:r>
          </w:p>
        </w:tc>
      </w:tr>
      <w:tr>
        <w:trPr>
          <w:trHeight w:val="193"/>
        </w:trPr>
        <w:tc>
          <w:tcPr>
            <w:tcW w:w="150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Section 5.11.</w:t>
            </w:r>
          </w:p>
        </w:tc>
        <w:tc>
          <w:tcPr>
            <w:tcW w:w="348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Cash Management</w:t>
            </w:r>
          </w:p>
        </w:tc>
      </w:tr>
      <w:tr>
        <w:trPr>
          <w:trHeight w:val="203"/>
        </w:trPr>
        <w:tc>
          <w:tcPr>
            <w:tcW w:w="1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 5.12.</w:t>
            </w:r>
          </w:p>
        </w:tc>
        <w:tc>
          <w:tcPr>
            <w:tcW w:w="348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Additional Subsidiaries and Collateral</w:t>
            </w: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Section 5.13.</w:t>
            </w:r>
          </w:p>
        </w:tc>
        <w:tc>
          <w:tcPr>
            <w:tcW w:w="34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Additional Real Estate; Leased Locations</w:t>
            </w:r>
          </w:p>
        </w:tc>
      </w:tr>
      <w:tr>
        <w:trPr>
          <w:trHeight w:val="193"/>
        </w:trPr>
        <w:tc>
          <w:tcPr>
            <w:tcW w:w="150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Section 5.14.</w:t>
            </w:r>
          </w:p>
        </w:tc>
        <w:tc>
          <w:tcPr>
            <w:tcW w:w="348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Further Assurances</w:t>
            </w:r>
          </w:p>
        </w:tc>
      </w:tr>
      <w:tr>
        <w:trPr>
          <w:trHeight w:val="203"/>
        </w:trPr>
        <w:tc>
          <w:tcPr>
            <w:tcW w:w="1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 5.15.</w:t>
            </w:r>
          </w:p>
        </w:tc>
        <w:tc>
          <w:tcPr>
            <w:tcW w:w="348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[Reserved]</w:t>
            </w: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Section 5.16.</w:t>
            </w:r>
          </w:p>
        </w:tc>
        <w:tc>
          <w:tcPr>
            <w:tcW w:w="34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Maintenance of Reinsurance Coverage</w:t>
            </w:r>
          </w:p>
        </w:tc>
      </w:tr>
      <w:tr>
        <w:trPr>
          <w:trHeight w:val="193"/>
        </w:trPr>
        <w:tc>
          <w:tcPr>
            <w:tcW w:w="150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Section 5.17.</w:t>
            </w:r>
          </w:p>
        </w:tc>
        <w:tc>
          <w:tcPr>
            <w:tcW w:w="348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Board Observation Rights</w:t>
            </w:r>
          </w:p>
        </w:tc>
      </w:tr>
      <w:tr>
        <w:trPr>
          <w:trHeight w:val="203"/>
        </w:trPr>
        <w:tc>
          <w:tcPr>
            <w:tcW w:w="1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Section 5.18.</w:t>
            </w:r>
          </w:p>
        </w:tc>
        <w:tc>
          <w:tcPr>
            <w:tcW w:w="22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EE2724"/>
                <w:strike w:val="1"/>
                <w:w w:val="96"/>
              </w:rPr>
              <w:t>Tranche 2 Warrant Issuance</w:t>
            </w:r>
          </w:p>
        </w:tc>
        <w:tc>
          <w:tcPr>
            <w:tcW w:w="12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3051F2"/>
              </w:rPr>
              <w:t>[Reserved]</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5.19.</w:t>
            </w:r>
          </w:p>
        </w:tc>
        <w:tc>
          <w:tcPr>
            <w:tcW w:w="3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Post-Closing Covenants</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VI FINANCIAL COVENANTS</w:t>
      </w:r>
    </w:p>
    <w:tbl>
      <w:tblPr>
        <w:tblLayout w:type="fixed"/>
        <w:tblInd w:w="960" w:type="dxa"/>
        <w:tblCellMar>
          <w:top w:w="0" w:type="dxa"/>
          <w:left w:w="0" w:type="dxa"/>
          <w:bottom w:w="0" w:type="dxa"/>
          <w:right w:w="0" w:type="dxa"/>
        </w:tblCellMar>
      </w:tblPr>
      <w:tr>
        <w:trPr>
          <w:trHeight w:val="49"/>
        </w:trPr>
        <w:tc>
          <w:tcPr>
            <w:tcW w:w="780" w:type="dxa"/>
            <w:vAlign w:val="bottom"/>
            <w:vMerge w:val="restart"/>
          </w:tcPr>
          <w:p>
            <w:pPr>
              <w:spacing w:after="0" w:line="225" w:lineRule="exact"/>
              <w:rPr>
                <w:sz w:val="20"/>
                <w:szCs w:val="20"/>
                <w:color w:val="auto"/>
              </w:rPr>
            </w:pPr>
            <w:r>
              <w:rPr>
                <w:rFonts w:ascii="Times New Roman" w:cs="Times New Roman" w:eastAsia="Times New Roman" w:hAnsi="Times New Roman"/>
                <w:sz w:val="20"/>
                <w:szCs w:val="20"/>
                <w:color w:val="auto"/>
                <w:w w:val="94"/>
              </w:rPr>
              <w:t>Section 6.</w:t>
            </w:r>
          </w:p>
        </w:tc>
        <w:tc>
          <w:tcPr>
            <w:tcW w:w="160" w:type="dxa"/>
            <w:vAlign w:val="bottom"/>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EE2724"/>
                <w:strike w:val="1"/>
                <w:w w:val="93"/>
              </w:rPr>
              <w:t>1.</w:t>
            </w:r>
          </w:p>
        </w:tc>
        <w:tc>
          <w:tcPr>
            <w:tcW w:w="560" w:type="dxa"/>
            <w:vAlign w:val="bottom"/>
            <w:gridSpan w:val="2"/>
            <w:vMerge w:val="restart"/>
          </w:tcPr>
          <w:p>
            <w:pPr>
              <w:jc w:val="right"/>
              <w:ind w:right="420"/>
              <w:spacing w:after="0" w:line="225" w:lineRule="exact"/>
              <w:rPr>
                <w:sz w:val="20"/>
                <w:szCs w:val="20"/>
                <w:color w:val="auto"/>
              </w:rPr>
            </w:pPr>
            <w:r>
              <w:rPr>
                <w:rFonts w:ascii="Times New Roman" w:cs="Times New Roman" w:eastAsia="Times New Roman" w:hAnsi="Times New Roman"/>
                <w:sz w:val="20"/>
                <w:szCs w:val="20"/>
                <w:color w:val="3051F2"/>
                <w:w w:val="79"/>
              </w:rPr>
              <w:t>2.</w:t>
            </w:r>
          </w:p>
        </w:tc>
        <w:tc>
          <w:tcPr>
            <w:tcW w:w="3120" w:type="dxa"/>
            <w:vAlign w:val="bottom"/>
            <w:vMerge w:val="restart"/>
          </w:tcPr>
          <w:p>
            <w:pPr>
              <w:spacing w:after="0" w:line="225" w:lineRule="exact"/>
              <w:rPr>
                <w:sz w:val="20"/>
                <w:szCs w:val="20"/>
                <w:color w:val="auto"/>
              </w:rPr>
            </w:pPr>
            <w:r>
              <w:rPr>
                <w:rFonts w:ascii="Times New Roman" w:cs="Times New Roman" w:eastAsia="Times New Roman" w:hAnsi="Times New Roman"/>
                <w:sz w:val="20"/>
                <w:szCs w:val="20"/>
                <w:color w:val="auto"/>
              </w:rPr>
              <w:t>[Reserved]</w:t>
            </w:r>
          </w:p>
        </w:tc>
        <w:tc>
          <w:tcPr>
            <w:tcW w:w="0" w:type="dxa"/>
            <w:vAlign w:val="bottom"/>
          </w:tcPr>
          <w:p>
            <w:pPr>
              <w:spacing w:after="0"/>
              <w:rPr>
                <w:sz w:val="1"/>
                <w:szCs w:val="1"/>
                <w:color w:val="auto"/>
              </w:rPr>
            </w:pPr>
          </w:p>
        </w:tc>
      </w:tr>
      <w:tr>
        <w:trPr>
          <w:trHeight w:val="183"/>
        </w:trPr>
        <w:tc>
          <w:tcPr>
            <w:tcW w:w="7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w w:val="94"/>
              </w:rPr>
              <w:t>Section 6.</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EE2724"/>
                <w:strike w:val="1"/>
                <w:w w:val="93"/>
              </w:rPr>
              <w:t>2.</w:t>
            </w:r>
          </w:p>
        </w:tc>
        <w:tc>
          <w:tcPr>
            <w:tcW w:w="140" w:type="dxa"/>
            <w:vAlign w:val="bottom"/>
            <w:tcBorders>
              <w:top w:val="single" w:sz="8" w:color="3051F2"/>
              <w:bottom w:val="single" w:sz="8" w:color="3051F2"/>
            </w:tcBorders>
          </w:tcPr>
          <w:p>
            <w:pPr>
              <w:jc w:val="right"/>
              <w:spacing w:after="0" w:line="176" w:lineRule="exact"/>
              <w:rPr>
                <w:sz w:val="20"/>
                <w:szCs w:val="20"/>
                <w:color w:val="auto"/>
              </w:rPr>
            </w:pPr>
            <w:r>
              <w:rPr>
                <w:rFonts w:ascii="Times New Roman" w:cs="Times New Roman" w:eastAsia="Times New Roman" w:hAnsi="Times New Roman"/>
                <w:sz w:val="20"/>
                <w:szCs w:val="20"/>
                <w:color w:val="3051F2"/>
                <w:w w:val="79"/>
              </w:rPr>
              <w:t>3.</w:t>
            </w:r>
          </w:p>
        </w:tc>
        <w:tc>
          <w:tcPr>
            <w:tcW w:w="420" w:type="dxa"/>
            <w:vAlign w:val="bottom"/>
          </w:tcPr>
          <w:p>
            <w:pPr>
              <w:spacing w:after="0"/>
              <w:rPr>
                <w:sz w:val="15"/>
                <w:szCs w:val="15"/>
                <w:color w:val="auto"/>
              </w:rPr>
            </w:pPr>
          </w:p>
        </w:tc>
        <w:tc>
          <w:tcPr>
            <w:tcW w:w="31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[Reserved]</w:t>
            </w:r>
          </w:p>
        </w:tc>
        <w:tc>
          <w:tcPr>
            <w:tcW w:w="0" w:type="dxa"/>
            <w:vAlign w:val="bottom"/>
          </w:tcPr>
          <w:p>
            <w:pPr>
              <w:spacing w:after="0"/>
              <w:rPr>
                <w:sz w:val="1"/>
                <w:szCs w:val="1"/>
                <w:color w:val="auto"/>
              </w:rPr>
            </w:pPr>
          </w:p>
        </w:tc>
      </w:tr>
      <w:tr>
        <w:trPr>
          <w:trHeight w:val="173"/>
        </w:trPr>
        <w:tc>
          <w:tcPr>
            <w:tcW w:w="9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20"/>
                <w:szCs w:val="20"/>
                <w:color w:val="EE2724"/>
                <w:strike w:val="1"/>
                <w:w w:val="96"/>
              </w:rPr>
              <w:t>Section 6.3.</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20" w:type="dxa"/>
            <w:vAlign w:val="bottom"/>
          </w:tcPr>
          <w:p>
            <w:pPr>
              <w:spacing w:after="0" w:line="173" w:lineRule="exact"/>
              <w:rPr>
                <w:sz w:val="20"/>
                <w:szCs w:val="20"/>
                <w:color w:val="auto"/>
              </w:rPr>
            </w:pPr>
            <w:r>
              <w:rPr>
                <w:rFonts w:ascii="Times New Roman" w:cs="Times New Roman" w:eastAsia="Times New Roman" w:hAnsi="Times New Roman"/>
                <w:sz w:val="20"/>
                <w:szCs w:val="20"/>
                <w:color w:val="EE2724"/>
                <w:strike w:val="1"/>
              </w:rPr>
              <w:t>[Reserved]</w:t>
            </w:r>
          </w:p>
        </w:tc>
        <w:tc>
          <w:tcPr>
            <w:tcW w:w="0" w:type="dxa"/>
            <w:vAlign w:val="bottom"/>
          </w:tcPr>
          <w:p>
            <w:pPr>
              <w:spacing w:after="0"/>
              <w:rPr>
                <w:sz w:val="1"/>
                <w:szCs w:val="1"/>
                <w:color w:val="auto"/>
              </w:rPr>
            </w:pPr>
          </w:p>
        </w:tc>
      </w:tr>
      <w:tr>
        <w:trPr>
          <w:trHeight w:val="198"/>
        </w:trPr>
        <w:tc>
          <w:tcPr>
            <w:tcW w:w="1500" w:type="dxa"/>
            <w:vAlign w:val="bottom"/>
            <w:gridSpan w:val="4"/>
          </w:tcPr>
          <w:p>
            <w:pPr>
              <w:jc w:val="right"/>
              <w:ind w:right="560"/>
              <w:spacing w:after="0" w:line="198" w:lineRule="exact"/>
              <w:rPr>
                <w:sz w:val="20"/>
                <w:szCs w:val="20"/>
                <w:color w:val="auto"/>
              </w:rPr>
            </w:pPr>
            <w:r>
              <w:rPr>
                <w:rFonts w:ascii="Times New Roman" w:cs="Times New Roman" w:eastAsia="Times New Roman" w:hAnsi="Times New Roman"/>
                <w:sz w:val="20"/>
                <w:szCs w:val="20"/>
                <w:color w:val="auto"/>
                <w:w w:val="96"/>
              </w:rPr>
              <w:t>Section 6.4.</w:t>
            </w:r>
          </w:p>
        </w:tc>
        <w:tc>
          <w:tcPr>
            <w:tcW w:w="312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Minimum Liquidity</w:t>
            </w:r>
          </w:p>
        </w:tc>
        <w:tc>
          <w:tcPr>
            <w:tcW w:w="0" w:type="dxa"/>
            <w:vAlign w:val="bottom"/>
          </w:tcPr>
          <w:p>
            <w:pPr>
              <w:spacing w:after="0"/>
              <w:rPr>
                <w:sz w:val="1"/>
                <w:szCs w:val="1"/>
                <w:color w:val="auto"/>
              </w:rPr>
            </w:pPr>
          </w:p>
        </w:tc>
      </w:tr>
      <w:tr>
        <w:trPr>
          <w:trHeight w:val="193"/>
        </w:trPr>
        <w:tc>
          <w:tcPr>
            <w:tcW w:w="1500" w:type="dxa"/>
            <w:vAlign w:val="bottom"/>
            <w:gridSpan w:val="4"/>
          </w:tcPr>
          <w:p>
            <w:pPr>
              <w:jc w:val="right"/>
              <w:ind w:right="560"/>
              <w:spacing w:after="0" w:line="193" w:lineRule="exact"/>
              <w:rPr>
                <w:sz w:val="20"/>
                <w:szCs w:val="20"/>
                <w:color w:val="auto"/>
              </w:rPr>
            </w:pPr>
            <w:r>
              <w:rPr>
                <w:rFonts w:ascii="Times New Roman" w:cs="Times New Roman" w:eastAsia="Times New Roman" w:hAnsi="Times New Roman"/>
                <w:sz w:val="20"/>
                <w:szCs w:val="20"/>
                <w:color w:val="auto"/>
                <w:w w:val="96"/>
              </w:rPr>
              <w:t>Section 6.5.</w:t>
            </w:r>
          </w:p>
        </w:tc>
        <w:tc>
          <w:tcPr>
            <w:tcW w:w="312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w w:val="98"/>
              </w:rPr>
              <w:t>Minimum Regulated Subsidiary Equity</w:t>
            </w:r>
          </w:p>
        </w:tc>
        <w:tc>
          <w:tcPr>
            <w:tcW w:w="0" w:type="dxa"/>
            <w:vAlign w:val="bottom"/>
          </w:tcPr>
          <w:p>
            <w:pPr>
              <w:spacing w:after="0"/>
              <w:rPr>
                <w:sz w:val="1"/>
                <w:szCs w:val="1"/>
                <w:color w:val="auto"/>
              </w:rPr>
            </w:pPr>
          </w:p>
        </w:tc>
      </w:tr>
      <w:tr>
        <w:trPr>
          <w:trHeight w:val="203"/>
        </w:trPr>
        <w:tc>
          <w:tcPr>
            <w:tcW w:w="1500" w:type="dxa"/>
            <w:vAlign w:val="bottom"/>
            <w:gridSpan w:val="4"/>
          </w:tcPr>
          <w:p>
            <w:pPr>
              <w:jc w:val="right"/>
              <w:ind w:right="560"/>
              <w:spacing w:after="0" w:line="203" w:lineRule="exact"/>
              <w:rPr>
                <w:sz w:val="20"/>
                <w:szCs w:val="20"/>
                <w:color w:val="auto"/>
              </w:rPr>
            </w:pPr>
            <w:r>
              <w:rPr>
                <w:rFonts w:ascii="Times New Roman" w:cs="Times New Roman" w:eastAsia="Times New Roman" w:hAnsi="Times New Roman"/>
                <w:sz w:val="20"/>
                <w:szCs w:val="20"/>
                <w:color w:val="auto"/>
                <w:w w:val="96"/>
              </w:rPr>
              <w:t>Section 6.6.</w:t>
            </w:r>
          </w:p>
        </w:tc>
        <w:tc>
          <w:tcPr>
            <w:tcW w:w="31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[Reserved]</w:t>
            </w:r>
          </w:p>
        </w:tc>
        <w:tc>
          <w:tcPr>
            <w:tcW w:w="0" w:type="dxa"/>
            <w:vAlign w:val="bottom"/>
          </w:tcPr>
          <w:p>
            <w:pPr>
              <w:spacing w:after="0"/>
              <w:rPr>
                <w:sz w:val="1"/>
                <w:szCs w:val="1"/>
                <w:color w:val="auto"/>
              </w:rPr>
            </w:pPr>
          </w:p>
        </w:tc>
      </w:tr>
      <w:tr>
        <w:trPr>
          <w:trHeight w:val="258"/>
        </w:trPr>
        <w:tc>
          <w:tcPr>
            <w:tcW w:w="1500" w:type="dxa"/>
            <w:vAlign w:val="bottom"/>
            <w:gridSpan w:val="4"/>
          </w:tcPr>
          <w:p>
            <w:pPr>
              <w:jc w:val="right"/>
              <w:ind w:right="560"/>
              <w:spacing w:after="0"/>
              <w:rPr>
                <w:sz w:val="20"/>
                <w:szCs w:val="20"/>
                <w:color w:val="auto"/>
              </w:rPr>
            </w:pPr>
            <w:r>
              <w:rPr>
                <w:rFonts w:ascii="Times New Roman" w:cs="Times New Roman" w:eastAsia="Times New Roman" w:hAnsi="Times New Roman"/>
                <w:sz w:val="20"/>
                <w:szCs w:val="20"/>
                <w:color w:val="auto"/>
                <w:w w:val="96"/>
              </w:rPr>
              <w:t>Section 6.7.</w:t>
            </w:r>
          </w:p>
        </w:tc>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[Reserved]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right"/>
        <w:ind w:right="5720"/>
        <w:spacing w:after="0"/>
        <w:rPr>
          <w:sz w:val="20"/>
          <w:szCs w:val="20"/>
          <w:color w:val="auto"/>
        </w:rPr>
      </w:pPr>
      <w:r>
        <w:rPr>
          <w:rFonts w:ascii="Times New Roman" w:cs="Times New Roman" w:eastAsia="Times New Roman" w:hAnsi="Times New Roman"/>
          <w:sz w:val="19"/>
          <w:szCs w:val="19"/>
          <w:color w:val="auto"/>
        </w:rPr>
        <w:t>ARTICLE VII NEGATIVE COVENANTS</w:t>
      </w:r>
    </w:p>
    <w:p>
      <w:pPr>
        <w:spacing w:after="0" w:line="19" w:lineRule="exact"/>
        <w:rPr>
          <w:sz w:val="20"/>
          <w:szCs w:val="20"/>
          <w:color w:val="auto"/>
        </w:rPr>
      </w:pPr>
    </w:p>
    <w:p>
      <w:pPr>
        <w:jc w:val="right"/>
        <w:ind w:right="5640"/>
        <w:spacing w:after="0"/>
        <w:rPr>
          <w:sz w:val="20"/>
          <w:szCs w:val="20"/>
          <w:color w:val="auto"/>
        </w:rPr>
      </w:pPr>
      <w:r>
        <w:rPr>
          <w:rFonts w:ascii="Times New Roman" w:cs="Times New Roman" w:eastAsia="Times New Roman" w:hAnsi="Times New Roman"/>
          <w:sz w:val="20"/>
          <w:szCs w:val="20"/>
          <w:color w:val="auto"/>
        </w:rPr>
        <w:t>Indebtedness</w:t>
      </w:r>
    </w:p>
    <w:p>
      <w:pPr>
        <w:ind w:left="960"/>
        <w:spacing w:after="0" w:line="237" w:lineRule="auto"/>
        <w:tabs>
          <w:tab w:leader="none" w:pos="244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19"/>
          <w:szCs w:val="19"/>
          <w:color w:val="auto"/>
        </w:rPr>
        <w:t>Liens</w:t>
      </w:r>
    </w:p>
    <w:p>
      <w:pPr>
        <w:ind w:left="960"/>
        <w:spacing w:after="0"/>
        <w:rPr>
          <w:sz w:val="20"/>
          <w:szCs w:val="20"/>
          <w:color w:val="auto"/>
        </w:rPr>
      </w:pPr>
      <w:r>
        <w:rPr>
          <w:rFonts w:ascii="Times New Roman" w:cs="Times New Roman" w:eastAsia="Times New Roman" w:hAnsi="Times New Roman"/>
          <w:sz w:val="20"/>
          <w:szCs w:val="20"/>
          <w:color w:val="auto"/>
        </w:rPr>
        <w:t>Section 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EE2724"/>
          <w:strike w:val="1"/>
        </w:rPr>
        <w:t>58</w:t>
      </w:r>
      <w:r>
        <w:rPr>
          <w:rFonts w:ascii="Times New Roman" w:cs="Times New Roman" w:eastAsia="Times New Roman" w:hAnsi="Times New Roman"/>
          <w:sz w:val="19"/>
          <w:szCs w:val="19"/>
          <w:u w:val="single" w:color="auto"/>
          <w:color w:val="3051F2"/>
          <w:strike w:val="1"/>
        </w:rPr>
        <w:t>64</w:t>
      </w:r>
    </w:p>
    <w:p>
      <w:pPr>
        <w:spacing w:after="0" w:line="222" w:lineRule="auto"/>
        <w:rPr>
          <w:sz w:val="20"/>
          <w:szCs w:val="20"/>
          <w:color w:val="auto"/>
        </w:rPr>
      </w:pPr>
      <w:r>
        <w:rPr>
          <w:rFonts w:ascii="Times New Roman" w:cs="Times New Roman" w:eastAsia="Times New Roman" w:hAnsi="Times New Roman"/>
          <w:sz w:val="19"/>
          <w:szCs w:val="19"/>
          <w:color w:val="EE2724"/>
          <w:strike w:val="1"/>
        </w:rPr>
        <w:t>59</w:t>
      </w:r>
      <w:r>
        <w:rPr>
          <w:rFonts w:ascii="Times New Roman" w:cs="Times New Roman" w:eastAsia="Times New Roman" w:hAnsi="Times New Roman"/>
          <w:sz w:val="19"/>
          <w:szCs w:val="19"/>
          <w:u w:val="single" w:color="auto"/>
          <w:color w:val="3051F2"/>
          <w:strike w:val="1"/>
        </w:rPr>
        <w:t>64</w:t>
      </w:r>
    </w:p>
    <w:p>
      <w:pPr>
        <w:jc w:val="right"/>
        <w:spacing w:after="0" w:line="211" w:lineRule="auto"/>
        <w:rPr>
          <w:sz w:val="20"/>
          <w:szCs w:val="20"/>
          <w:color w:val="auto"/>
        </w:rPr>
      </w:pPr>
      <w:r>
        <w:rPr>
          <w:rFonts w:ascii="Times New Roman" w:cs="Times New Roman" w:eastAsia="Times New Roman" w:hAnsi="Times New Roman"/>
          <w:sz w:val="20"/>
          <w:szCs w:val="20"/>
          <w:u w:val="single" w:color="auto"/>
          <w:color w:val="3051F2"/>
        </w:rPr>
        <w:t>6</w:t>
      </w:r>
      <w:r>
        <w:rPr>
          <w:rFonts w:ascii="Times New Roman" w:cs="Times New Roman" w:eastAsia="Times New Roman" w:hAnsi="Times New Roman"/>
          <w:sz w:val="20"/>
          <w:szCs w:val="20"/>
          <w:color w:val="000000"/>
        </w:rPr>
        <w:t>5</w:t>
      </w:r>
      <w:r>
        <w:rPr>
          <w:rFonts w:ascii="Times New Roman" w:cs="Times New Roman" w:eastAsia="Times New Roman" w:hAnsi="Times New Roman"/>
          <w:sz w:val="20"/>
          <w:szCs w:val="20"/>
          <w:color w:val="EE2724"/>
          <w:strike w:val="1"/>
        </w:rPr>
        <w:t>9</w:t>
      </w:r>
    </w:p>
    <w:p>
      <w:pPr>
        <w:jc w:val="right"/>
        <w:spacing w:after="0" w:line="197" w:lineRule="auto"/>
        <w:rPr>
          <w:sz w:val="20"/>
          <w:szCs w:val="20"/>
          <w:color w:val="auto"/>
        </w:rPr>
      </w:pPr>
      <w:r>
        <w:rPr>
          <w:rFonts w:ascii="Times New Roman" w:cs="Times New Roman" w:eastAsia="Times New Roman" w:hAnsi="Times New Roman"/>
          <w:sz w:val="20"/>
          <w:szCs w:val="20"/>
          <w:u w:val="single" w:color="auto"/>
          <w:color w:val="3051F2"/>
        </w:rPr>
        <w:t>6</w:t>
      </w:r>
      <w:r>
        <w:rPr>
          <w:rFonts w:ascii="Times New Roman" w:cs="Times New Roman" w:eastAsia="Times New Roman" w:hAnsi="Times New Roman"/>
          <w:sz w:val="20"/>
          <w:szCs w:val="20"/>
          <w:color w:val="000000"/>
        </w:rPr>
        <w:t>5</w:t>
      </w:r>
      <w:r>
        <w:rPr>
          <w:rFonts w:ascii="Times New Roman" w:cs="Times New Roman" w:eastAsia="Times New Roman" w:hAnsi="Times New Roman"/>
          <w:sz w:val="20"/>
          <w:szCs w:val="20"/>
          <w:color w:val="EE2724"/>
          <w:strike w:val="1"/>
        </w:rPr>
        <w:t>9</w:t>
      </w:r>
    </w:p>
    <w:p>
      <w:pPr>
        <w:jc w:val="right"/>
        <w:spacing w:after="0" w:line="212" w:lineRule="auto"/>
        <w:rPr>
          <w:sz w:val="20"/>
          <w:szCs w:val="20"/>
          <w:color w:val="auto"/>
        </w:rPr>
      </w:pPr>
      <w:r>
        <w:rPr>
          <w:rFonts w:ascii="Times New Roman" w:cs="Times New Roman" w:eastAsia="Times New Roman" w:hAnsi="Times New Roman"/>
          <w:sz w:val="20"/>
          <w:szCs w:val="20"/>
          <w:u w:val="single" w:color="auto"/>
          <w:color w:val="3051F2"/>
        </w:rPr>
        <w:t>6</w:t>
      </w:r>
      <w:r>
        <w:rPr>
          <w:rFonts w:ascii="Times New Roman" w:cs="Times New Roman" w:eastAsia="Times New Roman" w:hAnsi="Times New Roman"/>
          <w:sz w:val="20"/>
          <w:szCs w:val="20"/>
          <w:color w:val="000000"/>
        </w:rPr>
        <w:t>5</w:t>
      </w:r>
      <w:r>
        <w:rPr>
          <w:rFonts w:ascii="Times New Roman" w:cs="Times New Roman" w:eastAsia="Times New Roman" w:hAnsi="Times New Roman"/>
          <w:sz w:val="20"/>
          <w:szCs w:val="20"/>
          <w:color w:val="EE2724"/>
          <w:strike w:val="1"/>
        </w:rPr>
        <w:t>9</w:t>
      </w:r>
    </w:p>
    <w:p>
      <w:pPr>
        <w:jc w:val="right"/>
        <w:spacing w:after="0" w:line="211" w:lineRule="auto"/>
        <w:rPr>
          <w:sz w:val="20"/>
          <w:szCs w:val="20"/>
          <w:color w:val="auto"/>
        </w:rPr>
      </w:pPr>
      <w:r>
        <w:rPr>
          <w:rFonts w:ascii="Times New Roman" w:cs="Times New Roman" w:eastAsia="Times New Roman" w:hAnsi="Times New Roman"/>
          <w:sz w:val="20"/>
          <w:szCs w:val="20"/>
          <w:u w:val="single" w:color="auto"/>
          <w:color w:val="3051F2"/>
        </w:rPr>
        <w:t>6</w:t>
      </w:r>
      <w:r>
        <w:rPr>
          <w:rFonts w:ascii="Times New Roman" w:cs="Times New Roman" w:eastAsia="Times New Roman" w:hAnsi="Times New Roman"/>
          <w:sz w:val="20"/>
          <w:szCs w:val="20"/>
          <w:color w:val="000000"/>
        </w:rPr>
        <w:t>5</w:t>
      </w:r>
      <w:r>
        <w:rPr>
          <w:rFonts w:ascii="Times New Roman" w:cs="Times New Roman" w:eastAsia="Times New Roman" w:hAnsi="Times New Roman"/>
          <w:sz w:val="20"/>
          <w:szCs w:val="20"/>
          <w:color w:val="EE2724"/>
          <w:strike w:val="1"/>
        </w:rPr>
        <w:t>9</w:t>
      </w:r>
    </w:p>
    <w:p>
      <w:pPr>
        <w:jc w:val="right"/>
        <w:spacing w:after="0" w:line="197" w:lineRule="auto"/>
        <w:rPr>
          <w:sz w:val="20"/>
          <w:szCs w:val="20"/>
          <w:color w:val="auto"/>
        </w:rPr>
      </w:pPr>
      <w:r>
        <w:rPr>
          <w:rFonts w:ascii="Times New Roman" w:cs="Times New Roman" w:eastAsia="Times New Roman" w:hAnsi="Times New Roman"/>
          <w:sz w:val="20"/>
          <w:szCs w:val="20"/>
          <w:u w:val="single" w:color="auto"/>
          <w:color w:val="3051F2"/>
        </w:rPr>
        <w:t>6</w:t>
      </w:r>
      <w:r>
        <w:rPr>
          <w:rFonts w:ascii="Times New Roman" w:cs="Times New Roman" w:eastAsia="Times New Roman" w:hAnsi="Times New Roman"/>
          <w:sz w:val="20"/>
          <w:szCs w:val="20"/>
          <w:color w:val="000000"/>
        </w:rPr>
        <w:t>5</w:t>
      </w:r>
      <w:r>
        <w:rPr>
          <w:rFonts w:ascii="Times New Roman" w:cs="Times New Roman" w:eastAsia="Times New Roman" w:hAnsi="Times New Roman"/>
          <w:sz w:val="20"/>
          <w:szCs w:val="20"/>
          <w:color w:val="EE2724"/>
          <w:strike w:val="1"/>
        </w:rPr>
        <w:t>9</w:t>
      </w:r>
    </w:p>
    <w:p>
      <w:pPr>
        <w:jc w:val="right"/>
        <w:spacing w:after="0" w:line="212"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6</w:t>
      </w:r>
    </w:p>
    <w:p>
      <w:pPr>
        <w:jc w:val="right"/>
        <w:spacing w:after="0" w:line="211"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6</w:t>
      </w:r>
    </w:p>
    <w:p>
      <w:pPr>
        <w:jc w:val="right"/>
        <w:spacing w:after="0" w:line="197"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7</w:t>
      </w:r>
    </w:p>
    <w:p>
      <w:pPr>
        <w:jc w:val="right"/>
        <w:spacing w:after="0" w:line="212"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7</w:t>
      </w:r>
    </w:p>
    <w:p>
      <w:pPr>
        <w:jc w:val="right"/>
        <w:spacing w:after="0" w:line="211"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7</w:t>
      </w:r>
    </w:p>
    <w:p>
      <w:pPr>
        <w:jc w:val="right"/>
        <w:spacing w:after="0" w:line="197"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7</w:t>
      </w:r>
    </w:p>
    <w:p>
      <w:pPr>
        <w:jc w:val="right"/>
        <w:spacing w:after="0" w:line="211"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7</w:t>
      </w:r>
    </w:p>
    <w:p>
      <w:pPr>
        <w:jc w:val="right"/>
        <w:spacing w:after="0" w:line="212"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8</w:t>
      </w:r>
    </w:p>
    <w:p>
      <w:pPr>
        <w:jc w:val="right"/>
        <w:spacing w:after="0" w:line="197"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8</w:t>
      </w:r>
    </w:p>
    <w:p>
      <w:pPr>
        <w:jc w:val="right"/>
        <w:spacing w:after="0" w:line="211"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211"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222" w:lineRule="auto"/>
        <w:rPr>
          <w:sz w:val="20"/>
          <w:szCs w:val="20"/>
          <w:color w:val="auto"/>
        </w:rPr>
      </w:pPr>
      <w:r>
        <w:rPr>
          <w:rFonts w:ascii="Times New Roman" w:cs="Times New Roman" w:eastAsia="Times New Roman" w:hAnsi="Times New Roman"/>
          <w:sz w:val="19"/>
          <w:szCs w:val="19"/>
          <w:color w:val="EE2724"/>
          <w:strike w:val="1"/>
        </w:rPr>
        <w:t>66</w:t>
      </w:r>
      <w:r>
        <w:rPr>
          <w:rFonts w:ascii="Times New Roman" w:cs="Times New Roman" w:eastAsia="Times New Roman" w:hAnsi="Times New Roman"/>
          <w:sz w:val="19"/>
          <w:szCs w:val="19"/>
          <w:u w:val="single" w:color="auto"/>
          <w:color w:val="3051F2"/>
          <w:strike w:val="1"/>
        </w:rPr>
        <w:t>72</w:t>
      </w:r>
    </w:p>
    <w:p>
      <w:pPr>
        <w:jc w:val="right"/>
        <w:spacing w:after="0" w:line="197" w:lineRule="auto"/>
        <w:rPr>
          <w:sz w:val="20"/>
          <w:szCs w:val="20"/>
          <w:color w:val="auto"/>
        </w:rPr>
      </w:pPr>
      <w:r>
        <w:rPr>
          <w:rFonts w:ascii="Times New Roman" w:cs="Times New Roman" w:eastAsia="Times New Roman" w:hAnsi="Times New Roman"/>
          <w:sz w:val="20"/>
          <w:szCs w:val="20"/>
          <w:color w:val="EE2724"/>
          <w:strike w:val="1"/>
        </w:rPr>
        <w:t>6</w:t>
      </w:r>
      <w:r>
        <w:rPr>
          <w:rFonts w:ascii="Times New Roman" w:cs="Times New Roman" w:eastAsia="Times New Roman" w:hAnsi="Times New Roman"/>
          <w:sz w:val="20"/>
          <w:szCs w:val="20"/>
          <w:color w:val="000000"/>
        </w:rPr>
        <w:t>7</w:t>
      </w:r>
      <w:r>
        <w:rPr>
          <w:rFonts w:ascii="Times New Roman" w:cs="Times New Roman" w:eastAsia="Times New Roman" w:hAnsi="Times New Roman"/>
          <w:sz w:val="20"/>
          <w:szCs w:val="20"/>
          <w:color w:val="3051F2"/>
        </w:rPr>
        <w:t>3</w:t>
      </w:r>
    </w:p>
    <w:p>
      <w:pPr>
        <w:spacing w:after="0" w:line="223" w:lineRule="auto"/>
        <w:rPr>
          <w:sz w:val="20"/>
          <w:szCs w:val="20"/>
          <w:color w:val="auto"/>
        </w:rPr>
      </w:pPr>
      <w:r>
        <w:rPr>
          <w:rFonts w:ascii="Times New Roman" w:cs="Times New Roman" w:eastAsia="Times New Roman" w:hAnsi="Times New Roman"/>
          <w:sz w:val="19"/>
          <w:szCs w:val="19"/>
          <w:color w:val="EE2724"/>
          <w:strike w:val="1"/>
        </w:rPr>
        <w:t>68</w:t>
      </w:r>
      <w:r>
        <w:rPr>
          <w:rFonts w:ascii="Times New Roman" w:cs="Times New Roman" w:eastAsia="Times New Roman" w:hAnsi="Times New Roman"/>
          <w:sz w:val="19"/>
          <w:szCs w:val="19"/>
          <w:u w:val="single" w:color="auto"/>
          <w:color w:val="3051F2"/>
          <w:strike w:val="1"/>
        </w:rPr>
        <w:t>73</w:t>
      </w:r>
    </w:p>
    <w:p>
      <w:pPr>
        <w:spacing w:after="0" w:line="222" w:lineRule="auto"/>
        <w:rPr>
          <w:sz w:val="20"/>
          <w:szCs w:val="20"/>
          <w:color w:val="auto"/>
        </w:rPr>
      </w:pPr>
      <w:r>
        <w:rPr>
          <w:rFonts w:ascii="Times New Roman" w:cs="Times New Roman" w:eastAsia="Times New Roman" w:hAnsi="Times New Roman"/>
          <w:sz w:val="19"/>
          <w:szCs w:val="19"/>
          <w:color w:val="EE2724"/>
          <w:strike w:val="1"/>
        </w:rPr>
        <w:t>68</w:t>
      </w:r>
      <w:r>
        <w:rPr>
          <w:rFonts w:ascii="Times New Roman" w:cs="Times New Roman" w:eastAsia="Times New Roman" w:hAnsi="Times New Roman"/>
          <w:sz w:val="19"/>
          <w:szCs w:val="19"/>
          <w:u w:val="single" w:color="auto"/>
          <w:color w:val="3051F2"/>
          <w:strike w:val="1"/>
        </w:rPr>
        <w:t>74</w:t>
      </w:r>
    </w:p>
    <w:p>
      <w:pPr>
        <w:spacing w:after="0" w:line="208" w:lineRule="auto"/>
        <w:rPr>
          <w:sz w:val="20"/>
          <w:szCs w:val="20"/>
          <w:color w:val="auto"/>
        </w:rPr>
      </w:pPr>
      <w:r>
        <w:rPr>
          <w:rFonts w:ascii="Times New Roman" w:cs="Times New Roman" w:eastAsia="Times New Roman" w:hAnsi="Times New Roman"/>
          <w:sz w:val="19"/>
          <w:szCs w:val="19"/>
          <w:color w:val="EE2724"/>
          <w:strike w:val="1"/>
        </w:rPr>
        <w:t>68</w:t>
      </w:r>
      <w:r>
        <w:rPr>
          <w:rFonts w:ascii="Times New Roman" w:cs="Times New Roman" w:eastAsia="Times New Roman" w:hAnsi="Times New Roman"/>
          <w:sz w:val="19"/>
          <w:szCs w:val="19"/>
          <w:u w:val="single" w:color="auto"/>
          <w:color w:val="3051F2"/>
          <w:strike w:val="1"/>
        </w:rPr>
        <w:t>74</w:t>
      </w:r>
    </w:p>
    <w:p>
      <w:pPr>
        <w:spacing w:after="0" w:line="223" w:lineRule="auto"/>
        <w:rPr>
          <w:sz w:val="20"/>
          <w:szCs w:val="20"/>
          <w:color w:val="auto"/>
        </w:rPr>
      </w:pPr>
      <w:r>
        <w:rPr>
          <w:rFonts w:ascii="Times New Roman" w:cs="Times New Roman" w:eastAsia="Times New Roman" w:hAnsi="Times New Roman"/>
          <w:sz w:val="19"/>
          <w:szCs w:val="19"/>
          <w:color w:val="EE2724"/>
          <w:strike w:val="1"/>
        </w:rPr>
        <w:t>68</w:t>
      </w:r>
      <w:r>
        <w:rPr>
          <w:rFonts w:ascii="Times New Roman" w:cs="Times New Roman" w:eastAsia="Times New Roman" w:hAnsi="Times New Roman"/>
          <w:sz w:val="19"/>
          <w:szCs w:val="19"/>
          <w:u w:val="single" w:color="auto"/>
          <w:color w:val="3051F2"/>
          <w:strike w:val="1"/>
        </w:rPr>
        <w:t>74</w:t>
      </w:r>
    </w:p>
    <w:p>
      <w:pPr>
        <w:spacing w:after="0" w:line="222" w:lineRule="auto"/>
        <w:rPr>
          <w:sz w:val="20"/>
          <w:szCs w:val="20"/>
          <w:color w:val="auto"/>
        </w:rPr>
      </w:pPr>
      <w:r>
        <w:rPr>
          <w:rFonts w:ascii="Times New Roman" w:cs="Times New Roman" w:eastAsia="Times New Roman" w:hAnsi="Times New Roman"/>
          <w:sz w:val="19"/>
          <w:szCs w:val="19"/>
          <w:color w:val="EE2724"/>
          <w:strike w:val="1"/>
        </w:rPr>
        <w:t>68</w:t>
      </w:r>
      <w:r>
        <w:rPr>
          <w:rFonts w:ascii="Times New Roman" w:cs="Times New Roman" w:eastAsia="Times New Roman" w:hAnsi="Times New Roman"/>
          <w:sz w:val="19"/>
          <w:szCs w:val="19"/>
          <w:u w:val="single" w:color="auto"/>
          <w:color w:val="3051F2"/>
          <w:strike w:val="1"/>
        </w:rPr>
        <w:t>74</w:t>
      </w:r>
    </w:p>
    <w:p>
      <w:pPr>
        <w:spacing w:after="0" w:line="208" w:lineRule="auto"/>
        <w:rPr>
          <w:sz w:val="20"/>
          <w:szCs w:val="20"/>
          <w:color w:val="auto"/>
        </w:rPr>
      </w:pPr>
      <w:r>
        <w:rPr>
          <w:rFonts w:ascii="Times New Roman" w:cs="Times New Roman" w:eastAsia="Times New Roman" w:hAnsi="Times New Roman"/>
          <w:sz w:val="19"/>
          <w:szCs w:val="19"/>
          <w:color w:val="EE2724"/>
          <w:strike w:val="1"/>
        </w:rPr>
        <w:t>69</w:t>
      </w:r>
      <w:r>
        <w:rPr>
          <w:rFonts w:ascii="Times New Roman" w:cs="Times New Roman" w:eastAsia="Times New Roman" w:hAnsi="Times New Roman"/>
          <w:sz w:val="19"/>
          <w:szCs w:val="19"/>
          <w:u w:val="single" w:color="auto"/>
          <w:color w:val="3051F2"/>
          <w:strike w:val="1"/>
        </w:rPr>
        <w:t>75</w:t>
      </w:r>
    </w:p>
    <w:p>
      <w:pPr>
        <w:spacing w:after="0" w:line="222" w:lineRule="auto"/>
        <w:rPr>
          <w:sz w:val="20"/>
          <w:szCs w:val="20"/>
          <w:color w:val="auto"/>
        </w:rPr>
      </w:pPr>
      <w:r>
        <w:rPr>
          <w:rFonts w:ascii="Times New Roman" w:cs="Times New Roman" w:eastAsia="Times New Roman" w:hAnsi="Times New Roman"/>
          <w:sz w:val="19"/>
          <w:szCs w:val="19"/>
          <w:color w:val="EE2724"/>
          <w:strike w:val="1"/>
        </w:rPr>
        <w:t>69</w:t>
      </w:r>
      <w:r>
        <w:rPr>
          <w:rFonts w:ascii="Times New Roman" w:cs="Times New Roman" w:eastAsia="Times New Roman" w:hAnsi="Times New Roman"/>
          <w:sz w:val="19"/>
          <w:szCs w:val="19"/>
          <w:u w:val="single" w:color="auto"/>
          <w:color w:val="3051F2"/>
          <w:strike w:val="1"/>
        </w:rPr>
        <w:t>75</w:t>
      </w:r>
    </w:p>
    <w:p>
      <w:pPr>
        <w:spacing w:after="0" w:line="222" w:lineRule="auto"/>
        <w:rPr>
          <w:sz w:val="20"/>
          <w:szCs w:val="20"/>
          <w:color w:val="auto"/>
        </w:rPr>
      </w:pPr>
      <w:r>
        <w:rPr>
          <w:rFonts w:ascii="Times New Roman" w:cs="Times New Roman" w:eastAsia="Times New Roman" w:hAnsi="Times New Roman"/>
          <w:sz w:val="19"/>
          <w:szCs w:val="19"/>
          <w:color w:val="EE2724"/>
          <w:strike w:val="1"/>
        </w:rPr>
        <w:t>69</w:t>
      </w:r>
      <w:r>
        <w:rPr>
          <w:rFonts w:ascii="Times New Roman" w:cs="Times New Roman" w:eastAsia="Times New Roman" w:hAnsi="Times New Roman"/>
          <w:sz w:val="19"/>
          <w:szCs w:val="19"/>
          <w:u w:val="single" w:color="auto"/>
          <w:color w:val="3051F2"/>
          <w:strike w:val="1"/>
        </w:rPr>
        <w:t>75</w:t>
      </w:r>
    </w:p>
    <w:p>
      <w:pPr>
        <w:jc w:val="right"/>
        <w:spacing w:after="0" w:line="198"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6</w:t>
      </w:r>
    </w:p>
    <w:p>
      <w:pPr>
        <w:jc w:val="right"/>
        <w:spacing w:after="0" w:line="211"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7</w:t>
      </w:r>
    </w:p>
    <w:p>
      <w:pPr>
        <w:jc w:val="right"/>
        <w:spacing w:after="0" w:line="211"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7</w:t>
      </w:r>
    </w:p>
    <w:p>
      <w:pPr>
        <w:jc w:val="right"/>
        <w:spacing w:after="0" w:line="198"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8</w:t>
      </w:r>
    </w:p>
    <w:p>
      <w:pPr>
        <w:jc w:val="right"/>
        <w:spacing w:after="0" w:line="211"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8</w:t>
      </w:r>
    </w:p>
    <w:p>
      <w:pPr>
        <w:jc w:val="right"/>
        <w:spacing w:after="0" w:line="211"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8</w:t>
      </w:r>
    </w:p>
    <w:p>
      <w:pPr>
        <w:jc w:val="right"/>
        <w:spacing w:after="0" w:line="197"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8</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8</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8</w:t>
      </w:r>
    </w:p>
    <w:p>
      <w:pPr>
        <w:jc w:val="right"/>
        <w:spacing w:after="0" w:line="211"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211"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197" w:lineRule="auto"/>
        <w:rPr>
          <w:sz w:val="20"/>
          <w:szCs w:val="20"/>
          <w:color w:val="auto"/>
        </w:rPr>
      </w:pPr>
      <w:r>
        <w:rPr>
          <w:rFonts w:ascii="Times New Roman" w:cs="Times New Roman" w:eastAsia="Times New Roman" w:hAnsi="Times New Roman"/>
          <w:sz w:val="20"/>
          <w:szCs w:val="20"/>
          <w:color w:val="EE2724"/>
          <w:strike w:val="1"/>
        </w:rPr>
        <w:t>73</w:t>
      </w:r>
    </w:p>
    <w:p>
      <w:pPr>
        <w:jc w:val="right"/>
        <w:spacing w:after="0" w:line="212"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211"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jc w:val="right"/>
        <w:spacing w:after="0" w:line="197"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color w:val="EE2724"/>
          <w:strike w:val="1"/>
        </w:rPr>
        <w:t>3</w:t>
      </w:r>
      <w:r>
        <w:rPr>
          <w:rFonts w:ascii="Times New Roman" w:cs="Times New Roman" w:eastAsia="Times New Roman" w:hAnsi="Times New Roman"/>
          <w:sz w:val="20"/>
          <w:szCs w:val="20"/>
          <w:u w:val="single" w:color="auto"/>
          <w:color w:val="3051F2"/>
        </w:rPr>
        <w:t>9</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EE2724"/>
          <w:strike w:val="1"/>
        </w:rPr>
        <w:t>74</w:t>
      </w:r>
      <w:r>
        <w:rPr>
          <w:rFonts w:ascii="Times New Roman" w:cs="Times New Roman" w:eastAsia="Times New Roman" w:hAnsi="Times New Roman"/>
          <w:sz w:val="19"/>
          <w:szCs w:val="19"/>
          <w:u w:val="single" w:color="auto"/>
          <w:color w:val="3051F2"/>
          <w:strike w:val="1"/>
        </w:rPr>
        <w:t>80</w:t>
      </w:r>
    </w:p>
    <w:p>
      <w:pPr>
        <w:spacing w:after="0" w:line="222" w:lineRule="auto"/>
        <w:rPr>
          <w:sz w:val="20"/>
          <w:szCs w:val="20"/>
          <w:color w:val="auto"/>
        </w:rPr>
      </w:pPr>
      <w:r>
        <w:rPr>
          <w:rFonts w:ascii="Times New Roman" w:cs="Times New Roman" w:eastAsia="Times New Roman" w:hAnsi="Times New Roman"/>
          <w:sz w:val="19"/>
          <w:szCs w:val="19"/>
          <w:color w:val="EE2724"/>
          <w:strike w:val="1"/>
        </w:rPr>
        <w:t>74</w:t>
      </w:r>
      <w:r>
        <w:rPr>
          <w:rFonts w:ascii="Times New Roman" w:cs="Times New Roman" w:eastAsia="Times New Roman" w:hAnsi="Times New Roman"/>
          <w:sz w:val="19"/>
          <w:szCs w:val="19"/>
          <w:u w:val="single" w:color="auto"/>
          <w:color w:val="3051F2"/>
          <w:strike w:val="1"/>
        </w:rPr>
        <w:t>80</w:t>
      </w:r>
    </w:p>
    <w:p>
      <w:pPr>
        <w:spacing w:after="0"/>
        <w:rPr>
          <w:sz w:val="20"/>
          <w:szCs w:val="20"/>
          <w:color w:val="auto"/>
        </w:rPr>
      </w:pPr>
      <w:r>
        <w:rPr>
          <w:rFonts w:ascii="Times New Roman" w:cs="Times New Roman" w:eastAsia="Times New Roman" w:hAnsi="Times New Roman"/>
          <w:sz w:val="19"/>
          <w:szCs w:val="19"/>
          <w:color w:val="EE2724"/>
          <w:strike w:val="1"/>
        </w:rPr>
        <w:t>74</w:t>
      </w:r>
      <w:r>
        <w:rPr>
          <w:rFonts w:ascii="Times New Roman" w:cs="Times New Roman" w:eastAsia="Times New Roman" w:hAnsi="Times New Roman"/>
          <w:sz w:val="19"/>
          <w:szCs w:val="19"/>
          <w:u w:val="single" w:color="auto"/>
          <w:color w:val="3051F2"/>
          <w:strike w:val="1"/>
        </w:rPr>
        <w:t>83</w:t>
      </w:r>
    </w:p>
    <w:p>
      <w:pPr>
        <w:sectPr>
          <w:pgSz w:w="11900" w:h="16838" w:orient="portrait"/>
          <w:cols w:equalWidth="0" w:num="2">
            <w:col w:w="9140" w:space="720"/>
            <w:col w:w="400"/>
          </w:cols>
          <w:pgMar w:left="340" w:top="1367" w:right="1299" w:bottom="1440" w:gutter="0" w:footer="0" w:header="0"/>
        </w:sectPr>
      </w:pPr>
    </w:p>
    <w:bookmarkStart w:id="103" w:name="page104"/>
    <w:bookmarkEnd w:id="103"/>
    <w:p>
      <w:pPr>
        <w:ind w:left="96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7.3.</w:t>
      </w:r>
      <w:r>
        <w:rPr>
          <w:sz w:val="20"/>
          <w:szCs w:val="20"/>
          <w:color w:val="auto"/>
        </w:rPr>
        <w:tab/>
      </w:r>
      <w:r>
        <w:rPr>
          <w:rFonts w:ascii="Times New Roman" w:cs="Times New Roman" w:eastAsia="Times New Roman" w:hAnsi="Times New Roman"/>
          <w:sz w:val="19"/>
          <w:szCs w:val="19"/>
          <w:color w:val="auto"/>
        </w:rPr>
        <w:t>Fundamental Changes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7.4.</w:t>
      </w:r>
      <w:r>
        <w:rPr>
          <w:sz w:val="20"/>
          <w:szCs w:val="20"/>
          <w:color w:val="auto"/>
        </w:rPr>
        <w:tab/>
      </w:r>
      <w:r>
        <w:rPr>
          <w:rFonts w:ascii="Times New Roman" w:cs="Times New Roman" w:eastAsia="Times New Roman" w:hAnsi="Times New Roman"/>
          <w:sz w:val="19"/>
          <w:szCs w:val="19"/>
          <w:color w:val="auto"/>
        </w:rPr>
        <w:t>Investments, Loans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7.5.</w:t>
      </w:r>
      <w:r>
        <w:rPr>
          <w:sz w:val="20"/>
          <w:szCs w:val="20"/>
          <w:color w:val="auto"/>
        </w:rPr>
        <w:tab/>
      </w:r>
      <w:r>
        <w:rPr>
          <w:rFonts w:ascii="Times New Roman" w:cs="Times New Roman" w:eastAsia="Times New Roman" w:hAnsi="Times New Roman"/>
          <w:sz w:val="19"/>
          <w:szCs w:val="19"/>
          <w:color w:val="auto"/>
        </w:rPr>
        <w:t>Restricted Payments</w:t>
      </w:r>
    </w:p>
    <w:p>
      <w:pPr>
        <w:ind w:left="960"/>
        <w:spacing w:after="0" w:line="208" w:lineRule="auto"/>
        <w:tabs>
          <w:tab w:leader="none" w:pos="2440" w:val="left"/>
        </w:tabs>
        <w:rPr>
          <w:sz w:val="20"/>
          <w:szCs w:val="20"/>
          <w:color w:val="auto"/>
        </w:rPr>
      </w:pPr>
      <w:r>
        <w:rPr>
          <w:rFonts w:ascii="Times New Roman" w:cs="Times New Roman" w:eastAsia="Times New Roman" w:hAnsi="Times New Roman"/>
          <w:sz w:val="20"/>
          <w:szCs w:val="20"/>
          <w:color w:val="auto"/>
        </w:rPr>
        <w:t>Section 7.6.</w:t>
      </w:r>
      <w:r>
        <w:rPr>
          <w:sz w:val="20"/>
          <w:szCs w:val="20"/>
          <w:color w:val="auto"/>
        </w:rPr>
        <w:tab/>
      </w:r>
      <w:r>
        <w:rPr>
          <w:rFonts w:ascii="Times New Roman" w:cs="Times New Roman" w:eastAsia="Times New Roman" w:hAnsi="Times New Roman"/>
          <w:sz w:val="19"/>
          <w:szCs w:val="19"/>
          <w:color w:val="auto"/>
        </w:rPr>
        <w:t>Sale of Assets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7.7.</w:t>
      </w:r>
      <w:r>
        <w:rPr>
          <w:sz w:val="20"/>
          <w:szCs w:val="20"/>
          <w:color w:val="auto"/>
        </w:rPr>
        <w:tab/>
      </w:r>
      <w:r>
        <w:rPr>
          <w:rFonts w:ascii="Times New Roman" w:cs="Times New Roman" w:eastAsia="Times New Roman" w:hAnsi="Times New Roman"/>
          <w:sz w:val="19"/>
          <w:szCs w:val="19"/>
          <w:color w:val="auto"/>
        </w:rPr>
        <w:t>Transactions with Affiliates</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7.8.</w:t>
      </w:r>
      <w:r>
        <w:rPr>
          <w:sz w:val="20"/>
          <w:szCs w:val="20"/>
          <w:color w:val="auto"/>
        </w:rPr>
        <w:tab/>
      </w:r>
      <w:r>
        <w:rPr>
          <w:rFonts w:ascii="Times New Roman" w:cs="Times New Roman" w:eastAsia="Times New Roman" w:hAnsi="Times New Roman"/>
          <w:sz w:val="19"/>
          <w:szCs w:val="19"/>
          <w:color w:val="auto"/>
        </w:rPr>
        <w:t>Restrictive Agreements</w:t>
      </w:r>
    </w:p>
    <w:p>
      <w:pPr>
        <w:ind w:left="96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7.9.</w:t>
      </w:r>
      <w:r>
        <w:rPr>
          <w:sz w:val="20"/>
          <w:szCs w:val="20"/>
          <w:color w:val="auto"/>
        </w:rPr>
        <w:tab/>
      </w:r>
      <w:r>
        <w:rPr>
          <w:rFonts w:ascii="Times New Roman" w:cs="Times New Roman" w:eastAsia="Times New Roman" w:hAnsi="Times New Roman"/>
          <w:sz w:val="19"/>
          <w:szCs w:val="19"/>
          <w:color w:val="auto"/>
        </w:rPr>
        <w:t>Sale and Leaseback Transactions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7.10.</w:t>
      </w:r>
      <w:r>
        <w:rPr>
          <w:sz w:val="20"/>
          <w:szCs w:val="20"/>
          <w:color w:val="auto"/>
        </w:rPr>
        <w:tab/>
      </w:r>
      <w:r>
        <w:rPr>
          <w:rFonts w:ascii="Times New Roman" w:cs="Times New Roman" w:eastAsia="Times New Roman" w:hAnsi="Times New Roman"/>
          <w:sz w:val="19"/>
          <w:szCs w:val="19"/>
          <w:color w:val="auto"/>
        </w:rPr>
        <w:t>Hedging Transactions</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7.11.</w:t>
      </w:r>
      <w:r>
        <w:rPr>
          <w:sz w:val="20"/>
          <w:szCs w:val="20"/>
          <w:color w:val="auto"/>
        </w:rPr>
        <w:tab/>
      </w:r>
      <w:r>
        <w:rPr>
          <w:rFonts w:ascii="Times New Roman" w:cs="Times New Roman" w:eastAsia="Times New Roman" w:hAnsi="Times New Roman"/>
          <w:sz w:val="19"/>
          <w:szCs w:val="19"/>
          <w:color w:val="auto"/>
        </w:rPr>
        <w:t>Amendment to Material Documents</w:t>
      </w:r>
    </w:p>
    <w:p>
      <w:pPr>
        <w:ind w:left="96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7.12.</w:t>
      </w:r>
      <w:r>
        <w:rPr>
          <w:sz w:val="20"/>
          <w:szCs w:val="20"/>
          <w:color w:val="auto"/>
        </w:rPr>
        <w:tab/>
      </w:r>
      <w:r>
        <w:rPr>
          <w:rFonts w:ascii="Times New Roman" w:cs="Times New Roman" w:eastAsia="Times New Roman" w:hAnsi="Times New Roman"/>
          <w:sz w:val="19"/>
          <w:szCs w:val="19"/>
          <w:color w:val="auto"/>
        </w:rPr>
        <w:t>Activities of Holdings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7.13.</w:t>
      </w:r>
      <w:r>
        <w:rPr>
          <w:sz w:val="20"/>
          <w:szCs w:val="20"/>
          <w:color w:val="auto"/>
        </w:rPr>
        <w:tab/>
      </w:r>
      <w:r>
        <w:rPr>
          <w:rFonts w:ascii="Times New Roman" w:cs="Times New Roman" w:eastAsia="Times New Roman" w:hAnsi="Times New Roman"/>
          <w:sz w:val="19"/>
          <w:szCs w:val="19"/>
          <w:color w:val="auto"/>
        </w:rPr>
        <w:t>Accounting Changes</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7.14.</w:t>
      </w:r>
      <w:r>
        <w:rPr>
          <w:sz w:val="20"/>
          <w:szCs w:val="20"/>
          <w:color w:val="auto"/>
        </w:rPr>
        <w:tab/>
      </w:r>
      <w:r>
        <w:rPr>
          <w:rFonts w:ascii="Times New Roman" w:cs="Times New Roman" w:eastAsia="Times New Roman" w:hAnsi="Times New Roman"/>
          <w:sz w:val="19"/>
          <w:szCs w:val="19"/>
          <w:color w:val="auto"/>
        </w:rPr>
        <w:t>Underwriting Risks</w:t>
      </w:r>
    </w:p>
    <w:p>
      <w:pPr>
        <w:ind w:left="96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7.15.</w:t>
      </w:r>
      <w:r>
        <w:rPr>
          <w:sz w:val="20"/>
          <w:szCs w:val="20"/>
          <w:color w:val="auto"/>
        </w:rPr>
        <w:tab/>
      </w:r>
      <w:r>
        <w:rPr>
          <w:rFonts w:ascii="Times New Roman" w:cs="Times New Roman" w:eastAsia="Times New Roman" w:hAnsi="Times New Roman"/>
          <w:sz w:val="19"/>
          <w:szCs w:val="19"/>
          <w:color w:val="auto"/>
        </w:rPr>
        <w:t>Insurance Subsidiaries</w:t>
      </w:r>
    </w:p>
    <w:p>
      <w:pPr>
        <w:jc w:val="right"/>
        <w:ind w:right="3760"/>
        <w:spacing w:after="0" w:line="222" w:lineRule="auto"/>
        <w:tabs>
          <w:tab w:leader="none" w:pos="6660" w:val="left"/>
        </w:tabs>
        <w:rPr>
          <w:sz w:val="20"/>
          <w:szCs w:val="20"/>
          <w:color w:val="auto"/>
        </w:rPr>
      </w:pPr>
      <w:r>
        <w:rPr>
          <w:rFonts w:ascii="Times New Roman" w:cs="Times New Roman" w:eastAsia="Times New Roman" w:hAnsi="Times New Roman"/>
          <w:sz w:val="20"/>
          <w:szCs w:val="20"/>
          <w:color w:val="auto"/>
        </w:rPr>
        <w:t>Section 7.16.</w:t>
      </w:r>
      <w:r>
        <w:rPr>
          <w:sz w:val="20"/>
          <w:szCs w:val="20"/>
          <w:color w:val="auto"/>
        </w:rPr>
        <w:tab/>
      </w:r>
      <w:r>
        <w:rPr>
          <w:rFonts w:ascii="Times New Roman" w:cs="Times New Roman" w:eastAsia="Times New Roman" w:hAnsi="Times New Roman"/>
          <w:sz w:val="19"/>
          <w:szCs w:val="19"/>
          <w:color w:val="auto"/>
        </w:rPr>
        <w:t>Sanctions and Anti-Corruption Laws</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7.17.</w:t>
      </w:r>
      <w:r>
        <w:rPr>
          <w:sz w:val="20"/>
          <w:szCs w:val="20"/>
          <w:color w:val="auto"/>
        </w:rPr>
        <w:tab/>
      </w:r>
      <w:r>
        <w:rPr>
          <w:rFonts w:ascii="Times New Roman" w:cs="Times New Roman" w:eastAsia="Times New Roman" w:hAnsi="Times New Roman"/>
          <w:sz w:val="19"/>
          <w:szCs w:val="19"/>
          <w:color w:val="auto"/>
        </w:rPr>
        <w:t>Reinsurance Companies</w:t>
      </w:r>
    </w:p>
    <w:p>
      <w:pPr>
        <w:ind w:left="96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7.18.</w:t>
      </w:r>
      <w:r>
        <w:rPr>
          <w:sz w:val="20"/>
          <w:szCs w:val="20"/>
          <w:color w:val="auto"/>
        </w:rPr>
        <w:tab/>
      </w:r>
      <w:r>
        <w:rPr>
          <w:rFonts w:ascii="Times New Roman" w:cs="Times New Roman" w:eastAsia="Times New Roman" w:hAnsi="Times New Roman"/>
          <w:sz w:val="19"/>
          <w:szCs w:val="19"/>
          <w:color w:val="auto"/>
        </w:rPr>
        <w:t>Other Liens and Guarantees</w:t>
      </w:r>
    </w:p>
    <w:p>
      <w:pPr>
        <w:ind w:left="96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7.19.</w:t>
      </w:r>
      <w:r>
        <w:rPr>
          <w:sz w:val="20"/>
          <w:szCs w:val="20"/>
          <w:color w:val="auto"/>
        </w:rPr>
        <w:tab/>
      </w:r>
      <w:r>
        <w:rPr>
          <w:rFonts w:ascii="Times New Roman" w:cs="Times New Roman" w:eastAsia="Times New Roman" w:hAnsi="Times New Roman"/>
          <w:sz w:val="19"/>
          <w:szCs w:val="19"/>
          <w:color w:val="auto"/>
        </w:rPr>
        <w:t>Restricted Debt Payments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VIII EVENTS OF DEFAULT</w:t>
      </w:r>
    </w:p>
    <w:p>
      <w:pPr>
        <w:spacing w:after="0" w:line="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Events of Default</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color w:val="auto"/>
        </w:rPr>
        <w:t>Application of Proceeds</w:t>
      </w:r>
    </w:p>
    <w:p>
      <w:pPr>
        <w:ind w:left="960"/>
        <w:spacing w:after="0"/>
        <w:rPr>
          <w:sz w:val="20"/>
          <w:szCs w:val="20"/>
          <w:color w:val="auto"/>
        </w:rPr>
      </w:pPr>
      <w:r>
        <w:rPr>
          <w:rFonts w:ascii="Times New Roman" w:cs="Times New Roman" w:eastAsia="Times New Roman" w:hAnsi="Times New Roman"/>
          <w:sz w:val="20"/>
          <w:szCs w:val="20"/>
          <w:color w:val="auto"/>
        </w:rPr>
        <w:t>Section 8.2.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IX THE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EE2724"/>
          <w:strike w:val="1"/>
        </w:rPr>
        <w:t>77</w:t>
      </w:r>
      <w:r>
        <w:rPr>
          <w:rFonts w:ascii="Times New Roman" w:cs="Times New Roman" w:eastAsia="Times New Roman" w:hAnsi="Times New Roman"/>
          <w:sz w:val="19"/>
          <w:szCs w:val="19"/>
          <w:u w:val="single" w:color="auto"/>
          <w:color w:val="3051F2"/>
          <w:strike w:val="1"/>
        </w:rPr>
        <w:t>84</w:t>
      </w:r>
    </w:p>
    <w:p>
      <w:pPr>
        <w:spacing w:after="0" w:line="222" w:lineRule="auto"/>
        <w:rPr>
          <w:sz w:val="20"/>
          <w:szCs w:val="20"/>
          <w:color w:val="auto"/>
        </w:rPr>
      </w:pPr>
      <w:r>
        <w:rPr>
          <w:rFonts w:ascii="Times New Roman" w:cs="Times New Roman" w:eastAsia="Times New Roman" w:hAnsi="Times New Roman"/>
          <w:sz w:val="19"/>
          <w:szCs w:val="19"/>
          <w:color w:val="EE2724"/>
          <w:strike w:val="1"/>
        </w:rPr>
        <w:t>77</w:t>
      </w:r>
      <w:r>
        <w:rPr>
          <w:rFonts w:ascii="Times New Roman" w:cs="Times New Roman" w:eastAsia="Times New Roman" w:hAnsi="Times New Roman"/>
          <w:sz w:val="19"/>
          <w:szCs w:val="19"/>
          <w:u w:val="single" w:color="auto"/>
          <w:color w:val="3051F2"/>
          <w:strike w:val="1"/>
        </w:rPr>
        <w:t>84</w:t>
      </w:r>
    </w:p>
    <w:p>
      <w:pPr>
        <w:jc w:val="right"/>
        <w:spacing w:after="0" w:line="211" w:lineRule="auto"/>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7</w:t>
      </w:r>
    </w:p>
    <w:p>
      <w:pPr>
        <w:jc w:val="right"/>
        <w:spacing w:after="0" w:line="197" w:lineRule="auto"/>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8</w:t>
      </w:r>
    </w:p>
    <w:p>
      <w:pPr>
        <w:jc w:val="right"/>
        <w:spacing w:after="0" w:line="212" w:lineRule="auto"/>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9</w:t>
      </w:r>
    </w:p>
    <w:p>
      <w:pPr>
        <w:spacing w:after="0" w:line="222" w:lineRule="auto"/>
        <w:rPr>
          <w:sz w:val="20"/>
          <w:szCs w:val="20"/>
          <w:color w:val="auto"/>
        </w:rPr>
      </w:pPr>
      <w:r>
        <w:rPr>
          <w:rFonts w:ascii="Times New Roman" w:cs="Times New Roman" w:eastAsia="Times New Roman" w:hAnsi="Times New Roman"/>
          <w:sz w:val="19"/>
          <w:szCs w:val="19"/>
          <w:color w:val="EE2724"/>
          <w:strike w:val="1"/>
        </w:rPr>
        <w:t>83</w:t>
      </w:r>
      <w:r>
        <w:rPr>
          <w:rFonts w:ascii="Times New Roman" w:cs="Times New Roman" w:eastAsia="Times New Roman" w:hAnsi="Times New Roman"/>
          <w:sz w:val="19"/>
          <w:szCs w:val="19"/>
          <w:u w:val="single" w:color="auto"/>
          <w:color w:val="3051F2"/>
          <w:strike w:val="1"/>
        </w:rPr>
        <w:t>90</w:t>
      </w:r>
    </w:p>
    <w:p>
      <w:pPr>
        <w:spacing w:after="0" w:line="208" w:lineRule="auto"/>
        <w:rPr>
          <w:sz w:val="20"/>
          <w:szCs w:val="20"/>
          <w:color w:val="auto"/>
        </w:rPr>
      </w:pPr>
      <w:r>
        <w:rPr>
          <w:rFonts w:ascii="Times New Roman" w:cs="Times New Roman" w:eastAsia="Times New Roman" w:hAnsi="Times New Roman"/>
          <w:sz w:val="19"/>
          <w:szCs w:val="19"/>
          <w:color w:val="EE2724"/>
          <w:strike w:val="1"/>
        </w:rPr>
        <w:t>83</w:t>
      </w:r>
      <w:r>
        <w:rPr>
          <w:rFonts w:ascii="Times New Roman" w:cs="Times New Roman" w:eastAsia="Times New Roman" w:hAnsi="Times New Roman"/>
          <w:sz w:val="19"/>
          <w:szCs w:val="19"/>
          <w:u w:val="single" w:color="auto"/>
          <w:color w:val="3051F2"/>
          <w:strike w:val="1"/>
        </w:rPr>
        <w:t>90</w:t>
      </w:r>
    </w:p>
    <w:p>
      <w:pPr>
        <w:spacing w:after="0" w:line="222" w:lineRule="auto"/>
        <w:rPr>
          <w:sz w:val="20"/>
          <w:szCs w:val="20"/>
          <w:color w:val="auto"/>
        </w:rPr>
      </w:pPr>
      <w:r>
        <w:rPr>
          <w:rFonts w:ascii="Times New Roman" w:cs="Times New Roman" w:eastAsia="Times New Roman" w:hAnsi="Times New Roman"/>
          <w:sz w:val="19"/>
          <w:szCs w:val="19"/>
          <w:color w:val="EE2724"/>
          <w:strike w:val="1"/>
        </w:rPr>
        <w:t>84</w:t>
      </w:r>
      <w:r>
        <w:rPr>
          <w:rFonts w:ascii="Times New Roman" w:cs="Times New Roman" w:eastAsia="Times New Roman" w:hAnsi="Times New Roman"/>
          <w:sz w:val="19"/>
          <w:szCs w:val="19"/>
          <w:u w:val="single" w:color="auto"/>
          <w:color w:val="3051F2"/>
          <w:strike w:val="1"/>
        </w:rPr>
        <w:t>91</w:t>
      </w:r>
    </w:p>
    <w:p>
      <w:pPr>
        <w:spacing w:after="0" w:line="223" w:lineRule="auto"/>
        <w:rPr>
          <w:sz w:val="20"/>
          <w:szCs w:val="20"/>
          <w:color w:val="auto"/>
        </w:rPr>
      </w:pPr>
      <w:r>
        <w:rPr>
          <w:rFonts w:ascii="Times New Roman" w:cs="Times New Roman" w:eastAsia="Times New Roman" w:hAnsi="Times New Roman"/>
          <w:sz w:val="19"/>
          <w:szCs w:val="19"/>
          <w:color w:val="EE2724"/>
          <w:strike w:val="1"/>
        </w:rPr>
        <w:t>84</w:t>
      </w:r>
      <w:r>
        <w:rPr>
          <w:rFonts w:ascii="Times New Roman" w:cs="Times New Roman" w:eastAsia="Times New Roman" w:hAnsi="Times New Roman"/>
          <w:sz w:val="19"/>
          <w:szCs w:val="19"/>
          <w:u w:val="single" w:color="auto"/>
          <w:color w:val="3051F2"/>
          <w:strike w:val="1"/>
        </w:rPr>
        <w:t>91</w:t>
      </w:r>
    </w:p>
    <w:p>
      <w:pPr>
        <w:spacing w:after="0" w:line="207" w:lineRule="auto"/>
        <w:rPr>
          <w:sz w:val="20"/>
          <w:szCs w:val="20"/>
          <w:color w:val="auto"/>
        </w:rPr>
      </w:pPr>
      <w:r>
        <w:rPr>
          <w:rFonts w:ascii="Times New Roman" w:cs="Times New Roman" w:eastAsia="Times New Roman" w:hAnsi="Times New Roman"/>
          <w:sz w:val="19"/>
          <w:szCs w:val="19"/>
          <w:color w:val="EE2724"/>
          <w:strike w:val="1"/>
        </w:rPr>
        <w:t>84</w:t>
      </w:r>
      <w:r>
        <w:rPr>
          <w:rFonts w:ascii="Times New Roman" w:cs="Times New Roman" w:eastAsia="Times New Roman" w:hAnsi="Times New Roman"/>
          <w:sz w:val="19"/>
          <w:szCs w:val="19"/>
          <w:u w:val="single" w:color="auto"/>
          <w:color w:val="3051F2"/>
          <w:strike w:val="1"/>
        </w:rPr>
        <w:t>91</w:t>
      </w:r>
    </w:p>
    <w:p>
      <w:pPr>
        <w:spacing w:after="0" w:line="223" w:lineRule="auto"/>
        <w:rPr>
          <w:sz w:val="20"/>
          <w:szCs w:val="20"/>
          <w:color w:val="auto"/>
        </w:rPr>
      </w:pPr>
      <w:r>
        <w:rPr>
          <w:rFonts w:ascii="Times New Roman" w:cs="Times New Roman" w:eastAsia="Times New Roman" w:hAnsi="Times New Roman"/>
          <w:sz w:val="19"/>
          <w:szCs w:val="19"/>
          <w:color w:val="EE2724"/>
          <w:strike w:val="1"/>
        </w:rPr>
        <w:t>85</w:t>
      </w:r>
      <w:r>
        <w:rPr>
          <w:rFonts w:ascii="Times New Roman" w:cs="Times New Roman" w:eastAsia="Times New Roman" w:hAnsi="Times New Roman"/>
          <w:sz w:val="19"/>
          <w:szCs w:val="19"/>
          <w:u w:val="single" w:color="auto"/>
          <w:color w:val="3051F2"/>
          <w:strike w:val="1"/>
        </w:rPr>
        <w:t>92</w:t>
      </w:r>
    </w:p>
    <w:p>
      <w:pPr>
        <w:spacing w:after="0" w:line="222" w:lineRule="auto"/>
        <w:rPr>
          <w:sz w:val="20"/>
          <w:szCs w:val="20"/>
          <w:color w:val="auto"/>
        </w:rPr>
      </w:pPr>
      <w:r>
        <w:rPr>
          <w:rFonts w:ascii="Times New Roman" w:cs="Times New Roman" w:eastAsia="Times New Roman" w:hAnsi="Times New Roman"/>
          <w:sz w:val="19"/>
          <w:szCs w:val="19"/>
          <w:color w:val="EE2724"/>
          <w:strike w:val="1"/>
        </w:rPr>
        <w:t>85</w:t>
      </w:r>
      <w:r>
        <w:rPr>
          <w:rFonts w:ascii="Times New Roman" w:cs="Times New Roman" w:eastAsia="Times New Roman" w:hAnsi="Times New Roman"/>
          <w:sz w:val="19"/>
          <w:szCs w:val="19"/>
          <w:u w:val="single" w:color="auto"/>
          <w:color w:val="3051F2"/>
          <w:strike w:val="1"/>
        </w:rPr>
        <w:t>92</w:t>
      </w:r>
    </w:p>
    <w:p>
      <w:pPr>
        <w:spacing w:after="0" w:line="208" w:lineRule="auto"/>
        <w:rPr>
          <w:sz w:val="20"/>
          <w:szCs w:val="20"/>
          <w:color w:val="auto"/>
        </w:rPr>
      </w:pPr>
      <w:r>
        <w:rPr>
          <w:rFonts w:ascii="Times New Roman" w:cs="Times New Roman" w:eastAsia="Times New Roman" w:hAnsi="Times New Roman"/>
          <w:sz w:val="19"/>
          <w:szCs w:val="19"/>
          <w:color w:val="EE2724"/>
          <w:strike w:val="1"/>
        </w:rPr>
        <w:t>85</w:t>
      </w:r>
      <w:r>
        <w:rPr>
          <w:rFonts w:ascii="Times New Roman" w:cs="Times New Roman" w:eastAsia="Times New Roman" w:hAnsi="Times New Roman"/>
          <w:sz w:val="19"/>
          <w:szCs w:val="19"/>
          <w:u w:val="single" w:color="auto"/>
          <w:color w:val="3051F2"/>
          <w:strike w:val="1"/>
        </w:rPr>
        <w:t>92</w:t>
      </w:r>
    </w:p>
    <w:p>
      <w:pPr>
        <w:spacing w:after="0" w:line="222" w:lineRule="auto"/>
        <w:rPr>
          <w:sz w:val="20"/>
          <w:szCs w:val="20"/>
          <w:color w:val="auto"/>
        </w:rPr>
      </w:pPr>
      <w:r>
        <w:rPr>
          <w:rFonts w:ascii="Times New Roman" w:cs="Times New Roman" w:eastAsia="Times New Roman" w:hAnsi="Times New Roman"/>
          <w:sz w:val="19"/>
          <w:szCs w:val="19"/>
          <w:color w:val="EE2724"/>
          <w:strike w:val="1"/>
        </w:rPr>
        <w:t>85</w:t>
      </w:r>
      <w:r>
        <w:rPr>
          <w:rFonts w:ascii="Times New Roman" w:cs="Times New Roman" w:eastAsia="Times New Roman" w:hAnsi="Times New Roman"/>
          <w:sz w:val="19"/>
          <w:szCs w:val="19"/>
          <w:u w:val="single" w:color="auto"/>
          <w:color w:val="3051F2"/>
          <w:strike w:val="1"/>
        </w:rPr>
        <w:t>92</w:t>
      </w:r>
    </w:p>
    <w:p>
      <w:pPr>
        <w:spacing w:after="0" w:line="223" w:lineRule="auto"/>
        <w:rPr>
          <w:sz w:val="20"/>
          <w:szCs w:val="20"/>
          <w:color w:val="auto"/>
        </w:rPr>
      </w:pPr>
      <w:r>
        <w:rPr>
          <w:rFonts w:ascii="Times New Roman" w:cs="Times New Roman" w:eastAsia="Times New Roman" w:hAnsi="Times New Roman"/>
          <w:sz w:val="19"/>
          <w:szCs w:val="19"/>
          <w:color w:val="EE2724"/>
          <w:strike w:val="1"/>
        </w:rPr>
        <w:t>85</w:t>
      </w:r>
      <w:r>
        <w:rPr>
          <w:rFonts w:ascii="Times New Roman" w:cs="Times New Roman" w:eastAsia="Times New Roman" w:hAnsi="Times New Roman"/>
          <w:sz w:val="19"/>
          <w:szCs w:val="19"/>
          <w:u w:val="single" w:color="auto"/>
          <w:color w:val="3051F2"/>
          <w:strike w:val="1"/>
        </w:rPr>
        <w:t>92</w:t>
      </w:r>
    </w:p>
    <w:p>
      <w:pPr>
        <w:spacing w:after="0" w:line="207" w:lineRule="auto"/>
        <w:rPr>
          <w:sz w:val="20"/>
          <w:szCs w:val="20"/>
          <w:color w:val="auto"/>
        </w:rPr>
      </w:pPr>
      <w:r>
        <w:rPr>
          <w:rFonts w:ascii="Times New Roman" w:cs="Times New Roman" w:eastAsia="Times New Roman" w:hAnsi="Times New Roman"/>
          <w:sz w:val="19"/>
          <w:szCs w:val="19"/>
          <w:color w:val="EE2724"/>
          <w:strike w:val="1"/>
        </w:rPr>
        <w:t>85</w:t>
      </w:r>
      <w:r>
        <w:rPr>
          <w:rFonts w:ascii="Times New Roman" w:cs="Times New Roman" w:eastAsia="Times New Roman" w:hAnsi="Times New Roman"/>
          <w:sz w:val="19"/>
          <w:szCs w:val="19"/>
          <w:u w:val="single" w:color="auto"/>
          <w:color w:val="3051F2"/>
          <w:strike w:val="1"/>
        </w:rPr>
        <w:t>92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EE2724"/>
          <w:strike w:val="1"/>
        </w:rPr>
        <w:t>86</w:t>
      </w:r>
      <w:r>
        <w:rPr>
          <w:rFonts w:ascii="Times New Roman" w:cs="Times New Roman" w:eastAsia="Times New Roman" w:hAnsi="Times New Roman"/>
          <w:sz w:val="19"/>
          <w:szCs w:val="19"/>
          <w:u w:val="single" w:color="auto"/>
          <w:color w:val="3051F2"/>
          <w:strike w:val="1"/>
        </w:rPr>
        <w:t>93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EE2724"/>
          <w:strike w:val="1"/>
        </w:rPr>
        <w:t>86</w:t>
      </w:r>
      <w:r>
        <w:rPr>
          <w:rFonts w:ascii="Times New Roman" w:cs="Times New Roman" w:eastAsia="Times New Roman" w:hAnsi="Times New Roman"/>
          <w:sz w:val="19"/>
          <w:szCs w:val="19"/>
          <w:u w:val="single" w:color="auto"/>
          <w:color w:val="3051F2"/>
          <w:strike w:val="1"/>
        </w:rPr>
        <w:t>93</w:t>
      </w:r>
    </w:p>
    <w:p>
      <w:pPr>
        <w:spacing w:after="0" w:line="222" w:lineRule="auto"/>
        <w:rPr>
          <w:sz w:val="20"/>
          <w:szCs w:val="20"/>
          <w:color w:val="auto"/>
        </w:rPr>
      </w:pPr>
      <w:r>
        <w:rPr>
          <w:rFonts w:ascii="Times New Roman" w:cs="Times New Roman" w:eastAsia="Times New Roman" w:hAnsi="Times New Roman"/>
          <w:sz w:val="19"/>
          <w:szCs w:val="19"/>
          <w:color w:val="EE2724"/>
          <w:strike w:val="1"/>
        </w:rPr>
        <w:t>86</w:t>
      </w:r>
      <w:r>
        <w:rPr>
          <w:rFonts w:ascii="Times New Roman" w:cs="Times New Roman" w:eastAsia="Times New Roman" w:hAnsi="Times New Roman"/>
          <w:sz w:val="19"/>
          <w:szCs w:val="19"/>
          <w:u w:val="single" w:color="auto"/>
          <w:color w:val="3051F2"/>
          <w:strike w:val="1"/>
        </w:rPr>
        <w:t>93</w:t>
      </w:r>
    </w:p>
    <w:p>
      <w:pPr>
        <w:jc w:val="right"/>
        <w:spacing w:after="0"/>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7</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7</w:t>
      </w:r>
    </w:p>
    <w:p>
      <w:pPr>
        <w:spacing w:after="0" w:line="1" w:lineRule="exact"/>
        <w:rPr>
          <w:sz w:val="20"/>
          <w:szCs w:val="20"/>
          <w:color w:val="auto"/>
        </w:rPr>
      </w:pPr>
    </w:p>
    <w:p>
      <w:pPr>
        <w:sectPr>
          <w:pgSz w:w="11900" w:h="16838" w:orient="portrait"/>
          <w:cols w:equalWidth="0" w:num="2">
            <w:col w:w="9140" w:space="720"/>
            <w:col w:w="400"/>
          </w:cols>
          <w:pgMar w:left="340" w:top="1367" w:right="129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Section 9.1.</w:t>
      </w:r>
    </w:p>
    <w:p>
      <w:pPr>
        <w:ind w:left="960"/>
        <w:spacing w:after="0" w:line="211" w:lineRule="auto"/>
        <w:rPr>
          <w:sz w:val="20"/>
          <w:szCs w:val="20"/>
          <w:color w:val="auto"/>
        </w:rPr>
      </w:pPr>
      <w:r>
        <w:rPr>
          <w:rFonts w:ascii="Times New Roman" w:cs="Times New Roman" w:eastAsia="Times New Roman" w:hAnsi="Times New Roman"/>
          <w:sz w:val="20"/>
          <w:szCs w:val="20"/>
          <w:color w:val="auto"/>
        </w:rPr>
        <w:t>Section 9.2.</w:t>
      </w:r>
    </w:p>
    <w:p>
      <w:pPr>
        <w:ind w:left="960"/>
        <w:spacing w:after="0" w:line="211" w:lineRule="auto"/>
        <w:rPr>
          <w:sz w:val="20"/>
          <w:szCs w:val="20"/>
          <w:color w:val="auto"/>
        </w:rPr>
      </w:pPr>
      <w:r>
        <w:rPr>
          <w:rFonts w:ascii="Times New Roman" w:cs="Times New Roman" w:eastAsia="Times New Roman" w:hAnsi="Times New Roman"/>
          <w:sz w:val="20"/>
          <w:szCs w:val="20"/>
          <w:color w:val="auto"/>
        </w:rPr>
        <w:t>Section 9.3.</w:t>
      </w:r>
    </w:p>
    <w:p>
      <w:pPr>
        <w:ind w:left="960"/>
        <w:spacing w:after="0" w:line="197" w:lineRule="auto"/>
        <w:rPr>
          <w:sz w:val="20"/>
          <w:szCs w:val="20"/>
          <w:color w:val="auto"/>
        </w:rPr>
      </w:pPr>
      <w:r>
        <w:rPr>
          <w:rFonts w:ascii="Times New Roman" w:cs="Times New Roman" w:eastAsia="Times New Roman" w:hAnsi="Times New Roman"/>
          <w:sz w:val="20"/>
          <w:szCs w:val="20"/>
          <w:color w:val="auto"/>
        </w:rPr>
        <w:t>Section 9.4.</w:t>
      </w:r>
    </w:p>
    <w:p>
      <w:pPr>
        <w:ind w:left="960"/>
        <w:spacing w:after="0" w:line="212" w:lineRule="auto"/>
        <w:rPr>
          <w:sz w:val="20"/>
          <w:szCs w:val="20"/>
          <w:color w:val="auto"/>
        </w:rPr>
      </w:pPr>
      <w:r>
        <w:rPr>
          <w:rFonts w:ascii="Times New Roman" w:cs="Times New Roman" w:eastAsia="Times New Roman" w:hAnsi="Times New Roman"/>
          <w:sz w:val="20"/>
          <w:szCs w:val="20"/>
          <w:color w:val="auto"/>
        </w:rPr>
        <w:t>Section 9.5.</w:t>
      </w:r>
    </w:p>
    <w:p>
      <w:pPr>
        <w:ind w:left="960"/>
        <w:spacing w:after="0" w:line="211" w:lineRule="auto"/>
        <w:rPr>
          <w:sz w:val="20"/>
          <w:szCs w:val="20"/>
          <w:color w:val="auto"/>
        </w:rPr>
      </w:pPr>
      <w:r>
        <w:rPr>
          <w:rFonts w:ascii="Times New Roman" w:cs="Times New Roman" w:eastAsia="Times New Roman" w:hAnsi="Times New Roman"/>
          <w:sz w:val="20"/>
          <w:szCs w:val="20"/>
          <w:color w:val="auto"/>
        </w:rPr>
        <w:t>Section 9.6.</w:t>
      </w:r>
    </w:p>
    <w:p>
      <w:pPr>
        <w:ind w:left="960"/>
        <w:spacing w:after="0" w:line="197" w:lineRule="auto"/>
        <w:rPr>
          <w:sz w:val="20"/>
          <w:szCs w:val="20"/>
          <w:color w:val="auto"/>
        </w:rPr>
      </w:pPr>
      <w:r>
        <w:rPr>
          <w:rFonts w:ascii="Times New Roman" w:cs="Times New Roman" w:eastAsia="Times New Roman" w:hAnsi="Times New Roman"/>
          <w:sz w:val="20"/>
          <w:szCs w:val="20"/>
          <w:color w:val="auto"/>
        </w:rPr>
        <w:t>Section 9.7.</w:t>
      </w:r>
    </w:p>
    <w:p>
      <w:pPr>
        <w:ind w:left="960"/>
        <w:spacing w:after="0" w:line="212" w:lineRule="auto"/>
        <w:rPr>
          <w:sz w:val="20"/>
          <w:szCs w:val="20"/>
          <w:color w:val="auto"/>
        </w:rPr>
      </w:pPr>
      <w:r>
        <w:rPr>
          <w:rFonts w:ascii="Times New Roman" w:cs="Times New Roman" w:eastAsia="Times New Roman" w:hAnsi="Times New Roman"/>
          <w:sz w:val="20"/>
          <w:szCs w:val="20"/>
          <w:color w:val="auto"/>
        </w:rPr>
        <w:t>Section 9.8.</w:t>
      </w:r>
    </w:p>
    <w:p>
      <w:pPr>
        <w:ind w:left="960"/>
        <w:spacing w:after="0" w:line="211" w:lineRule="auto"/>
        <w:rPr>
          <w:sz w:val="20"/>
          <w:szCs w:val="20"/>
          <w:color w:val="auto"/>
        </w:rPr>
      </w:pPr>
      <w:r>
        <w:rPr>
          <w:rFonts w:ascii="Times New Roman" w:cs="Times New Roman" w:eastAsia="Times New Roman" w:hAnsi="Times New Roman"/>
          <w:sz w:val="20"/>
          <w:szCs w:val="20"/>
          <w:color w:val="auto"/>
        </w:rPr>
        <w:t>Section 9.9.</w:t>
      </w:r>
    </w:p>
    <w:p>
      <w:pPr>
        <w:ind w:left="960"/>
        <w:spacing w:after="0" w:line="208" w:lineRule="auto"/>
        <w:rPr>
          <w:sz w:val="20"/>
          <w:szCs w:val="20"/>
          <w:color w:val="auto"/>
        </w:rPr>
      </w:pPr>
      <w:r>
        <w:rPr>
          <w:rFonts w:ascii="Times New Roman" w:cs="Times New Roman" w:eastAsia="Times New Roman" w:hAnsi="Times New Roman"/>
          <w:sz w:val="19"/>
          <w:szCs w:val="19"/>
          <w:color w:val="auto"/>
        </w:rPr>
        <w:t>Section 9.10.</w:t>
      </w:r>
    </w:p>
    <w:p>
      <w:pPr>
        <w:ind w:left="960"/>
        <w:spacing w:after="0" w:line="222" w:lineRule="auto"/>
        <w:rPr>
          <w:sz w:val="20"/>
          <w:szCs w:val="20"/>
          <w:color w:val="auto"/>
        </w:rPr>
      </w:pPr>
      <w:r>
        <w:rPr>
          <w:rFonts w:ascii="Times New Roman" w:cs="Times New Roman" w:eastAsia="Times New Roman" w:hAnsi="Times New Roman"/>
          <w:sz w:val="19"/>
          <w:szCs w:val="19"/>
          <w:color w:val="auto"/>
        </w:rPr>
        <w:t>Section 9.11.</w:t>
      </w:r>
    </w:p>
    <w:p>
      <w:pPr>
        <w:ind w:left="960"/>
        <w:spacing w:after="0" w:line="222" w:lineRule="auto"/>
        <w:rPr>
          <w:sz w:val="20"/>
          <w:szCs w:val="20"/>
          <w:color w:val="auto"/>
        </w:rPr>
      </w:pPr>
      <w:r>
        <w:rPr>
          <w:rFonts w:ascii="Times New Roman" w:cs="Times New Roman" w:eastAsia="Times New Roman" w:hAnsi="Times New Roman"/>
          <w:sz w:val="19"/>
          <w:szCs w:val="19"/>
          <w:color w:val="auto"/>
        </w:rPr>
        <w:t>Section 9.12.</w:t>
      </w:r>
    </w:p>
    <w:p>
      <w:pPr>
        <w:ind w:left="960"/>
        <w:spacing w:after="0" w:line="208" w:lineRule="auto"/>
        <w:rPr>
          <w:sz w:val="20"/>
          <w:szCs w:val="20"/>
          <w:color w:val="auto"/>
        </w:rPr>
      </w:pPr>
      <w:r>
        <w:rPr>
          <w:rFonts w:ascii="Times New Roman" w:cs="Times New Roman" w:eastAsia="Times New Roman" w:hAnsi="Times New Roman"/>
          <w:sz w:val="19"/>
          <w:szCs w:val="19"/>
          <w:color w:val="auto"/>
        </w:rPr>
        <w:t>Section 9.13.</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Section 9.14.</w:t>
      </w:r>
    </w:p>
    <w:p>
      <w:pPr>
        <w:spacing w:after="0" w:line="20" w:lineRule="exact"/>
        <w:rPr>
          <w:sz w:val="20"/>
          <w:szCs w:val="20"/>
          <w:color w:val="auto"/>
        </w:rPr>
      </w:pPr>
      <w:r>
        <w:rPr>
          <w:sz w:val="20"/>
          <w:szCs w:val="20"/>
          <w:color w:val="auto"/>
        </w:rPr>
        <w:br w:type="column"/>
      </w:r>
    </w:p>
    <w:p>
      <w:pPr>
        <w:spacing w:after="0" w:line="197" w:lineRule="auto"/>
        <w:rPr>
          <w:sz w:val="20"/>
          <w:szCs w:val="20"/>
          <w:color w:val="auto"/>
        </w:rPr>
      </w:pPr>
      <w:r>
        <w:rPr>
          <w:rFonts w:ascii="Times New Roman" w:cs="Times New Roman" w:eastAsia="Times New Roman" w:hAnsi="Times New Roman"/>
          <w:sz w:val="20"/>
          <w:szCs w:val="20"/>
          <w:color w:val="auto"/>
        </w:rPr>
        <w:t>Appointment of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Nature of Duties of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Lack of Reliance on the Administrative Agent</w:t>
      </w:r>
    </w:p>
    <w:p>
      <w:pPr>
        <w:spacing w:after="0" w:line="198" w:lineRule="auto"/>
        <w:rPr>
          <w:sz w:val="20"/>
          <w:szCs w:val="20"/>
          <w:color w:val="auto"/>
        </w:rPr>
      </w:pPr>
      <w:r>
        <w:rPr>
          <w:rFonts w:ascii="Times New Roman" w:cs="Times New Roman" w:eastAsia="Times New Roman" w:hAnsi="Times New Roman"/>
          <w:sz w:val="20"/>
          <w:szCs w:val="20"/>
          <w:color w:val="auto"/>
        </w:rPr>
        <w:t>Certain Rights of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Reliance by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in its Individual Capacity</w:t>
      </w:r>
    </w:p>
    <w:p>
      <w:pPr>
        <w:spacing w:after="0" w:line="198" w:lineRule="auto"/>
        <w:rPr>
          <w:sz w:val="20"/>
          <w:szCs w:val="20"/>
          <w:color w:val="auto"/>
        </w:rPr>
      </w:pPr>
      <w:r>
        <w:rPr>
          <w:rFonts w:ascii="Times New Roman" w:cs="Times New Roman" w:eastAsia="Times New Roman" w:hAnsi="Times New Roman"/>
          <w:sz w:val="20"/>
          <w:szCs w:val="20"/>
          <w:color w:val="auto"/>
        </w:rPr>
        <w:t>Successor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Withholding Tax</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May File Proofs of Claim</w:t>
      </w:r>
    </w:p>
    <w:p>
      <w:pPr>
        <w:spacing w:after="0" w:line="1" w:lineRule="exact"/>
        <w:rPr>
          <w:sz w:val="20"/>
          <w:szCs w:val="20"/>
          <w:color w:val="auto"/>
        </w:rPr>
      </w:pPr>
    </w:p>
    <w:p>
      <w:pPr>
        <w:ind w:right="2680"/>
        <w:spacing w:after="0" w:line="204" w:lineRule="auto"/>
        <w:rPr>
          <w:sz w:val="20"/>
          <w:szCs w:val="20"/>
          <w:color w:val="auto"/>
        </w:rPr>
      </w:pPr>
      <w:r>
        <w:rPr>
          <w:rFonts w:ascii="Times New Roman" w:cs="Times New Roman" w:eastAsia="Times New Roman" w:hAnsi="Times New Roman"/>
          <w:sz w:val="20"/>
          <w:szCs w:val="20"/>
          <w:color w:val="auto"/>
        </w:rPr>
        <w:t>Authorization to Execute Other Loan Documents Collateral and Guaranty Matters</w:t>
      </w:r>
    </w:p>
    <w:p>
      <w:pPr>
        <w:spacing w:after="0" w:line="211" w:lineRule="auto"/>
        <w:rPr>
          <w:sz w:val="20"/>
          <w:szCs w:val="20"/>
          <w:color w:val="auto"/>
        </w:rPr>
      </w:pPr>
      <w:r>
        <w:rPr>
          <w:rFonts w:ascii="Times New Roman" w:cs="Times New Roman" w:eastAsia="Times New Roman" w:hAnsi="Times New Roman"/>
          <w:sz w:val="20"/>
          <w:szCs w:val="20"/>
          <w:color w:val="auto"/>
        </w:rPr>
        <w:t>[Reserved]</w:t>
      </w:r>
    </w:p>
    <w:p>
      <w:pPr>
        <w:spacing w:after="0" w:line="1" w:lineRule="exact"/>
        <w:rPr>
          <w:sz w:val="20"/>
          <w:szCs w:val="20"/>
          <w:color w:val="auto"/>
        </w:rPr>
      </w:pPr>
    </w:p>
    <w:p>
      <w:pPr>
        <w:ind w:right="2340"/>
        <w:spacing w:after="0" w:line="221" w:lineRule="auto"/>
        <w:rPr>
          <w:sz w:val="20"/>
          <w:szCs w:val="20"/>
          <w:color w:val="auto"/>
        </w:rPr>
      </w:pPr>
      <w:r>
        <w:rPr>
          <w:rFonts w:ascii="Times New Roman" w:cs="Times New Roman" w:eastAsia="Times New Roman" w:hAnsi="Times New Roman"/>
          <w:sz w:val="20"/>
          <w:szCs w:val="20"/>
          <w:color w:val="auto"/>
        </w:rPr>
        <w:t>Right to Realize on Collateral and Enforce Guarantee Erroneous Payments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7</w:t>
      </w:r>
    </w:p>
    <w:p>
      <w:pPr>
        <w:jc w:val="right"/>
        <w:spacing w:after="0" w:line="211" w:lineRule="auto"/>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8</w:t>
      </w:r>
    </w:p>
    <w:p>
      <w:pPr>
        <w:jc w:val="right"/>
        <w:spacing w:after="0" w:line="197" w:lineRule="auto"/>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9</w:t>
      </w:r>
    </w:p>
    <w:p>
      <w:pPr>
        <w:jc w:val="right"/>
        <w:spacing w:after="0" w:line="211" w:lineRule="auto"/>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9</w:t>
      </w:r>
    </w:p>
    <w:p>
      <w:pPr>
        <w:jc w:val="right"/>
        <w:spacing w:after="0" w:line="212" w:lineRule="auto"/>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9</w:t>
      </w:r>
    </w:p>
    <w:p>
      <w:pPr>
        <w:jc w:val="right"/>
        <w:spacing w:after="0" w:line="197" w:lineRule="auto"/>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color w:val="EE2724"/>
          <w:strike w:val="1"/>
        </w:rPr>
        <w:t>2</w:t>
      </w:r>
      <w:r>
        <w:rPr>
          <w:rFonts w:ascii="Times New Roman" w:cs="Times New Roman" w:eastAsia="Times New Roman" w:hAnsi="Times New Roman"/>
          <w:sz w:val="20"/>
          <w:szCs w:val="20"/>
          <w:u w:val="single" w:color="auto"/>
          <w:color w:val="3051F2"/>
        </w:rPr>
        <w:t>9</w:t>
      </w:r>
    </w:p>
    <w:p>
      <w:pPr>
        <w:spacing w:after="0" w:line="222" w:lineRule="auto"/>
        <w:rPr>
          <w:sz w:val="20"/>
          <w:szCs w:val="20"/>
          <w:color w:val="auto"/>
        </w:rPr>
      </w:pPr>
      <w:r>
        <w:rPr>
          <w:rFonts w:ascii="Times New Roman" w:cs="Times New Roman" w:eastAsia="Times New Roman" w:hAnsi="Times New Roman"/>
          <w:sz w:val="19"/>
          <w:szCs w:val="19"/>
          <w:color w:val="EE2724"/>
          <w:strike w:val="1"/>
        </w:rPr>
        <w:t>93</w:t>
      </w:r>
      <w:r>
        <w:rPr>
          <w:rFonts w:ascii="Times New Roman" w:cs="Times New Roman" w:eastAsia="Times New Roman" w:hAnsi="Times New Roman"/>
          <w:sz w:val="19"/>
          <w:szCs w:val="19"/>
          <w:u w:val="single" w:color="auto"/>
          <w:color w:val="3051F2"/>
          <w:strike w:val="1"/>
        </w:rPr>
        <w:t>100</w:t>
      </w:r>
    </w:p>
    <w:p>
      <w:pPr>
        <w:spacing w:after="0" w:line="223" w:lineRule="auto"/>
        <w:rPr>
          <w:sz w:val="20"/>
          <w:szCs w:val="20"/>
          <w:color w:val="auto"/>
        </w:rPr>
      </w:pPr>
      <w:r>
        <w:rPr>
          <w:rFonts w:ascii="Times New Roman" w:cs="Times New Roman" w:eastAsia="Times New Roman" w:hAnsi="Times New Roman"/>
          <w:sz w:val="19"/>
          <w:szCs w:val="19"/>
          <w:color w:val="EE2724"/>
          <w:strike w:val="1"/>
        </w:rPr>
        <w:t>93</w:t>
      </w:r>
      <w:r>
        <w:rPr>
          <w:rFonts w:ascii="Times New Roman" w:cs="Times New Roman" w:eastAsia="Times New Roman" w:hAnsi="Times New Roman"/>
          <w:sz w:val="19"/>
          <w:szCs w:val="19"/>
          <w:u w:val="single" w:color="auto"/>
          <w:color w:val="3051F2"/>
          <w:strike w:val="1"/>
        </w:rPr>
        <w:t>100</w:t>
      </w:r>
    </w:p>
    <w:p>
      <w:pPr>
        <w:spacing w:after="0" w:line="207" w:lineRule="auto"/>
        <w:rPr>
          <w:sz w:val="20"/>
          <w:szCs w:val="20"/>
          <w:color w:val="auto"/>
        </w:rPr>
      </w:pPr>
      <w:r>
        <w:rPr>
          <w:rFonts w:ascii="Times New Roman" w:cs="Times New Roman" w:eastAsia="Times New Roman" w:hAnsi="Times New Roman"/>
          <w:sz w:val="19"/>
          <w:szCs w:val="19"/>
          <w:color w:val="EE2724"/>
          <w:strike w:val="1"/>
        </w:rPr>
        <w:t>93</w:t>
      </w:r>
      <w:r>
        <w:rPr>
          <w:rFonts w:ascii="Times New Roman" w:cs="Times New Roman" w:eastAsia="Times New Roman" w:hAnsi="Times New Roman"/>
          <w:sz w:val="19"/>
          <w:szCs w:val="19"/>
          <w:u w:val="single" w:color="auto"/>
          <w:color w:val="3051F2"/>
          <w:strike w:val="1"/>
        </w:rPr>
        <w:t>101</w:t>
      </w:r>
    </w:p>
    <w:p>
      <w:pPr>
        <w:spacing w:after="0" w:line="223" w:lineRule="auto"/>
        <w:rPr>
          <w:sz w:val="20"/>
          <w:szCs w:val="20"/>
          <w:color w:val="auto"/>
        </w:rPr>
      </w:pPr>
      <w:r>
        <w:rPr>
          <w:rFonts w:ascii="Times New Roman" w:cs="Times New Roman" w:eastAsia="Times New Roman" w:hAnsi="Times New Roman"/>
          <w:sz w:val="19"/>
          <w:szCs w:val="19"/>
          <w:color w:val="EE2724"/>
          <w:strike w:val="1"/>
        </w:rPr>
        <w:t>94</w:t>
      </w:r>
      <w:r>
        <w:rPr>
          <w:rFonts w:ascii="Times New Roman" w:cs="Times New Roman" w:eastAsia="Times New Roman" w:hAnsi="Times New Roman"/>
          <w:sz w:val="19"/>
          <w:szCs w:val="19"/>
          <w:u w:val="single" w:color="auto"/>
          <w:color w:val="3051F2"/>
          <w:strike w:val="1"/>
        </w:rPr>
        <w:t>101</w:t>
      </w:r>
    </w:p>
    <w:p>
      <w:pPr>
        <w:spacing w:after="0" w:line="222" w:lineRule="auto"/>
        <w:rPr>
          <w:sz w:val="20"/>
          <w:szCs w:val="20"/>
          <w:color w:val="auto"/>
        </w:rPr>
      </w:pPr>
      <w:r>
        <w:rPr>
          <w:rFonts w:ascii="Times New Roman" w:cs="Times New Roman" w:eastAsia="Times New Roman" w:hAnsi="Times New Roman"/>
          <w:sz w:val="19"/>
          <w:szCs w:val="19"/>
          <w:color w:val="EE2724"/>
          <w:strike w:val="1"/>
        </w:rPr>
        <w:t>94</w:t>
      </w:r>
      <w:r>
        <w:rPr>
          <w:rFonts w:ascii="Times New Roman" w:cs="Times New Roman" w:eastAsia="Times New Roman" w:hAnsi="Times New Roman"/>
          <w:sz w:val="19"/>
          <w:szCs w:val="19"/>
          <w:u w:val="single" w:color="auto"/>
          <w:color w:val="3051F2"/>
          <w:strike w:val="1"/>
        </w:rPr>
        <w:t>101</w:t>
      </w:r>
    </w:p>
    <w:p>
      <w:pPr>
        <w:spacing w:after="0" w:line="208" w:lineRule="auto"/>
        <w:rPr>
          <w:sz w:val="20"/>
          <w:szCs w:val="20"/>
          <w:color w:val="auto"/>
        </w:rPr>
      </w:pPr>
      <w:r>
        <w:rPr>
          <w:rFonts w:ascii="Times New Roman" w:cs="Times New Roman" w:eastAsia="Times New Roman" w:hAnsi="Times New Roman"/>
          <w:sz w:val="19"/>
          <w:szCs w:val="19"/>
          <w:color w:val="EE2724"/>
          <w:strike w:val="1"/>
        </w:rPr>
        <w:t>95</w:t>
      </w:r>
      <w:r>
        <w:rPr>
          <w:rFonts w:ascii="Times New Roman" w:cs="Times New Roman" w:eastAsia="Times New Roman" w:hAnsi="Times New Roman"/>
          <w:sz w:val="19"/>
          <w:szCs w:val="19"/>
          <w:u w:val="single" w:color="auto"/>
          <w:color w:val="3051F2"/>
          <w:strike w:val="1"/>
        </w:rPr>
        <w:t>102</w:t>
      </w:r>
    </w:p>
    <w:p>
      <w:pPr>
        <w:spacing w:after="0" w:line="222" w:lineRule="auto"/>
        <w:rPr>
          <w:sz w:val="20"/>
          <w:szCs w:val="20"/>
          <w:color w:val="auto"/>
        </w:rPr>
      </w:pPr>
      <w:r>
        <w:rPr>
          <w:rFonts w:ascii="Times New Roman" w:cs="Times New Roman" w:eastAsia="Times New Roman" w:hAnsi="Times New Roman"/>
          <w:sz w:val="19"/>
          <w:szCs w:val="19"/>
          <w:color w:val="EE2724"/>
          <w:strike w:val="1"/>
        </w:rPr>
        <w:t>95</w:t>
      </w:r>
      <w:r>
        <w:rPr>
          <w:rFonts w:ascii="Times New Roman" w:cs="Times New Roman" w:eastAsia="Times New Roman" w:hAnsi="Times New Roman"/>
          <w:sz w:val="19"/>
          <w:szCs w:val="19"/>
          <w:u w:val="single" w:color="auto"/>
          <w:color w:val="3051F2"/>
          <w:strike w:val="1"/>
        </w:rPr>
        <w:t>102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EE2724"/>
          <w:strike w:val="1"/>
        </w:rPr>
        <w:t>95</w:t>
      </w:r>
      <w:r>
        <w:rPr>
          <w:rFonts w:ascii="Times New Roman" w:cs="Times New Roman" w:eastAsia="Times New Roman" w:hAnsi="Times New Roman"/>
          <w:sz w:val="19"/>
          <w:szCs w:val="19"/>
          <w:u w:val="single" w:color="auto"/>
          <w:color w:val="3051F2"/>
          <w:strike w:val="1"/>
        </w:rPr>
        <w:t>102</w:t>
      </w:r>
    </w:p>
    <w:p>
      <w:pPr>
        <w:spacing w:after="0" w:line="650" w:lineRule="exact"/>
        <w:rPr>
          <w:sz w:val="20"/>
          <w:szCs w:val="20"/>
          <w:color w:val="auto"/>
        </w:rPr>
      </w:pPr>
    </w:p>
    <w:p>
      <w:pPr>
        <w:sectPr>
          <w:pgSz w:w="11900" w:h="16838" w:orient="portrait"/>
          <w:cols w:equalWidth="0" w:num="3">
            <w:col w:w="1980" w:space="480"/>
            <w:col w:w="6580" w:space="720"/>
            <w:col w:w="500"/>
          </w:cols>
          <w:pgMar w:left="340" w:top="1367" w:right="129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ARTICLE X MISCELLANEOUS</w:t>
      </w:r>
    </w:p>
    <w:p>
      <w:pPr>
        <w:spacing w:after="0" w:line="8" w:lineRule="exact"/>
        <w:rPr>
          <w:sz w:val="20"/>
          <w:szCs w:val="20"/>
          <w:color w:val="auto"/>
        </w:rPr>
      </w:pPr>
    </w:p>
    <w:p>
      <w:pPr>
        <w:ind w:left="96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color w:val="auto"/>
        </w:rPr>
        <w:t>Notices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color w:val="auto"/>
        </w:rPr>
        <w:t>Waiver; Amendments</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color w:val="auto"/>
        </w:rPr>
        <w:t>Expenses; Indemnification</w:t>
      </w:r>
    </w:p>
    <w:p>
      <w:pPr>
        <w:ind w:left="960"/>
        <w:spacing w:after="0" w:line="208" w:lineRule="auto"/>
        <w:tabs>
          <w:tab w:leader="none" w:pos="244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color w:val="auto"/>
        </w:rPr>
        <w:t>Successors and Assigns</w:t>
      </w:r>
    </w:p>
    <w:p>
      <w:pPr>
        <w:jc w:val="right"/>
        <w:ind w:right="1840"/>
        <w:spacing w:after="0" w:line="222" w:lineRule="auto"/>
        <w:tabs>
          <w:tab w:leader="none" w:pos="656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color w:val="auto"/>
        </w:rPr>
        <w:t>Governing Law; Jurisdiction; Consent to Service of Process</w:t>
      </w:r>
    </w:p>
    <w:p>
      <w:pPr>
        <w:ind w:left="960"/>
        <w:spacing w:after="0" w:line="223" w:lineRule="auto"/>
        <w:tabs>
          <w:tab w:leader="none" w:pos="244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color w:val="auto"/>
        </w:rPr>
        <w:t>WAIVER OF JURY TRIAL</w:t>
      </w:r>
    </w:p>
    <w:p>
      <w:pPr>
        <w:ind w:left="960"/>
        <w:spacing w:after="0" w:line="207" w:lineRule="auto"/>
        <w:tabs>
          <w:tab w:leader="none" w:pos="2440" w:val="left"/>
        </w:tabs>
        <w:rPr>
          <w:sz w:val="20"/>
          <w:szCs w:val="20"/>
          <w:color w:val="auto"/>
        </w:rPr>
      </w:pPr>
      <w:r>
        <w:rPr>
          <w:rFonts w:ascii="Times New Roman" w:cs="Times New Roman" w:eastAsia="Times New Roman" w:hAnsi="Times New Roman"/>
          <w:sz w:val="20"/>
          <w:szCs w:val="20"/>
          <w:color w:val="auto"/>
        </w:rPr>
        <w:t>Section 10.7.</w:t>
      </w:r>
      <w:r>
        <w:rPr>
          <w:sz w:val="20"/>
          <w:szCs w:val="20"/>
          <w:color w:val="auto"/>
        </w:rPr>
        <w:tab/>
      </w:r>
      <w:r>
        <w:rPr>
          <w:rFonts w:ascii="Times New Roman" w:cs="Times New Roman" w:eastAsia="Times New Roman" w:hAnsi="Times New Roman"/>
          <w:sz w:val="19"/>
          <w:szCs w:val="19"/>
          <w:color w:val="auto"/>
        </w:rPr>
        <w:t>Right of Set-off</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10.8.</w:t>
      </w:r>
      <w:r>
        <w:rPr>
          <w:sz w:val="20"/>
          <w:szCs w:val="20"/>
          <w:color w:val="auto"/>
        </w:rPr>
        <w:tab/>
      </w:r>
      <w:r>
        <w:rPr>
          <w:rFonts w:ascii="Times New Roman" w:cs="Times New Roman" w:eastAsia="Times New Roman" w:hAnsi="Times New Roman"/>
          <w:sz w:val="19"/>
          <w:szCs w:val="19"/>
          <w:color w:val="auto"/>
        </w:rPr>
        <w:t>Counterparts; Integration</w:t>
      </w:r>
    </w:p>
    <w:p>
      <w:pPr>
        <w:ind w:left="960"/>
        <w:spacing w:after="0" w:line="211" w:lineRule="auto"/>
        <w:tabs>
          <w:tab w:leader="none" w:pos="2440" w:val="left"/>
        </w:tabs>
        <w:rPr>
          <w:sz w:val="20"/>
          <w:szCs w:val="20"/>
          <w:color w:val="auto"/>
        </w:rPr>
      </w:pPr>
      <w:r>
        <w:rPr>
          <w:rFonts w:ascii="Times New Roman" w:cs="Times New Roman" w:eastAsia="Times New Roman" w:hAnsi="Times New Roman"/>
          <w:sz w:val="20"/>
          <w:szCs w:val="20"/>
          <w:color w:val="auto"/>
        </w:rPr>
        <w:t>Section 10.9.</w:t>
      </w:r>
      <w:r>
        <w:rPr>
          <w:sz w:val="20"/>
          <w:szCs w:val="20"/>
          <w:color w:val="auto"/>
        </w:rPr>
        <w:tab/>
      </w:r>
      <w:r>
        <w:rPr>
          <w:rFonts w:ascii="Times New Roman" w:cs="Times New Roman" w:eastAsia="Times New Roman" w:hAnsi="Times New Roman"/>
          <w:sz w:val="20"/>
          <w:szCs w:val="20"/>
          <w:color w:val="auto"/>
        </w:rPr>
        <w:t>Survival</w:t>
      </w:r>
    </w:p>
    <w:p>
      <w:pPr>
        <w:ind w:left="960"/>
        <w:spacing w:after="0" w:line="208" w:lineRule="auto"/>
        <w:tabs>
          <w:tab w:leader="none" w:pos="2440" w:val="left"/>
        </w:tabs>
        <w:rPr>
          <w:sz w:val="20"/>
          <w:szCs w:val="20"/>
          <w:color w:val="auto"/>
        </w:rPr>
      </w:pPr>
      <w:r>
        <w:rPr>
          <w:rFonts w:ascii="Times New Roman" w:cs="Times New Roman" w:eastAsia="Times New Roman" w:hAnsi="Times New Roman"/>
          <w:sz w:val="20"/>
          <w:szCs w:val="20"/>
          <w:color w:val="auto"/>
        </w:rPr>
        <w:t>Section 10.10.</w:t>
      </w:r>
      <w:r>
        <w:rPr>
          <w:sz w:val="20"/>
          <w:szCs w:val="20"/>
          <w:color w:val="auto"/>
        </w:rPr>
        <w:tab/>
      </w:r>
      <w:r>
        <w:rPr>
          <w:rFonts w:ascii="Times New Roman" w:cs="Times New Roman" w:eastAsia="Times New Roman" w:hAnsi="Times New Roman"/>
          <w:sz w:val="19"/>
          <w:szCs w:val="19"/>
          <w:color w:val="auto"/>
        </w:rPr>
        <w:t>Severability</w:t>
      </w:r>
    </w:p>
    <w:p>
      <w:pPr>
        <w:ind w:left="960"/>
        <w:spacing w:after="0" w:line="222" w:lineRule="auto"/>
        <w:tabs>
          <w:tab w:leader="none" w:pos="2440" w:val="left"/>
        </w:tabs>
        <w:rPr>
          <w:sz w:val="20"/>
          <w:szCs w:val="20"/>
          <w:color w:val="auto"/>
        </w:rPr>
      </w:pPr>
      <w:r>
        <w:rPr>
          <w:rFonts w:ascii="Times New Roman" w:cs="Times New Roman" w:eastAsia="Times New Roman" w:hAnsi="Times New Roman"/>
          <w:sz w:val="20"/>
          <w:szCs w:val="20"/>
          <w:color w:val="auto"/>
        </w:rPr>
        <w:t>Section 10.11.</w:t>
      </w:r>
      <w:r>
        <w:rPr>
          <w:sz w:val="20"/>
          <w:szCs w:val="20"/>
          <w:color w:val="auto"/>
        </w:rPr>
        <w:tab/>
      </w:r>
      <w:r>
        <w:rPr>
          <w:rFonts w:ascii="Times New Roman" w:cs="Times New Roman" w:eastAsia="Times New Roman" w:hAnsi="Times New Roman"/>
          <w:sz w:val="19"/>
          <w:szCs w:val="19"/>
          <w:color w:val="auto"/>
        </w:rPr>
        <w:t>Confidentiality</w:t>
      </w:r>
    </w:p>
    <w:p>
      <w:pPr>
        <w:spacing w:after="0" w:line="1" w:lineRule="exact"/>
        <w:rPr>
          <w:sz w:val="20"/>
          <w:szCs w:val="20"/>
          <w:color w:val="auto"/>
        </w:rPr>
      </w:pPr>
    </w:p>
    <w:p>
      <w:pPr>
        <w:ind w:left="960"/>
        <w:spacing w:after="0"/>
        <w:tabs>
          <w:tab w:leader="none" w:pos="2440" w:val="left"/>
        </w:tabs>
        <w:rPr>
          <w:sz w:val="20"/>
          <w:szCs w:val="20"/>
          <w:color w:val="auto"/>
        </w:rPr>
      </w:pPr>
      <w:r>
        <w:rPr>
          <w:rFonts w:ascii="Times New Roman" w:cs="Times New Roman" w:eastAsia="Times New Roman" w:hAnsi="Times New Roman"/>
          <w:sz w:val="20"/>
          <w:szCs w:val="20"/>
          <w:color w:val="auto"/>
        </w:rPr>
        <w:t>Section 10.12.</w:t>
      </w:r>
      <w:r>
        <w:rPr>
          <w:sz w:val="20"/>
          <w:szCs w:val="20"/>
          <w:color w:val="auto"/>
        </w:rPr>
        <w:tab/>
      </w:r>
      <w:r>
        <w:rPr>
          <w:rFonts w:ascii="Times New Roman" w:cs="Times New Roman" w:eastAsia="Times New Roman" w:hAnsi="Times New Roman"/>
          <w:sz w:val="19"/>
          <w:szCs w:val="19"/>
          <w:color w:val="auto"/>
        </w:rPr>
        <w:t>Interest Rate Limitation</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EE2724"/>
          <w:strike w:val="1"/>
        </w:rPr>
        <w:t>96</w:t>
      </w:r>
      <w:r>
        <w:rPr>
          <w:rFonts w:ascii="Times New Roman" w:cs="Times New Roman" w:eastAsia="Times New Roman" w:hAnsi="Times New Roman"/>
          <w:sz w:val="19"/>
          <w:szCs w:val="19"/>
          <w:u w:val="single" w:color="auto"/>
          <w:color w:val="3051F2"/>
          <w:strike w:val="1"/>
        </w:rPr>
        <w:t>103</w:t>
      </w:r>
    </w:p>
    <w:p>
      <w:pPr>
        <w:spacing w:after="0" w:line="222" w:lineRule="auto"/>
        <w:rPr>
          <w:sz w:val="20"/>
          <w:szCs w:val="20"/>
          <w:color w:val="auto"/>
        </w:rPr>
      </w:pPr>
      <w:r>
        <w:rPr>
          <w:rFonts w:ascii="Times New Roman" w:cs="Times New Roman" w:eastAsia="Times New Roman" w:hAnsi="Times New Roman"/>
          <w:sz w:val="19"/>
          <w:szCs w:val="19"/>
          <w:color w:val="EE2724"/>
          <w:strike w:val="1"/>
        </w:rPr>
        <w:t>96</w:t>
      </w:r>
      <w:r>
        <w:rPr>
          <w:rFonts w:ascii="Times New Roman" w:cs="Times New Roman" w:eastAsia="Times New Roman" w:hAnsi="Times New Roman"/>
          <w:sz w:val="19"/>
          <w:szCs w:val="19"/>
          <w:u w:val="single" w:color="auto"/>
          <w:color w:val="3051F2"/>
          <w:strike w:val="1"/>
        </w:rPr>
        <w:t>103</w:t>
      </w:r>
    </w:p>
    <w:p>
      <w:pPr>
        <w:jc w:val="right"/>
        <w:spacing w:after="0" w:line="211"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7</w:t>
      </w:r>
    </w:p>
    <w:p>
      <w:pPr>
        <w:jc w:val="right"/>
        <w:spacing w:after="0" w:line="197"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u w:val="single" w:color="auto"/>
          <w:color w:val="3051F2"/>
        </w:rPr>
        <w:t>8</w:t>
      </w:r>
    </w:p>
    <w:p>
      <w:pPr>
        <w:jc w:val="right"/>
        <w:spacing w:after="0" w:line="212" w:lineRule="auto"/>
        <w:rPr>
          <w:sz w:val="20"/>
          <w:szCs w:val="20"/>
          <w:color w:val="auto"/>
        </w:rPr>
      </w:pPr>
      <w:r>
        <w:rPr>
          <w:rFonts w:ascii="Times New Roman" w:cs="Times New Roman" w:eastAsia="Times New Roman" w:hAnsi="Times New Roman"/>
          <w:sz w:val="20"/>
          <w:szCs w:val="20"/>
          <w:u w:val="single" w:color="auto"/>
          <w:color w:val="3051F2"/>
        </w:rPr>
        <w:t>1</w:t>
      </w:r>
      <w:r>
        <w:rPr>
          <w:rFonts w:ascii="Times New Roman" w:cs="Times New Roman" w:eastAsia="Times New Roman" w:hAnsi="Times New Roman"/>
          <w:sz w:val="20"/>
          <w:szCs w:val="20"/>
          <w:color w:val="000000"/>
        </w:rPr>
        <w:t>10</w:t>
      </w:r>
      <w:r>
        <w:rPr>
          <w:rFonts w:ascii="Times New Roman" w:cs="Times New Roman" w:eastAsia="Times New Roman" w:hAnsi="Times New Roman"/>
          <w:sz w:val="20"/>
          <w:szCs w:val="20"/>
          <w:u w:val="single" w:color="auto"/>
          <w:color w:val="EE2724"/>
        </w:rPr>
        <w:t>3</w:t>
      </w:r>
    </w:p>
    <w:p>
      <w:pPr>
        <w:spacing w:after="0" w:line="222"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EE2724"/>
          <w:strike w:val="1"/>
        </w:rPr>
        <w:t>06</w:t>
      </w:r>
      <w:r>
        <w:rPr>
          <w:rFonts w:ascii="Times New Roman" w:cs="Times New Roman" w:eastAsia="Times New Roman" w:hAnsi="Times New Roman"/>
          <w:sz w:val="19"/>
          <w:szCs w:val="19"/>
          <w:u w:val="single" w:color="auto"/>
          <w:color w:val="3051F2"/>
        </w:rPr>
        <w:t>13</w:t>
      </w:r>
    </w:p>
    <w:p>
      <w:pPr>
        <w:spacing w:after="0" w:line="208"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EE2724"/>
          <w:strike w:val="1"/>
        </w:rPr>
        <w:t>07</w:t>
      </w:r>
      <w:r>
        <w:rPr>
          <w:rFonts w:ascii="Times New Roman" w:cs="Times New Roman" w:eastAsia="Times New Roman" w:hAnsi="Times New Roman"/>
          <w:sz w:val="19"/>
          <w:szCs w:val="19"/>
          <w:u w:val="single" w:color="auto"/>
          <w:color w:val="3051F2"/>
        </w:rPr>
        <w:t>14</w:t>
      </w:r>
    </w:p>
    <w:p>
      <w:pPr>
        <w:spacing w:after="0" w:line="222"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EE2724"/>
          <w:strike w:val="1"/>
        </w:rPr>
        <w:t>07</w:t>
      </w:r>
      <w:r>
        <w:rPr>
          <w:rFonts w:ascii="Times New Roman" w:cs="Times New Roman" w:eastAsia="Times New Roman" w:hAnsi="Times New Roman"/>
          <w:sz w:val="19"/>
          <w:szCs w:val="19"/>
          <w:u w:val="single" w:color="auto"/>
          <w:color w:val="3051F2"/>
        </w:rPr>
        <w:t>14</w:t>
      </w:r>
    </w:p>
    <w:p>
      <w:pPr>
        <w:spacing w:after="0" w:line="223"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EE2724"/>
          <w:strike w:val="1"/>
        </w:rPr>
        <w:t>08</w:t>
      </w:r>
      <w:r>
        <w:rPr>
          <w:rFonts w:ascii="Times New Roman" w:cs="Times New Roman" w:eastAsia="Times New Roman" w:hAnsi="Times New Roman"/>
          <w:sz w:val="19"/>
          <w:szCs w:val="19"/>
          <w:u w:val="single" w:color="auto"/>
          <w:color w:val="3051F2"/>
        </w:rPr>
        <w:t>15</w:t>
      </w:r>
    </w:p>
    <w:p>
      <w:pPr>
        <w:spacing w:after="0" w:line="207"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EE2724"/>
          <w:strike w:val="1"/>
        </w:rPr>
        <w:t>08</w:t>
      </w:r>
      <w:r>
        <w:rPr>
          <w:rFonts w:ascii="Times New Roman" w:cs="Times New Roman" w:eastAsia="Times New Roman" w:hAnsi="Times New Roman"/>
          <w:sz w:val="19"/>
          <w:szCs w:val="19"/>
          <w:u w:val="single" w:color="auto"/>
          <w:color w:val="3051F2"/>
        </w:rPr>
        <w:t>15</w:t>
      </w:r>
    </w:p>
    <w:p>
      <w:pPr>
        <w:spacing w:after="0" w:line="223"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EE2724"/>
          <w:strike w:val="1"/>
        </w:rPr>
        <w:t>08</w:t>
      </w:r>
      <w:r>
        <w:rPr>
          <w:rFonts w:ascii="Times New Roman" w:cs="Times New Roman" w:eastAsia="Times New Roman" w:hAnsi="Times New Roman"/>
          <w:sz w:val="19"/>
          <w:szCs w:val="19"/>
          <w:u w:val="single" w:color="auto"/>
          <w:color w:val="3051F2"/>
        </w:rPr>
        <w:t>15</w:t>
      </w:r>
    </w:p>
    <w:p>
      <w:pPr>
        <w:spacing w:after="0" w:line="222"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EE2724"/>
          <w:strike w:val="1"/>
        </w:rPr>
        <w:t>08</w:t>
      </w:r>
      <w:r>
        <w:rPr>
          <w:rFonts w:ascii="Times New Roman" w:cs="Times New Roman" w:eastAsia="Times New Roman" w:hAnsi="Times New Roman"/>
          <w:sz w:val="19"/>
          <w:szCs w:val="19"/>
          <w:u w:val="single" w:color="auto"/>
          <w:color w:val="3051F2"/>
        </w:rPr>
        <w:t>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EE2724"/>
          <w:strike w:val="1"/>
        </w:rPr>
        <w:t>09</w:t>
      </w:r>
      <w:r>
        <w:rPr>
          <w:rFonts w:ascii="Times New Roman" w:cs="Times New Roman" w:eastAsia="Times New Roman" w:hAnsi="Times New Roman"/>
          <w:sz w:val="19"/>
          <w:szCs w:val="19"/>
          <w:u w:val="single" w:color="auto"/>
          <w:color w:val="3051F2"/>
        </w:rPr>
        <w:t>16</w:t>
      </w:r>
    </w:p>
    <w:p>
      <w:pPr>
        <w:sectPr>
          <w:pgSz w:w="11900" w:h="16838" w:orient="portrait"/>
          <w:cols w:equalWidth="0" w:num="2">
            <w:col w:w="9040" w:space="720"/>
            <w:col w:w="500"/>
          </w:cols>
          <w:pgMar w:left="340" w:top="1367" w:right="129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54"/>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10.13.</w:t>
            </w:r>
          </w:p>
        </w:tc>
        <w:tc>
          <w:tcPr>
            <w:tcW w:w="6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Waiver of Effect of Corporate Seal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EE2724"/>
                <w:strike w:val="1"/>
                <w:w w:val="89"/>
              </w:rPr>
              <w:t>09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3051F2"/>
                <w:w w:val="89"/>
              </w:rPr>
              <w:t>17</w:t>
            </w:r>
          </w:p>
        </w:tc>
        <w:tc>
          <w:tcPr>
            <w:tcW w:w="0" w:type="dxa"/>
            <w:vAlign w:val="bottom"/>
          </w:tcPr>
          <w:p>
            <w:pPr>
              <w:spacing w:after="0"/>
              <w:rPr>
                <w:sz w:val="1"/>
                <w:szCs w:val="1"/>
                <w:color w:val="auto"/>
              </w:rPr>
            </w:pPr>
          </w:p>
        </w:tc>
      </w:tr>
      <w:tr>
        <w:trPr>
          <w:trHeight w:val="188"/>
        </w:trPr>
        <w:tc>
          <w:tcPr>
            <w:tcW w:w="1320" w:type="dxa"/>
            <w:vAlign w:val="bottom"/>
            <w:vMerge w:val="continue"/>
          </w:tcPr>
          <w:p>
            <w:pPr>
              <w:spacing w:after="0"/>
              <w:rPr>
                <w:sz w:val="15"/>
                <w:szCs w:val="15"/>
                <w:color w:val="auto"/>
              </w:rPr>
            </w:pPr>
          </w:p>
        </w:tc>
        <w:tc>
          <w:tcPr>
            <w:tcW w:w="68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0" w:type="dxa"/>
            <w:vAlign w:val="bottom"/>
            <w:tcBorders>
              <w:bottom w:val="single" w:sz="8" w:color="3051F2"/>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10.14.</w:t>
            </w:r>
          </w:p>
        </w:tc>
        <w:tc>
          <w:tcPr>
            <w:tcW w:w="6840" w:type="dxa"/>
            <w:vAlign w:val="bottom"/>
          </w:tcPr>
          <w:p>
            <w:pPr>
              <w:ind w:left="180"/>
              <w:spacing w:after="0" w:line="176" w:lineRule="exact"/>
              <w:rPr>
                <w:sz w:val="20"/>
                <w:szCs w:val="20"/>
                <w:color w:val="auto"/>
              </w:rPr>
            </w:pPr>
            <w:r>
              <w:rPr>
                <w:rFonts w:ascii="Times New Roman" w:cs="Times New Roman" w:eastAsia="Times New Roman" w:hAnsi="Times New Roman"/>
                <w:sz w:val="20"/>
                <w:szCs w:val="20"/>
                <w:color w:val="auto"/>
              </w:rPr>
              <w:t>Patriot Act</w:t>
            </w:r>
          </w:p>
        </w:tc>
        <w:tc>
          <w:tcPr>
            <w:tcW w:w="9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EE2724"/>
                <w:strike w:val="1"/>
                <w:w w:val="79"/>
              </w:rPr>
              <w:t>0</w:t>
            </w:r>
          </w:p>
        </w:tc>
        <w:tc>
          <w:tcPr>
            <w:tcW w:w="100" w:type="dxa"/>
            <w:vAlign w:val="bottom"/>
            <w:tcBorders>
              <w:bottom w:val="single" w:sz="8" w:color="3051F2"/>
            </w:tcBorders>
          </w:tcPr>
          <w:p>
            <w:pPr>
              <w:jc w:val="right"/>
              <w:spacing w:after="0" w:line="176" w:lineRule="exact"/>
              <w:rPr>
                <w:sz w:val="20"/>
                <w:szCs w:val="20"/>
                <w:color w:val="auto"/>
              </w:rPr>
            </w:pPr>
            <w:r>
              <w:rPr>
                <w:rFonts w:ascii="Times New Roman" w:cs="Times New Roman" w:eastAsia="Times New Roman" w:hAnsi="Times New Roman"/>
                <w:sz w:val="20"/>
                <w:szCs w:val="20"/>
                <w:color w:val="3051F2"/>
                <w:w w:val="79"/>
              </w:rPr>
              <w:t>7</w:t>
            </w:r>
          </w:p>
        </w:tc>
        <w:tc>
          <w:tcPr>
            <w:tcW w:w="0" w:type="dxa"/>
            <w:vAlign w:val="bottom"/>
          </w:tcPr>
          <w:p>
            <w:pPr>
              <w:spacing w:after="0"/>
              <w:rPr>
                <w:sz w:val="1"/>
                <w:szCs w:val="1"/>
                <w:color w:val="auto"/>
              </w:rPr>
            </w:pPr>
          </w:p>
        </w:tc>
      </w:tr>
      <w:tr>
        <w:trPr>
          <w:trHeight w:val="183"/>
        </w:trPr>
        <w:tc>
          <w:tcPr>
            <w:tcW w:w="132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10.15.</w:t>
            </w:r>
          </w:p>
        </w:tc>
        <w:tc>
          <w:tcPr>
            <w:tcW w:w="6840" w:type="dxa"/>
            <w:vAlign w:val="bottom"/>
          </w:tcPr>
          <w:p>
            <w:pPr>
              <w:ind w:left="180"/>
              <w:spacing w:after="0" w:line="183" w:lineRule="exact"/>
              <w:rPr>
                <w:sz w:val="20"/>
                <w:szCs w:val="20"/>
                <w:color w:val="auto"/>
              </w:rPr>
            </w:pPr>
            <w:r>
              <w:rPr>
                <w:rFonts w:ascii="Times New Roman" w:cs="Times New Roman" w:eastAsia="Times New Roman" w:hAnsi="Times New Roman"/>
                <w:sz w:val="20"/>
                <w:szCs w:val="20"/>
                <w:color w:val="auto"/>
              </w:rPr>
              <w:t>No Advisory or Fiduciary Responsibility</w:t>
            </w:r>
          </w:p>
        </w:tc>
        <w:tc>
          <w:tcPr>
            <w:tcW w:w="9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color w:val="EE2724"/>
                <w:strike w:val="1"/>
                <w:w w:val="79"/>
              </w:rPr>
              <w:t>0</w:t>
            </w:r>
          </w:p>
        </w:tc>
        <w:tc>
          <w:tcPr>
            <w:tcW w:w="100" w:type="dxa"/>
            <w:vAlign w:val="bottom"/>
            <w:tcBorders>
              <w:bottom w:val="single" w:sz="8" w:color="3051F2"/>
            </w:tcBorders>
          </w:tcPr>
          <w:p>
            <w:pPr>
              <w:jc w:val="right"/>
              <w:spacing w:after="0" w:line="183" w:lineRule="exact"/>
              <w:rPr>
                <w:sz w:val="20"/>
                <w:szCs w:val="20"/>
                <w:color w:val="auto"/>
              </w:rPr>
            </w:pPr>
            <w:r>
              <w:rPr>
                <w:rFonts w:ascii="Times New Roman" w:cs="Times New Roman" w:eastAsia="Times New Roman" w:hAnsi="Times New Roman"/>
                <w:sz w:val="20"/>
                <w:szCs w:val="20"/>
                <w:color w:val="3051F2"/>
                <w:w w:val="79"/>
              </w:rPr>
              <w:t>7</w:t>
            </w:r>
          </w:p>
        </w:tc>
        <w:tc>
          <w:tcPr>
            <w:tcW w:w="0" w:type="dxa"/>
            <w:vAlign w:val="bottom"/>
          </w:tcPr>
          <w:p>
            <w:pPr>
              <w:spacing w:after="0"/>
              <w:rPr>
                <w:sz w:val="1"/>
                <w:szCs w:val="1"/>
                <w:color w:val="auto"/>
              </w:rPr>
            </w:pPr>
          </w:p>
        </w:tc>
      </w:tr>
      <w:tr>
        <w:trPr>
          <w:trHeight w:val="176"/>
        </w:trPr>
        <w:tc>
          <w:tcPr>
            <w:tcW w:w="132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Section 10.16.</w:t>
            </w:r>
          </w:p>
        </w:tc>
        <w:tc>
          <w:tcPr>
            <w:tcW w:w="6840" w:type="dxa"/>
            <w:vAlign w:val="bottom"/>
          </w:tcPr>
          <w:p>
            <w:pPr>
              <w:ind w:left="180"/>
              <w:spacing w:after="0" w:line="169" w:lineRule="exact"/>
              <w:rPr>
                <w:sz w:val="20"/>
                <w:szCs w:val="20"/>
                <w:color w:val="auto"/>
              </w:rPr>
            </w:pPr>
            <w:r>
              <w:rPr>
                <w:rFonts w:ascii="Times New Roman" w:cs="Times New Roman" w:eastAsia="Times New Roman" w:hAnsi="Times New Roman"/>
                <w:sz w:val="19"/>
                <w:szCs w:val="19"/>
                <w:color w:val="auto"/>
              </w:rPr>
              <w:t>Location of Closing</w:t>
            </w:r>
          </w:p>
        </w:tc>
        <w:tc>
          <w:tcPr>
            <w:tcW w:w="9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auto"/>
              </w:rPr>
              <w:t>11</w:t>
            </w: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9"/>
                <w:szCs w:val="19"/>
                <w:color w:val="EE2724"/>
                <w:strike w:val="1"/>
                <w:w w:val="83"/>
              </w:rPr>
              <w:t>0</w:t>
            </w:r>
          </w:p>
        </w:tc>
        <w:tc>
          <w:tcPr>
            <w:tcW w:w="100" w:type="dxa"/>
            <w:vAlign w:val="bottom"/>
            <w:tcBorders>
              <w:bottom w:val="single" w:sz="8" w:color="3051F2"/>
            </w:tcBorders>
          </w:tcPr>
          <w:p>
            <w:pPr>
              <w:jc w:val="right"/>
              <w:spacing w:after="0" w:line="169" w:lineRule="exact"/>
              <w:rPr>
                <w:sz w:val="20"/>
                <w:szCs w:val="20"/>
                <w:color w:val="auto"/>
              </w:rPr>
            </w:pPr>
            <w:r>
              <w:rPr>
                <w:rFonts w:ascii="Times New Roman" w:cs="Times New Roman" w:eastAsia="Times New Roman" w:hAnsi="Times New Roman"/>
                <w:sz w:val="19"/>
                <w:szCs w:val="19"/>
                <w:color w:val="3051F2"/>
                <w:w w:val="83"/>
              </w:rPr>
              <w:t>7</w:t>
            </w:r>
          </w:p>
        </w:tc>
        <w:tc>
          <w:tcPr>
            <w:tcW w:w="0" w:type="dxa"/>
            <w:vAlign w:val="bottom"/>
          </w:tcPr>
          <w:p>
            <w:pPr>
              <w:spacing w:after="0"/>
              <w:rPr>
                <w:sz w:val="1"/>
                <w:szCs w:val="1"/>
                <w:color w:val="auto"/>
              </w:rPr>
            </w:pPr>
          </w:p>
        </w:tc>
      </w:tr>
      <w:tr>
        <w:trPr>
          <w:trHeight w:val="175"/>
        </w:trPr>
        <w:tc>
          <w:tcPr>
            <w:tcW w:w="13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10.17.</w:t>
            </w:r>
          </w:p>
        </w:tc>
        <w:tc>
          <w:tcPr>
            <w:tcW w:w="6840" w:type="dxa"/>
            <w:vAlign w:val="bottom"/>
          </w:tcPr>
          <w:p>
            <w:pPr>
              <w:ind w:left="180"/>
              <w:spacing w:after="0" w:line="176" w:lineRule="exact"/>
              <w:rPr>
                <w:sz w:val="20"/>
                <w:szCs w:val="20"/>
                <w:color w:val="auto"/>
              </w:rPr>
            </w:pPr>
            <w:r>
              <w:rPr>
                <w:rFonts w:ascii="Times New Roman" w:cs="Times New Roman" w:eastAsia="Times New Roman" w:hAnsi="Times New Roman"/>
                <w:sz w:val="20"/>
                <w:szCs w:val="20"/>
                <w:color w:val="auto"/>
              </w:rPr>
              <w:t>Independence of Covenants</w:t>
            </w:r>
          </w:p>
        </w:tc>
        <w:tc>
          <w:tcPr>
            <w:tcW w:w="9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EE2724"/>
                <w:strike w:val="1"/>
                <w:w w:val="79"/>
              </w:rPr>
              <w:t>0</w:t>
            </w:r>
          </w:p>
        </w:tc>
        <w:tc>
          <w:tcPr>
            <w:tcW w:w="100" w:type="dxa"/>
            <w:vAlign w:val="bottom"/>
            <w:tcBorders>
              <w:bottom w:val="single" w:sz="8" w:color="3051F2"/>
            </w:tcBorders>
          </w:tcPr>
          <w:p>
            <w:pPr>
              <w:jc w:val="right"/>
              <w:spacing w:after="0" w:line="176" w:lineRule="exact"/>
              <w:rPr>
                <w:sz w:val="20"/>
                <w:szCs w:val="20"/>
                <w:color w:val="auto"/>
              </w:rPr>
            </w:pPr>
            <w:r>
              <w:rPr>
                <w:rFonts w:ascii="Times New Roman" w:cs="Times New Roman" w:eastAsia="Times New Roman" w:hAnsi="Times New Roman"/>
                <w:sz w:val="20"/>
                <w:szCs w:val="20"/>
                <w:color w:val="3051F2"/>
                <w:w w:val="79"/>
              </w:rPr>
              <w:t>7</w:t>
            </w:r>
          </w:p>
        </w:tc>
        <w:tc>
          <w:tcPr>
            <w:tcW w:w="0" w:type="dxa"/>
            <w:vAlign w:val="bottom"/>
          </w:tcPr>
          <w:p>
            <w:pPr>
              <w:spacing w:after="0"/>
              <w:rPr>
                <w:sz w:val="1"/>
                <w:szCs w:val="1"/>
                <w:color w:val="auto"/>
              </w:rPr>
            </w:pPr>
          </w:p>
        </w:tc>
      </w:tr>
      <w:tr>
        <w:trPr>
          <w:trHeight w:val="183"/>
        </w:trPr>
        <w:tc>
          <w:tcPr>
            <w:tcW w:w="132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Section 10.18.</w:t>
            </w:r>
          </w:p>
        </w:tc>
        <w:tc>
          <w:tcPr>
            <w:tcW w:w="6840" w:type="dxa"/>
            <w:vAlign w:val="bottom"/>
          </w:tcPr>
          <w:p>
            <w:pPr>
              <w:ind w:left="180"/>
              <w:spacing w:after="0" w:line="183" w:lineRule="exact"/>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9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color w:val="EE2724"/>
                <w:strike w:val="1"/>
                <w:w w:val="79"/>
              </w:rPr>
              <w:t>0</w:t>
            </w:r>
          </w:p>
        </w:tc>
        <w:tc>
          <w:tcPr>
            <w:tcW w:w="100" w:type="dxa"/>
            <w:vAlign w:val="bottom"/>
            <w:tcBorders>
              <w:bottom w:val="single" w:sz="8" w:color="3051F2"/>
            </w:tcBorders>
          </w:tcPr>
          <w:p>
            <w:pPr>
              <w:jc w:val="right"/>
              <w:spacing w:after="0" w:line="183" w:lineRule="exact"/>
              <w:rPr>
                <w:sz w:val="20"/>
                <w:szCs w:val="20"/>
                <w:color w:val="auto"/>
              </w:rPr>
            </w:pPr>
            <w:r>
              <w:rPr>
                <w:rFonts w:ascii="Times New Roman" w:cs="Times New Roman" w:eastAsia="Times New Roman" w:hAnsi="Times New Roman"/>
                <w:sz w:val="20"/>
                <w:szCs w:val="20"/>
                <w:color w:val="3051F2"/>
                <w:w w:val="79"/>
              </w:rPr>
              <w:t>8</w:t>
            </w:r>
          </w:p>
        </w:tc>
        <w:tc>
          <w:tcPr>
            <w:tcW w:w="0" w:type="dxa"/>
            <w:vAlign w:val="bottom"/>
          </w:tcPr>
          <w:p>
            <w:pPr>
              <w:spacing w:after="0"/>
              <w:rPr>
                <w:sz w:val="1"/>
                <w:szCs w:val="1"/>
                <w:color w:val="auto"/>
              </w:rPr>
            </w:pPr>
          </w:p>
        </w:tc>
      </w:tr>
      <w:tr>
        <w:trPr>
          <w:trHeight w:val="71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10.19.</w:t>
            </w:r>
          </w:p>
        </w:tc>
        <w:tc>
          <w:tcPr>
            <w:tcW w:w="6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EE2724"/>
                <w:strike w:val="1"/>
                <w:w w:val="79"/>
              </w:rPr>
              <w:t>1</w:t>
            </w:r>
          </w:p>
        </w:tc>
        <w:tc>
          <w:tcPr>
            <w:tcW w:w="10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20"/>
                <w:szCs w:val="20"/>
                <w:color w:val="3051F2"/>
                <w:w w:val="79"/>
              </w:rPr>
              <w:t>8</w:t>
            </w:r>
          </w:p>
        </w:tc>
        <w:tc>
          <w:tcPr>
            <w:tcW w:w="0" w:type="dxa"/>
            <w:vAlign w:val="bottom"/>
          </w:tcPr>
          <w:p>
            <w:pPr>
              <w:spacing w:after="0"/>
              <w:rPr>
                <w:sz w:val="1"/>
                <w:szCs w:val="1"/>
                <w:color w:val="auto"/>
              </w:rPr>
            </w:pPr>
          </w:p>
        </w:tc>
      </w:tr>
      <w:tr>
        <w:trPr>
          <w:trHeight w:val="176"/>
        </w:trPr>
        <w:tc>
          <w:tcPr>
            <w:tcW w:w="13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Section 10.20.</w:t>
            </w:r>
          </w:p>
        </w:tc>
        <w:tc>
          <w:tcPr>
            <w:tcW w:w="6840" w:type="dxa"/>
            <w:vAlign w:val="bottom"/>
          </w:tcPr>
          <w:p>
            <w:pPr>
              <w:ind w:left="180"/>
              <w:spacing w:after="0" w:line="176" w:lineRule="exact"/>
              <w:rPr>
                <w:sz w:val="20"/>
                <w:szCs w:val="20"/>
                <w:color w:val="auto"/>
              </w:rPr>
            </w:pPr>
            <w:r>
              <w:rPr>
                <w:rFonts w:ascii="Times New Roman" w:cs="Times New Roman" w:eastAsia="Times New Roman" w:hAnsi="Times New Roman"/>
                <w:sz w:val="20"/>
                <w:szCs w:val="20"/>
                <w:color w:val="auto"/>
              </w:rPr>
              <w:t>Electronic Signatures</w:t>
            </w:r>
          </w:p>
        </w:tc>
        <w:tc>
          <w:tcPr>
            <w:tcW w:w="9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EE2724"/>
                <w:strike w:val="1"/>
                <w:w w:val="79"/>
              </w:rPr>
              <w:t>2</w:t>
            </w:r>
          </w:p>
        </w:tc>
        <w:tc>
          <w:tcPr>
            <w:tcW w:w="100" w:type="dxa"/>
            <w:vAlign w:val="bottom"/>
            <w:tcBorders>
              <w:bottom w:val="single" w:sz="8" w:color="3051F2"/>
            </w:tcBorders>
          </w:tcPr>
          <w:p>
            <w:pPr>
              <w:jc w:val="right"/>
              <w:spacing w:after="0" w:line="176" w:lineRule="exact"/>
              <w:rPr>
                <w:sz w:val="20"/>
                <w:szCs w:val="20"/>
                <w:color w:val="auto"/>
              </w:rPr>
            </w:pPr>
            <w:r>
              <w:rPr>
                <w:rFonts w:ascii="Times New Roman" w:cs="Times New Roman" w:eastAsia="Times New Roman" w:hAnsi="Times New Roman"/>
                <w:sz w:val="20"/>
                <w:szCs w:val="20"/>
                <w:color w:val="3051F2"/>
                <w:w w:val="79"/>
              </w:rPr>
              <w:t>9</w:t>
            </w:r>
          </w:p>
        </w:tc>
        <w:tc>
          <w:tcPr>
            <w:tcW w:w="0" w:type="dxa"/>
            <w:vAlign w:val="bottom"/>
          </w:tcPr>
          <w:p>
            <w:pPr>
              <w:spacing w:after="0"/>
              <w:rPr>
                <w:sz w:val="1"/>
                <w:szCs w:val="1"/>
                <w:color w:val="auto"/>
              </w:rPr>
            </w:pPr>
          </w:p>
        </w:tc>
      </w:tr>
    </w:tbl>
    <w:p>
      <w:pPr>
        <w:sectPr>
          <w:pgSz w:w="11900" w:h="16838" w:orient="portrait"/>
          <w:cols w:equalWidth="0" w:num="1">
            <w:col w:w="9300"/>
          </w:cols>
          <w:pgMar w:left="1300" w:top="1354" w:right="129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8"/>
              </w:rPr>
              <w:t>Schedules</w:t>
            </w:r>
          </w:p>
        </w:tc>
        <w:tc>
          <w:tcPr>
            <w:tcW w:w="164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I</w:t>
            </w:r>
          </w:p>
        </w:tc>
        <w:tc>
          <w:tcPr>
            <w:tcW w:w="4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 Commitments</w:t>
            </w:r>
          </w:p>
        </w:tc>
      </w:tr>
      <w:tr>
        <w:trPr>
          <w:trHeight w:val="193"/>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Schedule II</w:t>
            </w:r>
          </w:p>
        </w:tc>
        <w:tc>
          <w:tcPr>
            <w:tcW w:w="4020" w:type="dxa"/>
            <w:vAlign w:val="bottom"/>
            <w:gridSpan w:val="3"/>
          </w:tcPr>
          <w:p>
            <w:pPr>
              <w:ind w:left="280"/>
              <w:spacing w:after="0" w:line="193" w:lineRule="exact"/>
              <w:rPr>
                <w:sz w:val="20"/>
                <w:szCs w:val="20"/>
                <w:color w:val="auto"/>
              </w:rPr>
            </w:pPr>
            <w:r>
              <w:rPr>
                <w:rFonts w:ascii="Times New Roman" w:cs="Times New Roman" w:eastAsia="Times New Roman" w:hAnsi="Times New Roman"/>
                <w:sz w:val="20"/>
                <w:szCs w:val="20"/>
                <w:color w:val="auto"/>
              </w:rPr>
              <w:t>— Permitted Holders</w:t>
            </w:r>
          </w:p>
        </w:tc>
      </w:t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color w:val="auto"/>
              </w:rPr>
              <w:t>Schedule 4.5</w:t>
            </w:r>
          </w:p>
        </w:tc>
        <w:tc>
          <w:tcPr>
            <w:tcW w:w="4020" w:type="dxa"/>
            <w:vAlign w:val="bottom"/>
            <w:gridSpan w:val="3"/>
          </w:tcPr>
          <w:p>
            <w:pPr>
              <w:ind w:left="280"/>
              <w:spacing w:after="0" w:line="203" w:lineRule="exact"/>
              <w:rPr>
                <w:sz w:val="20"/>
                <w:szCs w:val="20"/>
                <w:color w:val="auto"/>
              </w:rPr>
            </w:pPr>
            <w:r>
              <w:rPr>
                <w:rFonts w:ascii="Times New Roman" w:cs="Times New Roman" w:eastAsia="Times New Roman" w:hAnsi="Times New Roman"/>
                <w:sz w:val="20"/>
                <w:szCs w:val="20"/>
                <w:color w:val="auto"/>
              </w:rPr>
              <w:t>— Environmental Matters</w:t>
            </w: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20"/>
                <w:szCs w:val="20"/>
                <w:color w:val="auto"/>
              </w:rPr>
              <w:t>Schedule 4.14</w:t>
            </w:r>
          </w:p>
        </w:tc>
        <w:tc>
          <w:tcPr>
            <w:tcW w:w="402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20"/>
                <w:szCs w:val="20"/>
                <w:color w:val="auto"/>
              </w:rPr>
              <w:t>— Subsidiaries</w:t>
            </w:r>
          </w:p>
        </w:tc>
      </w:tr>
      <w:tr>
        <w:trPr>
          <w:trHeight w:val="193"/>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Schedule 4.16</w:t>
            </w:r>
          </w:p>
        </w:tc>
        <w:tc>
          <w:tcPr>
            <w:tcW w:w="4020" w:type="dxa"/>
            <w:vAlign w:val="bottom"/>
            <w:gridSpan w:val="3"/>
          </w:tcPr>
          <w:p>
            <w:pPr>
              <w:ind w:left="280"/>
              <w:spacing w:after="0" w:line="193" w:lineRule="exact"/>
              <w:rPr>
                <w:sz w:val="20"/>
                <w:szCs w:val="20"/>
                <w:color w:val="auto"/>
              </w:rPr>
            </w:pPr>
            <w:r>
              <w:rPr>
                <w:rFonts w:ascii="Times New Roman" w:cs="Times New Roman" w:eastAsia="Times New Roman" w:hAnsi="Times New Roman"/>
                <w:sz w:val="20"/>
                <w:szCs w:val="20"/>
                <w:color w:val="auto"/>
              </w:rPr>
              <w:t>— Deposit and Disbursement Accounts</w:t>
            </w:r>
          </w:p>
        </w:tc>
      </w:t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color w:val="auto"/>
              </w:rPr>
              <w:t>Schedule 4.18</w:t>
            </w:r>
          </w:p>
        </w:tc>
        <w:tc>
          <w:tcPr>
            <w:tcW w:w="4020" w:type="dxa"/>
            <w:vAlign w:val="bottom"/>
            <w:gridSpan w:val="3"/>
          </w:tcPr>
          <w:p>
            <w:pPr>
              <w:ind w:left="280"/>
              <w:spacing w:after="0" w:line="203" w:lineRule="exact"/>
              <w:rPr>
                <w:sz w:val="20"/>
                <w:szCs w:val="20"/>
                <w:color w:val="auto"/>
              </w:rPr>
            </w:pPr>
            <w:r>
              <w:rPr>
                <w:rFonts w:ascii="Times New Roman" w:cs="Times New Roman" w:eastAsia="Times New Roman" w:hAnsi="Times New Roman"/>
                <w:sz w:val="20"/>
                <w:szCs w:val="20"/>
                <w:color w:val="auto"/>
              </w:rPr>
              <w:t>— Material Agreements</w:t>
            </w: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20"/>
                <w:szCs w:val="20"/>
                <w:color w:val="auto"/>
              </w:rPr>
              <w:t>Schedule 7.1(b)</w:t>
            </w:r>
          </w:p>
        </w:tc>
        <w:tc>
          <w:tcPr>
            <w:tcW w:w="402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20"/>
                <w:szCs w:val="20"/>
                <w:color w:val="auto"/>
              </w:rPr>
              <w:t>— Existing Indebtedness</w:t>
            </w:r>
          </w:p>
        </w:tc>
      </w:t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color w:val="3051F2"/>
              </w:rPr>
              <w:t>Schedule 7.1(i)</w:t>
            </w:r>
          </w:p>
        </w:tc>
        <w:tc>
          <w:tcPr>
            <w:tcW w:w="4020" w:type="dxa"/>
            <w:vAlign w:val="bottom"/>
            <w:gridSpan w:val="3"/>
          </w:tcPr>
          <w:p>
            <w:pPr>
              <w:ind w:left="280"/>
              <w:spacing w:after="0" w:line="203" w:lineRule="exact"/>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3051F2"/>
              </w:rPr>
              <w:t>Certain Agreements</w:t>
            </w: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Borders>
              <w:top w:val="single" w:sz="8" w:color="3051F2"/>
            </w:tcBorders>
            <w:gridSpan w:val="2"/>
          </w:tcPr>
          <w:p>
            <w:pPr>
              <w:spacing w:after="0" w:line="173" w:lineRule="exact"/>
              <w:rPr>
                <w:sz w:val="20"/>
                <w:szCs w:val="20"/>
                <w:color w:val="auto"/>
              </w:rPr>
            </w:pPr>
            <w:r>
              <w:rPr>
                <w:rFonts w:ascii="Times New Roman" w:cs="Times New Roman" w:eastAsia="Times New Roman" w:hAnsi="Times New Roman"/>
                <w:sz w:val="20"/>
                <w:szCs w:val="20"/>
                <w:color w:val="auto"/>
                <w:w w:val="93"/>
              </w:rPr>
              <w:t>Schedule 7.2(c)</w:t>
            </w:r>
          </w:p>
        </w:tc>
        <w:tc>
          <w:tcPr>
            <w:tcW w:w="580" w:type="dxa"/>
            <w:vAlign w:val="bottom"/>
          </w:tcPr>
          <w:p>
            <w:pPr>
              <w:spacing w:after="0"/>
              <w:rPr>
                <w:sz w:val="15"/>
                <w:szCs w:val="15"/>
                <w:color w:val="auto"/>
              </w:rPr>
            </w:pPr>
          </w:p>
        </w:tc>
        <w:tc>
          <w:tcPr>
            <w:tcW w:w="520" w:type="dxa"/>
            <w:vAlign w:val="bottom"/>
          </w:tcPr>
          <w:p>
            <w:pPr>
              <w:ind w:left="280"/>
              <w:spacing w:after="0" w:line="173" w:lineRule="exact"/>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top w:val="single" w:sz="8" w:color="3051F2"/>
            </w:tcBorders>
          </w:tcPr>
          <w:p>
            <w:pPr>
              <w:spacing w:after="0" w:line="173" w:lineRule="exact"/>
              <w:rPr>
                <w:sz w:val="20"/>
                <w:szCs w:val="20"/>
                <w:color w:val="auto"/>
              </w:rPr>
            </w:pPr>
            <w:r>
              <w:rPr>
                <w:rFonts w:ascii="Times New Roman" w:cs="Times New Roman" w:eastAsia="Times New Roman" w:hAnsi="Times New Roman"/>
                <w:sz w:val="20"/>
                <w:szCs w:val="20"/>
                <w:color w:val="auto"/>
              </w:rPr>
              <w:t>Existing Liens</w:t>
            </w:r>
          </w:p>
        </w:tc>
        <w:tc>
          <w:tcPr>
            <w:tcW w:w="19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20"/>
                <w:szCs w:val="20"/>
                <w:color w:val="auto"/>
              </w:rPr>
              <w:t>Schedule 7.4(a)</w:t>
            </w:r>
          </w:p>
        </w:tc>
        <w:tc>
          <w:tcPr>
            <w:tcW w:w="402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20"/>
                <w:szCs w:val="20"/>
                <w:color w:val="auto"/>
              </w:rPr>
              <w:t>— Existing Investments</w:t>
            </w:r>
          </w:p>
        </w:tc>
      </w:tr>
      <w:tr>
        <w:trPr>
          <w:trHeight w:val="258"/>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7.6(l)</w:t>
            </w:r>
          </w:p>
        </w:tc>
        <w:tc>
          <w:tcPr>
            <w:tcW w:w="4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 Minority Investments</w:t>
            </w:r>
          </w:p>
        </w:tc>
      </w:tr>
      <w:tr>
        <w:trPr>
          <w:trHeight w:val="498"/>
        </w:trPr>
        <w:tc>
          <w:tcPr>
            <w:tcW w:w="24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Exhibits</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79"/>
        </w:trPr>
        <w:tc>
          <w:tcPr>
            <w:tcW w:w="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A</w:t>
            </w:r>
          </w:p>
        </w:tc>
        <w:tc>
          <w:tcPr>
            <w:tcW w:w="4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 Form of Assignment and Acceptance</w:t>
            </w:r>
          </w:p>
        </w:tc>
      </w:tr>
      <w:tr>
        <w:trPr>
          <w:trHeight w:val="193"/>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Exhibit B</w:t>
            </w:r>
          </w:p>
        </w:tc>
        <w:tc>
          <w:tcPr>
            <w:tcW w:w="4020" w:type="dxa"/>
            <w:vAlign w:val="bottom"/>
            <w:gridSpan w:val="3"/>
          </w:tcPr>
          <w:p>
            <w:pPr>
              <w:ind w:left="280"/>
              <w:spacing w:after="0" w:line="193" w:lineRule="exact"/>
              <w:rPr>
                <w:sz w:val="20"/>
                <w:szCs w:val="20"/>
                <w:color w:val="auto"/>
              </w:rPr>
            </w:pPr>
            <w:r>
              <w:rPr>
                <w:rFonts w:ascii="Times New Roman" w:cs="Times New Roman" w:eastAsia="Times New Roman" w:hAnsi="Times New Roman"/>
                <w:sz w:val="20"/>
                <w:szCs w:val="20"/>
                <w:color w:val="auto"/>
              </w:rPr>
              <w:t>— Form of Guaranty and Security Agreement</w:t>
            </w:r>
          </w:p>
        </w:tc>
      </w:t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color w:val="auto"/>
              </w:rPr>
              <w:t>Exhibit 2.6</w:t>
            </w:r>
          </w:p>
        </w:tc>
        <w:tc>
          <w:tcPr>
            <w:tcW w:w="4020" w:type="dxa"/>
            <w:vAlign w:val="bottom"/>
            <w:gridSpan w:val="3"/>
          </w:tcPr>
          <w:p>
            <w:pPr>
              <w:ind w:left="280"/>
              <w:spacing w:after="0" w:line="203" w:lineRule="exact"/>
              <w:rPr>
                <w:sz w:val="20"/>
                <w:szCs w:val="20"/>
                <w:color w:val="auto"/>
              </w:rPr>
            </w:pPr>
            <w:r>
              <w:rPr>
                <w:rFonts w:ascii="Times New Roman" w:cs="Times New Roman" w:eastAsia="Times New Roman" w:hAnsi="Times New Roman"/>
                <w:sz w:val="20"/>
                <w:szCs w:val="20"/>
                <w:color w:val="auto"/>
              </w:rPr>
              <w:t>— Form of Notice of Borrowing</w:t>
            </w: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20"/>
                <w:szCs w:val="20"/>
                <w:color w:val="auto"/>
              </w:rPr>
              <w:t>Exhibit 2.14</w:t>
            </w:r>
          </w:p>
        </w:tc>
        <w:tc>
          <w:tcPr>
            <w:tcW w:w="402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20"/>
                <w:szCs w:val="20"/>
                <w:color w:val="auto"/>
              </w:rPr>
              <w:t>— Form of Notice of Conversion</w:t>
            </w:r>
          </w:p>
        </w:tc>
      </w:tr>
      <w:tr>
        <w:trPr>
          <w:trHeight w:val="193"/>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Exhibits 2.21A - D</w:t>
            </w:r>
          </w:p>
        </w:tc>
        <w:tc>
          <w:tcPr>
            <w:tcW w:w="4020" w:type="dxa"/>
            <w:vAlign w:val="bottom"/>
            <w:gridSpan w:val="3"/>
          </w:tcPr>
          <w:p>
            <w:pPr>
              <w:ind w:left="280"/>
              <w:spacing w:after="0" w:line="193" w:lineRule="exact"/>
              <w:rPr>
                <w:sz w:val="20"/>
                <w:szCs w:val="20"/>
                <w:color w:val="auto"/>
              </w:rPr>
            </w:pPr>
            <w:r>
              <w:rPr>
                <w:rFonts w:ascii="Times New Roman" w:cs="Times New Roman" w:eastAsia="Times New Roman" w:hAnsi="Times New Roman"/>
                <w:sz w:val="20"/>
                <w:szCs w:val="20"/>
                <w:color w:val="auto"/>
                <w:w w:val="99"/>
              </w:rPr>
              <w:t>— Forms of U.S. Tax Compliance Certificates</w:t>
            </w:r>
          </w:p>
        </w:tc>
      </w:t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color w:val="auto"/>
              </w:rPr>
              <w:t>Exhibit 3.1(b)(iii)</w:t>
            </w:r>
          </w:p>
        </w:tc>
        <w:tc>
          <w:tcPr>
            <w:tcW w:w="4020" w:type="dxa"/>
            <w:vAlign w:val="bottom"/>
            <w:gridSpan w:val="3"/>
          </w:tcPr>
          <w:p>
            <w:pPr>
              <w:ind w:left="280"/>
              <w:spacing w:after="0" w:line="203" w:lineRule="exact"/>
              <w:rPr>
                <w:sz w:val="20"/>
                <w:szCs w:val="20"/>
                <w:color w:val="auto"/>
              </w:rPr>
            </w:pPr>
            <w:r>
              <w:rPr>
                <w:rFonts w:ascii="Times New Roman" w:cs="Times New Roman" w:eastAsia="Times New Roman" w:hAnsi="Times New Roman"/>
                <w:sz w:val="20"/>
                <w:szCs w:val="20"/>
                <w:color w:val="auto"/>
              </w:rPr>
              <w:t>— Form of Secretary’s Certificate</w:t>
            </w: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20"/>
                <w:szCs w:val="20"/>
                <w:color w:val="auto"/>
              </w:rPr>
              <w:t>Exhibit 3.1(b)(vi)</w:t>
            </w:r>
          </w:p>
        </w:tc>
        <w:tc>
          <w:tcPr>
            <w:tcW w:w="402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20"/>
                <w:szCs w:val="20"/>
                <w:color w:val="auto"/>
              </w:rPr>
              <w:t>— Form of Officer’s Certificate</w:t>
            </w:r>
          </w:p>
        </w:tc>
      </w:tr>
      <w:tr>
        <w:trPr>
          <w:trHeight w:val="193"/>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Exhibit 5.1(d)</w:t>
            </w:r>
          </w:p>
        </w:tc>
        <w:tc>
          <w:tcPr>
            <w:tcW w:w="4020" w:type="dxa"/>
            <w:vAlign w:val="bottom"/>
            <w:gridSpan w:val="3"/>
          </w:tcPr>
          <w:p>
            <w:pPr>
              <w:ind w:left="280"/>
              <w:spacing w:after="0" w:line="193" w:lineRule="exact"/>
              <w:rPr>
                <w:sz w:val="20"/>
                <w:szCs w:val="20"/>
                <w:color w:val="auto"/>
              </w:rPr>
            </w:pPr>
            <w:r>
              <w:rPr>
                <w:rFonts w:ascii="Times New Roman" w:cs="Times New Roman" w:eastAsia="Times New Roman" w:hAnsi="Times New Roman"/>
                <w:sz w:val="20"/>
                <w:szCs w:val="20"/>
                <w:color w:val="auto"/>
                <w:w w:val="98"/>
              </w:rPr>
              <w:t>— Form of Monthly Certified Liquidity Report</w:t>
            </w: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20"/>
                <w:szCs w:val="20"/>
                <w:color w:val="auto"/>
              </w:rPr>
              <w:t>Exhibit 5.1(e)</w:t>
            </w:r>
          </w:p>
        </w:tc>
        <w:tc>
          <w:tcPr>
            <w:tcW w:w="402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20"/>
                <w:szCs w:val="20"/>
                <w:color w:val="auto"/>
              </w:rPr>
              <w:t>— Form of Compliance Certificate</w:t>
            </w:r>
          </w:p>
        </w:tc>
      </w:tr>
      <w:tr>
        <w:trPr>
          <w:trHeight w:val="258"/>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20"/>
                <w:szCs w:val="20"/>
                <w:color w:val="EE2724"/>
                <w:strike w:val="1"/>
              </w:rPr>
              <w:t>Exhibit 5.18</w:t>
            </w:r>
          </w:p>
        </w:tc>
        <w:tc>
          <w:tcPr>
            <w:tcW w:w="580" w:type="dxa"/>
            <w:vAlign w:val="bottom"/>
          </w:tcPr>
          <w:p>
            <w:pPr>
              <w:spacing w:after="0"/>
              <w:rPr>
                <w:sz w:val="22"/>
                <w:szCs w:val="22"/>
                <w:color w:val="auto"/>
              </w:rPr>
            </w:pPr>
          </w:p>
        </w:tc>
        <w:tc>
          <w:tcPr>
            <w:tcW w:w="4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EE2724"/>
                <w:strike w:val="1"/>
              </w:rPr>
              <w:t>— Form of Tranche 2 Warrant</w:t>
            </w:r>
          </w:p>
        </w:tc>
      </w:tr>
    </w:tbl>
    <w:p>
      <w:pPr>
        <w:sectPr>
          <w:pgSz w:w="11900" w:h="16838" w:orient="portrait"/>
          <w:cols w:equalWidth="0" w:num="1">
            <w:col w:w="9079"/>
          </w:cols>
          <w:pgMar w:left="1380" w:top="1381" w:right="1440" w:bottom="1440" w:gutter="0" w:footer="0" w:header="0"/>
        </w:sectPr>
      </w:pPr>
    </w:p>
    <w:bookmarkStart w:id="106" w:name="page107"/>
    <w:bookmarkEnd w:id="106"/>
    <w:p>
      <w:pPr>
        <w:ind w:left="3280"/>
        <w:spacing w:after="0"/>
        <w:rPr>
          <w:sz w:val="20"/>
          <w:szCs w:val="20"/>
          <w:color w:val="auto"/>
        </w:rPr>
      </w:pPr>
      <w:r>
        <w:rPr>
          <w:rFonts w:ascii="Times New Roman" w:cs="Times New Roman" w:eastAsia="Times New Roman" w:hAnsi="Times New Roman"/>
          <w:sz w:val="20"/>
          <w:szCs w:val="20"/>
          <w:b w:val="1"/>
          <w:bCs w:val="1"/>
          <w:u w:val="single" w:color="auto"/>
          <w:color w:val="auto"/>
        </w:rPr>
        <w:t>TERM LOAN AGREEMENT</w:t>
      </w:r>
    </w:p>
    <w:p>
      <w:pPr>
        <w:spacing w:after="0" w:line="297" w:lineRule="exact"/>
        <w:rPr>
          <w:sz w:val="20"/>
          <w:szCs w:val="20"/>
          <w:color w:val="auto"/>
        </w:rPr>
      </w:pPr>
    </w:p>
    <w:p>
      <w:pPr>
        <w:ind w:left="20"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THIS TERM LOAN AGREEMENT </w:t>
      </w:r>
      <w:r>
        <w:rPr>
          <w:rFonts w:ascii="Times New Roman" w:cs="Times New Roman" w:eastAsia="Times New Roman" w:hAnsi="Times New Roman"/>
          <w:sz w:val="20"/>
          <w:szCs w:val="20"/>
          <w:color w:val="auto"/>
        </w:rPr>
        <w:t>(as amended, restated, amended and restated, supplemented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made and entered into as of January 26, 2022, by and among </w:t>
      </w:r>
      <w:r>
        <w:rPr>
          <w:rFonts w:ascii="Times New Roman" w:cs="Times New Roman" w:eastAsia="Times New Roman" w:hAnsi="Times New Roman"/>
          <w:sz w:val="20"/>
          <w:szCs w:val="20"/>
          <w:b w:val="1"/>
          <w:bCs w:val="1"/>
          <w:color w:val="auto"/>
        </w:rPr>
        <w:t>CARET</w:t>
      </w:r>
    </w:p>
    <w:p>
      <w:pPr>
        <w:ind w:left="20"/>
        <w:spacing w:after="0" w:line="224" w:lineRule="auto"/>
        <w:rPr>
          <w:sz w:val="20"/>
          <w:szCs w:val="20"/>
          <w:color w:val="auto"/>
        </w:rPr>
      </w:pPr>
      <w:r>
        <w:rPr>
          <w:rFonts w:ascii="Times New Roman" w:cs="Times New Roman" w:eastAsia="Times New Roman" w:hAnsi="Times New Roman"/>
          <w:sz w:val="19"/>
          <w:szCs w:val="19"/>
          <w:b w:val="1"/>
          <w:bCs w:val="1"/>
          <w:color w:val="auto"/>
        </w:rPr>
        <w:t>HOLDINGS, INC.</w:t>
      </w:r>
      <w:r>
        <w:rPr>
          <w:rFonts w:ascii="Times New Roman" w:cs="Times New Roman" w:eastAsia="Times New Roman" w:hAnsi="Times New Roman"/>
          <w:sz w:val="19"/>
          <w:szCs w:val="19"/>
          <w:color w:val="auto"/>
        </w:rPr>
        <w:t>,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ROOT, INC.</w:t>
      </w:r>
      <w:r>
        <w:rPr>
          <w:rFonts w:ascii="Times New Roman" w:cs="Times New Roman" w:eastAsia="Times New Roman" w:hAnsi="Times New Roman"/>
          <w:sz w:val="19"/>
          <w:szCs w:val="19"/>
          <w:color w:val="auto"/>
        </w:rPr>
        <w:t>, a Delaware corporation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the other</w:t>
      </w:r>
    </w:p>
    <w:p>
      <w:pPr>
        <w:ind w:left="20"/>
        <w:spacing w:after="0" w:line="204" w:lineRule="auto"/>
        <w:rPr>
          <w:sz w:val="20"/>
          <w:szCs w:val="20"/>
          <w:color w:val="auto"/>
        </w:rPr>
      </w:pPr>
      <w:r>
        <w:rPr>
          <w:rFonts w:ascii="Times New Roman" w:cs="Times New Roman" w:eastAsia="Times New Roman" w:hAnsi="Times New Roman"/>
          <w:sz w:val="20"/>
          <w:szCs w:val="20"/>
          <w:color w:val="auto"/>
        </w:rPr>
        <w:t>Loan Parties from time to time party hereto, the several banks and other financial institutions and lenders from time to time party 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 and </w:t>
      </w:r>
      <w:r>
        <w:rPr>
          <w:rFonts w:ascii="Times New Roman" w:cs="Times New Roman" w:eastAsia="Times New Roman" w:hAnsi="Times New Roman"/>
          <w:sz w:val="20"/>
          <w:szCs w:val="20"/>
          <w:b w:val="1"/>
          <w:bCs w:val="1"/>
          <w:color w:val="auto"/>
        </w:rPr>
        <w:t>ACQUIOM AGENCY SERVICES LLC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Acquiom</w:t>
      </w:r>
      <w:r>
        <w:rPr>
          <w:rFonts w:ascii="Times New Roman" w:cs="Times New Roman" w:eastAsia="Times New Roman" w:hAnsi="Times New Roman"/>
          <w:sz w:val="20"/>
          <w:szCs w:val="20"/>
          <w:color w:val="auto"/>
        </w:rPr>
        <w:t>”), as the Administrative Agent for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Lenders.</w:t>
      </w:r>
    </w:p>
    <w:p>
      <w:pPr>
        <w:spacing w:after="0" w:line="2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ind w:lef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and the Lenders have agreed to make to the Borrower, term loans,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terms and conditions set forth in this Agreement;</w:t>
      </w:r>
    </w:p>
    <w:p>
      <w:pPr>
        <w:spacing w:after="0" w:line="152" w:lineRule="exact"/>
        <w:rPr>
          <w:sz w:val="20"/>
          <w:szCs w:val="20"/>
          <w:color w:val="auto"/>
        </w:rPr>
      </w:pPr>
    </w:p>
    <w:p>
      <w:pPr>
        <w:ind w:left="2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Loan Party will derive substantial direct and/or indirect benefits from the entry into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are willing to guaranty all of the Obligations (as defined below);</w:t>
      </w:r>
    </w:p>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each of the Borrower and the other Loan Parties desire to secure all of the Obligations and the guaranty</w:t>
      </w:r>
    </w:p>
    <w:p>
      <w:pPr>
        <w:spacing w:after="0" w:line="10" w:lineRule="exact"/>
        <w:rPr>
          <w:sz w:val="20"/>
          <w:szCs w:val="20"/>
          <w:color w:val="auto"/>
        </w:rPr>
      </w:pPr>
    </w:p>
    <w:p>
      <w:pPr>
        <w:ind w:left="20"/>
        <w:spacing w:after="0" w:line="221" w:lineRule="auto"/>
        <w:rPr>
          <w:sz w:val="20"/>
          <w:szCs w:val="20"/>
          <w:color w:val="auto"/>
        </w:rPr>
      </w:pPr>
      <w:r>
        <w:rPr>
          <w:rFonts w:ascii="Times New Roman" w:cs="Times New Roman" w:eastAsia="Times New Roman" w:hAnsi="Times New Roman"/>
          <w:sz w:val="20"/>
          <w:szCs w:val="20"/>
          <w:color w:val="auto"/>
        </w:rPr>
        <w:t>by each Loan Party (other than the Borrower) of the Obligations by granting to the Administrative Agent, for the benefit of the Secured Parties, a security interest in, and lien upon, substantially all of its property (other than Excluded Property);</w:t>
      </w:r>
    </w:p>
    <w:p>
      <w:pPr>
        <w:spacing w:after="0" w:line="198" w:lineRule="exact"/>
        <w:rPr>
          <w:sz w:val="20"/>
          <w:szCs w:val="20"/>
          <w:color w:val="auto"/>
        </w:rPr>
      </w:pPr>
    </w:p>
    <w:p>
      <w:pPr>
        <w:ind w:left="2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mutual covenants contained herein, the Borrower,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Loan Parties, the Lenders and the Administrative Agent hereby agree as follows:</w:t>
      </w:r>
    </w:p>
    <w:p>
      <w:pPr>
        <w:spacing w:after="0" w:line="18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0"/>
          <w:szCs w:val="20"/>
          <w:b w:val="1"/>
          <w:bCs w:val="1"/>
          <w:u w:val="single" w:color="auto"/>
          <w:color w:val="auto"/>
        </w:rPr>
        <w:t>ARTICLE I</w:t>
      </w:r>
    </w:p>
    <w:p>
      <w:pPr>
        <w:spacing w:after="0" w:line="29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CONSTRUCTION</w:t>
      </w:r>
    </w:p>
    <w:p>
      <w:pPr>
        <w:spacing w:after="0" w:line="324" w:lineRule="exact"/>
        <w:rPr>
          <w:sz w:val="20"/>
          <w:szCs w:val="20"/>
          <w:color w:val="auto"/>
        </w:rPr>
      </w:pPr>
    </w:p>
    <w:p>
      <w:pPr>
        <w:ind w:lef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In addition to the other terms defined herein, the following terms used herein shall have the meanings herein specified (to be equally applicable to both the singular and plural forms of the terms defined):</w:t>
      </w:r>
    </w:p>
    <w:p>
      <w:pPr>
        <w:spacing w:after="0" w:line="1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shall have the meaning assigned to such term in the definition of “Term</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SOFR”.</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Acquiom</w:t>
      </w:r>
      <w:r>
        <w:rPr>
          <w:rFonts w:ascii="Times New Roman" w:cs="Times New Roman" w:eastAsia="Times New Roman" w:hAnsi="Times New Roman"/>
          <w:sz w:val="20"/>
          <w:szCs w:val="20"/>
          <w:color w:val="auto"/>
        </w:rPr>
        <w:t>” shall have the meaning assigned to such term in the introductory paragraph hereto.</w:t>
      </w:r>
    </w:p>
    <w:p>
      <w:pPr>
        <w:spacing w:after="0" w:line="337" w:lineRule="exact"/>
        <w:rPr>
          <w:sz w:val="20"/>
          <w:szCs w:val="20"/>
          <w:color w:val="auto"/>
        </w:rPr>
      </w:pPr>
    </w:p>
    <w:p>
      <w:pPr>
        <w:ind w:left="20" w:right="20" w:firstLine="648"/>
        <w:spacing w:after="0" w:line="283"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Acquisition Costs</w:t>
      </w:r>
      <w:r>
        <w:rPr>
          <w:rFonts w:ascii="Times New Roman" w:cs="Times New Roman" w:eastAsia="Times New Roman" w:hAnsi="Times New Roman"/>
          <w:sz w:val="20"/>
          <w:szCs w:val="20"/>
          <w:color w:val="EE2724"/>
          <w:strike w:val="1"/>
        </w:rPr>
        <w:t>” shall mean any and all direct marketing and advertising costs related to the acquisition of new customers.</w:t>
      </w:r>
    </w:p>
    <w:p>
      <w:pPr>
        <w:spacing w:after="0" w:line="187"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w:t>
      </w:r>
      <w:r>
        <w:rPr>
          <w:rFonts w:ascii="Times New Roman" w:cs="Times New Roman" w:eastAsia="Times New Roman" w:hAnsi="Times New Roman"/>
          <w:sz w:val="20"/>
          <w:szCs w:val="20"/>
          <w:color w:val="auto"/>
        </w:rPr>
        <w:t xml:space="preserve">” shall mean, for purposes of any calculation, the rate per annum equal to (a) Term SOFR for such calculation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(b)(i) until June 30, 2023, 0.26161% and (ii) thereafter, zero percent (0.00%).</w:t>
      </w:r>
    </w:p>
    <w:p>
      <w:pPr>
        <w:spacing w:after="0" w:line="200" w:lineRule="exact"/>
        <w:rPr>
          <w:sz w:val="20"/>
          <w:szCs w:val="20"/>
          <w:color w:val="auto"/>
        </w:rPr>
      </w:pPr>
    </w:p>
    <w:p>
      <w:pPr>
        <w:ind w:lef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shall mean Acquiom, in its capacity as the administrative agent under any of the Loan Documents, or any successor administrative agent (as may be determined in accordance with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w:t>
      </w:r>
    </w:p>
    <w:p>
      <w:pPr>
        <w:sectPr>
          <w:pgSz w:w="11900" w:h="16838" w:orient="portrait"/>
          <w:cols w:equalWidth="0" w:num="1">
            <w:col w:w="10060"/>
          </w:cols>
          <w:pgMar w:left="1380" w:top="1395" w:right="459" w:bottom="1440" w:gutter="0" w:footer="0" w:header="0"/>
        </w:sectPr>
      </w:pPr>
    </w:p>
    <w:bookmarkStart w:id="107" w:name="page108"/>
    <w:bookmarkEnd w:id="107"/>
    <w:p>
      <w:pPr>
        <w:jc w:val="both"/>
        <w:ind w:right="1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shall mean, with respect to each Lender, an administrative questionnaire in the form provided by the Administrative Agent and submitted to the Administrative Agent duly completed by such Lender.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shall mean (a) any EEA Financial Institution or (b) any UK Financial Institution.</w:t>
      </w:r>
    </w:p>
    <w:p>
      <w:pPr>
        <w:spacing w:after="0" w:line="243"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with respect to any Person, another Person that directly, or indirectly through one or more intermediaries, Controls, is Controlled by, or is under common Control with, the specified Person. For the purposes of this definition,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shall mean the possession, directly or indirectly, of the power to direct or cause the direction of the management and policies of a Person, whether through the ability to exercise voting power, by control or otherwise. The terms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294" w:lineRule="exact"/>
        <w:rPr>
          <w:sz w:val="20"/>
          <w:szCs w:val="20"/>
          <w:color w:val="auto"/>
        </w:rPr>
      </w:pPr>
    </w:p>
    <w:p>
      <w:pPr>
        <w:ind w:right="7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Fee Letter</w:t>
      </w:r>
      <w:r>
        <w:rPr>
          <w:rFonts w:ascii="Times New Roman" w:cs="Times New Roman" w:eastAsia="Times New Roman" w:hAnsi="Times New Roman"/>
          <w:sz w:val="20"/>
          <w:szCs w:val="20"/>
          <w:color w:val="auto"/>
        </w:rPr>
        <w:t>” shall mean that certain Agent Fee Letter, dated the Closing Date, executed by Acquiom and accepted by the Borrower.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meaning assigned to such term in the introductory paragraph hereto.</w:t>
      </w:r>
    </w:p>
    <w:p>
      <w:pPr>
        <w:spacing w:after="0" w:line="351"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AIMCo Fee Letter</w:t>
      </w:r>
      <w:r>
        <w:rPr>
          <w:rFonts w:ascii="Times New Roman" w:cs="Times New Roman" w:eastAsia="Times New Roman" w:hAnsi="Times New Roman"/>
          <w:sz w:val="20"/>
          <w:szCs w:val="20"/>
          <w:color w:val="auto"/>
        </w:rPr>
        <w:t>” shall mean that certain Fee Letter, dated the Closing Date, by and between the Borrower and the AIMCo Lender.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AIMCo Lender</w:t>
      </w:r>
      <w:r>
        <w:rPr>
          <w:rFonts w:ascii="Times New Roman" w:cs="Times New Roman" w:eastAsia="Times New Roman" w:hAnsi="Times New Roman"/>
          <w:sz w:val="20"/>
          <w:szCs w:val="20"/>
          <w:color w:val="auto"/>
        </w:rPr>
        <w:t>” shall have the meaning ascribed to such defined term in the AIMCo Fee Letter.</w:t>
      </w:r>
    </w:p>
    <w:p>
      <w:pPr>
        <w:spacing w:after="0" w:line="337" w:lineRule="exact"/>
        <w:rPr>
          <w:sz w:val="20"/>
          <w:szCs w:val="20"/>
          <w:color w:val="auto"/>
        </w:rPr>
      </w:pPr>
    </w:p>
    <w:p>
      <w:pPr>
        <w:jc w:val="both"/>
        <w:ind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shall mean all laws, rules and regulations of any jurisdiction applicable to Holdings, the Borrower and/or their Subsidiaries concerning or relating to the prohibition of bribery or corruption.</w:t>
      </w:r>
    </w:p>
    <w:p>
      <w:pPr>
        <w:spacing w:after="0" w:line="173"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Lending Office</w:t>
      </w:r>
      <w:r>
        <w:rPr>
          <w:rFonts w:ascii="Times New Roman" w:cs="Times New Roman" w:eastAsia="Times New Roman" w:hAnsi="Times New Roman"/>
          <w:sz w:val="20"/>
          <w:szCs w:val="20"/>
          <w:color w:val="auto"/>
        </w:rPr>
        <w:t>” 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spacing w:after="0" w:line="2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Margin</w:t>
      </w:r>
      <w:r>
        <w:rPr>
          <w:rFonts w:ascii="Times New Roman" w:cs="Times New Roman" w:eastAsia="Times New Roman" w:hAnsi="Times New Roman"/>
          <w:sz w:val="19"/>
          <w:szCs w:val="19"/>
          <w:color w:val="auto"/>
        </w:rPr>
        <w:t>” shall mean</w:t>
      </w:r>
      <w:r>
        <w:rPr>
          <w:rFonts w:ascii="Times New Roman" w:cs="Times New Roman" w:eastAsia="Times New Roman" w:hAnsi="Times New Roman"/>
          <w:sz w:val="19"/>
          <w:szCs w:val="19"/>
          <w:u w:val="single" w:color="auto"/>
          <w:color w:val="0000FF"/>
        </w:rPr>
        <w:t>, (a) prior to the Second Amendment Effective Date,</w:t>
      </w:r>
      <w:r>
        <w:rPr>
          <w:rFonts w:ascii="Times New Roman" w:cs="Times New Roman" w:eastAsia="Times New Roman" w:hAnsi="Times New Roman"/>
          <w:sz w:val="19"/>
          <w:szCs w:val="19"/>
          <w:color w:val="auto"/>
        </w:rPr>
        <w:t xml:space="preserve"> (i) 8.00%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with respect to Base Rate Loans and (ii) 9.00%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with respect to SOFR Loans</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and (b) from and after the Second Amendment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Effective Date, the applicable percentages per annum set forth in the pricing grid below, as determined by reference to the Debt to Capital Ratio as set forth in the most recent Compliance Certificate received by the Administrative Agent pursuant to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5.1(e):</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40" w:type="dxa"/>
            <w:vAlign w:val="bottom"/>
            <w:tcBorders>
              <w:top w:val="single" w:sz="8" w:color="auto"/>
              <w:left w:val="single" w:sz="8" w:color="auto"/>
              <w:right w:val="single" w:sz="8" w:color="auto"/>
            </w:tcBorders>
            <w:gridSpan w:val="8"/>
          </w:tcPr>
          <w:p>
            <w:pPr>
              <w:jc w:val="center"/>
              <w:spacing w:after="0" w:line="216" w:lineRule="exact"/>
              <w:rPr>
                <w:sz w:val="20"/>
                <w:szCs w:val="20"/>
                <w:color w:val="auto"/>
              </w:rPr>
            </w:pPr>
            <w:r>
              <w:rPr>
                <w:rFonts w:ascii="Times New Roman" w:cs="Times New Roman" w:eastAsia="Times New Roman" w:hAnsi="Times New Roman"/>
                <w:sz w:val="20"/>
                <w:szCs w:val="20"/>
                <w:color w:val="0000FF"/>
              </w:rPr>
              <w:t>Level</w:t>
            </w:r>
          </w:p>
        </w:tc>
        <w:tc>
          <w:tcPr>
            <w:tcW w:w="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0" w:type="dxa"/>
            <w:vAlign w:val="bottom"/>
            <w:tcBorders>
              <w:top w:val="single" w:sz="8" w:color="auto"/>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20"/>
                <w:szCs w:val="20"/>
                <w:color w:val="0000FF"/>
              </w:rPr>
              <w:t>Debt to Capital Ratio</w:t>
            </w: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auto"/>
            </w:tcBorders>
            <w:gridSpan w:val="4"/>
          </w:tcPr>
          <w:p>
            <w:pPr>
              <w:jc w:val="center"/>
              <w:ind w:right="400"/>
              <w:spacing w:after="0" w:line="216" w:lineRule="exact"/>
              <w:rPr>
                <w:sz w:val="20"/>
                <w:szCs w:val="20"/>
                <w:color w:val="auto"/>
              </w:rPr>
            </w:pPr>
            <w:r>
              <w:rPr>
                <w:rFonts w:ascii="Times New Roman" w:cs="Times New Roman" w:eastAsia="Times New Roman" w:hAnsi="Times New Roman"/>
                <w:sz w:val="20"/>
                <w:szCs w:val="20"/>
                <w:color w:val="0000FF"/>
                <w:w w:val="98"/>
              </w:rPr>
              <w:t>SOFR Loans</w:t>
            </w:r>
          </w:p>
        </w:tc>
        <w:tc>
          <w:tcPr>
            <w:tcW w:w="1800" w:type="dxa"/>
            <w:vAlign w:val="bottom"/>
            <w:tcBorders>
              <w:top w:val="single" w:sz="8" w:color="auto"/>
              <w:right w:val="single" w:sz="8" w:color="auto"/>
            </w:tcBorders>
            <w:gridSpan w:val="5"/>
          </w:tcPr>
          <w:p>
            <w:pPr>
              <w:jc w:val="center"/>
              <w:ind w:right="40"/>
              <w:spacing w:after="0" w:line="216" w:lineRule="exact"/>
              <w:rPr>
                <w:sz w:val="20"/>
                <w:szCs w:val="20"/>
                <w:color w:val="auto"/>
              </w:rPr>
            </w:pPr>
            <w:r>
              <w:rPr>
                <w:rFonts w:ascii="Times New Roman" w:cs="Times New Roman" w:eastAsia="Times New Roman" w:hAnsi="Times New Roman"/>
                <w:sz w:val="20"/>
                <w:szCs w:val="20"/>
                <w:color w:val="0000FF"/>
                <w:w w:val="98"/>
              </w:rPr>
              <w:t>Base Rate Loans</w:t>
            </w:r>
          </w:p>
        </w:tc>
      </w:tr>
      <w:tr>
        <w:trPr>
          <w:trHeight w:val="34"/>
        </w:trPr>
        <w:tc>
          <w:tcPr>
            <w:tcW w:w="140" w:type="dxa"/>
            <w:vAlign w:val="bottom"/>
            <w:tcBorders>
              <w:left w:val="single" w:sz="8" w:color="auto"/>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right w:val="single" w:sz="8" w:color="auto"/>
            </w:tcBorders>
            <w:gridSpan w:val="4"/>
          </w:tcPr>
          <w:p>
            <w:pPr>
              <w:jc w:val="center"/>
              <w:ind w:right="300"/>
              <w:spacing w:after="0" w:line="196" w:lineRule="exact"/>
              <w:rPr>
                <w:sz w:val="20"/>
                <w:szCs w:val="20"/>
                <w:color w:val="auto"/>
              </w:rPr>
            </w:pPr>
            <w:r>
              <w:rPr>
                <w:rFonts w:ascii="Times New Roman" w:cs="Times New Roman" w:eastAsia="Times New Roman" w:hAnsi="Times New Roman"/>
                <w:sz w:val="20"/>
                <w:szCs w:val="20"/>
                <w:u w:val="single" w:color="auto"/>
                <w:color w:val="0000FF"/>
                <w:w w:val="89"/>
              </w:rPr>
              <w:t>I</w:t>
            </w:r>
          </w:p>
        </w:tc>
        <w:tc>
          <w:tcPr>
            <w:tcW w:w="20" w:type="dxa"/>
            <w:vAlign w:val="bottom"/>
          </w:tcPr>
          <w:p>
            <w:pPr>
              <w:spacing w:after="0"/>
              <w:rPr>
                <w:sz w:val="17"/>
                <w:szCs w:val="17"/>
                <w:color w:val="auto"/>
              </w:rPr>
            </w:pPr>
          </w:p>
        </w:tc>
        <w:tc>
          <w:tcPr>
            <w:tcW w:w="4680" w:type="dxa"/>
            <w:vAlign w:val="bottom"/>
            <w:tcBorders>
              <w:right w:val="single" w:sz="8" w:color="auto"/>
            </w:tcBorders>
            <w:gridSpan w:val="6"/>
          </w:tcPr>
          <w:p>
            <w:pPr>
              <w:spacing w:after="0" w:line="196" w:lineRule="exact"/>
              <w:rPr>
                <w:sz w:val="20"/>
                <w:szCs w:val="20"/>
                <w:color w:val="auto"/>
              </w:rPr>
            </w:pPr>
            <w:r>
              <w:rPr>
                <w:rFonts w:ascii="Times New Roman" w:cs="Times New Roman" w:eastAsia="Times New Roman" w:hAnsi="Times New Roman"/>
                <w:sz w:val="20"/>
                <w:szCs w:val="20"/>
                <w:color w:val="0000FF"/>
              </w:rPr>
              <w:t>Less than 30%</w:t>
            </w:r>
          </w:p>
        </w:tc>
        <w:tc>
          <w:tcPr>
            <w:tcW w:w="1400" w:type="dxa"/>
            <w:vAlign w:val="bottom"/>
            <w:gridSpan w:val="4"/>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00FF"/>
                <w:w w:val="96"/>
              </w:rPr>
              <w:t>5.25%</w:t>
            </w:r>
          </w:p>
        </w:tc>
        <w:tc>
          <w:tcPr>
            <w:tcW w:w="400" w:type="dxa"/>
            <w:vAlign w:val="bottom"/>
            <w:tcBorders>
              <w:right w:val="single" w:sz="8" w:color="auto"/>
            </w:tcBorders>
          </w:tcPr>
          <w:p>
            <w:pPr>
              <w:spacing w:after="0"/>
              <w:rPr>
                <w:sz w:val="17"/>
                <w:szCs w:val="17"/>
                <w:color w:val="auto"/>
              </w:rPr>
            </w:pPr>
          </w:p>
        </w:tc>
        <w:tc>
          <w:tcPr>
            <w:tcW w:w="1540" w:type="dxa"/>
            <w:vAlign w:val="bottom"/>
            <w:gridSpan w:val="4"/>
          </w:tcPr>
          <w:p>
            <w:pPr>
              <w:jc w:val="center"/>
              <w:ind w:left="121"/>
              <w:spacing w:after="0" w:line="196" w:lineRule="exact"/>
              <w:rPr>
                <w:sz w:val="20"/>
                <w:szCs w:val="20"/>
                <w:color w:val="auto"/>
              </w:rPr>
            </w:pPr>
            <w:r>
              <w:rPr>
                <w:rFonts w:ascii="Times New Roman" w:cs="Times New Roman" w:eastAsia="Times New Roman" w:hAnsi="Times New Roman"/>
                <w:sz w:val="20"/>
                <w:szCs w:val="20"/>
                <w:color w:val="0000FF"/>
              </w:rPr>
              <w:t>4.25%</w:t>
            </w:r>
          </w:p>
        </w:tc>
        <w:tc>
          <w:tcPr>
            <w:tcW w:w="260" w:type="dxa"/>
            <w:vAlign w:val="bottom"/>
            <w:tcBorders>
              <w:right w:val="single" w:sz="8" w:color="auto"/>
            </w:tcBorders>
          </w:tcPr>
          <w:p>
            <w:pPr>
              <w:spacing w:after="0"/>
              <w:rPr>
                <w:sz w:val="17"/>
                <w:szCs w:val="17"/>
                <w:color w:val="auto"/>
              </w:rPr>
            </w:pPr>
          </w:p>
        </w:tc>
      </w:tr>
      <w:tr>
        <w:trPr>
          <w:trHeight w:val="34"/>
        </w:trPr>
        <w:tc>
          <w:tcPr>
            <w:tcW w:w="14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right w:val="single" w:sz="8" w:color="auto"/>
            </w:tcBorders>
            <w:gridSpan w:val="5"/>
          </w:tcPr>
          <w:p>
            <w:pPr>
              <w:jc w:val="center"/>
              <w:ind w:right="280"/>
              <w:spacing w:after="0" w:line="196" w:lineRule="exact"/>
              <w:rPr>
                <w:sz w:val="20"/>
                <w:szCs w:val="20"/>
                <w:color w:val="auto"/>
              </w:rPr>
            </w:pPr>
            <w:r>
              <w:rPr>
                <w:rFonts w:ascii="Times New Roman" w:cs="Times New Roman" w:eastAsia="Times New Roman" w:hAnsi="Times New Roman"/>
                <w:sz w:val="20"/>
                <w:szCs w:val="20"/>
                <w:color w:val="0000FF"/>
              </w:rPr>
              <w:t>II</w:t>
            </w:r>
          </w:p>
        </w:tc>
        <w:tc>
          <w:tcPr>
            <w:tcW w:w="20" w:type="dxa"/>
            <w:vAlign w:val="bottom"/>
          </w:tcPr>
          <w:p>
            <w:pPr>
              <w:spacing w:after="0"/>
              <w:rPr>
                <w:sz w:val="17"/>
                <w:szCs w:val="17"/>
                <w:color w:val="auto"/>
              </w:rPr>
            </w:pPr>
          </w:p>
        </w:tc>
        <w:tc>
          <w:tcPr>
            <w:tcW w:w="4680" w:type="dxa"/>
            <w:vAlign w:val="bottom"/>
            <w:tcBorders>
              <w:right w:val="single" w:sz="8" w:color="auto"/>
            </w:tcBorders>
            <w:gridSpan w:val="6"/>
          </w:tcPr>
          <w:p>
            <w:pPr>
              <w:spacing w:after="0" w:line="196" w:lineRule="exact"/>
              <w:rPr>
                <w:sz w:val="20"/>
                <w:szCs w:val="20"/>
                <w:color w:val="auto"/>
              </w:rPr>
            </w:pPr>
            <w:r>
              <w:rPr>
                <w:rFonts w:ascii="Times New Roman" w:cs="Times New Roman" w:eastAsia="Times New Roman" w:hAnsi="Times New Roman"/>
                <w:sz w:val="20"/>
                <w:szCs w:val="20"/>
                <w:color w:val="0000FF"/>
              </w:rPr>
              <w:t>Less than 35% but greater than or equal to 30%</w:t>
            </w:r>
          </w:p>
        </w:tc>
        <w:tc>
          <w:tcPr>
            <w:tcW w:w="1400" w:type="dxa"/>
            <w:vAlign w:val="bottom"/>
            <w:gridSpan w:val="4"/>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00FF"/>
                <w:w w:val="96"/>
              </w:rPr>
              <w:t>5.50%</w:t>
            </w:r>
          </w:p>
        </w:tc>
        <w:tc>
          <w:tcPr>
            <w:tcW w:w="400" w:type="dxa"/>
            <w:vAlign w:val="bottom"/>
            <w:tcBorders>
              <w:right w:val="single" w:sz="8" w:color="auto"/>
            </w:tcBorders>
          </w:tcPr>
          <w:p>
            <w:pPr>
              <w:spacing w:after="0"/>
              <w:rPr>
                <w:sz w:val="17"/>
                <w:szCs w:val="17"/>
                <w:color w:val="auto"/>
              </w:rPr>
            </w:pPr>
          </w:p>
        </w:tc>
        <w:tc>
          <w:tcPr>
            <w:tcW w:w="1540" w:type="dxa"/>
            <w:vAlign w:val="bottom"/>
            <w:gridSpan w:val="4"/>
          </w:tcPr>
          <w:p>
            <w:pPr>
              <w:jc w:val="center"/>
              <w:ind w:left="121"/>
              <w:spacing w:after="0" w:line="196" w:lineRule="exact"/>
              <w:rPr>
                <w:sz w:val="20"/>
                <w:szCs w:val="20"/>
                <w:color w:val="auto"/>
              </w:rPr>
            </w:pPr>
            <w:r>
              <w:rPr>
                <w:rFonts w:ascii="Times New Roman" w:cs="Times New Roman" w:eastAsia="Times New Roman" w:hAnsi="Times New Roman"/>
                <w:sz w:val="20"/>
                <w:szCs w:val="20"/>
                <w:color w:val="0000FF"/>
              </w:rPr>
              <w:t>4.50%</w:t>
            </w:r>
          </w:p>
        </w:tc>
        <w:tc>
          <w:tcPr>
            <w:tcW w:w="260" w:type="dxa"/>
            <w:vAlign w:val="bottom"/>
            <w:tcBorders>
              <w:right w:val="single" w:sz="8" w:color="auto"/>
            </w:tcBorders>
          </w:tcPr>
          <w:p>
            <w:pPr>
              <w:spacing w:after="0"/>
              <w:rPr>
                <w:sz w:val="17"/>
                <w:szCs w:val="17"/>
                <w:color w:val="auto"/>
              </w:rPr>
            </w:pPr>
          </w:p>
        </w:tc>
      </w:tr>
      <w:tr>
        <w:trPr>
          <w:trHeight w:val="34"/>
        </w:trPr>
        <w:tc>
          <w:tcPr>
            <w:tcW w:w="14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80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right w:val="single" w:sz="8" w:color="auto"/>
            </w:tcBorders>
            <w:gridSpan w:val="5"/>
          </w:tcPr>
          <w:p>
            <w:pPr>
              <w:jc w:val="center"/>
              <w:ind w:right="260"/>
              <w:spacing w:after="0" w:line="196" w:lineRule="exact"/>
              <w:rPr>
                <w:sz w:val="20"/>
                <w:szCs w:val="20"/>
                <w:color w:val="auto"/>
              </w:rPr>
            </w:pPr>
            <w:r>
              <w:rPr>
                <w:rFonts w:ascii="Times New Roman" w:cs="Times New Roman" w:eastAsia="Times New Roman" w:hAnsi="Times New Roman"/>
                <w:sz w:val="20"/>
                <w:szCs w:val="20"/>
                <w:color w:val="0000FF"/>
                <w:w w:val="99"/>
              </w:rPr>
              <w:t>III</w:t>
            </w:r>
          </w:p>
        </w:tc>
        <w:tc>
          <w:tcPr>
            <w:tcW w:w="20" w:type="dxa"/>
            <w:vAlign w:val="bottom"/>
          </w:tcPr>
          <w:p>
            <w:pPr>
              <w:spacing w:after="0"/>
              <w:rPr>
                <w:sz w:val="17"/>
                <w:szCs w:val="17"/>
                <w:color w:val="auto"/>
              </w:rPr>
            </w:pPr>
          </w:p>
        </w:tc>
        <w:tc>
          <w:tcPr>
            <w:tcW w:w="4680" w:type="dxa"/>
            <w:vAlign w:val="bottom"/>
            <w:tcBorders>
              <w:right w:val="single" w:sz="8" w:color="auto"/>
            </w:tcBorders>
            <w:gridSpan w:val="6"/>
          </w:tcPr>
          <w:p>
            <w:pPr>
              <w:spacing w:after="0" w:line="196" w:lineRule="exact"/>
              <w:rPr>
                <w:sz w:val="20"/>
                <w:szCs w:val="20"/>
                <w:color w:val="auto"/>
              </w:rPr>
            </w:pPr>
            <w:r>
              <w:rPr>
                <w:rFonts w:ascii="Times New Roman" w:cs="Times New Roman" w:eastAsia="Times New Roman" w:hAnsi="Times New Roman"/>
                <w:sz w:val="20"/>
                <w:szCs w:val="20"/>
                <w:color w:val="0000FF"/>
              </w:rPr>
              <w:t>Less than 40% but greater than or equal to 35%</w:t>
            </w:r>
          </w:p>
        </w:tc>
        <w:tc>
          <w:tcPr>
            <w:tcW w:w="1400" w:type="dxa"/>
            <w:vAlign w:val="bottom"/>
            <w:gridSpan w:val="4"/>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00FF"/>
                <w:w w:val="96"/>
              </w:rPr>
              <w:t>5.75%</w:t>
            </w:r>
          </w:p>
        </w:tc>
        <w:tc>
          <w:tcPr>
            <w:tcW w:w="400" w:type="dxa"/>
            <w:vAlign w:val="bottom"/>
            <w:tcBorders>
              <w:right w:val="single" w:sz="8" w:color="auto"/>
            </w:tcBorders>
          </w:tcPr>
          <w:p>
            <w:pPr>
              <w:spacing w:after="0"/>
              <w:rPr>
                <w:sz w:val="17"/>
                <w:szCs w:val="17"/>
                <w:color w:val="auto"/>
              </w:rPr>
            </w:pPr>
          </w:p>
        </w:tc>
        <w:tc>
          <w:tcPr>
            <w:tcW w:w="1540" w:type="dxa"/>
            <w:vAlign w:val="bottom"/>
            <w:gridSpan w:val="4"/>
          </w:tcPr>
          <w:p>
            <w:pPr>
              <w:jc w:val="center"/>
              <w:ind w:left="121"/>
              <w:spacing w:after="0" w:line="196" w:lineRule="exact"/>
              <w:rPr>
                <w:sz w:val="20"/>
                <w:szCs w:val="20"/>
                <w:color w:val="auto"/>
              </w:rPr>
            </w:pPr>
            <w:r>
              <w:rPr>
                <w:rFonts w:ascii="Times New Roman" w:cs="Times New Roman" w:eastAsia="Times New Roman" w:hAnsi="Times New Roman"/>
                <w:sz w:val="20"/>
                <w:szCs w:val="20"/>
                <w:color w:val="0000FF"/>
              </w:rPr>
              <w:t>4.75%</w:t>
            </w:r>
          </w:p>
        </w:tc>
        <w:tc>
          <w:tcPr>
            <w:tcW w:w="260" w:type="dxa"/>
            <w:vAlign w:val="bottom"/>
            <w:tcBorders>
              <w:right w:val="single" w:sz="8" w:color="auto"/>
            </w:tcBorders>
          </w:tcPr>
          <w:p>
            <w:pPr>
              <w:spacing w:after="0"/>
              <w:rPr>
                <w:sz w:val="17"/>
                <w:szCs w:val="17"/>
                <w:color w:val="auto"/>
              </w:rPr>
            </w:pPr>
          </w:p>
        </w:tc>
      </w:tr>
      <w:tr>
        <w:trPr>
          <w:trHeight w:val="34"/>
        </w:trPr>
        <w:tc>
          <w:tcPr>
            <w:tcW w:w="14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80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gridSpan w:val="7"/>
          </w:tcPr>
          <w:p>
            <w:pPr>
              <w:jc w:val="center"/>
              <w:ind w:right="140"/>
              <w:spacing w:after="0" w:line="196" w:lineRule="exact"/>
              <w:rPr>
                <w:sz w:val="20"/>
                <w:szCs w:val="20"/>
                <w:color w:val="auto"/>
              </w:rPr>
            </w:pPr>
            <w:r>
              <w:rPr>
                <w:rFonts w:ascii="Times New Roman" w:cs="Times New Roman" w:eastAsia="Times New Roman" w:hAnsi="Times New Roman"/>
                <w:sz w:val="20"/>
                <w:szCs w:val="20"/>
                <w:color w:val="0000FF"/>
              </w:rPr>
              <w:t>IV</w:t>
            </w:r>
          </w:p>
        </w:tc>
        <w:tc>
          <w:tcPr>
            <w:tcW w:w="20" w:type="dxa"/>
            <w:vAlign w:val="bottom"/>
          </w:tcPr>
          <w:p>
            <w:pPr>
              <w:spacing w:after="0"/>
              <w:rPr>
                <w:sz w:val="17"/>
                <w:szCs w:val="17"/>
                <w:color w:val="auto"/>
              </w:rPr>
            </w:pPr>
          </w:p>
        </w:tc>
        <w:tc>
          <w:tcPr>
            <w:tcW w:w="4680" w:type="dxa"/>
            <w:vAlign w:val="bottom"/>
            <w:tcBorders>
              <w:right w:val="single" w:sz="8" w:color="auto"/>
            </w:tcBorders>
            <w:gridSpan w:val="6"/>
          </w:tcPr>
          <w:p>
            <w:pPr>
              <w:spacing w:after="0" w:line="196" w:lineRule="exact"/>
              <w:rPr>
                <w:sz w:val="20"/>
                <w:szCs w:val="20"/>
                <w:color w:val="auto"/>
              </w:rPr>
            </w:pPr>
            <w:r>
              <w:rPr>
                <w:rFonts w:ascii="Times New Roman" w:cs="Times New Roman" w:eastAsia="Times New Roman" w:hAnsi="Times New Roman"/>
                <w:sz w:val="20"/>
                <w:szCs w:val="20"/>
                <w:color w:val="0000FF"/>
              </w:rPr>
              <w:t>Greater than or equal to 40%</w:t>
            </w:r>
          </w:p>
        </w:tc>
        <w:tc>
          <w:tcPr>
            <w:tcW w:w="1400" w:type="dxa"/>
            <w:vAlign w:val="bottom"/>
            <w:gridSpan w:val="4"/>
          </w:tcPr>
          <w:p>
            <w:pPr>
              <w:jc w:val="center"/>
              <w:ind w:left="281"/>
              <w:spacing w:after="0" w:line="196" w:lineRule="exact"/>
              <w:rPr>
                <w:sz w:val="20"/>
                <w:szCs w:val="20"/>
                <w:color w:val="auto"/>
              </w:rPr>
            </w:pPr>
            <w:r>
              <w:rPr>
                <w:rFonts w:ascii="Times New Roman" w:cs="Times New Roman" w:eastAsia="Times New Roman" w:hAnsi="Times New Roman"/>
                <w:sz w:val="20"/>
                <w:szCs w:val="20"/>
                <w:color w:val="0000FF"/>
                <w:w w:val="96"/>
              </w:rPr>
              <w:t>6.00%</w:t>
            </w:r>
          </w:p>
        </w:tc>
        <w:tc>
          <w:tcPr>
            <w:tcW w:w="400" w:type="dxa"/>
            <w:vAlign w:val="bottom"/>
            <w:tcBorders>
              <w:right w:val="single" w:sz="8" w:color="auto"/>
            </w:tcBorders>
          </w:tcPr>
          <w:p>
            <w:pPr>
              <w:spacing w:after="0"/>
              <w:rPr>
                <w:sz w:val="17"/>
                <w:szCs w:val="17"/>
                <w:color w:val="auto"/>
              </w:rPr>
            </w:pPr>
          </w:p>
        </w:tc>
        <w:tc>
          <w:tcPr>
            <w:tcW w:w="1540" w:type="dxa"/>
            <w:vAlign w:val="bottom"/>
            <w:gridSpan w:val="4"/>
          </w:tcPr>
          <w:p>
            <w:pPr>
              <w:jc w:val="center"/>
              <w:ind w:left="121"/>
              <w:spacing w:after="0" w:line="196" w:lineRule="exact"/>
              <w:rPr>
                <w:sz w:val="20"/>
                <w:szCs w:val="20"/>
                <w:color w:val="auto"/>
              </w:rPr>
            </w:pPr>
            <w:r>
              <w:rPr>
                <w:rFonts w:ascii="Times New Roman" w:cs="Times New Roman" w:eastAsia="Times New Roman" w:hAnsi="Times New Roman"/>
                <w:sz w:val="20"/>
                <w:szCs w:val="20"/>
                <w:color w:val="0000FF"/>
              </w:rPr>
              <w:t>5.00%</w:t>
            </w:r>
          </w:p>
        </w:tc>
        <w:tc>
          <w:tcPr>
            <w:tcW w:w="260" w:type="dxa"/>
            <w:vAlign w:val="bottom"/>
            <w:tcBorders>
              <w:right w:val="single" w:sz="8" w:color="auto"/>
            </w:tcBorders>
          </w:tcPr>
          <w:p>
            <w:pPr>
              <w:spacing w:after="0"/>
              <w:rPr>
                <w:sz w:val="17"/>
                <w:szCs w:val="17"/>
                <w:color w:val="auto"/>
              </w:rPr>
            </w:pPr>
          </w:p>
        </w:tc>
      </w:tr>
      <w:tr>
        <w:trPr>
          <w:trHeight w:val="34"/>
        </w:trPr>
        <w:tc>
          <w:tcPr>
            <w:tcW w:w="14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800" w:type="dxa"/>
            <w:vAlign w:val="bottom"/>
            <w:tcBorders>
              <w:top w:val="single" w:sz="8" w:color="0000FF"/>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160"/>
          </w:cols>
          <w:pgMar w:left="1400" w:top="1332"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20"/>
          <w:szCs w:val="20"/>
          <w:u w:val="single" w:color="auto"/>
          <w:color w:val="0000FF"/>
        </w:rPr>
        <w:t>From the Second Amendment Effective Date until the delivery of the first Compliance Certificate delivered thereafter,</w:t>
      </w:r>
    </w:p>
    <w:p>
      <w:pPr>
        <w:spacing w:after="0" w:line="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u w:val="single" w:color="auto"/>
          <w:color w:val="0000FF"/>
        </w:rPr>
        <w:t xml:space="preserve">the Applicable Margin shall be Level IV of the pricing grid set forth above. Thereafter, the Applicable Margin shall be re-determined quarterly on the first Business Day after delivery of any Compliance Certificate </w:t>
      </w:r>
      <w:r>
        <w:rPr>
          <w:rFonts w:ascii="Times New Roman" w:cs="Times New Roman" w:eastAsia="Times New Roman" w:hAnsi="Times New Roman"/>
          <w:sz w:val="19"/>
          <w:szCs w:val="19"/>
          <w:u w:val="single" w:color="auto"/>
          <w:color w:val="008000"/>
        </w:rPr>
        <w:t>delivered to the Administrative</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u w:val="single" w:color="auto"/>
          <w:color w:val="008000"/>
        </w:rPr>
        <w:t xml:space="preserve">Agent </w:t>
      </w:r>
      <w:r>
        <w:rPr>
          <w:rFonts w:ascii="Times New Roman" w:cs="Times New Roman" w:eastAsia="Times New Roman" w:hAnsi="Times New Roman"/>
          <w:sz w:val="19"/>
          <w:szCs w:val="19"/>
          <w:u w:val="single" w:color="auto"/>
          <w:color w:val="0000FF"/>
        </w:rPr>
        <w:t>in accordance with Section 5.1(e), and shall remain at the applicable Level above until the next such date of</w:t>
      </w:r>
      <w:r>
        <w:rPr>
          <w:rFonts w:ascii="Times New Roman" w:cs="Times New Roman" w:eastAsia="Times New Roman" w:hAnsi="Times New Roman"/>
          <w:sz w:val="19"/>
          <w:szCs w:val="19"/>
          <w:u w:val="single" w:color="auto"/>
          <w:color w:val="008000"/>
        </w:rPr>
        <w:t xml:space="preserve"> </w:t>
      </w:r>
      <w:r>
        <w:rPr>
          <w:rFonts w:ascii="Times New Roman" w:cs="Times New Roman" w:eastAsia="Times New Roman" w:hAnsi="Times New Roman"/>
          <w:sz w:val="19"/>
          <w:szCs w:val="19"/>
          <w:u w:val="single" w:color="auto"/>
          <w:color w:val="0000FF"/>
        </w:rPr>
        <w:t xml:space="preserve">determination; provided that, notwithstanding anything to the contrary herein, (x) if the Borrower shall have failed </w:t>
      </w:r>
      <w:r>
        <w:rPr>
          <w:rFonts w:ascii="Times New Roman" w:cs="Times New Roman" w:eastAsia="Times New Roman" w:hAnsi="Times New Roman"/>
          <w:sz w:val="19"/>
          <w:szCs w:val="19"/>
          <w:u w:val="single" w:color="auto"/>
          <w:color w:val="008000"/>
        </w:rPr>
        <w:t>to deliver</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u w:val="single" w:color="auto"/>
          <w:color w:val="008000"/>
        </w:rPr>
        <w:t xml:space="preserve">such Compliance Certificate </w:t>
      </w:r>
      <w:r>
        <w:rPr>
          <w:rFonts w:ascii="Times New Roman" w:cs="Times New Roman" w:eastAsia="Times New Roman" w:hAnsi="Times New Roman"/>
          <w:sz w:val="19"/>
          <w:szCs w:val="19"/>
          <w:u w:val="single" w:color="auto"/>
          <w:color w:val="0000FF"/>
        </w:rPr>
        <w:t>within two (2) Business Days of the required delivery date, then the Applicable Margin shall be set</w:t>
      </w:r>
      <w:r>
        <w:rPr>
          <w:rFonts w:ascii="Times New Roman" w:cs="Times New Roman" w:eastAsia="Times New Roman" w:hAnsi="Times New Roman"/>
          <w:sz w:val="19"/>
          <w:szCs w:val="19"/>
          <w:u w:val="single" w:color="auto"/>
          <w:color w:val="008000"/>
        </w:rPr>
        <w:t xml:space="preserve"> </w:t>
      </w:r>
      <w:r>
        <w:rPr>
          <w:rFonts w:ascii="Times New Roman" w:cs="Times New Roman" w:eastAsia="Times New Roman" w:hAnsi="Times New Roman"/>
          <w:sz w:val="19"/>
          <w:szCs w:val="19"/>
          <w:u w:val="single" w:color="auto"/>
          <w:color w:val="0000FF"/>
        </w:rPr>
        <w:t>at Level IV of the pricing grid set forth above until such Compliance Certificate is delivered, (y) as of the first Business Day after a Specified Event of Default shall have occurred and be continuing, the Applicable Margin shall be set at Level IV of the pricing grid set forth above and shall continue to so apply to but excluding the date on which such Specified Event of Default shall cease to be continuing (and thereafter the pricing level otherwise determined in accordance with this definition shall apply), and (z) in the event that any Compliance Certificate delivered pursuant hereto is inaccurate, and such inaccuracy, if corrected, would have led to the imposition of a higher Applicable Margin for any period than the Applicable Margin applied for that period, then (i) the Borrower shall deliver to Administrative Agent a corrected Compliance Certificate for that period within two (2) Business Days of discovery of such inaccuracy, (ii) the Applicable Margin shall be determined based on the corrected Compliance Certificate for that period and (iii) the Borrower shall pay to Administrative Agent (for the account of the Lenders) the accrued additional interest owing as a result of such increased Applicable Margin for that period within two (2) Business Days of discovery of such inaccuracy; provided that, notwithstanding anything to the contrary herein, if the Borrower shall make the payment described in clause (z)(iii) within two (2) Business Days, then no Event of Default shall be deemed to</w:t>
      </w:r>
    </w:p>
    <w:p>
      <w:pPr>
        <w:spacing w:after="0" w:line="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0000FF"/>
        </w:rPr>
        <w:t>have occurred. This paragraph shall not limit the rights of Administrative Agent or the Lenders, and shall survive the termination of this Agreement until the Termination Date.</w:t>
      </w:r>
    </w:p>
    <w:p>
      <w:pPr>
        <w:spacing w:after="0" w:line="173" w:lineRule="exact"/>
        <w:rPr>
          <w:sz w:val="20"/>
          <w:szCs w:val="20"/>
          <w:color w:val="auto"/>
        </w:rPr>
      </w:pPr>
    </w:p>
    <w:p>
      <w:pPr>
        <w:jc w:val="both"/>
        <w:ind w:right="120" w:firstLine="648"/>
        <w:spacing w:after="0" w:line="253" w:lineRule="auto"/>
        <w:rPr>
          <w:sz w:val="20"/>
          <w:szCs w:val="20"/>
          <w:color w:val="auto"/>
        </w:rPr>
      </w:pPr>
      <w:r>
        <w:rPr>
          <w:rFonts w:ascii="Times New Roman" w:cs="Times New Roman" w:eastAsia="Times New Roman" w:hAnsi="Times New Roman"/>
          <w:sz w:val="20"/>
          <w:szCs w:val="20"/>
          <w:color w:val="auto"/>
        </w:rPr>
        <w:t>“Approved Fund” shall mean any Person (other than a natural Person (or any holding company, investment vehicle or trust for, or owned and operated for the primary benefit of, a natural Person)), fund, commingled investment vehicle or managed account that is (or will be)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spacing w:after="0" w:line="232"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shall mean an assignment and acceptance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or any other form approved by the Administrative Agent.</w:t>
      </w:r>
    </w:p>
    <w:p>
      <w:pPr>
        <w:spacing w:after="0" w:line="208"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Automobile Quota Share Reinsurance Contract</w:t>
      </w:r>
      <w:r>
        <w:rPr>
          <w:rFonts w:ascii="Times New Roman" w:cs="Times New Roman" w:eastAsia="Times New Roman" w:hAnsi="Times New Roman"/>
          <w:sz w:val="20"/>
          <w:szCs w:val="20"/>
          <w:color w:val="EE2724"/>
          <w:strike w:val="1"/>
        </w:rPr>
        <w:t xml:space="preserve">” shall mean that certain Automobile Quota Share Reinsurance Contract, effective as of July 1, 2019 (as amended, restated, amended and restated, supplemented </w:t>
      </w:r>
      <w:r>
        <w:rPr>
          <w:rFonts w:ascii="Times New Roman" w:cs="Times New Roman" w:eastAsia="Times New Roman" w:hAnsi="Times New Roman"/>
          <w:sz w:val="20"/>
          <w:szCs w:val="20"/>
          <w:color w:val="0F7F40"/>
          <w:strike w:val="1"/>
        </w:rPr>
        <w:t>or otherwise modified from</w:t>
      </w:r>
      <w:r>
        <w:rPr>
          <w:rFonts w:ascii="Times New Roman" w:cs="Times New Roman" w:eastAsia="Times New Roman" w:hAnsi="Times New Roman"/>
          <w:sz w:val="20"/>
          <w:szCs w:val="20"/>
          <w:color w:val="EE2724"/>
          <w:strike w:val="1"/>
        </w:rPr>
        <w:t xml:space="preserve"> </w:t>
      </w:r>
      <w:r>
        <w:rPr>
          <w:rFonts w:ascii="Times New Roman" w:cs="Times New Roman" w:eastAsia="Times New Roman" w:hAnsi="Times New Roman"/>
          <w:sz w:val="20"/>
          <w:szCs w:val="20"/>
          <w:color w:val="0F7F40"/>
          <w:strike w:val="1"/>
        </w:rPr>
        <w:t>time to time</w:t>
      </w:r>
      <w:r>
        <w:rPr>
          <w:rFonts w:ascii="Times New Roman" w:cs="Times New Roman" w:eastAsia="Times New Roman" w:hAnsi="Times New Roman"/>
          <w:sz w:val="20"/>
          <w:szCs w:val="20"/>
          <w:color w:val="EE2724"/>
          <w:strike w:val="1"/>
        </w:rPr>
        <w:t>), by and between RIC and RRC.</w:t>
      </w:r>
    </w:p>
    <w:p>
      <w:pPr>
        <w:spacing w:after="0" w:line="208" w:lineRule="exact"/>
        <w:rPr>
          <w:sz w:val="20"/>
          <w:szCs w:val="20"/>
          <w:color w:val="auto"/>
        </w:rPr>
      </w:pPr>
    </w:p>
    <w:p>
      <w:pPr>
        <w:jc w:val="both"/>
        <w:ind w:right="12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ectPr>
          <w:pgSz w:w="11900" w:h="16838" w:orient="portrait"/>
          <w:cols w:equalWidth="0" w:num="1">
            <w:col w:w="10160"/>
          </w:cols>
          <w:pgMar w:left="1400" w:top="1332" w:right="339" w:bottom="1440" w:gutter="0" w:footer="0" w:header="0"/>
        </w:sectPr>
      </w:pPr>
    </w:p>
    <w:bookmarkStart w:id="109" w:name="page110"/>
    <w:bookmarkEnd w:id="109"/>
    <w:p>
      <w:pPr>
        <w:jc w:val="both"/>
        <w:ind w:left="20"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shall mean the exercise of any Write-Down and Conversion Powers by the applicable Resolution Authority in respect of any liability of an Affected Financial Institution.</w:t>
      </w:r>
    </w:p>
    <w:p>
      <w:pPr>
        <w:spacing w:after="0" w:line="187" w:lineRule="exact"/>
        <w:rPr>
          <w:sz w:val="20"/>
          <w:szCs w:val="20"/>
          <w:color w:val="auto"/>
        </w:rPr>
      </w:pPr>
    </w:p>
    <w:p>
      <w:pPr>
        <w:jc w:val="both"/>
        <w:ind w:left="20" w:right="120"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spacing w:after="0" w:line="2" w:lineRule="exact"/>
        <w:rPr>
          <w:sz w:val="20"/>
          <w:szCs w:val="20"/>
          <w:color w:val="auto"/>
        </w:rPr>
      </w:pPr>
    </w:p>
    <w:p>
      <w:pPr>
        <w:jc w:val="both"/>
        <w:ind w:left="20" w:right="120" w:firstLine="7"/>
        <w:spacing w:after="0" w:line="253" w:lineRule="auto"/>
        <w:tabs>
          <w:tab w:leader="none" w:pos="30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3" w:lineRule="exact"/>
        <w:rPr>
          <w:sz w:val="20"/>
          <w:szCs w:val="20"/>
          <w:color w:val="auto"/>
        </w:rPr>
      </w:pPr>
    </w:p>
    <w:p>
      <w:pPr>
        <w:jc w:val="both"/>
        <w:ind w:left="20" w:right="1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shall mean Title 11 of the United States Code entitled “Bankruptcy”, as now and hereafter in effect, or any successor statute.</w:t>
      </w:r>
    </w:p>
    <w:p>
      <w:pPr>
        <w:spacing w:after="0" w:line="187" w:lineRule="exact"/>
        <w:rPr>
          <w:sz w:val="20"/>
          <w:szCs w:val="20"/>
          <w:color w:val="auto"/>
        </w:rPr>
      </w:pPr>
    </w:p>
    <w:p>
      <w:pPr>
        <w:jc w:val="both"/>
        <w:ind w:left="20" w:right="1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shall mean for any day a rate per annum equal to the highest of (i) the Prime Rate, (ii) the Federal Funds Rate, as in effect from time to time, plus 0.50%, (iii) Adjusted Term SOFR determined on a daily basis for an Interest Period of one (1) month, plus 1.00% (any changes in such rates to be effective as of the date of any change in such rate), and (iv) two percent (2.00%). The Prime Rate is a reference rate and does not necessarily represent the lowest or best rate actually charged to any customer. Any change in the Base Rate due to a change in the Prime Rate, the Federal Funds Rate or Adjusted Term SOFR shall be effective from and including the effective date of such change in the Prime Rate, the Federal Funds Rate or Adjusted Term SOFR, as applicable.</w:t>
      </w:r>
    </w:p>
    <w:p>
      <w:pPr>
        <w:spacing w:after="0" w:line="2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shall mean Loans for which the rate of interest is based upon the Base Rate.</w:t>
      </w:r>
    </w:p>
    <w:p>
      <w:pPr>
        <w:spacing w:after="0" w:line="337" w:lineRule="exact"/>
        <w:rPr>
          <w:sz w:val="20"/>
          <w:szCs w:val="20"/>
          <w:color w:val="auto"/>
        </w:rPr>
      </w:pPr>
    </w:p>
    <w:p>
      <w:pPr>
        <w:jc w:val="both"/>
        <w:ind w:left="20" w:right="1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shall mean,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294" w:lineRule="exact"/>
        <w:rPr>
          <w:sz w:val="20"/>
          <w:szCs w:val="20"/>
          <w:color w:val="auto"/>
        </w:rPr>
      </w:pPr>
    </w:p>
    <w:p>
      <w:pPr>
        <w:jc w:val="both"/>
        <w:ind w:left="20" w:right="12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shall mean, with respect to any Benchmark Transition Event, the sum of: (a) the alternate benchmark rate that has been selected by the Administrative Agent, the Required Lenders and the Borrower giving due consideration to (i) any selection or recommendation of a replacement rate or the mechanism for determining such a rate by the Relevant Governmental Body or (ii) any evolving or then-prevailing market convention for determining a benchmark rate as a replacement to the then-current Benchmark for U.S. dollar-denominated syndicated credit facilities at such time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Benchmark Replacement as so determined would be less than the Floor, the Benchmark Replacement shall be deemed to be the Floor for the purposes of this Agreement and the other Loan Documents.</w:t>
      </w:r>
    </w:p>
    <w:p>
      <w:pPr>
        <w:spacing w:after="0" w:line="22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shall mean,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the Required Lenders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 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ectPr>
          <w:pgSz w:w="11900" w:h="16838" w:orient="portrait"/>
          <w:cols w:equalWidth="0" w:num="1">
            <w:col w:w="10180"/>
          </w:cols>
          <w:pgMar w:left="1380" w:top="1413" w:right="339" w:bottom="1440" w:gutter="0" w:footer="0" w:header="0"/>
        </w:sectPr>
      </w:pPr>
    </w:p>
    <w:bookmarkStart w:id="110" w:name="page111"/>
    <w:bookmarkEnd w:id="110"/>
    <w:p>
      <w:pPr>
        <w:spacing w:after="0" w:line="14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shall mean the earlier to occur of the following events with respect to the then-current Benchmark:</w:t>
      </w:r>
    </w:p>
    <w:p>
      <w:pPr>
        <w:spacing w:after="0" w:line="186" w:lineRule="exact"/>
        <w:rPr>
          <w:sz w:val="20"/>
          <w:szCs w:val="20"/>
          <w:color w:val="auto"/>
        </w:rPr>
      </w:pPr>
    </w:p>
    <w:p>
      <w:pPr>
        <w:jc w:val="both"/>
        <w:ind w:firstLine="1303"/>
        <w:spacing w:after="0" w:line="249" w:lineRule="auto"/>
        <w:tabs>
          <w:tab w:leader="none" w:pos="214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6" w:lineRule="exact"/>
        <w:rPr>
          <w:rFonts w:ascii="Times New Roman" w:cs="Times New Roman" w:eastAsia="Times New Roman" w:hAnsi="Times New Roman"/>
          <w:sz w:val="20"/>
          <w:szCs w:val="20"/>
          <w:color w:val="auto"/>
        </w:rPr>
      </w:pPr>
    </w:p>
    <w:p>
      <w:pPr>
        <w:jc w:val="both"/>
        <w:ind w:firstLine="1304"/>
        <w:spacing w:after="0" w:line="245" w:lineRule="auto"/>
        <w:tabs>
          <w:tab w:leader="none" w:pos="21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“Benchmark Transition Event,” the first date on which such Benchmark (or the published component used in the calculation thereof) has been determined and announced by or on behalf of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 representativeness will be determined by reference to the most recent statement or publication referenced in such clause (c) and even if any Available Tenor of such Benchmark (or such component thereof) continues to be provided on such date.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w:t>
      </w:r>
    </w:p>
    <w:p>
      <w:pPr>
        <w:spacing w:after="0" w:line="22" w:lineRule="exact"/>
        <w:rPr>
          <w:sz w:val="20"/>
          <w:szCs w:val="20"/>
          <w:color w:val="auto"/>
        </w:rPr>
      </w:pPr>
    </w:p>
    <w:p>
      <w:pPr>
        <w:ind w:firstLine="8"/>
        <w:spacing w:after="0" w:line="246" w:lineRule="auto"/>
        <w:tabs>
          <w:tab w:leader="none" w:pos="29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20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shall mean the occurrence of one or more of the following events with respect to the then-current Benchmark:</w:t>
      </w:r>
    </w:p>
    <w:p>
      <w:pPr>
        <w:spacing w:after="0" w:line="186" w:lineRule="exact"/>
        <w:rPr>
          <w:sz w:val="20"/>
          <w:szCs w:val="20"/>
          <w:color w:val="auto"/>
        </w:rPr>
      </w:pPr>
    </w:p>
    <w:p>
      <w:pPr>
        <w:jc w:val="both"/>
        <w:ind w:firstLine="1303"/>
        <w:spacing w:after="0" w:line="246" w:lineRule="auto"/>
        <w:tabs>
          <w:tab w:leader="none" w:pos="215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211" w:lineRule="exact"/>
        <w:rPr>
          <w:rFonts w:ascii="Times New Roman" w:cs="Times New Roman" w:eastAsia="Times New Roman" w:hAnsi="Times New Roman"/>
          <w:sz w:val="20"/>
          <w:szCs w:val="20"/>
          <w:color w:val="auto"/>
        </w:rPr>
      </w:pPr>
    </w:p>
    <w:p>
      <w:pPr>
        <w:jc w:val="both"/>
        <w:ind w:firstLine="1303"/>
        <w:spacing w:after="0" w:line="241" w:lineRule="auto"/>
        <w:tabs>
          <w:tab w:leader="none" w:pos="214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Term SOFR Administrator,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216" w:lineRule="exact"/>
        <w:rPr>
          <w:rFonts w:ascii="Times New Roman" w:cs="Times New Roman" w:eastAsia="Times New Roman" w:hAnsi="Times New Roman"/>
          <w:sz w:val="20"/>
          <w:szCs w:val="20"/>
          <w:color w:val="auto"/>
        </w:rPr>
      </w:pPr>
    </w:p>
    <w:p>
      <w:pPr>
        <w:jc w:val="both"/>
        <w:ind w:firstLine="1303"/>
        <w:spacing w:after="0" w:line="244" w:lineRule="auto"/>
        <w:tabs>
          <w:tab w:leader="none" w:pos="215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22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the avoidance of doubt, a “Benchmark Transition Event” shall be deemed to have occurred with respect to any Benchmark if a public statement or publication of information set forth above has occurred</w:t>
      </w:r>
    </w:p>
    <w:p>
      <w:pPr>
        <w:sectPr>
          <w:pgSz w:w="11900" w:h="16838" w:orient="portrait"/>
          <w:cols w:equalWidth="0" w:num="1">
            <w:col w:w="10040"/>
          </w:cols>
          <w:pgMar w:left="1400" w:top="1440" w:right="459" w:bottom="1440" w:gutter="0" w:footer="0" w:header="0"/>
        </w:sectPr>
      </w:pPr>
    </w:p>
    <w:bookmarkStart w:id="111" w:name="page112"/>
    <w:bookmarkEnd w:id="111"/>
    <w:p>
      <w:pPr>
        <w:jc w:val="both"/>
        <w:ind w:left="20" w:right="120"/>
        <w:spacing w:after="0" w:line="269" w:lineRule="auto"/>
        <w:rPr>
          <w:sz w:val="20"/>
          <w:szCs w:val="20"/>
          <w:color w:val="auto"/>
        </w:rPr>
      </w:pPr>
      <w:r>
        <w:rPr>
          <w:rFonts w:ascii="Times New Roman" w:cs="Times New Roman" w:eastAsia="Times New Roman" w:hAnsi="Times New Roman"/>
          <w:sz w:val="20"/>
          <w:szCs w:val="20"/>
          <w:color w:val="auto"/>
        </w:rPr>
        <w:t>with respect to each then-current Available Tenor of such Benchmark (or the published component used in the calculation thereof).</w:t>
      </w:r>
    </w:p>
    <w:p>
      <w:pPr>
        <w:spacing w:after="0" w:line="200" w:lineRule="exact"/>
        <w:rPr>
          <w:sz w:val="20"/>
          <w:szCs w:val="20"/>
          <w:color w:val="auto"/>
        </w:rPr>
      </w:pPr>
    </w:p>
    <w:p>
      <w:pPr>
        <w:jc w:val="both"/>
        <w:ind w:left="20" w:right="12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shall mean,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13" w:lineRule="exact"/>
        <w:rPr>
          <w:sz w:val="20"/>
          <w:szCs w:val="20"/>
          <w:color w:val="auto"/>
        </w:rPr>
      </w:pPr>
    </w:p>
    <w:p>
      <w:pPr>
        <w:jc w:val="both"/>
        <w:ind w:left="20" w:right="12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shall mean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307" w:lineRule="exact"/>
        <w:rPr>
          <w:sz w:val="20"/>
          <w:szCs w:val="20"/>
          <w:color w:val="auto"/>
        </w:rPr>
      </w:pPr>
    </w:p>
    <w:p>
      <w:pPr>
        <w:ind w:left="20" w:right="5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shall mean a certification regarding beneficial ownership as required by the Beneficial Ownership Regulation.</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shall mean 31 C.F.R. § 1010.230.</w:t>
      </w:r>
    </w:p>
    <w:p>
      <w:pPr>
        <w:spacing w:after="0" w:line="324"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BlackRock ESG Questionnaire</w:t>
      </w:r>
      <w:r>
        <w:rPr>
          <w:rFonts w:ascii="Times New Roman" w:cs="Times New Roman" w:eastAsia="Times New Roman" w:hAnsi="Times New Roman"/>
          <w:sz w:val="20"/>
          <w:szCs w:val="20"/>
          <w:color w:val="auto"/>
        </w:rPr>
        <w:t>” shall mean a questionnaire in a form provided by BlackRock Financial Management, Inc. (or its Affiliates) relating to environmental, social and governance attributes of the Borrower and/or its Affiliates.</w:t>
      </w:r>
    </w:p>
    <w:p>
      <w:pPr>
        <w:spacing w:after="0" w:line="201" w:lineRule="exact"/>
        <w:rPr>
          <w:sz w:val="20"/>
          <w:szCs w:val="20"/>
          <w:color w:val="auto"/>
        </w:rPr>
      </w:pPr>
    </w:p>
    <w:p>
      <w:pPr>
        <w:jc w:val="both"/>
        <w:ind w:left="20"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BlackRock Fee Letter</w:t>
      </w:r>
      <w:r>
        <w:rPr>
          <w:rFonts w:ascii="Times New Roman" w:cs="Times New Roman" w:eastAsia="Times New Roman" w:hAnsi="Times New Roman"/>
          <w:sz w:val="20"/>
          <w:szCs w:val="20"/>
          <w:color w:val="auto"/>
        </w:rPr>
        <w:t xml:space="preserve">” shall mean that certain Fee Letter, dated the Closing Date, by and among the Borrower and the </w:t>
      </w:r>
      <w:r>
        <w:rPr>
          <w:rFonts w:ascii="Times New Roman" w:cs="Times New Roman" w:eastAsia="Times New Roman" w:hAnsi="Times New Roman"/>
          <w:sz w:val="20"/>
          <w:szCs w:val="20"/>
          <w:color w:val="EE2724"/>
          <w:strike w:val="1"/>
        </w:rPr>
        <w:t>BlackRock</w:t>
      </w:r>
      <w:r>
        <w:rPr>
          <w:rFonts w:ascii="Times New Roman" w:cs="Times New Roman" w:eastAsia="Times New Roman" w:hAnsi="Times New Roman"/>
          <w:sz w:val="20"/>
          <w:szCs w:val="20"/>
          <w:color w:val="auto"/>
        </w:rPr>
        <w:t xml:space="preserve"> Lenders </w:t>
      </w:r>
      <w:r>
        <w:rPr>
          <w:rFonts w:ascii="Times New Roman" w:cs="Times New Roman" w:eastAsia="Times New Roman" w:hAnsi="Times New Roman"/>
          <w:sz w:val="20"/>
          <w:szCs w:val="20"/>
          <w:u w:val="single" w:color="auto"/>
          <w:color w:val="0000FF"/>
        </w:rPr>
        <w:t>party thereto</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BlackRock GCO</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F7F40"/>
        </w:rPr>
        <w:t>Lender</w:t>
      </w:r>
      <w:r>
        <w:rPr>
          <w:rFonts w:ascii="Times New Roman" w:cs="Times New Roman" w:eastAsia="Times New Roman" w:hAnsi="Times New Roman"/>
          <w:sz w:val="20"/>
          <w:szCs w:val="20"/>
          <w:color w:val="0F7F40"/>
        </w:rPr>
        <w:t>” shall have the meaning</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EE2724"/>
          <w:strike w:val="1"/>
        </w:rPr>
        <w:t>ascribed to such defined term in</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F7F40"/>
          <w:strike w:val="1"/>
        </w:rPr>
        <w:t>the Board Observation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-62230</wp:posOffset>
            </wp:positionV>
            <wp:extent cx="16833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1683385" cy="889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F7F40"/>
          <w:strike w:val="1"/>
        </w:rPr>
        <w:t>Letter.</w:t>
      </w:r>
    </w:p>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BlackRock Lenders</w:t>
      </w:r>
      <w:r>
        <w:rPr>
          <w:rFonts w:ascii="Times New Roman" w:cs="Times New Roman" w:eastAsia="Times New Roman" w:hAnsi="Times New Roman"/>
          <w:sz w:val="20"/>
          <w:szCs w:val="20"/>
          <w:color w:val="EE2724"/>
          <w:strike w:val="1"/>
        </w:rPr>
        <w:t>” shall have the meaning ascribed to such defined term in the BlackRock FeeLetter.</w:t>
      </w:r>
    </w:p>
    <w:p>
      <w:pPr>
        <w:spacing w:after="0" w:line="243"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Observation Side Letter</w:t>
      </w:r>
      <w:r>
        <w:rPr>
          <w:rFonts w:ascii="Times New Roman" w:cs="Times New Roman" w:eastAsia="Times New Roman" w:hAnsi="Times New Roman"/>
          <w:sz w:val="20"/>
          <w:szCs w:val="20"/>
          <w:color w:val="auto"/>
        </w:rPr>
        <w:t xml:space="preserve">” shall mean that certain letter agreement, </w:t>
      </w:r>
      <w:r>
        <w:rPr>
          <w:rFonts w:ascii="Times New Roman" w:cs="Times New Roman" w:eastAsia="Times New Roman" w:hAnsi="Times New Roman"/>
          <w:sz w:val="20"/>
          <w:szCs w:val="20"/>
          <w:u w:val="single" w:color="auto"/>
          <w:color w:val="0000FF"/>
        </w:rPr>
        <w:t>originally</w:t>
      </w:r>
      <w:r>
        <w:rPr>
          <w:rFonts w:ascii="Times New Roman" w:cs="Times New Roman" w:eastAsia="Times New Roman" w:hAnsi="Times New Roman"/>
          <w:sz w:val="20"/>
          <w:szCs w:val="20"/>
          <w:color w:val="auto"/>
        </w:rPr>
        <w:t xml:space="preserve"> dated as of the Closing Date, by and between Holdings and the </w:t>
      </w:r>
      <w:r>
        <w:rPr>
          <w:rFonts w:ascii="Times New Roman" w:cs="Times New Roman" w:eastAsia="Times New Roman" w:hAnsi="Times New Roman"/>
          <w:sz w:val="20"/>
          <w:szCs w:val="20"/>
          <w:color w:val="FF0000"/>
          <w:strike w:val="1"/>
        </w:rPr>
        <w:t>BlackRock GCO Lender</w:t>
      </w:r>
      <w:r>
        <w:rPr>
          <w:rFonts w:ascii="Times New Roman" w:cs="Times New Roman" w:eastAsia="Times New Roman" w:hAnsi="Times New Roman"/>
          <w:sz w:val="20"/>
          <w:szCs w:val="20"/>
          <w:u w:val="single" w:color="auto"/>
          <w:color w:val="0000FF"/>
        </w:rPr>
        <w:t>Lenders and other parties party thereto, as amended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or otherwise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modified from time to time</w:t>
      </w:r>
      <w:r>
        <w:rPr>
          <w:rFonts w:ascii="Times New Roman" w:cs="Times New Roman" w:eastAsia="Times New Roman" w:hAnsi="Times New Roman"/>
          <w:sz w:val="20"/>
          <w:szCs w:val="20"/>
          <w:u w:val="single" w:color="auto"/>
          <w:color w:val="0000FF"/>
        </w:rPr>
        <w:t>, including on the Second Amendment Effective Date</w:t>
      </w:r>
      <w:r>
        <w:rPr>
          <w:rFonts w:ascii="Times New Roman" w:cs="Times New Roman" w:eastAsia="Times New Roman" w:hAnsi="Times New Roman"/>
          <w:sz w:val="20"/>
          <w:szCs w:val="20"/>
          <w:color w:val="000000"/>
        </w:rPr>
        <w:t>.</w:t>
      </w:r>
    </w:p>
    <w:p>
      <w:pPr>
        <w:spacing w:after="0" w:line="215" w:lineRule="exact"/>
        <w:rPr>
          <w:sz w:val="20"/>
          <w:szCs w:val="20"/>
          <w:color w:val="auto"/>
        </w:rPr>
      </w:pPr>
    </w:p>
    <w:p>
      <w:pPr>
        <w:jc w:val="both"/>
        <w:ind w:left="20"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xml:space="preserve">” shall mean, with respect to any Person, the board of directors or other equivalent governing body for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in no event shall any Observer designated and appointed pursuant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constitute a Board of Director of any Person for the purposes of this Agreement or any other Loan Document.</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shall have the meaning set forth in the introductory paragraph hereof.</w:t>
      </w:r>
    </w:p>
    <w:p>
      <w:pPr>
        <w:spacing w:after="0" w:line="3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u w:val="single" w:color="auto"/>
          <w:color w:val="0000FF"/>
        </w:rPr>
        <w:t>a borrowing hereunder consisting</w:t>
      </w:r>
      <w:r>
        <w:rPr>
          <w:rFonts w:ascii="Times New Roman" w:cs="Times New Roman" w:eastAsia="Times New Roman" w:hAnsi="Times New Roman"/>
          <w:sz w:val="20"/>
          <w:szCs w:val="20"/>
          <w:color w:val="auto"/>
        </w:rPr>
        <w:t xml:space="preserve"> the Term Loans made on the Funding Date </w:t>
      </w:r>
      <w:r>
        <w:rPr>
          <w:rFonts w:ascii="Times New Roman" w:cs="Times New Roman" w:eastAsia="Times New Roman" w:hAnsi="Times New Roman"/>
          <w:sz w:val="20"/>
          <w:szCs w:val="20"/>
          <w:color w:val="0000FF"/>
        </w:rPr>
        <w:t>or the Second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Amendment Effective Date, as applicable</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5701665</wp:posOffset>
            </wp:positionH>
            <wp:positionV relativeFrom="paragraph">
              <wp:posOffset>-175260</wp:posOffset>
            </wp:positionV>
            <wp:extent cx="7562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56285" cy="8890"/>
                    </a:xfrm>
                    <a:prstGeom prst="rect">
                      <a:avLst/>
                    </a:prstGeom>
                    <a:noFill/>
                  </pic:spPr>
                </pic:pic>
              </a:graphicData>
            </a:graphic>
          </wp:anchor>
        </w:drawing>
      </w:r>
    </w:p>
    <w:p>
      <w:pPr>
        <w:sectPr>
          <w:pgSz w:w="11900" w:h="16838" w:orient="portrait"/>
          <w:cols w:equalWidth="0" w:num="1">
            <w:col w:w="10180"/>
          </w:cols>
          <w:pgMar w:left="1380" w:top="1332" w:right="339" w:bottom="1440" w:gutter="0" w:footer="0" w:header="0"/>
        </w:sectPr>
      </w:pPr>
    </w:p>
    <w:bookmarkStart w:id="112" w:name="page113"/>
    <w:bookmarkEnd w:id="112"/>
    <w:p>
      <w:pPr>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other than a Saturday, Sunday or other day on which commercial banks in New York, New York are authorized or required by law to close.</w:t>
      </w:r>
    </w:p>
    <w:p>
      <w:pPr>
        <w:spacing w:after="0" w:line="200" w:lineRule="exact"/>
        <w:rPr>
          <w:sz w:val="20"/>
          <w:szCs w:val="20"/>
          <w:color w:val="auto"/>
        </w:rPr>
      </w:pPr>
    </w:p>
    <w:p>
      <w:pPr>
        <w:jc w:val="both"/>
        <w:ind w:left="20"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Cabretta Agreement</w:t>
      </w:r>
      <w:r>
        <w:rPr>
          <w:rFonts w:ascii="Times New Roman" w:cs="Times New Roman" w:eastAsia="Times New Roman" w:hAnsi="Times New Roman"/>
          <w:sz w:val="20"/>
          <w:szCs w:val="20"/>
          <w:u w:val="single" w:color="auto"/>
          <w:color w:val="0000FF"/>
        </w:rPr>
        <w:t>s</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color w:val="FF0000"/>
          <w:strike w:val="1"/>
        </w:rPr>
        <w:t>that</w:t>
      </w:r>
      <w:r>
        <w:rPr>
          <w:rFonts w:ascii="Times New Roman" w:cs="Times New Roman" w:eastAsia="Times New Roman" w:hAnsi="Times New Roman"/>
          <w:sz w:val="20"/>
          <w:szCs w:val="20"/>
          <w:u w:val="single" w:color="auto"/>
          <w:color w:val="0000FF"/>
        </w:rPr>
        <w:t>those</w:t>
      </w:r>
      <w:r>
        <w:rPr>
          <w:rFonts w:ascii="Times New Roman" w:cs="Times New Roman" w:eastAsia="Times New Roman" w:hAnsi="Times New Roman"/>
          <w:sz w:val="20"/>
          <w:szCs w:val="20"/>
          <w:color w:val="auto"/>
        </w:rPr>
        <w:t xml:space="preserve"> certain </w:t>
      </w:r>
      <w:r>
        <w:rPr>
          <w:rFonts w:ascii="Times New Roman" w:cs="Times New Roman" w:eastAsia="Times New Roman" w:hAnsi="Times New Roman"/>
          <w:sz w:val="20"/>
          <w:szCs w:val="20"/>
          <w:color w:val="FF0000"/>
          <w:strike w:val="1"/>
        </w:rPr>
        <w:t>S</w:t>
      </w:r>
      <w:r>
        <w:rPr>
          <w:rFonts w:ascii="Times New Roman" w:cs="Times New Roman" w:eastAsia="Times New Roman" w:hAnsi="Times New Roman"/>
          <w:sz w:val="20"/>
          <w:szCs w:val="20"/>
          <w:u w:val="single" w:color="auto"/>
          <w:color w:val="0000FF"/>
        </w:rPr>
        <w:t>s</w:t>
      </w:r>
      <w:r>
        <w:rPr>
          <w:rFonts w:ascii="Times New Roman" w:cs="Times New Roman" w:eastAsia="Times New Roman" w:hAnsi="Times New Roman"/>
          <w:sz w:val="20"/>
          <w:szCs w:val="20"/>
          <w:color w:val="auto"/>
        </w:rPr>
        <w:t xml:space="preserve">ubscription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greement</w:t>
      </w:r>
      <w:r>
        <w:rPr>
          <w:rFonts w:ascii="Times New Roman" w:cs="Times New Roman" w:eastAsia="Times New Roman" w:hAnsi="Times New Roman"/>
          <w:sz w:val="20"/>
          <w:szCs w:val="20"/>
          <w:u w:val="single" w:color="auto"/>
          <w:color w:val="0000FF"/>
        </w:rPr>
        <w:t>s</w:t>
      </w:r>
      <w:r>
        <w:rPr>
          <w:rFonts w:ascii="Times New Roman" w:cs="Times New Roman" w:eastAsia="Times New Roman" w:hAnsi="Times New Roman"/>
          <w:sz w:val="20"/>
          <w:szCs w:val="20"/>
          <w:color w:val="FF0000"/>
          <w:strike w:val="1"/>
        </w:rPr>
        <w:t>, dated as of November 15, 2021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effect on the Closing Date</w:t>
      </w:r>
      <w:r>
        <w:rPr>
          <w:rFonts w:ascii="Times New Roman" w:cs="Times New Roman" w:eastAsia="Times New Roman" w:hAnsi="Times New Roman"/>
          <w:sz w:val="20"/>
          <w:szCs w:val="20"/>
          <w:color w:val="FF0000"/>
          <w:strike w:val="1"/>
        </w:rPr>
        <w:t>, by and between RIC</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u w:val="single" w:color="auto"/>
          <w:color w:val="0000FF"/>
          <w:strike w:val="1"/>
        </w:rPr>
        <w:t>with each of Cabretta SC Mill Fund, LLC, a Georgia limited liability company</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000000"/>
          <w:strike w:val="1"/>
        </w:rPr>
        <w:t>and Cabretta Georgia Tax Credit Fund LLC, a Georgia limited liability company</w:t>
      </w:r>
      <w:r>
        <w:rPr>
          <w:rFonts w:ascii="Times New Roman" w:cs="Times New Roman" w:eastAsia="Times New Roman" w:hAnsi="Times New Roman"/>
          <w:sz w:val="20"/>
          <w:szCs w:val="20"/>
          <w:u w:val="single" w:color="auto"/>
          <w:color w:val="0000FF"/>
          <w:strike w:val="1"/>
        </w:rPr>
        <w:t>, as applicable,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8000"/>
          <w:strike w:val="1"/>
        </w:rPr>
        <w:t>in effect on the Closing Date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through which RIC and RPC receive state tax credits</w:t>
      </w:r>
      <w:r>
        <w:rPr>
          <w:rFonts w:ascii="Times New Roman" w:cs="Times New Roman" w:eastAsia="Times New Roman" w:hAnsi="Times New Roman"/>
          <w:sz w:val="20"/>
          <w:szCs w:val="20"/>
          <w:color w:val="000000"/>
          <w:strike w:val="1"/>
        </w:rPr>
        <w:t>.</w:t>
      </w:r>
    </w:p>
    <w:p>
      <w:pPr>
        <w:spacing w:after="0" w:line="212" w:lineRule="exact"/>
        <w:rPr>
          <w:sz w:val="20"/>
          <w:szCs w:val="20"/>
          <w:color w:val="auto"/>
        </w:rPr>
      </w:pPr>
    </w:p>
    <w:p>
      <w:pPr>
        <w:jc w:val="both"/>
        <w:ind w:left="20" w:right="12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shall mean, subject to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the obligations of such Person to pay rent or other amounts under any lease (or other arrangement conveying the right to use) of real or personal property, or a combination thereof, which obligations are required to be classified and accounted for as </w:t>
      </w:r>
      <w:r>
        <w:rPr>
          <w:rFonts w:ascii="Times New Roman" w:cs="Times New Roman" w:eastAsia="Times New Roman" w:hAnsi="Times New Roman"/>
          <w:sz w:val="20"/>
          <w:szCs w:val="20"/>
          <w:color w:val="EE2724"/>
          <w:strike w:val="1"/>
        </w:rPr>
        <w:t>capital</w:t>
      </w:r>
      <w:r>
        <w:rPr>
          <w:rFonts w:ascii="Times New Roman" w:cs="Times New Roman" w:eastAsia="Times New Roman" w:hAnsi="Times New Roman"/>
          <w:sz w:val="20"/>
          <w:szCs w:val="20"/>
          <w:u w:val="single" w:color="auto"/>
          <w:color w:val="0000FF"/>
        </w:rPr>
        <w:t>finance</w:t>
      </w:r>
      <w:r>
        <w:rPr>
          <w:rFonts w:ascii="Times New Roman" w:cs="Times New Roman" w:eastAsia="Times New Roman" w:hAnsi="Times New Roman"/>
          <w:sz w:val="20"/>
          <w:szCs w:val="20"/>
          <w:color w:val="auto"/>
        </w:rPr>
        <w:t xml:space="preserve"> leases on a balance sheet of such Person under GAAP, and the amount of such obligations shall be the capitalized amount thereof determined in accordance with GAAP.</w:t>
      </w:r>
    </w:p>
    <w:p>
      <w:pPr>
        <w:spacing w:after="0" w:line="212" w:lineRule="exact"/>
        <w:rPr>
          <w:sz w:val="20"/>
          <w:szCs w:val="20"/>
          <w:color w:val="auto"/>
        </w:rPr>
      </w:pPr>
    </w:p>
    <w:p>
      <w:pPr>
        <w:jc w:val="both"/>
        <w:ind w:left="20" w:right="12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 under the Exchange Act).</w:t>
      </w:r>
    </w:p>
    <w:p>
      <w:pPr>
        <w:spacing w:after="0" w:line="2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Carvana</w:t>
      </w:r>
      <w:r>
        <w:rPr>
          <w:rFonts w:ascii="Times New Roman" w:cs="Times New Roman" w:eastAsia="Times New Roman" w:hAnsi="Times New Roman"/>
          <w:sz w:val="20"/>
          <w:szCs w:val="20"/>
          <w:color w:val="auto"/>
        </w:rPr>
        <w:t>” shall mean, collectively, (a) Carvana, LLC, an Arizona limited liability company, (b) Carvana Insurance Services, LLC, an Arizona limited liability company and (c) Carvana Group, LLC, a Delaware limited liability company.</w:t>
      </w:r>
    </w:p>
    <w:p>
      <w:pPr>
        <w:spacing w:after="0" w:line="200" w:lineRule="exact"/>
        <w:rPr>
          <w:sz w:val="20"/>
          <w:szCs w:val="20"/>
          <w:color w:val="auto"/>
        </w:rPr>
      </w:pPr>
    </w:p>
    <w:p>
      <w:pPr>
        <w:jc w:val="both"/>
        <w:ind w:left="20" w:right="12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Carvana Agreements</w:t>
      </w:r>
      <w:r>
        <w:rPr>
          <w:rFonts w:ascii="Times New Roman" w:cs="Times New Roman" w:eastAsia="Times New Roman" w:hAnsi="Times New Roman"/>
          <w:sz w:val="20"/>
          <w:szCs w:val="20"/>
          <w:color w:val="auto"/>
        </w:rPr>
        <w:t>” shall mean, collectively, that certain (a) Investment Agreement, dated as of August 11, 2021 (as amended, restated, amended and restated, supplemented or otherwise modified and in effect prior to the Closing Date), by and between Holdings and Carvana Group, LLC, a Delaware limited liability company and (b) Commercial Agreement, dated as of October 1, 2021 (as amended, restated, amended and restated, supplemented or otherwise modified and in effect prior to the Closing Date), by and between the Borrower and Carvana.</w:t>
      </w:r>
    </w:p>
    <w:p>
      <w:pPr>
        <w:spacing w:after="0" w:line="2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Carvana Warrants</w:t>
      </w:r>
      <w:r>
        <w:rPr>
          <w:rFonts w:ascii="Times New Roman" w:cs="Times New Roman" w:eastAsia="Times New Roman" w:hAnsi="Times New Roman"/>
          <w:sz w:val="20"/>
          <w:szCs w:val="20"/>
          <w:color w:val="auto"/>
        </w:rPr>
        <w:t>” shall mean the “Warrants” (as defined in the Carvana Agreements).</w:t>
      </w:r>
    </w:p>
    <w:p>
      <w:pPr>
        <w:spacing w:after="0" w:line="324" w:lineRule="exact"/>
        <w:rPr>
          <w:sz w:val="20"/>
          <w:szCs w:val="20"/>
          <w:color w:val="auto"/>
        </w:rPr>
      </w:pPr>
    </w:p>
    <w:p>
      <w:pPr>
        <w:jc w:val="both"/>
        <w:ind w:left="20"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Cayman Law Share Pledge</w:t>
      </w:r>
      <w:r>
        <w:rPr>
          <w:rFonts w:ascii="Times New Roman" w:cs="Times New Roman" w:eastAsia="Times New Roman" w:hAnsi="Times New Roman"/>
          <w:sz w:val="20"/>
          <w:szCs w:val="20"/>
          <w:color w:val="auto"/>
        </w:rPr>
        <w:t>” shall mean that certain Equitable Mortgage Over Shares dated as of the Closing Date, made by the Borrower in favor of the Administrative Agent (for the benefit of the Secured Parties).</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shall mean the occurrence of one or more of the following events:</w:t>
      </w:r>
    </w:p>
    <w:p>
      <w:pPr>
        <w:spacing w:after="0" w:line="337" w:lineRule="exact"/>
        <w:rPr>
          <w:sz w:val="20"/>
          <w:szCs w:val="20"/>
          <w:color w:val="auto"/>
        </w:rPr>
      </w:pPr>
    </w:p>
    <w:p>
      <w:pPr>
        <w:jc w:val="both"/>
        <w:ind w:left="20" w:right="120" w:firstLine="1303"/>
        <w:spacing w:after="0"/>
        <w:tabs>
          <w:tab w:leader="none" w:pos="153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(in each case, within the meaning of the Exchange Act and the rules of the SEC promulgated thereunder) other than the Permitted Holders or any Person acting in its capacity as trustee, agent or other fiduciary of, or holding securities under, an employee benefit plan of the Borrower (a) shall have acquired, directly or indirectly, beneficial ownership of 35.0% or more of the outstanding shares of the voting interests in the Capital Stock of Holdings or (b) shall have obtained the power (whether or not exercised) to elect a majority of the members of the Board of Directors of Holdings; or</w:t>
      </w:r>
    </w:p>
    <w:p>
      <w:pPr>
        <w:spacing w:after="0" w:line="5" w:lineRule="exact"/>
        <w:rPr>
          <w:rFonts w:ascii="Times New Roman" w:cs="Times New Roman" w:eastAsia="Times New Roman" w:hAnsi="Times New Roman"/>
          <w:sz w:val="20"/>
          <w:szCs w:val="20"/>
          <w:color w:val="auto"/>
        </w:rPr>
      </w:pPr>
    </w:p>
    <w:p>
      <w:pPr>
        <w:ind w:left="20" w:right="120" w:firstLine="1303"/>
        <w:spacing w:after="0" w:line="246" w:lineRule="auto"/>
        <w:tabs>
          <w:tab w:leader="none" w:pos="21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twenty-four (24) consecutive months, a majority of the members of the Board of Directors of Holdings cease to be composed of individuals who are Continuing Directors; or</w:t>
      </w:r>
    </w:p>
    <w:p>
      <w:pPr>
        <w:sectPr>
          <w:pgSz w:w="11900" w:h="16838" w:orient="portrait"/>
          <w:cols w:equalWidth="0" w:num="1">
            <w:col w:w="10180"/>
          </w:cols>
          <w:pgMar w:left="1380" w:top="1413" w:right="339" w:bottom="1440" w:gutter="0" w:footer="0" w:header="0"/>
        </w:sectPr>
      </w:pPr>
    </w:p>
    <w:bookmarkStart w:id="113" w:name="page114"/>
    <w:bookmarkEnd w:id="113"/>
    <w:p>
      <w:pPr>
        <w:ind w:left="2160" w:hanging="857"/>
        <w:spacing w:after="0"/>
        <w:tabs>
          <w:tab w:leader="none" w:pos="216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Holdings shall cease to directly own and control 100% of the Capital Stock of the Borrower; or</w:t>
      </w:r>
    </w:p>
    <w:p>
      <w:pPr>
        <w:spacing w:after="0" w:line="33" w:lineRule="exact"/>
        <w:rPr>
          <w:rFonts w:ascii="Times New Roman" w:cs="Times New Roman" w:eastAsia="Times New Roman" w:hAnsi="Times New Roman"/>
          <w:sz w:val="19"/>
          <w:szCs w:val="19"/>
          <w:color w:val="auto"/>
        </w:rPr>
      </w:pPr>
    </w:p>
    <w:p>
      <w:pPr>
        <w:jc w:val="both"/>
        <w:ind w:firstLine="7"/>
        <w:spacing w:after="0" w:line="242" w:lineRule="auto"/>
        <w:tabs>
          <w:tab w:leader="none" w:pos="29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cease to own and control, directly or indirectly, 100% of the Capital Stock of each of its Subsidiaries (other than, in the case of clause (b), pursuant to a transaction permitted by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parenthetical shall not apply with respect to any Insurance Subsidiary).</w:t>
      </w:r>
    </w:p>
    <w:p>
      <w:pPr>
        <w:spacing w:after="0" w:line="29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shall mean the occurrence, after the Closing Date, of any of the following: (i) the adoption or taking effect of any applicable law, rule, regulation or treaty, (ii) any change in any applicable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right="7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A Common Stock</w:t>
      </w:r>
      <w:r>
        <w:rPr>
          <w:rFonts w:ascii="Times New Roman" w:cs="Times New Roman" w:eastAsia="Times New Roman" w:hAnsi="Times New Roman"/>
          <w:sz w:val="20"/>
          <w:szCs w:val="20"/>
          <w:color w:val="auto"/>
        </w:rPr>
        <w:t>” shall have the meaning set forth in Holdings’ Amended and Restated Certificate of Incorporation in effect on the Closing Date.</w:t>
      </w:r>
    </w:p>
    <w:p>
      <w:pPr>
        <w:spacing w:after="0" w:line="186" w:lineRule="exact"/>
        <w:rPr>
          <w:sz w:val="20"/>
          <w:szCs w:val="20"/>
          <w:color w:val="auto"/>
        </w:rPr>
      </w:pPr>
    </w:p>
    <w:p>
      <w:pPr>
        <w:ind w:right="7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B Common Stock</w:t>
      </w:r>
      <w:r>
        <w:rPr>
          <w:rFonts w:ascii="Times New Roman" w:cs="Times New Roman" w:eastAsia="Times New Roman" w:hAnsi="Times New Roman"/>
          <w:sz w:val="20"/>
          <w:szCs w:val="20"/>
          <w:color w:val="auto"/>
        </w:rPr>
        <w:t>” shall have the meaning set forth in Holdings’ Amended and Restated Certificate of Incorporation in effect on the Closing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shall mean January 26, 2022.</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w:t>
      </w:r>
    </w:p>
    <w:p>
      <w:pPr>
        <w:spacing w:after="0" w:line="32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shall mean all tangible and intangible property, real and personal, of any Loan Party that is, or purports to be, the subject of a Lien to the Administrative Agent under the Loan Documents to secure the whole or any part of the Obligations or any Guarantee thereof, and shall include, without limitation, all casualty insurance proceeds and condemnation awards with respect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Collateral shall exclude (i) all of the assets of any Insurance Subsidiary (but, for the avoidance of doubt, and subject to the limitations and restrictions set forth herein and in the other Loan Documents, not the Capital Stock of such Insurance Subsidiary) or any Subsidiary of an Insurance Subsidiary and (ii) all other Excluded Property.</w:t>
      </w:r>
    </w:p>
    <w:p>
      <w:pPr>
        <w:spacing w:after="0" w:line="21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shall mean each landlord waiver or bailee agreement granted to, and in form and substance reasonably acceptable to, the Administrative Agent.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Assignment</w:t>
      </w:r>
      <w:r>
        <w:rPr>
          <w:rFonts w:ascii="Times New Roman" w:cs="Times New Roman" w:eastAsia="Times New Roman" w:hAnsi="Times New Roman"/>
          <w:sz w:val="20"/>
          <w:szCs w:val="20"/>
          <w:color w:val="auto"/>
        </w:rPr>
        <w:t>” shall mean that certain Collateral Assignment of Contract Rights under the RIC Authorized Producer Agreement and the RPC Authorized Producer Agreement, dated as of the Closing Date, executed by RIA in favor of the Administrative Agent.</w:t>
      </w:r>
    </w:p>
    <w:p>
      <w:pPr>
        <w:spacing w:after="0" w:line="20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shall mean, collectively, the Guaranty and Security Agreement, the Cayman Law Share Pledge, any Real Estate Documents, the Control Account Agreements, the Collateral Assignment, all Copyright Security Agreements, all Patent Security Agreements, all Trademark Security Agreements, all Collateral Access Agreements and all other instruments and agreements now or hereafter securing or perfecting the Liens securing the whole or any part of the Obligations or any Guarantee thereof.</w:t>
      </w:r>
    </w:p>
    <w:p>
      <w:pPr>
        <w:sectPr>
          <w:pgSz w:w="11900" w:h="16838" w:orient="portrait"/>
          <w:cols w:equalWidth="0" w:num="1">
            <w:col w:w="10040"/>
          </w:cols>
          <w:pgMar w:left="1400" w:top="1332" w:right="459" w:bottom="1440" w:gutter="0" w:footer="0" w:header="0"/>
        </w:sectPr>
      </w:pPr>
    </w:p>
    <w:bookmarkStart w:id="114" w:name="page115"/>
    <w:bookmarkEnd w:id="114"/>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shall mean the Term Loan Commitments.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10.1(b)(iv)</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left="20" w:right="140"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shall mean a certificate from a Financial Officer of Holdings and the Borrower, substantially in the form of, and containing substantially the certifications set forth in, the form attached hereto as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5.1(e)</w:t>
      </w:r>
      <w:r>
        <w:rPr>
          <w:rFonts w:ascii="Times New Roman" w:cs="Times New Roman" w:eastAsia="Times New Roman" w:hAnsi="Times New Roman"/>
          <w:sz w:val="20"/>
          <w:szCs w:val="20"/>
          <w:color w:val="auto"/>
        </w:rPr>
        <w:t>.</w:t>
      </w:r>
    </w:p>
    <w:p>
      <w:pPr>
        <w:spacing w:after="0" w:line="302" w:lineRule="exact"/>
        <w:rPr>
          <w:sz w:val="20"/>
          <w:szCs w:val="20"/>
          <w:color w:val="auto"/>
        </w:rPr>
      </w:pPr>
    </w:p>
    <w:p>
      <w:pPr>
        <w:jc w:val="both"/>
        <w:ind w:left="20" w:right="120"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and other technical, administrative or operational matters) that the Administrative Agent and the Required Lenders decide,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in consultation with the Borrower, that adoption of any portion of such market practice is not administratively feasible or if the Administrative Agent determines, in consultation with the Borrower, that no market practice for the administration of any such rate exists, in such other manner of administration as the Administrative Agent decides, in consultation with the Borrower and Required Lenders, is reasonably necessary in connection with the administration of this Agreement and the other Loan Documents).</w:t>
      </w:r>
    </w:p>
    <w:p>
      <w:pPr>
        <w:spacing w:after="0" w:line="236" w:lineRule="exact"/>
        <w:rPr>
          <w:sz w:val="20"/>
          <w:szCs w:val="20"/>
          <w:color w:val="auto"/>
        </w:rPr>
      </w:pPr>
    </w:p>
    <w:p>
      <w:pPr>
        <w:jc w:val="both"/>
        <w:ind w:left="20" w:right="14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shall mean Other Connection Taxes that are imposed on, or measured by, net income (however denominated) or that are franchise Taxes or branch profits Taxes.</w:t>
      </w:r>
    </w:p>
    <w:p>
      <w:pPr>
        <w:spacing w:after="0" w:line="200"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Cash</w:t>
      </w:r>
      <w:r>
        <w:rPr>
          <w:rFonts w:ascii="Times New Roman" w:cs="Times New Roman" w:eastAsia="Times New Roman" w:hAnsi="Times New Roman"/>
          <w:sz w:val="20"/>
          <w:szCs w:val="20"/>
          <w:color w:val="auto"/>
        </w:rPr>
        <w:t>” shall mean, as at any date of determination, the aggregate cash (regardless of whether restricted or unrestricted) and cash equivalents of Holdings and its Subsidiaries.</w:t>
      </w:r>
    </w:p>
    <w:p>
      <w:pPr>
        <w:spacing w:after="0" w:line="186" w:lineRule="exact"/>
        <w:rPr>
          <w:sz w:val="20"/>
          <w:szCs w:val="20"/>
          <w:color w:val="auto"/>
        </w:rPr>
      </w:pPr>
    </w:p>
    <w:p>
      <w:pPr>
        <w:jc w:val="both"/>
        <w:ind w:left="20" w:right="120"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Contingent Line of Credit</w:t>
      </w:r>
      <w:r>
        <w:rPr>
          <w:rFonts w:ascii="Times New Roman" w:cs="Times New Roman" w:eastAsia="Times New Roman" w:hAnsi="Times New Roman"/>
          <w:sz w:val="19"/>
          <w:szCs w:val="19"/>
          <w:color w:val="auto"/>
        </w:rPr>
        <w:t>” shall mean any unsecured line of credit pursuant to which (i) all of the obligations owing by the debtor(s) under such line of credit are expressly subordinated in right of payment to the Obligations on terms and conditions (including, for the avoidance of doubt, standstill provisions) reasonably acceptable to the Administrative Agent and the Required Lenders in their sole discretion, (ii) the only debtor(s) under such line of credit are Loan Parties, (iii) such line of credit and any Indebtedness issued thereunder does not have a stated maturity date or provide for scheduled amortization payments prior to one hundred eighty (180) days after the Stated Maturity Date, and (iv) there shall be no mandatory prepayment or redemption required (except for (x) provisions requiring Holdings to convert all or any portion of such Indebtedness into Qualified Capital Stock of Holdings, (y) customary repayment provisions upon a change of control and (z) customary acceleration rights after an event of default) prior to one hundred eighty (180) days after the Stated Maturity Date.</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 Director</w:t>
      </w:r>
      <w:r>
        <w:rPr>
          <w:rFonts w:ascii="Times New Roman" w:cs="Times New Roman" w:eastAsia="Times New Roman" w:hAnsi="Times New Roman"/>
          <w:sz w:val="20"/>
          <w:szCs w:val="20"/>
          <w:color w:val="auto"/>
        </w:rPr>
        <w:t xml:space="preserve">” shall mean, with respect to any period, any individual (A) who was a member of the Board of Directors of Holdings on the first day of such period, (B) whose election or nomination to the Board of Directors was approved by individuals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constituting at the time of such election or nomination at least a majority of the Board of Directors or</w:t>
      </w:r>
    </w:p>
    <w:p>
      <w:pPr>
        <w:spacing w:after="0" w:line="3" w:lineRule="exact"/>
        <w:rPr>
          <w:sz w:val="20"/>
          <w:szCs w:val="20"/>
          <w:color w:val="auto"/>
        </w:rPr>
      </w:pPr>
    </w:p>
    <w:p>
      <w:pPr>
        <w:ind w:left="20" w:right="140" w:firstLine="7"/>
        <w:spacing w:after="0" w:line="246" w:lineRule="auto"/>
        <w:tabs>
          <w:tab w:leader="none" w:pos="35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whose election or nomination to the Board of Directors was approved by individuals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constituting at the time of such election or nomination at least a majority of the Board of Directors.</w:t>
      </w:r>
    </w:p>
    <w:p>
      <w:pPr>
        <w:sectPr>
          <w:pgSz w:w="11900" w:h="16838" w:orient="portrait"/>
          <w:cols w:equalWidth="0" w:num="1">
            <w:col w:w="10180"/>
          </w:cols>
          <w:pgMar w:left="1380" w:top="1332" w:right="339" w:bottom="1440" w:gutter="0" w:footer="0" w:header="0"/>
        </w:sectPr>
      </w:pPr>
    </w:p>
    <w:bookmarkStart w:id="115" w:name="page116"/>
    <w:bookmarkEnd w:id="115"/>
    <w:p>
      <w:pPr>
        <w:jc w:val="both"/>
        <w:ind w:left="20" w:right="1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of any Person, shall mean any provision of any security issued by such Person or of any agreement, instrument or undertaking under which such Person is obligated or by which it or any of the property in which it has an interest is bound.</w:t>
      </w:r>
    </w:p>
    <w:p>
      <w:pPr>
        <w:spacing w:after="0" w:line="201"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Account Agreement</w:t>
      </w:r>
      <w:r>
        <w:rPr>
          <w:rFonts w:ascii="Times New Roman" w:cs="Times New Roman" w:eastAsia="Times New Roman" w:hAnsi="Times New Roman"/>
          <w:sz w:val="20"/>
          <w:szCs w:val="20"/>
          <w:color w:val="auto"/>
        </w:rPr>
        <w:t>” shall mean any agreement by and among a Loan Party, the Administrative Agent and a depositary bank or securities intermediary at which such Loan Party maintains a Controlled Account, in each case, in form and substance reasonably satisfactory to the Administrative Agent.</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Account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337" w:lineRule="exact"/>
        <w:rPr>
          <w:sz w:val="20"/>
          <w:szCs w:val="20"/>
          <w:color w:val="auto"/>
        </w:rPr>
      </w:pPr>
    </w:p>
    <w:p>
      <w:pPr>
        <w:jc w:val="both"/>
        <w:ind w:left="20" w:right="120"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Security Agreement</w:t>
      </w:r>
      <w:r>
        <w:rPr>
          <w:rFonts w:ascii="Times New Roman" w:cs="Times New Roman" w:eastAsia="Times New Roman" w:hAnsi="Times New Roman"/>
          <w:sz w:val="20"/>
          <w:szCs w:val="20"/>
          <w:color w:val="auto"/>
        </w:rPr>
        <w:t>” shall mean any Copyright Security Agreement, substantially in the form of Annex II attached to the Guaranty and Security Agreement, executed by a Loan Party owning registered Copyrights or applications for Copyrights in favor of the Administrative Agent (for the benefit of the Secured Parties), both on the Closing Date and thereafter.</w:t>
      </w:r>
    </w:p>
    <w:p>
      <w:pPr>
        <w:spacing w:after="0" w:line="2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10.19(a)</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Cumulative Cash Burn</w:t>
      </w:r>
      <w:r>
        <w:rPr>
          <w:rFonts w:ascii="Times New Roman" w:cs="Times New Roman" w:eastAsia="Times New Roman" w:hAnsi="Times New Roman"/>
          <w:sz w:val="20"/>
          <w:szCs w:val="20"/>
          <w:color w:val="auto"/>
        </w:rPr>
        <w:t xml:space="preserve">” shall mean, as of any Fiscal Month, the ending balance of Consolidated Cash as of the last calendar day of the immediately prior Fiscal Month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ending balance of Consolidated Cash as of the last calendar day of such Fiscal Month.</w:t>
      </w:r>
    </w:p>
    <w:p>
      <w:pPr>
        <w:spacing w:after="0" w:line="188"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0"/>
          <w:szCs w:val="20"/>
          <w:u w:val="single" w:color="auto"/>
          <w:color w:val="0000FF"/>
        </w:rPr>
        <w:t>“Debt to Capital Ratio” shall mean (x) divided by (y) where (x) is the amount of the outstanding principal balance of all indebtedness of the type described in clauses (i), (ii), (v) and (vi) (to the extent of unreimbursed amounts with respect to the items specified therein) of the definition of “Indebtedness”, including the Term Loans as of the last day of any applicable Fiscal Quarter and (y) is the sum of (i) the amount of the outstanding principal balance of all indebtedness of the type described in clauses (i), (ii), (v) and (vi) (to the extent of unreimbursed amounts with respect to the items specified therein) of the definition of “Indebtedness”, including the Term Loans plus (ii) an amount equal to the outstanding value of all equity capital instruments including preferred stock, common stock (including any additional paid-in capital and accumulated income/loss), and any hybrid or convertible instruments of Holdings as calculated in accordance with GAAP as of the last day of such Fiscal Quarter. For purposes of measuring Indebtedness in clauses (x) and (y) (i) above, (1) such measurement shall exclude the effects of any discounting of Indebtedness resulting from the application of purchase accounting in connection with any acquisition and (2) any Indebtedness that is issued at a discount to its initial principal amount shall be calculated based on the entire stated principal amount thereof, without giving effect to any discounts or upfront payments.</w:t>
      </w:r>
    </w:p>
    <w:p>
      <w:pPr>
        <w:spacing w:after="0" w:line="225"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1" w:lineRule="exact"/>
        <w:rPr>
          <w:sz w:val="20"/>
          <w:szCs w:val="20"/>
          <w:color w:val="auto"/>
        </w:rPr>
      </w:pPr>
    </w:p>
    <w:p>
      <w:pPr>
        <w:jc w:val="both"/>
        <w:ind w:left="20"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shall mean any condition or event that, with the giving of notice or the lapse of time or both, would constitute an Event of Default.</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left="20" w:right="120"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shall mean, subject to </w:t>
      </w:r>
      <w:r>
        <w:rPr>
          <w:rFonts w:ascii="Times New Roman" w:cs="Times New Roman" w:eastAsia="Times New Roman" w:hAnsi="Times New Roman"/>
          <w:sz w:val="20"/>
          <w:szCs w:val="20"/>
          <w:u w:val="single" w:color="auto"/>
          <w:color w:val="auto"/>
        </w:rPr>
        <w:t>Section 2.27(c)</w:t>
      </w:r>
      <w:r>
        <w:rPr>
          <w:rFonts w:ascii="Times New Roman" w:cs="Times New Roman" w:eastAsia="Times New Roman" w:hAnsi="Times New Roman"/>
          <w:sz w:val="20"/>
          <w:szCs w:val="20"/>
          <w:color w:val="auto"/>
        </w:rPr>
        <w:t>, any Lender that (a) has failed to (i) fund all or any portion of its Loans within two (2) Business Days of the date such Loans were required to be funded hereunder unless such Lender notifies the Administrative Agent and the Borrower in writing</w:t>
      </w:r>
    </w:p>
    <w:p>
      <w:pPr>
        <w:sectPr>
          <w:pgSz w:w="11900" w:h="16838" w:orient="portrait"/>
          <w:cols w:equalWidth="0" w:num="1">
            <w:col w:w="10180"/>
          </w:cols>
          <w:pgMar w:left="1380" w:top="1332" w:right="339" w:bottom="1440" w:gutter="0" w:footer="0" w:header="0"/>
        </w:sectPr>
      </w:pPr>
    </w:p>
    <w:bookmarkStart w:id="116" w:name="page117"/>
    <w:bookmarkEnd w:id="116"/>
    <w:p>
      <w:pPr>
        <w:jc w:val="both"/>
        <w:ind w:right="120"/>
        <w:spacing w:after="0" w:line="251" w:lineRule="auto"/>
        <w:rPr>
          <w:sz w:val="20"/>
          <w:szCs w:val="20"/>
          <w:color w:val="auto"/>
        </w:rPr>
      </w:pPr>
      <w:r>
        <w:rPr>
          <w:rFonts w:ascii="Times New Roman" w:cs="Times New Roman" w:eastAsia="Times New Roman" w:hAnsi="Times New Roman"/>
          <w:sz w:val="19"/>
          <w:szCs w:val="19"/>
          <w:color w:val="auto"/>
        </w:rPr>
        <w:t>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 w:cs="Times New Roman" w:eastAsia="Times New Roman" w:hAnsi="Times New Roman"/>
          <w:sz w:val="19"/>
          <w:szCs w:val="19"/>
          <w:u w:val="single" w:color="auto"/>
          <w:color w:val="auto"/>
        </w:rPr>
        <w:t>clauses</w:t>
      </w:r>
    </w:p>
    <w:p>
      <w:pPr>
        <w:spacing w:after="0" w:line="3" w:lineRule="exact"/>
        <w:rPr>
          <w:sz w:val="20"/>
          <w:szCs w:val="20"/>
          <w:color w:val="auto"/>
        </w:rPr>
      </w:pPr>
    </w:p>
    <w:p>
      <w:pPr>
        <w:jc w:val="both"/>
        <w:ind w:right="120" w:firstLine="8"/>
        <w:spacing w:after="0" w:line="242" w:lineRule="auto"/>
        <w:tabs>
          <w:tab w:leader="none" w:pos="303" w:val="left"/>
        </w:tabs>
        <w:numPr>
          <w:ilvl w:val="0"/>
          <w:numId w:val="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 upon delivery of written notice of such determination to the Borrower and each Lender.</w:t>
      </w:r>
    </w:p>
    <w:p>
      <w:pPr>
        <w:spacing w:after="0" w:line="214"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 Earned Premium</w:t>
      </w:r>
      <w:r>
        <w:rPr>
          <w:rFonts w:ascii="Times New Roman" w:cs="Times New Roman" w:eastAsia="Times New Roman" w:hAnsi="Times New Roman"/>
          <w:sz w:val="20"/>
          <w:szCs w:val="20"/>
          <w:color w:val="auto"/>
        </w:rPr>
        <w:t>” shall mean revenue recognized during the period of measurement for written insurance contracts, prior to any ceding, as determined in accordance with SAP.</w:t>
      </w:r>
    </w:p>
    <w:p>
      <w:pPr>
        <w:spacing w:after="0" w:line="18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 Contribution</w:t>
      </w:r>
      <w:r>
        <w:rPr>
          <w:rFonts w:ascii="Times New Roman" w:cs="Times New Roman" w:eastAsia="Times New Roman" w:hAnsi="Times New Roman"/>
          <w:sz w:val="20"/>
          <w:szCs w:val="20"/>
          <w:color w:val="auto"/>
        </w:rPr>
        <w:t xml:space="preserve">” shall </w:t>
      </w:r>
      <w:r>
        <w:rPr>
          <w:rFonts w:ascii="Times New Roman" w:cs="Times New Roman" w:eastAsia="Times New Roman" w:hAnsi="Times New Roman"/>
          <w:sz w:val="20"/>
          <w:szCs w:val="20"/>
          <w:color w:val="FF0000"/>
          <w:strike w:val="1"/>
        </w:rPr>
        <w:t>mean, for any period of measurement, the adjusted gross profit/(loss) excluding ceded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earned premium</w:t>
      </w:r>
      <w:r>
        <w:rPr>
          <w:rFonts w:ascii="Times New Roman" w:cs="Times New Roman" w:eastAsia="Times New Roman" w:hAnsi="Times New Roman"/>
          <w:sz w:val="20"/>
          <w:szCs w:val="20"/>
          <w:u w:val="single" w:color="auto"/>
          <w:color w:val="0000FF"/>
          <w:strike w:val="1"/>
        </w:rPr>
        <w:t>have the meaning as set forth in the form 10-K of Holdings filed with the SEC on February 21, 2024 for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year ended December 31, 2023, which, for the avoidance of doubt, is defined to mean gross profit/(loss) excluding net investment income, net realized gains on investments, report costs, commission expenses related to our partnership channel, certain warrant compensation expense related to our embedded channel, overhead allocated based on headcount, or Overhead (as defined in such filing), and salaries, health benefits, bonuses, employee retirement plan-related expenses and employee share-based compensation expense, or Personnel Costs (as defined in such filing), licenses, professional fees and other expenses, ceded premiums earned</w:t>
      </w:r>
      <w:r>
        <w:rPr>
          <w:rFonts w:ascii="Times New Roman" w:cs="Times New Roman" w:eastAsia="Times New Roman" w:hAnsi="Times New Roman"/>
          <w:sz w:val="20"/>
          <w:szCs w:val="20"/>
          <w:color w:val="000000"/>
          <w:strike w:val="1"/>
        </w:rPr>
        <w:t>, ceded loss and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gross loss adjustment expense</w:t>
      </w:r>
      <w:r>
        <w:rPr>
          <w:rFonts w:ascii="Times New Roman" w:cs="Times New Roman" w:eastAsia="Times New Roman" w:hAnsi="Times New Roman"/>
          <w:sz w:val="20"/>
          <w:szCs w:val="20"/>
          <w:u w:val="single" w:color="auto"/>
          <w:color w:val="0000FF"/>
          <w:strike w:val="1"/>
        </w:rPr>
        <w:t>LAE (as defined in such filing)</w:t>
      </w:r>
      <w:r>
        <w:rPr>
          <w:rFonts w:ascii="Times New Roman" w:cs="Times New Roman" w:eastAsia="Times New Roman" w:hAnsi="Times New Roman"/>
          <w:sz w:val="20"/>
          <w:szCs w:val="20"/>
          <w:color w:val="000000"/>
          <w:strike w:val="1"/>
        </w:rPr>
        <w:t>, and net ceding</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commission and other</w:t>
      </w:r>
      <w:r>
        <w:rPr>
          <w:rFonts w:ascii="Times New Roman" w:cs="Times New Roman" w:eastAsia="Times New Roman" w:hAnsi="Times New Roman"/>
          <w:sz w:val="20"/>
          <w:szCs w:val="20"/>
          <w:color w:val="FF0000"/>
          <w:strike w:val="1"/>
        </w:rPr>
        <w:t>, for the Borrower and its Subsidiaries.</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008000"/>
          <w:strike w:val="1"/>
        </w:rPr>
        <w:t>For the avoidance of doubt,</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n</w:t>
      </w:r>
      <w:r>
        <w:rPr>
          <w:rFonts w:ascii="Times New Roman" w:cs="Times New Roman" w:eastAsia="Times New Roman" w:hAnsi="Times New Roman"/>
          <w:sz w:val="20"/>
          <w:szCs w:val="20"/>
          <w:u w:val="single" w:color="auto"/>
          <w:color w:val="0000FF"/>
          <w:strike w:val="1"/>
        </w:rPr>
        <w:t>N</w:t>
      </w:r>
      <w:r>
        <w:rPr>
          <w:rFonts w:ascii="Times New Roman" w:cs="Times New Roman" w:eastAsia="Times New Roman" w:hAnsi="Times New Roman"/>
          <w:sz w:val="20"/>
          <w:szCs w:val="20"/>
          <w:color w:val="000000"/>
          <w:strike w:val="1"/>
        </w:rPr>
        <w:t xml:space="preserve">et ceding commission and other is comprised of ceding commission received in connection with reinsurance ceded, partially offset by </w:t>
      </w:r>
      <w:r>
        <w:rPr>
          <w:rFonts w:ascii="Times New Roman" w:cs="Times New Roman" w:eastAsia="Times New Roman" w:hAnsi="Times New Roman"/>
          <w:sz w:val="20"/>
          <w:szCs w:val="20"/>
          <w:color w:val="FF0000"/>
          <w:strike w:val="1"/>
        </w:rPr>
        <w:t>related sliding scale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 xml:space="preserve">commission adjustments and </w:t>
      </w:r>
      <w:r>
        <w:rPr>
          <w:rFonts w:ascii="Times New Roman" w:cs="Times New Roman" w:eastAsia="Times New Roman" w:hAnsi="Times New Roman"/>
          <w:sz w:val="20"/>
          <w:szCs w:val="20"/>
          <w:color w:val="000000"/>
          <w:strike w:val="1"/>
        </w:rPr>
        <w:t>amortization of excess ceding commission, and other impacts of reinsurance ceded which are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included in other insurance </w:t>
      </w:r>
      <w:r>
        <w:rPr>
          <w:rFonts w:ascii="Times New Roman" w:cs="Times New Roman" w:eastAsia="Times New Roman" w:hAnsi="Times New Roman"/>
          <w:sz w:val="20"/>
          <w:szCs w:val="20"/>
          <w:u w:val="single" w:color="auto"/>
          <w:color w:val="0000FF"/>
          <w:strike w:val="1"/>
        </w:rPr>
        <w:t>expense</w:t>
      </w:r>
      <w:r>
        <w:rPr>
          <w:rFonts w:ascii="Times New Roman" w:cs="Times New Roman" w:eastAsia="Times New Roman" w:hAnsi="Times New Roman"/>
          <w:sz w:val="20"/>
          <w:szCs w:val="20"/>
          <w:color w:val="000000"/>
          <w:strike w:val="1"/>
        </w:rPr>
        <w:t xml:space="preserve"> (benefit) </w:t>
      </w:r>
      <w:r>
        <w:rPr>
          <w:rFonts w:ascii="Times New Roman" w:cs="Times New Roman" w:eastAsia="Times New Roman" w:hAnsi="Times New Roman"/>
          <w:sz w:val="20"/>
          <w:szCs w:val="20"/>
          <w:color w:val="FF0000"/>
          <w:strike w:val="1"/>
        </w:rPr>
        <w:t>expense, and, after these adjustments, the resulting calculation is inclusive of only</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those gross variable costs of revenue incurred on the successful acquisition of business, but exclusive of net ceding commission, ceded loss and gross loss adjustment expense and other impacts of reinsurance ceded.</w:t>
      </w:r>
      <w:r>
        <w:rPr>
          <w:rFonts w:ascii="Times New Roman" w:cs="Times New Roman" w:eastAsia="Times New Roman" w:hAnsi="Times New Roman"/>
          <w:sz w:val="20"/>
          <w:szCs w:val="20"/>
          <w:u w:val="single" w:color="auto"/>
          <w:color w:val="0000FF"/>
          <w:strike w:val="1"/>
        </w:rPr>
        <w:t>.</w:t>
      </w:r>
    </w:p>
    <w:p>
      <w:pPr>
        <w:sectPr>
          <w:pgSz w:w="11900" w:h="16838" w:orient="portrait"/>
          <w:cols w:equalWidth="0" w:num="1">
            <w:col w:w="10160"/>
          </w:cols>
          <w:pgMar w:left="1400" w:top="1413" w:right="339" w:bottom="1440" w:gutter="0" w:footer="0" w:header="0"/>
        </w:sectPr>
      </w:pPr>
    </w:p>
    <w:bookmarkStart w:id="117" w:name="page118"/>
    <w:bookmarkEnd w:id="117"/>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 Contribution to Gross Earned Premium Ratio</w:t>
      </w:r>
      <w:r>
        <w:rPr>
          <w:rFonts w:ascii="Times New Roman" w:cs="Times New Roman" w:eastAsia="Times New Roman" w:hAnsi="Times New Roman"/>
          <w:sz w:val="20"/>
          <w:szCs w:val="20"/>
          <w:color w:val="auto"/>
        </w:rPr>
        <w:t xml:space="preserve">” shall mean (x) divided by (y) where (x) is the Direct Contribution of the Borrower and its Subsidiaries for the </w:t>
      </w:r>
      <w:r>
        <w:rPr>
          <w:rFonts w:ascii="Times New Roman" w:cs="Times New Roman" w:eastAsia="Times New Roman" w:hAnsi="Times New Roman"/>
          <w:sz w:val="20"/>
          <w:szCs w:val="20"/>
          <w:color w:val="EE2724"/>
          <w:strike w:val="1"/>
        </w:rPr>
        <w:t>three-month</w:t>
      </w:r>
      <w:r>
        <w:rPr>
          <w:rFonts w:ascii="Times New Roman" w:cs="Times New Roman" w:eastAsia="Times New Roman" w:hAnsi="Times New Roman"/>
          <w:sz w:val="20"/>
          <w:szCs w:val="20"/>
          <w:u w:val="single" w:color="auto"/>
          <w:color w:val="3051F2"/>
        </w:rPr>
        <w:t>twelve (12)-month</w:t>
      </w:r>
      <w:r>
        <w:rPr>
          <w:rFonts w:ascii="Times New Roman" w:cs="Times New Roman" w:eastAsia="Times New Roman" w:hAnsi="Times New Roman"/>
          <w:sz w:val="20"/>
          <w:szCs w:val="20"/>
          <w:color w:val="auto"/>
        </w:rPr>
        <w:t xml:space="preserve"> period ended on the last day of each Fiscal Quarter and (y) is Gross Earned Premium of the Borrower and its Subsidiaries for the </w:t>
      </w:r>
      <w:r>
        <w:rPr>
          <w:rFonts w:ascii="Times New Roman" w:cs="Times New Roman" w:eastAsia="Times New Roman" w:hAnsi="Times New Roman"/>
          <w:sz w:val="20"/>
          <w:szCs w:val="20"/>
          <w:color w:val="EE2724"/>
          <w:strike w:val="1"/>
        </w:rPr>
        <w:t>three-month</w:t>
      </w:r>
      <w:r>
        <w:rPr>
          <w:rFonts w:ascii="Times New Roman" w:cs="Times New Roman" w:eastAsia="Times New Roman" w:hAnsi="Times New Roman"/>
          <w:sz w:val="20"/>
          <w:szCs w:val="20"/>
          <w:u w:val="single" w:color="auto"/>
          <w:color w:val="3051F2"/>
        </w:rPr>
        <w:t>twelve (12)-month</w:t>
      </w:r>
      <w:r>
        <w:rPr>
          <w:rFonts w:ascii="Times New Roman" w:cs="Times New Roman" w:eastAsia="Times New Roman" w:hAnsi="Times New Roman"/>
          <w:sz w:val="20"/>
          <w:szCs w:val="20"/>
          <w:color w:val="auto"/>
        </w:rPr>
        <w:t xml:space="preserve"> period ended on the last day of each Fiscal Quarter.</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Capital Stock</w:t>
      </w:r>
      <w:r>
        <w:rPr>
          <w:rFonts w:ascii="Times New Roman" w:cs="Times New Roman" w:eastAsia="Times New Roman" w:hAnsi="Times New Roman"/>
          <w:sz w:val="19"/>
          <w:szCs w:val="19"/>
          <w:color w:val="auto"/>
        </w:rPr>
        <w:t>” shall mean, with respect to any Person, any Capital Stock of such Person which (x) by its terms (or by the terms of any Capital Stock into which it is convertible or for which it is exchangeable), or upon the happening of any event, (a) matures or is mandatorily redeemable (other than solely for Qualified Capital Stock),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on or prior to the date that is ninety-one (91) days following the Stated Maturity Date, (b) is redeemable at the option of the holder thereof (other than (i) solely for Qualified Capital Stock or (ii)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in whole or in part, on or prior to the date that is ninety-one</w:t>
      </w:r>
    </w:p>
    <w:p>
      <w:pPr>
        <w:spacing w:after="0" w:line="5" w:lineRule="exact"/>
        <w:rPr>
          <w:sz w:val="20"/>
          <w:szCs w:val="20"/>
          <w:color w:val="auto"/>
        </w:rPr>
      </w:pPr>
    </w:p>
    <w:p>
      <w:pPr>
        <w:jc w:val="both"/>
        <w:ind w:firstLine="7"/>
        <w:spacing w:after="0" w:line="239" w:lineRule="auto"/>
        <w:tabs>
          <w:tab w:leader="none" w:pos="38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Stated Maturity Date, (c) provides for or otherwise permits the holder to receive scheduled payments of dividends or distributions in cash on or prior to the date that is ninety-one (91) days following the Stated Maturity Date or</w:t>
      </w:r>
    </w:p>
    <w:p>
      <w:pPr>
        <w:jc w:val="both"/>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is or becomes convertible into or exchangeable for Indebtedness or any other Capital Stock that would constitute Disqualified Capital Stock, in each case, on or prior to the date that is ninety-one (91) days following the Stated Maturity Date or (y) contains any repurchase obligation which, by its terms, may come into effect (except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on or prior to the date that is ninety-one (91) days following the Stated Maturity Date.</w:t>
      </w:r>
    </w:p>
    <w:p>
      <w:pPr>
        <w:spacing w:after="0" w:line="23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shall mean (a) any direct competitor of the Borrower that is in the same or a substantially similar line of business and that had been identified in writing to the Administrative Agent at least two (2) Business Days in advance of any proposed assignment to such Person hereunder, which identification shall not apply retroactively for any purpose, including to disqualify any Persons that have previously acquired an assignment or participation interest in any Loans and/or Commitments (each such entity, a “</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xml:space="preserve">”) and (b) any Person that (i) is actually known by the Administrative Agent to be an Affiliate (solely on the basis of name) of any Competitor or (ii) had been identified in writing to the Administrative Agent as an Affiliate of a Competitor at least two (2) Business Days in advance of any proposed assignment to such Person hereunder, which identification shall not apply retroactively for any purpose, including to disqualify any Persons that have previously acquired an assignment or participation interest in any Loans and/or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list of Disqualified Institutions identified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(b)(ii)</w:t>
      </w:r>
      <w:r>
        <w:rPr>
          <w:rFonts w:ascii="Times New Roman" w:cs="Times New Roman" w:eastAsia="Times New Roman" w:hAnsi="Times New Roman"/>
          <w:sz w:val="20"/>
          <w:szCs w:val="20"/>
          <w:color w:val="auto"/>
        </w:rPr>
        <w:t xml:space="preserve"> above shall be made available to all Lenders upon request to the Administrative Agent.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mean lawful money of the United States.</w:t>
      </w:r>
    </w:p>
    <w:p>
      <w:pPr>
        <w:spacing w:after="0" w:line="33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ectPr>
          <w:pgSz w:w="11900" w:h="16838" w:orient="portrait"/>
          <w:cols w:equalWidth="0" w:num="1">
            <w:col w:w="10040"/>
          </w:cols>
          <w:pgMar w:left="1400" w:top="1332" w:right="459" w:bottom="1440" w:gutter="0" w:footer="0" w:header="0"/>
        </w:sectPr>
      </w:pPr>
    </w:p>
    <w:bookmarkStart w:id="118" w:name="page119"/>
    <w:bookmarkEnd w:id="118"/>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shall mean any of the member states of the European Union, Iceland, Liechtenstein and Norway.</w:t>
      </w:r>
    </w:p>
    <w:p>
      <w:pPr>
        <w:spacing w:after="0" w:line="186"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201"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shall mean any Person that meets the requirements to be an assignee under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10.4(b)(iii)</w:t>
      </w:r>
      <w:r>
        <w:rPr>
          <w:rFonts w:ascii="Times New Roman" w:cs="Times New Roman" w:eastAsia="Times New Roman" w:hAnsi="Times New Roman"/>
          <w:sz w:val="20"/>
          <w:szCs w:val="20"/>
          <w:color w:val="auto"/>
        </w:rPr>
        <w:t>).</w:t>
      </w:r>
    </w:p>
    <w:p>
      <w:pPr>
        <w:spacing w:after="0" w:line="281" w:lineRule="exact"/>
        <w:rPr>
          <w:sz w:val="20"/>
          <w:szCs w:val="20"/>
          <w:color w:val="auto"/>
        </w:rPr>
      </w:pPr>
    </w:p>
    <w:p>
      <w:pPr>
        <w:jc w:val="both"/>
        <w:ind w:left="20" w:right="120"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shall mean all applicable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 concerning exposure to Hazardous Materials.</w:t>
      </w:r>
    </w:p>
    <w:p>
      <w:pPr>
        <w:spacing w:after="0" w:line="19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shall mean any liability, contingent or otherwise (including any liability for damages, costs of environmental investigation and remediation, costs of administrative oversight, fines, natural resource damages, penalties or indemnities) of Holdings, the Borrower or any of their respective Subsidiaries, directly or indirectly resulting from or based upon (i) any actual or alleged violation of any Environmental Law, (ii) the generation, use, handling, transportation, storage, treatment or disposal of any Hazardous Materials, (iii) any actual or alleged exposure to any Hazardous Materials, (iv) the Release or threatened Release of any Hazardous Materials or (v) any contract, agreement or other consensual arrangement to the extent under which liability is assumed or imposed with respect to any of the foregoing.</w:t>
      </w:r>
    </w:p>
    <w:p>
      <w:pPr>
        <w:spacing w:after="0" w:line="226" w:lineRule="exact"/>
        <w:rPr>
          <w:sz w:val="20"/>
          <w:szCs w:val="20"/>
          <w:color w:val="auto"/>
        </w:rPr>
      </w:pPr>
    </w:p>
    <w:p>
      <w:pPr>
        <w:jc w:val="both"/>
        <w:ind w:left="20" w:right="1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shall mean the Employee Retirement Income Security Act of 1974, as amended and in effect from time to time, and any successor statute thereto and the regulations promulgated and rulings issued thereunder.</w:t>
      </w:r>
    </w:p>
    <w:p>
      <w:pPr>
        <w:spacing w:after="0" w:line="213"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shall mean any Person that, together with the Borrower or its Subsidiaries, is or was, at any relevant time, considered to be under common control under Section 4001 of ERISA or a “single employer” under Section 414(b), (c), (m) or (o) of the Code.</w:t>
      </w:r>
    </w:p>
    <w:p>
      <w:pPr>
        <w:spacing w:after="0" w:line="201" w:lineRule="exact"/>
        <w:rPr>
          <w:sz w:val="20"/>
          <w:szCs w:val="20"/>
          <w:color w:val="auto"/>
        </w:rPr>
      </w:pPr>
    </w:p>
    <w:p>
      <w:pPr>
        <w:jc w:val="both"/>
        <w:ind w:left="20" w:right="120" w:firstLine="64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shall mean (i) any “reportable event” (as defined in Section 4043(c) of ERISA) with respect to a Plan (other than an event as to which the PBGC has waived the requirement of Section 4043(a) of ERISA that it be notified of such event); (ii) any failure to make by its due date a required contribution to any Plan that would result in the imposition of a lien or encumbrance under Section 430 of the Code or Section 303 or 4068 of ERISA, or the imposition on the assets of Holdings, the Borrower, any of their Subsidiaries or any of their respective ERISA Affiliates of such a lien or encumbrance, or any filing of any request for a minimum funding waiver under Section 412 of the Code or Section 302 of ERISA with respect to any Plan or Multiemployer Plan, whether or not waived, or any determination that any Plan is, or is expected to be, in at-risk status under Section 303 of ERISA; (iii) any incurrence by Holdings, the Borrower, any of their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Holdings, the Borrower, any of their Subsidiaries or any of their respective ERISA Affiliates of any liability with respect to the complete withdrawal or partial withdrawal (within the meaning of Sections 4203 and 4205 of ERISA) from any Multiemployer Plan, or the receipt by Holdings, the Borrower, any of their respective Subsidiaries or any of their respective ERISA Affiliates of any notice that a Multiemployer Plan is in endangered or critical</w:t>
      </w:r>
    </w:p>
    <w:p>
      <w:pPr>
        <w:sectPr>
          <w:pgSz w:w="11900" w:h="16838" w:orient="portrait"/>
          <w:cols w:equalWidth="0" w:num="1">
            <w:col w:w="10180"/>
          </w:cols>
          <w:pgMar w:left="1380" w:top="1332" w:right="339" w:bottom="1440" w:gutter="0" w:footer="0" w:header="0"/>
        </w:sectPr>
      </w:pPr>
    </w:p>
    <w:bookmarkStart w:id="119" w:name="page120"/>
    <w:bookmarkEnd w:id="119"/>
    <w:p>
      <w:pPr>
        <w:jc w:val="both"/>
        <w:spacing w:after="0" w:line="241" w:lineRule="auto"/>
        <w:rPr>
          <w:sz w:val="20"/>
          <w:szCs w:val="20"/>
          <w:color w:val="auto"/>
        </w:rPr>
      </w:pPr>
      <w:r>
        <w:rPr>
          <w:rFonts w:ascii="Times New Roman" w:cs="Times New Roman" w:eastAsia="Times New Roman" w:hAnsi="Times New Roman"/>
          <w:sz w:val="20"/>
          <w:szCs w:val="20"/>
          <w:color w:val="auto"/>
        </w:rPr>
        <w:t>status under Section 305 of ERISA; (vi) any receipt by Holdings, the Borrower, any of their respective Subsidiaries or any of their respective ERISA Affiliates of any notice, or any receipt by any Multiemployer Plan from Holdings, the Borrower, any of their respective Subsidiaries or any of their respective ERISA Affiliates of any notice, concerning the imposition of Withdrawal Liability or a determination that a Multiemployer Plan is, or is expected to be, insolvent within the meaning of Section 4245 of ERISA; (vii) Holdings, the Borrower, any of their respective Subsidiaries engaging in a material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right="36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shall mean the EU Bail-In Legislation Schedule published by the Loan Market Association (or any successor Person), as in effect from time to time.</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 and in effect from time to time.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shall have the meaning ascribed to such defined term in the Guaranty and Security Agreement.</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2.21(g) and</w:t>
      </w:r>
      <w:r>
        <w:rPr>
          <w:rFonts w:ascii="Times New Roman" w:cs="Times New Roman" w:eastAsia="Times New Roman" w:hAnsi="Times New Roman"/>
          <w:sz w:val="20"/>
          <w:szCs w:val="20"/>
          <w:color w:val="auto"/>
        </w:rPr>
        <w:t xml:space="preserve"> (d) any withholding Taxes imposed under FATCA.</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u w:val="single" w:color="auto"/>
          <w:color w:val="0000FF"/>
        </w:rPr>
        <w:t>“Existing Facility” shall have the meaning set forth in Section 7.1(f).</w:t>
      </w:r>
    </w:p>
    <w:p>
      <w:pPr>
        <w:spacing w:after="0" w:line="32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treaty or convention entered into among Governmental Authorities in connection with such sections of the Code and any fiscal or regulatory legislation, rules or practices adopted pursuant to such intergovernmental agreement, treaty or convention.</w:t>
      </w:r>
    </w:p>
    <w:p>
      <w:pPr>
        <w:sectPr>
          <w:pgSz w:w="11900" w:h="16838" w:orient="portrait"/>
          <w:cols w:equalWidth="0" w:num="1">
            <w:col w:w="10040"/>
          </w:cols>
          <w:pgMar w:left="1400" w:top="1332" w:right="459" w:bottom="1440" w:gutter="0" w:footer="0" w:header="0"/>
        </w:sectPr>
      </w:pPr>
    </w:p>
    <w:bookmarkStart w:id="120" w:name="page121"/>
    <w:bookmarkEnd w:id="120"/>
    <w:p>
      <w:pPr>
        <w:jc w:val="both"/>
        <w:ind w:left="108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Bank of New York’s Website</w:t>
      </w:r>
      <w:r>
        <w:rPr>
          <w:rFonts w:ascii="Times New Roman" w:cs="Times New Roman" w:eastAsia="Times New Roman" w:hAnsi="Times New Roman"/>
          <w:sz w:val="20"/>
          <w:szCs w:val="20"/>
          <w:color w:val="auto"/>
        </w:rPr>
        <w:t>” shall mean the website of the Federal Reserve Bank of New York at http://www.newyorkfed.org, or any successor source.</w:t>
      </w:r>
    </w:p>
    <w:p>
      <w:pPr>
        <w:spacing w:after="0" w:line="182" w:lineRule="exact"/>
        <w:rPr>
          <w:sz w:val="20"/>
          <w:szCs w:val="20"/>
          <w:color w:val="auto"/>
        </w:rPr>
      </w:pPr>
    </w:p>
    <w:p>
      <w:pPr>
        <w:jc w:val="both"/>
        <w:ind w:left="108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shall mean, for any day,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 For purposes of this Agreement, the Federal Funds Rate shall not be less than zero percent (0.00%).</w:t>
      </w:r>
    </w:p>
    <w:p>
      <w:pPr>
        <w:spacing w:after="0" w:line="217" w:lineRule="exact"/>
        <w:rPr>
          <w:sz w:val="20"/>
          <w:szCs w:val="20"/>
          <w:color w:val="auto"/>
        </w:rPr>
      </w:pPr>
    </w:p>
    <w:p>
      <w:pPr>
        <w:ind w:left="1060" w:right="20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shall mean the Agent Fee Letter, the AIMCo Fee Letter and the BlackRock Fee Letter</w:t>
      </w:r>
      <w:r>
        <w:rPr>
          <w:rFonts w:ascii="Times New Roman" w:cs="Times New Roman" w:eastAsia="Times New Roman" w:hAnsi="Times New Roman"/>
          <w:sz w:val="20"/>
          <w:szCs w:val="20"/>
          <w:u w:val="single" w:color="auto"/>
          <w:color w:val="0000FF"/>
        </w:rPr>
        <w:t>, and the Second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Amendment BlackRock Fee Letter.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59" w:lineRule="exact"/>
        <w:rPr>
          <w:sz w:val="20"/>
          <w:szCs w:val="20"/>
          <w:color w:val="auto"/>
        </w:rPr>
      </w:pPr>
    </w:p>
    <w:p>
      <w:pPr>
        <w:jc w:val="both"/>
        <w:ind w:left="108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shall mean the chief financial officer, chief accounting officer, chief revenue and operating officer, vice president of finance, treasurer or any principal accounting officer of any Person.</w:t>
      </w:r>
    </w:p>
    <w:p>
      <w:pPr>
        <w:spacing w:after="0" w:line="17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Month</w:t>
      </w:r>
      <w:r>
        <w:rPr>
          <w:rFonts w:ascii="Times New Roman" w:cs="Times New Roman" w:eastAsia="Times New Roman" w:hAnsi="Times New Roman"/>
          <w:sz w:val="20"/>
          <w:szCs w:val="20"/>
          <w:color w:val="auto"/>
        </w:rPr>
        <w:t>” shall mean any fiscal month of Holdings.</w:t>
      </w:r>
    </w:p>
    <w:p>
      <w:pPr>
        <w:spacing w:after="0" w:line="33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shall mean any fiscal quarter of Holdings.</w:t>
      </w:r>
    </w:p>
    <w:p>
      <w:pPr>
        <w:spacing w:after="0" w:line="3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shall mean any fiscal year of Holdings.</w:t>
      </w:r>
    </w:p>
    <w:p>
      <w:pPr>
        <w:spacing w:after="0" w:line="33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shall mean a rate of interest equal to 1.00%.</w:t>
      </w:r>
    </w:p>
    <w:p>
      <w:pPr>
        <w:spacing w:after="0" w:line="3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shall mean a Lender that is not a U.S. Person.</w:t>
      </w:r>
    </w:p>
    <w:p>
      <w:pPr>
        <w:spacing w:after="0" w:line="3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Date</w:t>
      </w:r>
      <w:r>
        <w:rPr>
          <w:rFonts w:ascii="Times New Roman" w:cs="Times New Roman" w:eastAsia="Times New Roman" w:hAnsi="Times New Roman"/>
          <w:sz w:val="20"/>
          <w:szCs w:val="20"/>
          <w:color w:val="auto"/>
        </w:rPr>
        <w:t>” shall mean January 27, 2022.</w:t>
      </w:r>
    </w:p>
    <w:p>
      <w:pPr>
        <w:spacing w:after="0" w:line="324" w:lineRule="exact"/>
        <w:rPr>
          <w:sz w:val="20"/>
          <w:szCs w:val="20"/>
          <w:color w:val="auto"/>
        </w:rPr>
      </w:pPr>
    </w:p>
    <w:p>
      <w:pPr>
        <w:ind w:left="1080" w:right="2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shall mean generally accepted accounting principles in the United States applied on a consistent basis and subject to the terms of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267" w:lineRule="exact"/>
        <w:rPr>
          <w:sz w:val="20"/>
          <w:szCs w:val="20"/>
          <w:color w:val="auto"/>
        </w:rPr>
      </w:pPr>
    </w:p>
    <w:p>
      <w:pPr>
        <w:jc w:val="both"/>
        <w:ind w:left="108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shall mean the government of the United States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Insurance Regulatory Authority and any supra-national bodies such as the European Union or the European Central Bank).</w:t>
      </w:r>
    </w:p>
    <w:p>
      <w:pPr>
        <w:spacing w:after="0" w:line="212" w:lineRule="exact"/>
        <w:rPr>
          <w:sz w:val="20"/>
          <w:szCs w:val="20"/>
          <w:color w:val="auto"/>
        </w:rPr>
      </w:pPr>
    </w:p>
    <w:p>
      <w:pPr>
        <w:jc w:val="both"/>
        <w:ind w:left="108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Gross Earned Premium</w:t>
      </w:r>
      <w:r>
        <w:rPr>
          <w:rFonts w:ascii="Times New Roman" w:cs="Times New Roman" w:eastAsia="Times New Roman" w:hAnsi="Times New Roman"/>
          <w:sz w:val="20"/>
          <w:szCs w:val="20"/>
          <w:color w:val="auto"/>
        </w:rPr>
        <w:t>” shall mean, for any period of measurement, the amount of direct premium on insurance policies of, and premiums that are assumed from the relevant fronting carrier by, the Borrower and its Subsidiaries, in each case, that was earned during such period.</w:t>
      </w:r>
    </w:p>
    <w:p>
      <w:pPr>
        <w:spacing w:after="0" w:line="201" w:lineRule="exact"/>
        <w:rPr>
          <w:sz w:val="20"/>
          <w:szCs w:val="20"/>
          <w:color w:val="auto"/>
        </w:rPr>
      </w:pPr>
    </w:p>
    <w:p>
      <w:pPr>
        <w:jc w:val="both"/>
        <w:ind w:left="108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shall mean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w:t>
      </w:r>
    </w:p>
    <w:p>
      <w:pPr>
        <w:sectPr>
          <w:pgSz w:w="11900" w:h="16838" w:orient="portrait"/>
          <w:cols w:equalWidth="0" w:num="1">
            <w:col w:w="11120"/>
          </w:cols>
          <w:pgMar w:left="320" w:top="1332" w:right="459" w:bottom="1440" w:gutter="0" w:footer="0" w:header="0"/>
        </w:sectPr>
      </w:pPr>
    </w:p>
    <w:bookmarkStart w:id="121" w:name="page122"/>
    <w:bookmarkEnd w:id="12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of instruments for deposit or collection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spacing w:after="0" w:line="23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shall mean, collectively, each of the Subsidiary Loan Parties and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no Insurance Subsidiary nor any Subsidiary of an Insurance Subsidiary shall be a Guarantor.</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and Security Agreement</w:t>
      </w:r>
      <w:r>
        <w:rPr>
          <w:rFonts w:ascii="Times New Roman" w:cs="Times New Roman" w:eastAsia="Times New Roman" w:hAnsi="Times New Roman"/>
          <w:sz w:val="20"/>
          <w:szCs w:val="20"/>
          <w:color w:val="auto"/>
        </w:rPr>
        <w:t xml:space="preserve">” shall mean that certain Guaranty and Security Agreement, dated as of the Closing Date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made by the Loan Parties in favor of the Administrative Agent (for the benefit of the Secured Parties).</w:t>
      </w:r>
    </w:p>
    <w:p>
      <w:pPr>
        <w:spacing w:after="0" w:line="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 due to their hazardous, toxic or deleterious properties or characteristics.</w:t>
      </w:r>
    </w:p>
    <w:p>
      <w:pPr>
        <w:spacing w:after="0" w:line="20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Termination Value</w:t>
      </w:r>
      <w:r>
        <w:rPr>
          <w:rFonts w:ascii="Times New Roman" w:cs="Times New Roman" w:eastAsia="Times New Roman" w:hAnsi="Times New Roman"/>
          <w:sz w:val="20"/>
          <w:szCs w:val="20"/>
          <w:color w:val="auto"/>
        </w:rPr>
        <w:t xml:space="preserve">” shall mean, in respect of any one or more Hedging Transactions, after taking into account the effect of any legally enforceable netting agreement relating to such Hedging Transactions, (a) for any date on or after the date such Hedging Transactions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Hedging Transactions, as determined based upon one or more mid-market or other readily available quotations provided by any recognized dealer in such Hedging Transactions (which may include a Lender or any Affiliate of a Lender).</w:t>
      </w:r>
    </w:p>
    <w:p>
      <w:pPr>
        <w:spacing w:after="0" w:line="22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Hedging Obligations</w:t>
      </w:r>
      <w:r>
        <w:rPr>
          <w:rFonts w:ascii="Times New Roman" w:cs="Times New Roman" w:eastAsia="Times New Roman" w:hAnsi="Times New Roman"/>
          <w:sz w:val="19"/>
          <w:szCs w:val="19"/>
          <w:color w:val="auto"/>
        </w:rPr>
        <w:t xml:space="preserve"> ” of any Person, shall mean any and all obligations of such Person, whether absolute or contingent and howsoever and whensoever created, arising, evidenced or acquired under (i) any and all Hedging Transactions,</w:t>
      </w:r>
    </w:p>
    <w:p>
      <w:pPr>
        <w:jc w:val="both"/>
        <w:ind w:firstLine="8"/>
        <w:spacing w:after="0" w:line="237" w:lineRule="auto"/>
        <w:tabs>
          <w:tab w:leader="none" w:pos="2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cancellations, buy backs, reversals, terminations or assignments of any Hedging Transactions and (iii) any and all renewals, extensions and modifications of any Hedging Transactions and any and all substitutions for any Hedging Transactions.</w:t>
      </w:r>
    </w:p>
    <w:p>
      <w:pPr>
        <w:spacing w:after="0" w:line="22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Hedging Transaction</w:t>
      </w:r>
      <w:r>
        <w:rPr>
          <w:rFonts w:ascii="Times New Roman" w:cs="Times New Roman" w:eastAsia="Times New Roman" w:hAnsi="Times New Roman"/>
          <w:sz w:val="19"/>
          <w:szCs w:val="19"/>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ectPr>
          <w:pgSz w:w="11900" w:h="16838" w:orient="portrait"/>
          <w:cols w:equalWidth="0" w:num="1">
            <w:col w:w="10040"/>
          </w:cols>
          <w:pgMar w:left="1400" w:top="1332" w:right="459" w:bottom="1440" w:gutter="0" w:footer="0" w:header="0"/>
        </w:sectPr>
      </w:pPr>
    </w:p>
    <w:bookmarkStart w:id="122" w:name="page123"/>
    <w:bookmarkEnd w:id="122"/>
    <w:p>
      <w:pPr>
        <w:jc w:val="both"/>
        <w:spacing w:after="0" w:line="260" w:lineRule="auto"/>
        <w:rPr>
          <w:sz w:val="20"/>
          <w:szCs w:val="20"/>
          <w:color w:val="auto"/>
        </w:rPr>
      </w:pPr>
      <w:r>
        <w:rPr>
          <w:rFonts w:ascii="Times New Roman" w:cs="Times New Roman" w:eastAsia="Times New Roman" w:hAnsi="Times New Roman"/>
          <w:sz w:val="19"/>
          <w:szCs w:val="19"/>
          <w:color w:val="auto"/>
        </w:rPr>
        <w:t>(any such master agreement, together with any related schedules, a “</w:t>
      </w:r>
      <w:r>
        <w:rPr>
          <w:rFonts w:ascii="Times New Roman" w:cs="Times New Roman" w:eastAsia="Times New Roman" w:hAnsi="Times New Roman"/>
          <w:sz w:val="19"/>
          <w:szCs w:val="19"/>
          <w:u w:val="single" w:color="auto"/>
          <w:color w:val="auto"/>
        </w:rPr>
        <w:t>Master Agreement</w:t>
      </w:r>
      <w:r>
        <w:rPr>
          <w:rFonts w:ascii="Times New Roman" w:cs="Times New Roman" w:eastAsia="Times New Roman" w:hAnsi="Times New Roman"/>
          <w:sz w:val="19"/>
          <w:szCs w:val="19"/>
          <w:color w:val="auto"/>
        </w:rPr>
        <w:t>”), including any such obligations or liabilities under any Master Agreement. For the avoidance of doubt, Hedging Transactions shall not include (i) the issuance, underwriting, placement or selling of insurance by the Loan Parties and their Subsidiaries in the ordinary course of business or</w:t>
      </w:r>
    </w:p>
    <w:p>
      <w:pPr>
        <w:ind w:firstLine="7"/>
        <w:spacing w:after="0" w:line="246" w:lineRule="auto"/>
        <w:tabs>
          <w:tab w:leader="none" w:pos="31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purchasing by the Loan Parties and their Subsidiaries of risk allocation agreements or reinsurance in the ordinary course of business or otherwise in accordance with customary industry practice.</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shall have the meaning set forth in the introductory paragraph hereof.</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shall mean, without duplication, (i) all obligations of such Person for borrowed money,</w:t>
      </w:r>
    </w:p>
    <w:p>
      <w:pPr>
        <w:spacing w:after="0" w:line="33" w:lineRule="exact"/>
        <w:rPr>
          <w:sz w:val="20"/>
          <w:szCs w:val="20"/>
          <w:color w:val="auto"/>
        </w:rPr>
      </w:pPr>
    </w:p>
    <w:p>
      <w:pPr>
        <w:jc w:val="both"/>
        <w:ind w:firstLine="8"/>
        <w:spacing w:after="0" w:line="249" w:lineRule="auto"/>
        <w:tabs>
          <w:tab w:leader="none" w:pos="30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obligations of such Person evidenced by bonds, debentures, notes or other similar instruments, (iii) all obligations of such Person in respect of the deferred purchase price of property (including, for the avoidance of doubt, contingent obligations, earnouts, seller notes and other deferred payment obligations incurred in connection with any acquisition or otherwise) or services (other than trade payables incurred in the ordinary course of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w:t>
      </w:r>
      <w:r>
        <w:rPr>
          <w:rFonts w:ascii="Times New Roman" w:cs="Times New Roman" w:eastAsia="Times New Roman" w:hAnsi="Times New Roman"/>
          <w:sz w:val="19"/>
          <w:szCs w:val="19"/>
          <w:u w:val="single" w:color="auto"/>
          <w:color w:val="auto"/>
        </w:rPr>
        <w:t>Section 8.1(f)</w:t>
      </w:r>
      <w:r>
        <w:rPr>
          <w:rFonts w:ascii="Times New Roman" w:cs="Times New Roman" w:eastAsia="Times New Roman" w:hAnsi="Times New Roman"/>
          <w:sz w:val="19"/>
          <w:szCs w:val="19"/>
          <w:color w:val="auto"/>
        </w:rPr>
        <w:t>, trade payables overdue by more than one hundred twenty (120) days shall be included in this definition except to the extent that any of such trade payables are being disputed in good faith and by appropriate measures), (iv) all obligations of such Person under any conditional sale or other title retention agreement(s) relating to property acquired by such Person,</w:t>
      </w:r>
    </w:p>
    <w:p>
      <w:pPr>
        <w:spacing w:after="0" w:line="6" w:lineRule="exact"/>
        <w:rPr>
          <w:rFonts w:ascii="Times New Roman" w:cs="Times New Roman" w:eastAsia="Times New Roman" w:hAnsi="Times New Roman"/>
          <w:sz w:val="19"/>
          <w:szCs w:val="19"/>
          <w:color w:val="auto"/>
        </w:rPr>
      </w:pPr>
    </w:p>
    <w:p>
      <w:pPr>
        <w:jc w:val="both"/>
        <w:ind w:firstLine="8"/>
        <w:spacing w:after="0" w:line="237" w:lineRule="auto"/>
        <w:tabs>
          <w:tab w:leader="none" w:pos="30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Capital Lease Obligations of such Person, (vi) all obligations, contingent or otherwise, of such Person in respect of letters of credit, acceptances or similar extensions of credit, (vii) all Guarantees of such Person of the type of Indebtedness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above, (viii) all Indebtedness of a third-party secured by any Lien on property owned by such Person, whether or not such Indebtedness has been assumed by such Person, (ix) all obligations of such Person, contingent or otherwise, to purchase, redeem, retire or otherwise acquire for value any Disqualified Capital Stock of such Person, (x) all Off-Balance Sheet Liabilities and (xi) all net Hedging Obligations. For all purposes hereof, the Indebtedness of any Person shall include the Indebtedness of any partnership or joint venture (other than a joint venture that is itself a corporation or limited liability company or the foreign equivalent thereof) in which such Person is a general partner or a joint venturer, unless such Indebtedness is expressly made non-recourse to such Person. The amount of any net obligation under any Hedging Transaction on any date shall be deemed to be the Hedge Termination Value thereof as of such date. The amount of Indebtedness of any Person for purposes of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that is expressly made nonrecourse or limited-recourse (limited solely to the assets securing such Indebtedness) to such Person shall be deemed to be equal to the lesser of (x) the aggregate unpaid amount of such Indebtedness and (y) the fair market value of the property encumbered thereby as determined by such Person in good faith</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 the avoidance of doubt, Indebtedness of a Person shall not include (i) obligations under insurance issued, underwritten, placed or sold by such Person in the ordinary course of business, (ii) obligations under risk allocation agreements, reinsurance agreements, retrocession agreement and stop-loss arrangements purchased in the ordinary course of business or otherwise in accordance with industry practice or (iii) guarantees of risk based capital that are customary in the insurance business.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right="340"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shall mean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ectPr>
          <w:pgSz w:w="11900" w:h="16838" w:orient="portrait"/>
          <w:cols w:equalWidth="0" w:num="1">
            <w:col w:w="10040"/>
          </w:cols>
          <w:pgMar w:left="1400" w:top="1332" w:right="459" w:bottom="1440" w:gutter="0" w:footer="0" w:header="0"/>
        </w:sectPr>
      </w:pPr>
    </w:p>
    <w:bookmarkStart w:id="123" w:name="page124"/>
    <w:bookmarkEnd w:id="123"/>
    <w:p>
      <w:pPr>
        <w:ind w:left="680"/>
        <w:spacing w:after="0"/>
        <w:rPr>
          <w:sz w:val="20"/>
          <w:szCs w:val="20"/>
          <w:color w:val="auto"/>
        </w:rPr>
      </w:pPr>
      <w:r>
        <w:rPr>
          <w:rFonts w:ascii="Times New Roman" w:cs="Times New Roman" w:eastAsia="Times New Roman" w:hAnsi="Times New Roman"/>
          <w:sz w:val="20"/>
          <w:szCs w:val="20"/>
          <w:u w:val="single" w:color="auto"/>
          <w:color w:val="0000FF"/>
        </w:rPr>
        <w:t>“Initial Term Loans” shall have the meaning set forth in Section 2.5.</w:t>
      </w:r>
    </w:p>
    <w:p>
      <w:pPr>
        <w:spacing w:after="0" w:line="24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Licenses</w:t>
      </w:r>
      <w:r>
        <w:rPr>
          <w:rFonts w:ascii="Times New Roman" w:cs="Times New Roman" w:eastAsia="Times New Roman" w:hAnsi="Times New Roman"/>
          <w:sz w:val="20"/>
          <w:szCs w:val="20"/>
          <w:color w:val="auto"/>
        </w:rPr>
        <w:t>” shall mean any license, permit or authorization required to be obtained from any Insurance Regulatory Authority to transact insurance and reinsurance business.</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Regulatory Authority</w:t>
      </w:r>
      <w:r>
        <w:rPr>
          <w:rFonts w:ascii="Times New Roman" w:cs="Times New Roman" w:eastAsia="Times New Roman" w:hAnsi="Times New Roman"/>
          <w:sz w:val="20"/>
          <w:szCs w:val="20"/>
          <w:color w:val="auto"/>
        </w:rPr>
        <w:t>” shall mean, when used with respect to any Insurance Subsidiary, (x) the insurance department or similar administrative authority or agency located in each state or jurisdiction (foreign or domestic) in which such Insurance Subsidiary is domiciled or (y) to the extent asserting or having regulatory jurisdiction over such Insurance Subsidiary, the insurance department, authority or agency in each state or jurisdiction (foreign or domestic) in which such Insurance Subsidiary is licensed, and shall include any Federal or national insurance regulatory department, authority or agency that may be created and that asserts or has regulatory jurisdiction over such Insurance Subsidiary.</w:t>
      </w:r>
    </w:p>
    <w:p>
      <w:pPr>
        <w:spacing w:after="0" w:line="21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Subsidiary</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xml:space="preserve"> any Subsidiary of the Borrower that is an authorized or admitted insurance carrier </w:t>
      </w:r>
      <w:r>
        <w:rPr>
          <w:rFonts w:ascii="Times New Roman" w:cs="Times New Roman" w:eastAsia="Times New Roman" w:hAnsi="Times New Roman"/>
          <w:sz w:val="20"/>
          <w:szCs w:val="20"/>
          <w:u w:val="single" w:color="auto"/>
          <w:color w:val="0000FF"/>
        </w:rPr>
        <w:t>or reinsurer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excluding, for the avoidance of doubt, any insurance agency, rate servicing organization, managing general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agent or broker), and has received an Insurance License from an Insurance Regulatory Authority in connection with the foregoing </w:t>
      </w:r>
      <w:r>
        <w:rPr>
          <w:rFonts w:ascii="Times New Roman" w:cs="Times New Roman" w:eastAsia="Times New Roman" w:hAnsi="Times New Roman"/>
          <w:sz w:val="20"/>
          <w:szCs w:val="20"/>
          <w:color w:val="0000FF"/>
        </w:rPr>
        <w:t>and (ii) RRC, so long as it maintains an insurer license with the Cayman Islands Monetary Authority</w:t>
      </w:r>
      <w:r>
        <w:rPr>
          <w:rFonts w:ascii="Times New Roman" w:cs="Times New Roman" w:eastAsia="Times New Roman" w:hAnsi="Times New Roman"/>
          <w:sz w:val="20"/>
          <w:szCs w:val="20"/>
          <w:color w:val="000000"/>
        </w:rPr>
        <w:t>. As of the Closing Date, RIC, RRC and RPC are the only Insurance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-167005</wp:posOffset>
            </wp:positionV>
            <wp:extent cx="5394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5394325" cy="8255"/>
                    </a:xfrm>
                    <a:prstGeom prst="rect">
                      <a:avLst/>
                    </a:prstGeom>
                    <a:noFill/>
                  </pic:spPr>
                </pic:pic>
              </a:graphicData>
            </a:graphic>
          </wp:anchor>
        </w:drawing>
      </w:r>
    </w:p>
    <w:p>
      <w:pPr>
        <w:spacing w:after="0" w:line="206"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shall mean all right, title and interest in or relating to intellectual property, whether owned or licensed, arising under any Requirement of Law, including all Copyrights, Patents, software, Trademarks, Internet Domain Names, Trade Secrets, IP Licenses and all IP Ancillary Rights relating to the foregoing.</w:t>
      </w:r>
    </w:p>
    <w:p>
      <w:pPr>
        <w:spacing w:after="0" w:line="201" w:lineRule="exact"/>
        <w:rPr>
          <w:sz w:val="20"/>
          <w:szCs w:val="20"/>
          <w:color w:val="auto"/>
        </w:rPr>
      </w:pPr>
    </w:p>
    <w:p>
      <w:pPr>
        <w:jc w:val="both"/>
        <w:ind w:lef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shall mean, as to any Borrowing of SOFR Loans, the period commencing on the date of such Loan or Borrowing and ending on the numerically corresponding day in the calendar month that is three (3) months thereafter (in each case, subject to the availability thereof), as specified in the applicable Notice of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initial Interest Period for such SOFR Loans shall commence either (x) on the Funding Date or </w:t>
      </w:r>
      <w:r>
        <w:rPr>
          <w:rFonts w:ascii="Times New Roman" w:cs="Times New Roman" w:eastAsia="Times New Roman" w:hAnsi="Times New Roman"/>
          <w:sz w:val="20"/>
          <w:szCs w:val="20"/>
          <w:u w:val="single" w:color="auto"/>
          <w:color w:val="0000FF"/>
        </w:rPr>
        <w:t>Second Amendment Effective Date,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applicable,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(y) on the date of conversion from a Base Rate Loan into a SOFR Loan pursuant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Section 2.14</w:t>
      </w:r>
      <w:r>
        <w:rPr>
          <w:rFonts w:ascii="Times New Roman" w:cs="Times New Roman" w:eastAsia="Times New Roman" w:hAnsi="Times New Roman"/>
          <w:sz w:val="20"/>
          <w:szCs w:val="20"/>
          <w:color w:val="000000"/>
        </w:rPr>
        <w:t>, and each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Interest Period occurring thereafter in respect of such SOFR Loan shall commence on the day on which the next preceding Interest Period expires, (ii) if any Interest Period would otherwise end on a day other than a Business Day, such Interest Period shall be extended to the next succeeding Business Day unless such Business Day falls in another calendar month, in which case, such Interest Period shall end on the immediately preceding Business Day, (iii) any Interest Period which begins on the last Business Day of a calendar month or on a day for which there is no numerically corresponding day in the calendar month at the end of such Interest Period shall end on the last Business Day of such calendar month of such Interest Period and (iv) no Interest Period shall extend beyond the Maturity Date.</w:t>
      </w:r>
    </w:p>
    <w:p>
      <w:pPr>
        <w:spacing w:after="0" w:line="224"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Internet Domain Names</w:t>
      </w:r>
      <w:r>
        <w:rPr>
          <w:rFonts w:ascii="Times New Roman" w:cs="Times New Roman" w:eastAsia="Times New Roman" w:hAnsi="Times New Roman"/>
          <w:sz w:val="20"/>
          <w:szCs w:val="20"/>
          <w:color w:val="auto"/>
        </w:rPr>
        <w:t>” shall have the meaning ascribed to such defined term in the Guaranty and Security Agreement.</w:t>
      </w:r>
    </w:p>
    <w:p>
      <w:pPr>
        <w:spacing w:after="0" w:line="2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jc w:val="both"/>
        <w:ind w:left="20" w:right="120"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IP Ancillary Rights</w:t>
      </w:r>
      <w:r>
        <w:rPr>
          <w:rFonts w:ascii="Times New Roman" w:cs="Times New Roman" w:eastAsia="Times New Roman" w:hAnsi="Times New Roman"/>
          <w:sz w:val="19"/>
          <w:szCs w:val="19"/>
          <w:color w:val="auto"/>
        </w:rPr>
        <w:t>” shall mean, with respect to any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w:t>
      </w:r>
    </w:p>
    <w:p>
      <w:pPr>
        <w:sectPr>
          <w:pgSz w:w="11900" w:h="16838" w:orient="portrait"/>
          <w:cols w:equalWidth="0" w:num="1">
            <w:col w:w="10180"/>
          </w:cols>
          <w:pgMar w:left="1380" w:top="1332" w:right="339" w:bottom="1440" w:gutter="0" w:footer="0" w:header="0"/>
        </w:sectPr>
      </w:pPr>
    </w:p>
    <w:bookmarkStart w:id="124" w:name="page125"/>
    <w:bookmarkEnd w:id="124"/>
    <w:p>
      <w:pPr>
        <w:spacing w:after="0" w:line="14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License</w:t>
      </w:r>
      <w:r>
        <w:rPr>
          <w:rFonts w:ascii="Times New Roman" w:cs="Times New Roman" w:eastAsia="Times New Roman" w:hAnsi="Times New Roman"/>
          <w:sz w:val="20"/>
          <w:szCs w:val="20"/>
          <w:color w:val="auto"/>
        </w:rPr>
        <w:t>” shall mean all written Contractual Obligations (and all related IP Ancillary Rights), granting any license right, title or interest in or relating to any Intellectual Property.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shall mean the United States Internal Revenue Service.</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shall have the meaning set forth in the introductory paragraph hereof.</w:t>
      </w:r>
    </w:p>
    <w:p>
      <w:pPr>
        <w:spacing w:after="0" w:line="33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 For the avoidance of doubt, “Lien” shall not be deemed to include any IP License.</w:t>
      </w:r>
    </w:p>
    <w:p>
      <w:pPr>
        <w:spacing w:after="0" w:line="21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xml:space="preserve">” shall mean, on any date of determination, the aggregate amount of cash and cash equivalents (including any Permitted Investment that is a cash equivalent) owned and held by the Loan Parties, taken as a whole, in each case, on such date of determination;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amounts calculated under this definition shall exclude any amounts that would not be considered “cash” or “cash equivalents” under GAAP or “cash” or “cash equivalents” as recorded on the books of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amounts included under this definition shall (i) be included only to the extent such amounts are (A) not subject to any Lien (other than Liens (x) arising solely by virtue of any statutory or common law provision relating to banker’s liens, rights of set-off or similar rights so long as such liens and rights are not being enforced or otherwise exercised or (y) in favor of the Administrative Agent) and (B) subject to a perfected Lien and held in a Controlled Account subject to a Control Account Agreement, in each case, in favor of the Administrative Agent and (ii) exclude any amounts held by the Loan Parties in escrow, trust or other fiduciary capacity for or on behalf of a client of Holdings, the Borrower, any Subsidiary of Holdings or any of their respective Affiliates.</w:t>
      </w:r>
    </w:p>
    <w:p>
      <w:pPr>
        <w:spacing w:after="0" w:line="23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 Report</w:t>
      </w:r>
      <w:r>
        <w:rPr>
          <w:rFonts w:ascii="Times New Roman" w:cs="Times New Roman" w:eastAsia="Times New Roman" w:hAnsi="Times New Roman"/>
          <w:sz w:val="20"/>
          <w:szCs w:val="20"/>
          <w:color w:val="auto"/>
        </w:rPr>
        <w:t xml:space="preserve">” shall mean a report from a Financial Officer of the Borrower, substantially in the form of, and containing substantially the certifications set forth in, the form attached hereto as </w:t>
      </w:r>
      <w:r>
        <w:rPr>
          <w:rFonts w:ascii="Times New Roman" w:cs="Times New Roman" w:eastAsia="Times New Roman" w:hAnsi="Times New Roman"/>
          <w:sz w:val="20"/>
          <w:szCs w:val="20"/>
          <w:u w:val="single" w:color="auto"/>
          <w:color w:val="auto"/>
        </w:rPr>
        <w:t>Exhibit 5.1(d)</w:t>
      </w:r>
      <w:r>
        <w:rPr>
          <w:rFonts w:ascii="Times New Roman" w:cs="Times New Roman" w:eastAsia="Times New Roman" w:hAnsi="Times New Roman"/>
          <w:sz w:val="20"/>
          <w:szCs w:val="20"/>
          <w:color w:val="auto"/>
        </w:rPr>
        <w:t>.</w:t>
      </w:r>
    </w:p>
    <w:p>
      <w:pPr>
        <w:spacing w:after="0" w:line="26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shall mean, collectively, this Agreement, the Collateral Documents, the Fee Letters, each Warrant (to the extent that, and for so long as, the parties thereto include a Lender or an Affiliate or Approved Fund of such Lender), the Board Observation Side Letter, </w:t>
      </w:r>
      <w:r>
        <w:rPr>
          <w:rFonts w:ascii="Times New Roman" w:cs="Times New Roman" w:eastAsia="Times New Roman" w:hAnsi="Times New Roman"/>
          <w:sz w:val="20"/>
          <w:szCs w:val="20"/>
          <w:color w:val="EE2724"/>
          <w:strike w:val="1"/>
        </w:rPr>
        <w:t>the</w:t>
      </w:r>
      <w:r>
        <w:rPr>
          <w:rFonts w:ascii="Times New Roman" w:cs="Times New Roman" w:eastAsia="Times New Roman" w:hAnsi="Times New Roman"/>
          <w:sz w:val="20"/>
          <w:szCs w:val="20"/>
          <w:u w:val="single" w:color="auto"/>
          <w:color w:val="3051F2"/>
        </w:rPr>
        <w:t>any</w:t>
      </w:r>
      <w:r>
        <w:rPr>
          <w:rFonts w:ascii="Times New Roman" w:cs="Times New Roman" w:eastAsia="Times New Roman" w:hAnsi="Times New Roman"/>
          <w:sz w:val="20"/>
          <w:szCs w:val="20"/>
          <w:color w:val="auto"/>
        </w:rPr>
        <w:t xml:space="preserve"> Perfection Certificate, all Notices of Borrowing, all Notices of Conversion, any Market Intercreditor Agreement, any promissory notes issued hereunder, any subordination agreement executed in connection with the Subordinated Debt (if any) or the Pari Lien Debt (if any), and any and all other instruments, agreements, documents and writings executed in connection with any of the foregoing that are designated by the Borrower and the Administrative Agent as a Loan Document.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shall mean Holdings, the Borrower and the Subsidiary Loan Parties.</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shall mean the Term Loan.</w:t>
      </w:r>
    </w:p>
    <w:p>
      <w:pPr>
        <w:spacing w:after="0" w:line="3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Make-Whole Amount</w:t>
      </w:r>
      <w:r>
        <w:rPr>
          <w:rFonts w:ascii="Times New Roman" w:cs="Times New Roman" w:eastAsia="Times New Roman" w:hAnsi="Times New Roman"/>
          <w:sz w:val="20"/>
          <w:szCs w:val="20"/>
          <w:color w:val="EE2724"/>
          <w:strike w:val="1"/>
        </w:rPr>
        <w:t>” shall mean, with respect to the Term Loans at any applicable prepayment, repayment or payment date (a “</w:t>
      </w:r>
      <w:r>
        <w:rPr>
          <w:rFonts w:ascii="Times New Roman" w:cs="Times New Roman" w:eastAsia="Times New Roman" w:hAnsi="Times New Roman"/>
          <w:sz w:val="20"/>
          <w:szCs w:val="20"/>
          <w:u w:val="single" w:color="auto"/>
          <w:color w:val="EE2724"/>
          <w:strike w:val="1"/>
        </w:rPr>
        <w:t>Payment Date</w:t>
      </w:r>
      <w:r>
        <w:rPr>
          <w:rFonts w:ascii="Times New Roman" w:cs="Times New Roman" w:eastAsia="Times New Roman" w:hAnsi="Times New Roman"/>
          <w:sz w:val="20"/>
          <w:szCs w:val="20"/>
          <w:color w:val="EE2724"/>
          <w:strike w:val="1"/>
        </w:rPr>
        <w:t>”), an amount (calculated in good faith by the Required Lenders, which calculation shall be conclusive absent manifest error) equal to the present value of all required and remaining scheduled interest payments due on the principal amount of such Term Loan(s) being prepaid, repaid or paid, as applicable, on such Payment Date, through and including the date that is eighteen (18) months following the Funding Date (excluding accrued but unpaid interest up to and including such Payment Date, and assuming that the rate of interest will be equal to the rate of</w:t>
      </w:r>
    </w:p>
    <w:p>
      <w:pPr>
        <w:sectPr>
          <w:pgSz w:w="11900" w:h="16838" w:orient="portrait"/>
          <w:cols w:equalWidth="0" w:num="1">
            <w:col w:w="10040"/>
          </w:cols>
          <w:pgMar w:left="1400" w:top="1440" w:right="459" w:bottom="1440" w:gutter="0" w:footer="0" w:header="0"/>
        </w:sectPr>
      </w:pPr>
    </w:p>
    <w:bookmarkStart w:id="125" w:name="page126"/>
    <w:bookmarkEnd w:id="125"/>
    <w:p>
      <w:pPr>
        <w:jc w:val="both"/>
        <w:ind w:left="20" w:right="120"/>
        <w:spacing w:after="0" w:line="283" w:lineRule="auto"/>
        <w:rPr>
          <w:sz w:val="20"/>
          <w:szCs w:val="20"/>
          <w:color w:val="auto"/>
        </w:rPr>
      </w:pPr>
      <w:r>
        <w:rPr>
          <w:rFonts w:ascii="Times New Roman" w:cs="Times New Roman" w:eastAsia="Times New Roman" w:hAnsi="Times New Roman"/>
          <w:sz w:val="20"/>
          <w:szCs w:val="20"/>
          <w:color w:val="EE2724"/>
          <w:strike w:val="1"/>
        </w:rPr>
        <w:t xml:space="preserve">interest in effect on and as of such Payment Date), discounted to the Payment Date on a quarterly basis (assuming a 360-days year and actual days elapsed) at a rate equal to the sum of the Treasury Rate </w:t>
      </w:r>
      <w:r>
        <w:rPr>
          <w:rFonts w:ascii="Times New Roman" w:cs="Times New Roman" w:eastAsia="Times New Roman" w:hAnsi="Times New Roman"/>
          <w:sz w:val="20"/>
          <w:szCs w:val="20"/>
          <w:u w:val="single" w:color="auto"/>
          <w:color w:val="EE2724"/>
          <w:strike w:val="1"/>
        </w:rPr>
        <w:t>plus</w:t>
      </w:r>
      <w:r>
        <w:rPr>
          <w:rFonts w:ascii="Times New Roman" w:cs="Times New Roman" w:eastAsia="Times New Roman" w:hAnsi="Times New Roman"/>
          <w:sz w:val="20"/>
          <w:szCs w:val="20"/>
          <w:color w:val="EE2724"/>
          <w:strike w:val="1"/>
        </w:rPr>
        <w:t xml:space="preserve"> 0.50%.</w:t>
      </w:r>
    </w:p>
    <w:p>
      <w:pPr>
        <w:spacing w:after="0" w:line="268"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 Intercreditor Agreement</w:t>
      </w:r>
      <w:r>
        <w:rPr>
          <w:rFonts w:ascii="Times New Roman" w:cs="Times New Roman" w:eastAsia="Times New Roman" w:hAnsi="Times New Roman"/>
          <w:sz w:val="20"/>
          <w:szCs w:val="20"/>
          <w:color w:val="auto"/>
        </w:rPr>
        <w:t>” shall mean a customary intercreditor agreement, in form and substance reasonably acceptable to the Administrative Agent and the Required Lenders in their reasonable discretion, which agreement shall provide that the Liens on the Collateral securing such Indebtedness shall rank equal in priority to the Liens on the Collateral securing the Obligations.</w:t>
      </w:r>
    </w:p>
    <w:p>
      <w:pPr>
        <w:spacing w:after="0" w:line="228" w:lineRule="exact"/>
        <w:rPr>
          <w:sz w:val="20"/>
          <w:szCs w:val="20"/>
          <w:color w:val="auto"/>
        </w:rPr>
      </w:pPr>
    </w:p>
    <w:p>
      <w:pPr>
        <w:jc w:val="both"/>
        <w:ind w:left="20" w:right="12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(i) the business, results of operations, financial condition, assets or liabilities of the Borrower and its Subsidiaries, taken as a whole, (ii) the ability of the Loan Parties, taken as a whole, to perform their obligations under the Loan Documents, (iii) the rights and remedies of the Administrative Agent or the Lenders under any of the Loan Documents, taken as a whole or (iv) the legality, validity or enforceability of any of the Loan Documents.</w:t>
      </w:r>
    </w:p>
    <w:p>
      <w:pPr>
        <w:spacing w:after="0" w:line="20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Agreements</w:t>
      </w:r>
      <w:r>
        <w:rPr>
          <w:rFonts w:ascii="Times New Roman" w:cs="Times New Roman" w:eastAsia="Times New Roman" w:hAnsi="Times New Roman"/>
          <w:sz w:val="20"/>
          <w:szCs w:val="20"/>
          <w:color w:val="auto"/>
        </w:rPr>
        <w:t>” shall mean (i) all agreements, indentures or notes governing the terms of any Material Indebtedness, (ii) all employment and non-compete agreements with the chief financial officer or the chief executive officer of Holdings and its Subsidiaries, (iii) all leases of Real Estate in locations that constitute the chief executive office of any of Holdings and/or its Subsidiaries or otherwise with rent in excess of $5,000,000 per year and (iv) all other agreements, documents, contracts, indentures and instruments pursuant to which (A) any Loan Party or any of its Subsidiaries are obligated to make payments in any twelve month period of $10,000,000 or more, (B) any Loan Party or any of its Subsidiaries expects to receive revenue in any twelve month period of $10,000,000 or more and (C) a default, breach or termination thereof would reasonably be expected to result in a Material Adverse Effect.</w:t>
      </w:r>
    </w:p>
    <w:p>
      <w:pPr>
        <w:spacing w:after="0" w:line="236" w:lineRule="exact"/>
        <w:rPr>
          <w:sz w:val="20"/>
          <w:szCs w:val="20"/>
          <w:color w:val="auto"/>
        </w:rPr>
      </w:pPr>
    </w:p>
    <w:p>
      <w:pPr>
        <w:jc w:val="both"/>
        <w:ind w:left="20" w:right="1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shall mean any Indebtedness (other than the Obligations) of Holdings, the Borrower or any of their respective Subsidiaries, individually, in an outstanding principal amount exceeding $10,000,000. For purposes of determining the amount of attributed Indebtedness from Hedging Obligations, the “principal amount” of any Hedging Obligations at any time shall be the Net Mark-to-Market Exposure of such Hedging Obligations.</w:t>
      </w:r>
    </w:p>
    <w:p>
      <w:pPr>
        <w:spacing w:after="0" w:line="199" w:lineRule="exact"/>
        <w:rPr>
          <w:sz w:val="20"/>
          <w:szCs w:val="20"/>
          <w:color w:val="auto"/>
        </w:rPr>
      </w:pPr>
    </w:p>
    <w:p>
      <w:pPr>
        <w:jc w:val="both"/>
        <w:ind w:left="20" w:right="1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shall mean the earlier to occur of (i) the Stated Maturity Date and (ii) the date on which the principal amount of all outstanding Term Loans have been declared or automatically have become due and payable (whether by acceleration or otherwise).</w:t>
      </w:r>
    </w:p>
    <w:p>
      <w:pPr>
        <w:spacing w:after="0" w:line="2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FF0000"/>
          <w:strike w:val="1"/>
        </w:rPr>
        <w:t>Minimum Liquidity Step-Down Date</w:t>
      </w:r>
      <w:r>
        <w:rPr>
          <w:rFonts w:ascii="Times New Roman" w:cs="Times New Roman" w:eastAsia="Times New Roman" w:hAnsi="Times New Roman"/>
          <w:sz w:val="20"/>
          <w:szCs w:val="20"/>
          <w:u w:val="single" w:color="auto"/>
          <w:color w:val="0000FF"/>
        </w:rPr>
        <w:t>MFN Provision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FF0000"/>
          <w:strike w:val="1"/>
        </w:rPr>
        <w:t>(j)</w:t>
      </w:r>
      <w:r>
        <w:rPr>
          <w:rFonts w:ascii="Times New Roman" w:cs="Times New Roman" w:eastAsia="Times New Roman" w:hAnsi="Times New Roman"/>
          <w:sz w:val="20"/>
          <w:szCs w:val="20"/>
          <w:u w:val="single" w:color="auto"/>
          <w:color w:val="0000FF"/>
        </w:rPr>
        <w:t>Section 7.1(f)</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shall mean Moody’s Investors Service, Inc.</w:t>
      </w:r>
    </w:p>
    <w:p>
      <w:pPr>
        <w:sectPr>
          <w:pgSz w:w="11900" w:h="16838" w:orient="portrait"/>
          <w:cols w:equalWidth="0" w:num="1">
            <w:col w:w="10180"/>
          </w:cols>
          <w:pgMar w:left="1380" w:top="1413" w:right="339" w:bottom="1440" w:gutter="0" w:footer="0" w:header="0"/>
        </w:sectPr>
      </w:pPr>
    </w:p>
    <w:bookmarkStart w:id="126" w:name="page127"/>
    <w:bookmarkEnd w:id="126"/>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Property</w:t>
      </w:r>
      <w:r>
        <w:rPr>
          <w:rFonts w:ascii="Times New Roman" w:cs="Times New Roman" w:eastAsia="Times New Roman" w:hAnsi="Times New Roman"/>
          <w:sz w:val="20"/>
          <w:szCs w:val="20"/>
          <w:color w:val="auto"/>
        </w:rPr>
        <w:t xml:space="preserve">” shall mean, collectively, the Real Estate subject to the Mortgages, including, but not limited to, any Real Estate for which a Mortgage is required to be delivered after the date hereof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w:t>
      </w:r>
    </w:p>
    <w:p>
      <w:pPr>
        <w:spacing w:after="0" w:line="2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shall mean, collectively, each mortgage, deed of trust, trust deed, security deed, debenture over real estate, deed of immovable hypothec, deed over real estate to secure debt or other real estate security documents delivered by any Loan Party to the Administrative Agent from time to time, all in form and substance reasonably satisfactory to the Administrative Agent, as the same may be amended, restated, amended and restated, extended, supplemented, substituted or otherwise modified from time to time.</w:t>
      </w:r>
    </w:p>
    <w:p>
      <w:pPr>
        <w:spacing w:after="0" w:line="2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shall mean any “multiemployer plan” as defined in Section 4001(a)(3) of ERISA, which is or was, during the preceding five (5) calendar years, contributed to or required to be contributed to by Holdings, the Borrower, any of their respective Subsidiaries or an ERISA Affiliate.</w:t>
      </w:r>
    </w:p>
    <w:p>
      <w:pPr>
        <w:spacing w:after="0" w:line="20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Multiple Line Quota Share Reinsurance Contract</w:t>
      </w:r>
      <w:r>
        <w:rPr>
          <w:rFonts w:ascii="Times New Roman" w:cs="Times New Roman" w:eastAsia="Times New Roman" w:hAnsi="Times New Roman"/>
          <w:sz w:val="20"/>
          <w:szCs w:val="20"/>
          <w:color w:val="EE2724"/>
          <w:strike w:val="1"/>
        </w:rPr>
        <w:t xml:space="preserve">” shall mean that certain Multiple Line Quota Share Reinsurance Contract, effective as of January 1, 2021 (as amended, restated, amended and restated, supplemented </w:t>
      </w:r>
      <w:r>
        <w:rPr>
          <w:rFonts w:ascii="Times New Roman" w:cs="Times New Roman" w:eastAsia="Times New Roman" w:hAnsi="Times New Roman"/>
          <w:sz w:val="20"/>
          <w:szCs w:val="20"/>
          <w:color w:val="0F7F40"/>
          <w:strike w:val="1"/>
        </w:rPr>
        <w:t>or otherwise modified</w:t>
      </w:r>
      <w:r>
        <w:rPr>
          <w:rFonts w:ascii="Times New Roman" w:cs="Times New Roman" w:eastAsia="Times New Roman" w:hAnsi="Times New Roman"/>
          <w:sz w:val="20"/>
          <w:szCs w:val="20"/>
          <w:color w:val="EE2724"/>
          <w:strike w:val="1"/>
        </w:rPr>
        <w:t xml:space="preserve"> </w:t>
      </w:r>
      <w:r>
        <w:rPr>
          <w:rFonts w:ascii="Times New Roman" w:cs="Times New Roman" w:eastAsia="Times New Roman" w:hAnsi="Times New Roman"/>
          <w:sz w:val="20"/>
          <w:szCs w:val="20"/>
          <w:color w:val="0F7F40"/>
          <w:strike w:val="1"/>
        </w:rPr>
        <w:t>from time to time</w:t>
      </w:r>
      <w:r>
        <w:rPr>
          <w:rFonts w:ascii="Times New Roman" w:cs="Times New Roman" w:eastAsia="Times New Roman" w:hAnsi="Times New Roman"/>
          <w:sz w:val="20"/>
          <w:szCs w:val="20"/>
          <w:color w:val="EE2724"/>
          <w:strike w:val="1"/>
        </w:rPr>
        <w:t>), by and between RIC and RRC.</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NAIC</w:t>
      </w:r>
      <w:r>
        <w:rPr>
          <w:rFonts w:ascii="Times New Roman" w:cs="Times New Roman" w:eastAsia="Times New Roman" w:hAnsi="Times New Roman"/>
          <w:sz w:val="20"/>
          <w:szCs w:val="20"/>
          <w:color w:val="auto"/>
        </w:rPr>
        <w:t>” shall mean the National Association of Insurance Commissioners.</w:t>
      </w:r>
    </w:p>
    <w:p>
      <w:pPr>
        <w:spacing w:after="0" w:line="3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xml:space="preserve">” shall mean, as applicable: (a) with respect to any asset sale, disposition, casualty, condemnation or similar event, the gross proceeds received by Holdings or any of its Subsidiaries therefrom consisting of (x) cash, (y) cash equivalents and (z) any cash or cash equivalent payments received by way of a deferred payment pursuant to, or by monetization of, a note receivable or otherwise, as and when received, but excluding any interest and royalty payments, </w:t>
      </w:r>
      <w:r>
        <w:rPr>
          <w:rFonts w:ascii="Times New Roman" w:cs="Times New Roman" w:eastAsia="Times New Roman" w:hAnsi="Times New Roman"/>
          <w:sz w:val="20"/>
          <w:szCs w:val="20"/>
          <w:i w:val="1"/>
          <w:iCs w:val="1"/>
          <w:u w:val="single" w:color="auto"/>
          <w:color w:val="auto"/>
        </w:rPr>
        <w:t>less</w:t>
      </w:r>
      <w:r>
        <w:rPr>
          <w:rFonts w:ascii="Times New Roman" w:cs="Times New Roman" w:eastAsia="Times New Roman" w:hAnsi="Times New Roman"/>
          <w:sz w:val="20"/>
          <w:szCs w:val="20"/>
          <w:color w:val="auto"/>
        </w:rPr>
        <w:t xml:space="preserve"> the sum of: (i) all income taxes and other taxes assessed by, or reasonably estimated to be payable to, a Governmental Authority as a result of such transaction or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estimated taxes exceed the amount of actual taxes required to be paid in cash in respect of such transaction or event, the amount of such excess shall constitute Net Cash Proceeds); (ii) all reasonable and customary out-of-pocket legal and other fees and expenses incurred in connection with such transaction or event (to the extent paid (x) on arm’s length terms to an Affiliate of Holdings other than Holdings and its Subsidiaries or (y) to non-Affiliates); (iii) the principal amount of, premium, if any, and interest on any Indebtedness (other than any Indebtedness arising under the Loan Documents or Indebtedness that is subordinated to the Obligations) that is required to be repaid in connection with such transaction or event and that is secured by Liens on such assets (so long as such Lien was permitted to encumber such assets under the Loan Documents at the time of such sale and was not a pari passu or junior Lien on Collateral); (iv) reasonable reserves retained from such gross proceeds to fund contingent liabilities directly attributable to such asset sale, disposition, casualty, condemnation or similar event and reasonably estimated to be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and at the time any such amounts are released from such reserve, such amounts shall constitute Net Cash Proceeds); and (b) with respect to any incurrence of Indebtedness, the gross cash proceeds received by Holdings or any of its Subsidiaries therefrom </w:t>
      </w:r>
      <w:r>
        <w:rPr>
          <w:rFonts w:ascii="Times New Roman" w:cs="Times New Roman" w:eastAsia="Times New Roman" w:hAnsi="Times New Roman"/>
          <w:sz w:val="20"/>
          <w:szCs w:val="20"/>
          <w:i w:val="1"/>
          <w:iCs w:val="1"/>
          <w:u w:val="single" w:color="auto"/>
          <w:color w:val="auto"/>
        </w:rPr>
        <w:t>less</w:t>
      </w:r>
      <w:r>
        <w:rPr>
          <w:rFonts w:ascii="Times New Roman" w:cs="Times New Roman" w:eastAsia="Times New Roman" w:hAnsi="Times New Roman"/>
          <w:sz w:val="20"/>
          <w:szCs w:val="20"/>
          <w:color w:val="auto"/>
        </w:rPr>
        <w:t xml:space="preserve"> all reasonable and customary out-of-pocket legal, underwriting and other fees and expenses incurred in connection therewith (to the extent paid (x) on arm’s length terms to an Affiliate of Holdings other than Holdings and its Subsidiaries or (y) to non-Affiliates).</w:t>
      </w:r>
    </w:p>
    <w:p>
      <w:pPr>
        <w:spacing w:after="0" w:line="24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Mark-to-Market Exposure</w:t>
      </w:r>
      <w:r>
        <w:rPr>
          <w:rFonts w:ascii="Times New Roman" w:cs="Times New Roman" w:eastAsia="Times New Roman" w:hAnsi="Times New Roman"/>
          <w:sz w:val="19"/>
          <w:szCs w:val="19"/>
          <w:color w:val="auto"/>
        </w:rPr>
        <w:t>”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such Hedging Transaction were to be terminated as of that date), and “unrealized profits” shall mean the fair market value of the gain to such Person of</w:t>
      </w:r>
    </w:p>
    <w:p>
      <w:pPr>
        <w:sectPr>
          <w:pgSz w:w="11900" w:h="16838" w:orient="portrait"/>
          <w:cols w:equalWidth="0" w:num="1">
            <w:col w:w="10040"/>
          </w:cols>
          <w:pgMar w:left="1400" w:top="1413" w:right="459" w:bottom="1440" w:gutter="0" w:footer="0" w:header="0"/>
        </w:sectPr>
      </w:pPr>
    </w:p>
    <w:bookmarkStart w:id="127" w:name="page128"/>
    <w:bookmarkEnd w:id="127"/>
    <w:p>
      <w:pPr>
        <w:jc w:val="both"/>
        <w:spacing w:after="0" w:line="269" w:lineRule="auto"/>
        <w:rPr>
          <w:sz w:val="20"/>
          <w:szCs w:val="20"/>
          <w:color w:val="auto"/>
        </w:rPr>
      </w:pPr>
      <w:r>
        <w:rPr>
          <w:rFonts w:ascii="Times New Roman" w:cs="Times New Roman" w:eastAsia="Times New Roman" w:hAnsi="Times New Roman"/>
          <w:sz w:val="20"/>
          <w:szCs w:val="20"/>
          <w:color w:val="auto"/>
        </w:rPr>
        <w:t>replacing such Hedging Transaction as of the date of determination (assuming such Hedging Transaction were to be terminated as of that date).</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shall mean, at any time, a Lender that is not a Defaulting Lender.</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Non-Guarantor Subsidiary</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7.5(e)</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Plan</w:t>
      </w:r>
      <w:r>
        <w:rPr>
          <w:rFonts w:ascii="Times New Roman" w:cs="Times New Roman" w:eastAsia="Times New Roman" w:hAnsi="Times New Roman"/>
          <w:sz w:val="20"/>
          <w:szCs w:val="20"/>
          <w:color w:val="auto"/>
        </w:rPr>
        <w:t>” shall mean any plan, fund (including, without limitation, any superannuation fund) or other similar program established, contributed to (regardless of whether through direct contributions or through employee withholding) or maintained outside the United States by Holdings, the Borrower or one or more of their respective Subsidiaries primarily for the benefit of employees of Holdings,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shall mean all amounts owing by the Loan Parties to the Administrative Agent or any Lender pursuant to or in connection with this Agreement or any other Loan Document or otherwise with respect to any Loan,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reimbursement obligations, fees, expenses, indemnification and reimbursement payments, costs and expenses (including all fees and expenses of counsel to the Administrative Agent and any Lender incurred pursuant to this Agreement or any other Loan Document), whether direct or indirect, absolute or contingent, liquidated or unliquidated, now existing or hereafter arising hereunder or thereunder.</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Observer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shall mean the U.S. Department of the Treasury’s Office of Foreign Assets Control.</w:t>
      </w:r>
    </w:p>
    <w:p>
      <w:pPr>
        <w:spacing w:after="0" w:line="33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Liabilities</w:t>
      </w:r>
      <w:r>
        <w:rPr>
          <w:rFonts w:ascii="Times New Roman" w:cs="Times New Roman" w:eastAsia="Times New Roman" w:hAnsi="Times New Roman"/>
          <w:sz w:val="20"/>
          <w:szCs w:val="20"/>
          <w:color w:val="auto"/>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226"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OSHA</w:t>
      </w:r>
      <w:r>
        <w:rPr>
          <w:rFonts w:ascii="Times New Roman" w:cs="Times New Roman" w:eastAsia="Times New Roman" w:hAnsi="Times New Roman"/>
          <w:sz w:val="20"/>
          <w:szCs w:val="20"/>
          <w:color w:val="auto"/>
        </w:rPr>
        <w:t>” shall mean the Occupational Safety and Health Act of 1970, as amended and in effect from time to time, and any successor statute thereto.</w:t>
      </w:r>
    </w:p>
    <w:p>
      <w:pPr>
        <w:spacing w:after="0" w:line="21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ectPr>
          <w:pgSz w:w="11900" w:h="16838" w:orient="portrait"/>
          <w:cols w:equalWidth="0" w:num="1">
            <w:col w:w="10040"/>
          </w:cols>
          <w:pgMar w:left="1400" w:top="1332" w:right="459" w:bottom="1440" w:gutter="0" w:footer="0" w:header="0"/>
        </w:sectPr>
      </w:pPr>
    </w:p>
    <w:bookmarkStart w:id="128" w:name="page129"/>
    <w:bookmarkEnd w:id="128"/>
    <w:p>
      <w:pPr>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shall mean any and all present or future stamp, court or documentary, intangible, recording, filing or similar Taxes that arise from any payment made hereunder or under any other Loan Document or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or a sale of a participation in all or a portion of any Recipient’s rights and/or obligations under this Agreement.</w:t>
      </w:r>
    </w:p>
    <w:p>
      <w:pPr>
        <w:spacing w:after="0" w:line="219" w:lineRule="exact"/>
        <w:rPr>
          <w:sz w:val="20"/>
          <w:szCs w:val="20"/>
          <w:color w:val="auto"/>
        </w:rPr>
      </w:pPr>
    </w:p>
    <w:p>
      <w:pPr>
        <w:jc w:val="both"/>
        <w:ind w:left="20" w:right="1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Company</w:t>
      </w:r>
      <w:r>
        <w:rPr>
          <w:rFonts w:ascii="Times New Roman" w:cs="Times New Roman" w:eastAsia="Times New Roman" w:hAnsi="Times New Roman"/>
          <w:sz w:val="20"/>
          <w:szCs w:val="20"/>
          <w:color w:val="auto"/>
        </w:rPr>
        <w:t>” shall mean, with respect to any Lender, the “bank holding company” (as defined in Regulation Y), if any, of such Lender, and/or any Person owning, beneficially or of record, directly or indirectly, a majority of the shares of such Lender.</w:t>
      </w:r>
    </w:p>
    <w:p>
      <w:pPr>
        <w:spacing w:after="0" w:line="208" w:lineRule="exact"/>
        <w:rPr>
          <w:sz w:val="20"/>
          <w:szCs w:val="20"/>
          <w:color w:val="auto"/>
        </w:rPr>
      </w:pPr>
    </w:p>
    <w:p>
      <w:pPr>
        <w:jc w:val="both"/>
        <w:ind w:left="20" w:right="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Lien Debt</w:t>
      </w:r>
      <w:r>
        <w:rPr>
          <w:rFonts w:ascii="Times New Roman" w:cs="Times New Roman" w:eastAsia="Times New Roman" w:hAnsi="Times New Roman"/>
          <w:sz w:val="20"/>
          <w:szCs w:val="20"/>
          <w:color w:val="auto"/>
        </w:rPr>
        <w:t xml:space="preserve">” shall mean any Indebtedness of the Loan Parties that is expressly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7.1(f)</w:t>
      </w:r>
      <w:r>
        <w:rPr>
          <w:rFonts w:ascii="Times New Roman" w:cs="Times New Roman" w:eastAsia="Times New Roman" w:hAnsi="Times New Roman"/>
          <w:sz w:val="20"/>
          <w:szCs w:val="20"/>
          <w:color w:val="auto"/>
        </w:rPr>
        <w:t xml:space="preserve"> and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security with the Obligations.</w:t>
      </w:r>
    </w:p>
    <w:p>
      <w:pPr>
        <w:spacing w:after="0" w:line="268" w:lineRule="exact"/>
        <w:rPr>
          <w:sz w:val="20"/>
          <w:szCs w:val="20"/>
          <w:color w:val="auto"/>
        </w:rPr>
      </w:pPr>
    </w:p>
    <w:p>
      <w:pPr>
        <w:jc w:val="both"/>
        <w:ind w:left="20" w:right="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Lien Debt Documents</w:t>
      </w:r>
      <w:r>
        <w:rPr>
          <w:rFonts w:ascii="Times New Roman" w:cs="Times New Roman" w:eastAsia="Times New Roman" w:hAnsi="Times New Roman"/>
          <w:sz w:val="20"/>
          <w:szCs w:val="20"/>
          <w:color w:val="auto"/>
        </w:rPr>
        <w:t>” shall mean the indentures, loan agreements, notes, guaranties, collateral documents, subordination agreements, intercreditor agreements (including any Market Intercreditor Agreement) and other related documents and/or agreements governing or evidencing the Pari Lien Debt.</w:t>
      </w:r>
    </w:p>
    <w:p>
      <w:pPr>
        <w:spacing w:after="0" w:line="2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337" w:lineRule="exact"/>
        <w:rPr>
          <w:sz w:val="20"/>
          <w:szCs w:val="20"/>
          <w:color w:val="auto"/>
        </w:rPr>
      </w:pPr>
    </w:p>
    <w:p>
      <w:pPr>
        <w:jc w:val="both"/>
        <w:ind w:left="20" w:right="1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Security Agreement</w:t>
      </w:r>
      <w:r>
        <w:rPr>
          <w:rFonts w:ascii="Times New Roman" w:cs="Times New Roman" w:eastAsia="Times New Roman" w:hAnsi="Times New Roman"/>
          <w:sz w:val="20"/>
          <w:szCs w:val="20"/>
          <w:color w:val="auto"/>
        </w:rPr>
        <w:t>” shall mean any Patent Security Agreement, substantially in the form of Annex II attached to the Guaranty and Security Agreement, executed by a Loan Party owning Patents or licenses of Patents in favor of the Administrative Agent (for the benefit of the Secured Parties), both on the Closing Date and thereafter.</w:t>
      </w:r>
    </w:p>
    <w:p>
      <w:pPr>
        <w:spacing w:after="0" w:line="204" w:lineRule="exact"/>
        <w:rPr>
          <w:sz w:val="20"/>
          <w:szCs w:val="20"/>
          <w:color w:val="auto"/>
        </w:rPr>
      </w:pPr>
    </w:p>
    <w:p>
      <w:pPr>
        <w:jc w:val="both"/>
        <w:ind w:left="20" w:right="8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shall mean the Uniting and Strengthening America by Providing Appropriate Tools Required to Intercept and Obstruct Terrorism Act of 2001, Pub. L. 107-56, as amended and in effect from time to time.</w:t>
      </w:r>
    </w:p>
    <w:p>
      <w:pPr>
        <w:spacing w:after="0" w:line="1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Payment Date</w:t>
      </w:r>
      <w:r>
        <w:rPr>
          <w:rFonts w:ascii="Times New Roman" w:cs="Times New Roman" w:eastAsia="Times New Roman" w:hAnsi="Times New Roman"/>
          <w:sz w:val="20"/>
          <w:szCs w:val="20"/>
          <w:color w:val="EE2724"/>
          <w:strike w:val="1"/>
        </w:rPr>
        <w:t>” shall have the meaning assigned to such term in the definition of “Make-Whole Amount”.</w:t>
      </w:r>
    </w:p>
    <w:p>
      <w:pPr>
        <w:spacing w:after="0" w:line="243" w:lineRule="exact"/>
        <w:rPr>
          <w:sz w:val="20"/>
          <w:szCs w:val="20"/>
          <w:color w:val="auto"/>
        </w:rPr>
      </w:pPr>
    </w:p>
    <w:p>
      <w:pPr>
        <w:jc w:val="both"/>
        <w:ind w:left="20" w:right="8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Office</w:t>
      </w:r>
      <w:r>
        <w:rPr>
          <w:rFonts w:ascii="Times New Roman" w:cs="Times New Roman" w:eastAsia="Times New Roman" w:hAnsi="Times New Roman"/>
          <w:sz w:val="20"/>
          <w:szCs w:val="20"/>
          <w:color w:val="auto"/>
        </w:rPr>
        <w:t>” shall mean the office of the Administrative Agent located at 950 17th Street, Suite 1400, Denver, CO 80202, or such other location as to which the Administrative Agent shall have given written notice to the Borrower and the Lenders.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20" w:right="6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shall mean the U.S. Pension Benefit Guaranty Corporation referred to and defined in ERISA, and any successor entity performing similar functions.</w:t>
      </w:r>
    </w:p>
    <w:p>
      <w:pPr>
        <w:sectPr>
          <w:pgSz w:w="11900" w:h="16838" w:orient="portrait"/>
          <w:cols w:equalWidth="0" w:num="1">
            <w:col w:w="10140"/>
          </w:cols>
          <w:pgMar w:left="1380" w:top="1345" w:right="379" w:bottom="1440" w:gutter="0" w:footer="0" w:header="0"/>
        </w:sectPr>
      </w:pPr>
    </w:p>
    <w:bookmarkStart w:id="129" w:name="page130"/>
    <w:bookmarkEnd w:id="129"/>
    <w:p>
      <w:pPr>
        <w:jc w:val="both"/>
        <w:ind w:left="2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shall mean</w:t>
      </w:r>
      <w:r>
        <w:rPr>
          <w:rFonts w:ascii="Times New Roman" w:cs="Times New Roman" w:eastAsia="Times New Roman" w:hAnsi="Times New Roman"/>
          <w:sz w:val="20"/>
          <w:szCs w:val="20"/>
          <w:u w:val="single" w:color="auto"/>
          <w:color w:val="0000FF"/>
        </w:rPr>
        <w:t>, collectively, (i)</w:t>
      </w:r>
      <w:r>
        <w:rPr>
          <w:rFonts w:ascii="Times New Roman" w:cs="Times New Roman" w:eastAsia="Times New Roman" w:hAnsi="Times New Roman"/>
          <w:sz w:val="20"/>
          <w:szCs w:val="20"/>
          <w:color w:val="auto"/>
        </w:rPr>
        <w:t xml:space="preserve"> that certain Perfection Certificate, dated as of the Closing Date, executed by each Loan Party in favor of the Administrative Agent and the Lenders </w:t>
      </w:r>
      <w:r>
        <w:rPr>
          <w:rFonts w:ascii="Times New Roman" w:cs="Times New Roman" w:eastAsia="Times New Roman" w:hAnsi="Times New Roman"/>
          <w:sz w:val="20"/>
          <w:szCs w:val="20"/>
          <w:color w:val="0000FF"/>
        </w:rPr>
        <w:t>and (ii) that certain Perfection Certificate,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dated as of the Second Amendment Effective Date, executed by each Loan Party in favor of the Administrative Agent and the Lenders</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-325120</wp:posOffset>
            </wp:positionV>
            <wp:extent cx="21824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2182495" cy="8255"/>
                    </a:xfrm>
                    <a:prstGeom prst="rect">
                      <a:avLst/>
                    </a:prstGeom>
                    <a:noFill/>
                  </pic:spPr>
                </pic:pic>
              </a:graphicData>
            </a:graphic>
          </wp:anchor>
        </w:drawing>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337" w:lineRule="exact"/>
        <w:rPr>
          <w:sz w:val="20"/>
          <w:szCs w:val="20"/>
          <w:color w:val="auto"/>
        </w:rPr>
      </w:pPr>
    </w:p>
    <w:p>
      <w:pPr>
        <w:jc w:val="both"/>
        <w:ind w:left="20" w:right="120"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Convertible Indebtedness</w:t>
      </w:r>
      <w:r>
        <w:rPr>
          <w:rFonts w:ascii="Times New Roman" w:cs="Times New Roman" w:eastAsia="Times New Roman" w:hAnsi="Times New Roman"/>
          <w:sz w:val="20"/>
          <w:szCs w:val="20"/>
          <w:color w:val="auto"/>
        </w:rPr>
        <w:t xml:space="preserve">” shall mean Indebtedness of Holdings permitted to be incurred pursuant to </w:t>
      </w:r>
      <w:r>
        <w:rPr>
          <w:rFonts w:ascii="Times New Roman" w:cs="Times New Roman" w:eastAsia="Times New Roman" w:hAnsi="Times New Roman"/>
          <w:sz w:val="20"/>
          <w:szCs w:val="20"/>
          <w:u w:val="single" w:color="auto"/>
          <w:color w:val="auto"/>
        </w:rPr>
        <w:t>Section 7.1(r)</w:t>
      </w:r>
      <w:r>
        <w:rPr>
          <w:rFonts w:ascii="Times New Roman" w:cs="Times New Roman" w:eastAsia="Times New Roman" w:hAnsi="Times New Roman"/>
          <w:sz w:val="20"/>
          <w:szCs w:val="20"/>
          <w:color w:val="auto"/>
        </w:rPr>
        <w:t xml:space="preserve"> that is convertible into, or exchangeable for, common stock of Holdings (or other securities or property following a merger event or other change of the common stock of Holdings) and/or cash (in an amount determined by reference to the price of such common stock). For the avoidance of doubt, the amounts outstanding under any Permitted Convertible Indebtedness shall be determined for purposes of the Loan Documents without giving effect to any treatment in respect of convertible debt instruments under Accounting Standards Codification Subtopics 470-20 or 815-40 (or any other Accounting Standards Codification or Financial Accounting Standard having a similar result or effect) to value any such Permitted Convertible Indebtedness in a reduced or bifurcated manner as described therein, and such Permitted Convertible Indebtedness shall at all times be valued at the full stated principal amount thereof.</w:t>
      </w:r>
    </w:p>
    <w:p>
      <w:pPr>
        <w:spacing w:after="0" w:line="2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shall mean:</w:t>
      </w:r>
    </w:p>
    <w:p>
      <w:pPr>
        <w:spacing w:after="0" w:line="324" w:lineRule="exact"/>
        <w:rPr>
          <w:sz w:val="20"/>
          <w:szCs w:val="20"/>
          <w:color w:val="auto"/>
        </w:rPr>
      </w:pPr>
    </w:p>
    <w:p>
      <w:pPr>
        <w:jc w:val="both"/>
        <w:ind w:left="20" w:right="120" w:firstLine="1303"/>
        <w:spacing w:after="0" w:line="254" w:lineRule="auto"/>
        <w:tabs>
          <w:tab w:leader="none" w:pos="153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assessments and other charges and levies imposed by any Governmental Authority, in each case, which are not yet due or which are being contested in good faith by appropriate proceedings diligently conducted and with respect to which adequate reserves are being maintained in accordance with GAAP;</w:t>
      </w:r>
    </w:p>
    <w:p>
      <w:pPr>
        <w:spacing w:after="0" w:line="201" w:lineRule="exact"/>
        <w:rPr>
          <w:rFonts w:ascii="Times New Roman" w:cs="Times New Roman" w:eastAsia="Times New Roman" w:hAnsi="Times New Roman"/>
          <w:sz w:val="20"/>
          <w:szCs w:val="20"/>
          <w:color w:val="auto"/>
        </w:rPr>
      </w:pPr>
    </w:p>
    <w:p>
      <w:pPr>
        <w:jc w:val="both"/>
        <w:ind w:left="20" w:right="120" w:firstLine="1303"/>
        <w:spacing w:after="0" w:line="244" w:lineRule="auto"/>
        <w:tabs>
          <w:tab w:leader="none" w:pos="217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of landlords, vendors, carriers, warehousemen, mechanics, materialmen, processors, suppliers, landlords, repairmen and other Liens imposed by law in the ordinary course of business for amounts not more than forty-five (45) days past due or which are being contested in good faith by appropriate proceedings diligently conducted and with respect to which adequate reserves are being maintained in accordance with GAAP;</w:t>
      </w:r>
    </w:p>
    <w:p>
      <w:pPr>
        <w:spacing w:after="0" w:line="225" w:lineRule="exact"/>
        <w:rPr>
          <w:rFonts w:ascii="Times New Roman" w:cs="Times New Roman" w:eastAsia="Times New Roman" w:hAnsi="Times New Roman"/>
          <w:sz w:val="20"/>
          <w:szCs w:val="20"/>
          <w:color w:val="auto"/>
        </w:rPr>
      </w:pPr>
    </w:p>
    <w:p>
      <w:pPr>
        <w:ind w:left="20" w:right="120" w:firstLine="1304"/>
        <w:spacing w:after="0" w:line="269" w:lineRule="auto"/>
        <w:tabs>
          <w:tab w:leader="none" w:pos="21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pledges and deposits made in the ordinary course of business in compliance with workers’ compensation, unemployment insurance, social security and other similar laws or regulations;</w:t>
      </w:r>
    </w:p>
    <w:p>
      <w:pPr>
        <w:spacing w:after="0" w:line="186" w:lineRule="exact"/>
        <w:rPr>
          <w:rFonts w:ascii="Times New Roman" w:cs="Times New Roman" w:eastAsia="Times New Roman" w:hAnsi="Times New Roman"/>
          <w:sz w:val="20"/>
          <w:szCs w:val="20"/>
          <w:color w:val="auto"/>
        </w:rPr>
      </w:pPr>
    </w:p>
    <w:p>
      <w:pPr>
        <w:jc w:val="both"/>
        <w:ind w:left="20" w:right="120" w:firstLine="1304"/>
        <w:spacing w:after="0" w:line="242" w:lineRule="auto"/>
        <w:tabs>
          <w:tab w:leader="none" w:pos="216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pledges and deposits to secure the performance of bids, government, trade and commercial contracts, leases, statutory obligations, deductibles, co-payment, co-insurance, retentions, premiums, reimbursement obligations or similar obligations to providers of insurance, self- insurance or reinsurance obligations, surety, stay, customs and appeal or similar bonds, performance bonds and other obligations of a like nature (including those to secure health, safety and environmental obligations) and (ii) obligations in respect of letters of credit or bank guarantees that have been posted to support payment of the items set forth in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in each case, in the ordinary course of business;</w:t>
      </w:r>
    </w:p>
    <w:p>
      <w:pPr>
        <w:spacing w:after="0" w:line="21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(v)(x) judgment and attachment liens not giving rise to an Event of Default and (y) Liens created by or existing from any litigation or legal proceeding that are currently being contested in good faith by appropriate proceedings diligently conducted and with respect to which adequate reserves are being maintained in accordance with GAAP;</w:t>
      </w:r>
    </w:p>
    <w:p>
      <w:pPr>
        <w:sectPr>
          <w:pgSz w:w="11900" w:h="16838" w:orient="portrait"/>
          <w:cols w:equalWidth="0" w:num="1">
            <w:col w:w="10180"/>
          </w:cols>
          <w:pgMar w:left="1380" w:top="1332" w:right="339" w:bottom="1440" w:gutter="0" w:footer="0" w:header="0"/>
        </w:sectPr>
      </w:pPr>
    </w:p>
    <w:bookmarkStart w:id="130" w:name="page131"/>
    <w:bookmarkEnd w:id="130"/>
    <w:p>
      <w:pPr>
        <w:jc w:val="both"/>
        <w:ind w:firstLine="1303"/>
        <w:spacing w:after="0" w:line="246" w:lineRule="auto"/>
        <w:tabs>
          <w:tab w:leader="none" w:pos="214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bankers’ liens (and other similar liens) or rights of set-off, revocation, refund or chargeback on deposit accounts or securities accounts, and under deposit agreements or under the Uniform Commercial Code or common law of banks or other financial institutions where Holdings or any of its Subsidiaries maintains deposits (other than deposits intended as cash collateral) in the ordinary course of business and/or to secure any cash management obligations;</w:t>
      </w:r>
    </w:p>
    <w:p>
      <w:pPr>
        <w:spacing w:after="0" w:line="211" w:lineRule="exact"/>
        <w:rPr>
          <w:rFonts w:ascii="Times New Roman" w:cs="Times New Roman" w:eastAsia="Times New Roman" w:hAnsi="Times New Roman"/>
          <w:sz w:val="20"/>
          <w:szCs w:val="20"/>
          <w:color w:val="auto"/>
        </w:rPr>
      </w:pPr>
    </w:p>
    <w:p>
      <w:pPr>
        <w:jc w:val="both"/>
        <w:ind w:firstLine="1303"/>
        <w:spacing w:after="0" w:line="242" w:lineRule="auto"/>
        <w:tabs>
          <w:tab w:leader="none" w:pos="214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easements, zoning restrictions, building codes, rights-of-way, reservations, covenants, rights and restrictions of record and similar encumbrances on real property imposed by law or arising in the ordinary course of business that do not secure any monetary obligation and do not materially detract from the value of the affected property or materially interfere with the ordinary conduct of business of Holdings and its Subsidiaries taken as a whole, (y) with respect to any leasehold interest, mortgages, obligations, Liens and other encumbrances incurred, created, assumed or permitted to exist and arising by, through or under a landlord, ground lessor or owner of the leased property or owned property and (z) with respect to any Mortgaged Property, all matters shown on the title report for such Real Estate;</w:t>
      </w:r>
    </w:p>
    <w:p>
      <w:pPr>
        <w:spacing w:after="0" w:line="307" w:lineRule="exact"/>
        <w:rPr>
          <w:rFonts w:ascii="Times New Roman" w:cs="Times New Roman" w:eastAsia="Times New Roman" w:hAnsi="Times New Roman"/>
          <w:sz w:val="20"/>
          <w:szCs w:val="20"/>
          <w:color w:val="auto"/>
        </w:rPr>
      </w:pPr>
    </w:p>
    <w:p>
      <w:pPr>
        <w:ind w:left="2160" w:hanging="883"/>
        <w:spacing w:after="0"/>
        <w:tabs>
          <w:tab w:leader="none" w:pos="21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cash earnest money deposits made by Holdings or any of its Subsidiaries;</w:t>
      </w:r>
    </w:p>
    <w:p>
      <w:pPr>
        <w:spacing w:after="0" w:line="323" w:lineRule="exact"/>
        <w:rPr>
          <w:rFonts w:ascii="Times New Roman" w:cs="Times New Roman" w:eastAsia="Times New Roman" w:hAnsi="Times New Roman"/>
          <w:sz w:val="20"/>
          <w:szCs w:val="20"/>
          <w:color w:val="auto"/>
        </w:rPr>
      </w:pPr>
    </w:p>
    <w:p>
      <w:pPr>
        <w:ind w:right="20" w:firstLine="1303"/>
        <w:spacing w:after="0" w:line="269" w:lineRule="auto"/>
        <w:tabs>
          <w:tab w:leader="none" w:pos="214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transfers of assets that are subject to sale or transfer pursuant to any purchase and sale agreements that are permitted under this Agreement;</w:t>
      </w:r>
    </w:p>
    <w:p>
      <w:pPr>
        <w:spacing w:after="0" w:line="199" w:lineRule="exact"/>
        <w:rPr>
          <w:rFonts w:ascii="Times New Roman" w:cs="Times New Roman" w:eastAsia="Times New Roman" w:hAnsi="Times New Roman"/>
          <w:sz w:val="20"/>
          <w:szCs w:val="20"/>
          <w:color w:val="auto"/>
        </w:rPr>
      </w:pPr>
    </w:p>
    <w:p>
      <w:pPr>
        <w:ind w:firstLine="1303"/>
        <w:spacing w:after="0" w:line="269" w:lineRule="auto"/>
        <w:tabs>
          <w:tab w:leader="none" w:pos="2147"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joint ventures permitted hereunder, put/call arrangements or restrictions on dispositions related to its Capital Stock set forth in the applicable organizational documents or joint venture agreement;</w:t>
      </w:r>
    </w:p>
    <w:p>
      <w:pPr>
        <w:spacing w:after="0" w:line="186" w:lineRule="exact"/>
        <w:rPr>
          <w:rFonts w:ascii="Times New Roman" w:cs="Times New Roman" w:eastAsia="Times New Roman" w:hAnsi="Times New Roman"/>
          <w:sz w:val="20"/>
          <w:szCs w:val="20"/>
          <w:color w:val="auto"/>
        </w:rPr>
      </w:pPr>
    </w:p>
    <w:p>
      <w:pPr>
        <w:jc w:val="both"/>
        <w:ind w:firstLine="1303"/>
        <w:spacing w:after="0" w:line="238" w:lineRule="auto"/>
        <w:tabs>
          <w:tab w:leader="none" w:pos="214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insurance policies under which Holdings and its Subsidiaries are the insured parties (excluding, for the avoidance of doubt, any excess of loss, catastrophic or other similar insurance or reinsurance policies that are applicable to the line of business of Holdings and its Subsidiaries) and proceeds and premiums thereof or related thereto securing Indebtedness permitted under </w:t>
      </w:r>
      <w:r>
        <w:rPr>
          <w:rFonts w:ascii="Times New Roman" w:cs="Times New Roman" w:eastAsia="Times New Roman" w:hAnsi="Times New Roman"/>
          <w:sz w:val="20"/>
          <w:szCs w:val="20"/>
          <w:u w:val="single" w:color="auto"/>
          <w:color w:val="auto"/>
        </w:rPr>
        <w:t>Section 7.1(n)</w:t>
      </w:r>
      <w:r>
        <w:rPr>
          <w:rFonts w:ascii="Times New Roman" w:cs="Times New Roman" w:eastAsia="Times New Roman" w:hAnsi="Times New Roman"/>
          <w:sz w:val="20"/>
          <w:szCs w:val="20"/>
          <w:color w:val="auto"/>
        </w:rPr>
        <w:t>;</w:t>
      </w:r>
    </w:p>
    <w:p>
      <w:pPr>
        <w:ind w:firstLine="1303"/>
        <w:spacing w:after="0" w:line="228" w:lineRule="auto"/>
        <w:tabs>
          <w:tab w:leader="none" w:pos="214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any Insurance Subsidiary arising under agreements or arrangements established with respect to insurance policies underwritten by any Insurance Subsidiary in the ordinary course of business;</w:t>
      </w:r>
    </w:p>
    <w:p>
      <w:pPr>
        <w:spacing w:after="0" w:line="175" w:lineRule="exact"/>
        <w:rPr>
          <w:rFonts w:ascii="Times New Roman" w:cs="Times New Roman" w:eastAsia="Times New Roman" w:hAnsi="Times New Roman"/>
          <w:sz w:val="20"/>
          <w:szCs w:val="20"/>
          <w:color w:val="auto"/>
        </w:rPr>
      </w:pPr>
    </w:p>
    <w:p>
      <w:pPr>
        <w:jc w:val="both"/>
        <w:ind w:firstLine="1303"/>
        <w:spacing w:after="0" w:line="222" w:lineRule="auto"/>
        <w:tabs>
          <w:tab w:leader="none" w:pos="215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 granted in the ordinary course of business, and leases, subleases, licenses or sublicenses of personal property (other than Intellectual Property) granted in the ordinary course of business to the extent that such leases or subleases do not materially interfere with the business of Holdings or its Subsidiaries;</w:t>
      </w:r>
    </w:p>
    <w:p>
      <w:pPr>
        <w:spacing w:after="0" w:line="202" w:lineRule="exact"/>
        <w:rPr>
          <w:rFonts w:ascii="Times New Roman" w:cs="Times New Roman" w:eastAsia="Times New Roman" w:hAnsi="Times New Roman"/>
          <w:sz w:val="20"/>
          <w:szCs w:val="20"/>
          <w:color w:val="auto"/>
        </w:rPr>
      </w:pPr>
    </w:p>
    <w:p>
      <w:pPr>
        <w:jc w:val="both"/>
        <w:ind w:firstLine="1303"/>
        <w:spacing w:after="0" w:line="222" w:lineRule="auto"/>
        <w:tabs>
          <w:tab w:leader="none" w:pos="215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and sub-licenses of Intellectual Property in the ordinary course of business consistent with past practice, including, without limitation, any licenses that could not result in legal transfer of title that may be exclusive in respects other than territory and that may be exclusive as to territory only as to discreet geographical areas outside of the U.S.; and</w:t>
      </w:r>
    </w:p>
    <w:p>
      <w:pPr>
        <w:spacing w:after="0" w:line="202" w:lineRule="exact"/>
        <w:rPr>
          <w:rFonts w:ascii="Times New Roman" w:cs="Times New Roman" w:eastAsia="Times New Roman" w:hAnsi="Times New Roman"/>
          <w:sz w:val="20"/>
          <w:szCs w:val="20"/>
          <w:color w:val="auto"/>
        </w:rPr>
      </w:pPr>
    </w:p>
    <w:p>
      <w:pPr>
        <w:ind w:right="20" w:firstLine="1303"/>
        <w:spacing w:after="0" w:line="269" w:lineRule="auto"/>
        <w:tabs>
          <w:tab w:leader="none" w:pos="215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deposits and guarantees made by any Insurance Subsidiary in order to comply with applicable Requirements of Law or as required by any Insurance Regulatory Authority;</w:t>
      </w:r>
    </w:p>
    <w:p>
      <w:pPr>
        <w:spacing w:after="0" w:line="186" w:lineRule="exact"/>
        <w:rPr>
          <w:rFonts w:ascii="Times New Roman" w:cs="Times New Roman" w:eastAsia="Times New Roman" w:hAnsi="Times New Roman"/>
          <w:sz w:val="20"/>
          <w:szCs w:val="20"/>
          <w:color w:val="auto"/>
        </w:rPr>
      </w:pPr>
    </w:p>
    <w:p>
      <w:pPr>
        <w:ind w:left="2160" w:hanging="857"/>
        <w:spacing w:after="0"/>
        <w:tabs>
          <w:tab w:leader="none" w:pos="21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resulting from the filing of precautionary UCC-1 financing statements (or equivalent) with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respect to leases;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w:t>
      </w:r>
    </w:p>
    <w:p>
      <w:pPr>
        <w:sectPr>
          <w:pgSz w:w="11900" w:h="16838" w:orient="portrait"/>
          <w:cols w:equalWidth="0" w:num="1">
            <w:col w:w="10040"/>
          </w:cols>
          <w:pgMar w:left="1400" w:top="1332" w:right="459" w:bottom="1440" w:gutter="0" w:footer="0" w:header="0"/>
        </w:sectPr>
      </w:pPr>
    </w:p>
    <w:bookmarkStart w:id="131" w:name="page132"/>
    <w:bookmarkEnd w:id="131"/>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shall mean all Persons that hold Capital Stock of Holdings as of the Closing Date as set forth on Schedule II attached hereto and, in each case, their Affiliates, immediate family members, lineal descendants, heirs, estates and trusts for the benefit thereof.</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shall mean:</w:t>
      </w:r>
    </w:p>
    <w:p>
      <w:pPr>
        <w:spacing w:after="0" w:line="337" w:lineRule="exact"/>
        <w:rPr>
          <w:sz w:val="20"/>
          <w:szCs w:val="20"/>
          <w:color w:val="auto"/>
        </w:rPr>
      </w:pPr>
    </w:p>
    <w:p>
      <w:pPr>
        <w:jc w:val="both"/>
        <w:ind w:left="-20" w:firstLine="1297"/>
        <w:spacing w:after="0" w:line="268" w:lineRule="auto"/>
        <w:tabs>
          <w:tab w:leader="none" w:pos="151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or direct obligations of, or obligations the principal of and interest on which are unconditionally guaranteed by, the United States (or by any agency thereof to the extent such obligations are backed by the full faith and credit of the United States), in each case, maturing within one (1) year from the date of acquisition thereof;</w:t>
      </w:r>
    </w:p>
    <w:p>
      <w:pPr>
        <w:spacing w:after="0" w:line="201" w:lineRule="exact"/>
        <w:rPr>
          <w:rFonts w:ascii="Times New Roman" w:cs="Times New Roman" w:eastAsia="Times New Roman" w:hAnsi="Times New Roman"/>
          <w:sz w:val="20"/>
          <w:szCs w:val="20"/>
          <w:color w:val="auto"/>
        </w:rPr>
      </w:pPr>
    </w:p>
    <w:p>
      <w:pPr>
        <w:jc w:val="both"/>
        <w:ind w:firstLine="1303"/>
        <w:spacing w:after="0" w:line="258" w:lineRule="auto"/>
        <w:tabs>
          <w:tab w:leader="none" w:pos="2158"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direct obligations issued by any state, commonwealth or territory of the United States or any political subdivision of any such state, commonwealth or territory, as applicable, maturing within one (1) year from the date of acquisition thereof and having, at the time of the acquisition thereof, one of the two highest ratings obtainable from either S&amp;P or Moody’s;</w:t>
      </w:r>
    </w:p>
    <w:p>
      <w:pPr>
        <w:spacing w:after="0" w:line="212" w:lineRule="exact"/>
        <w:rPr>
          <w:rFonts w:ascii="Times New Roman" w:cs="Times New Roman" w:eastAsia="Times New Roman" w:hAnsi="Times New Roman"/>
          <w:sz w:val="20"/>
          <w:szCs w:val="20"/>
          <w:color w:val="auto"/>
        </w:rPr>
      </w:pPr>
    </w:p>
    <w:p>
      <w:pPr>
        <w:ind w:right="20" w:firstLine="1303"/>
        <w:spacing w:after="0" w:line="269" w:lineRule="auto"/>
        <w:tabs>
          <w:tab w:leader="none" w:pos="216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having the highest rating, at the time of acquisition thereof, of S&amp;P or Moody’s and, in either case, maturing within one (1) year from the date of acquisition thereof;</w:t>
      </w:r>
    </w:p>
    <w:p>
      <w:pPr>
        <w:spacing w:after="0" w:line="199" w:lineRule="exact"/>
        <w:rPr>
          <w:rFonts w:ascii="Times New Roman" w:cs="Times New Roman" w:eastAsia="Times New Roman" w:hAnsi="Times New Roman"/>
          <w:sz w:val="20"/>
          <w:szCs w:val="20"/>
          <w:color w:val="auto"/>
        </w:rPr>
      </w:pPr>
    </w:p>
    <w:p>
      <w:pPr>
        <w:ind w:left="2160" w:hanging="857"/>
        <w:spacing w:after="0"/>
        <w:tabs>
          <w:tab w:leader="none" w:pos="2160"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of deposit, bankers’ acceptances and time deposits maturing within one hundred eighty</w:t>
      </w:r>
    </w:p>
    <w:p>
      <w:pPr>
        <w:spacing w:after="0" w:line="39" w:lineRule="exact"/>
        <w:rPr>
          <w:rFonts w:ascii="Times New Roman" w:cs="Times New Roman" w:eastAsia="Times New Roman" w:hAnsi="Times New Roman"/>
          <w:sz w:val="19"/>
          <w:szCs w:val="19"/>
          <w:color w:val="auto"/>
        </w:rPr>
      </w:pPr>
    </w:p>
    <w:p>
      <w:pPr>
        <w:jc w:val="both"/>
        <w:ind w:firstLine="7"/>
        <w:spacing w:after="0" w:line="248" w:lineRule="auto"/>
        <w:tabs>
          <w:tab w:leader="none" w:pos="50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date of acquisition thereof issued or guaranteed by or placed with, and money market deposit accounts issued or offered by, (x) any Lender or (y) any domestic office of any other commercial bank organized under the laws of the United States or any state thereof which has a combined capital and surplus and undivided profits of not less than $500,000,000;</w:t>
      </w:r>
    </w:p>
    <w:p>
      <w:pPr>
        <w:spacing w:after="0" w:line="235" w:lineRule="exact"/>
        <w:rPr>
          <w:rFonts w:ascii="Times New Roman" w:cs="Times New Roman" w:eastAsia="Times New Roman" w:hAnsi="Times New Roman"/>
          <w:sz w:val="20"/>
          <w:szCs w:val="20"/>
          <w:color w:val="auto"/>
        </w:rPr>
      </w:pPr>
    </w:p>
    <w:p>
      <w:pPr>
        <w:jc w:val="both"/>
        <w:ind w:firstLine="1303"/>
        <w:spacing w:after="0" w:line="261" w:lineRule="auto"/>
        <w:tabs>
          <w:tab w:leader="none" w:pos="2147"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fully collateralized repurchase agreements with a term of not more than thirty (30) days for securities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and entered into with a financial institution satisfying the criteria described in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w:t>
      </w:r>
    </w:p>
    <w:p>
      <w:pPr>
        <w:spacing w:after="0" w:line="194" w:lineRule="exact"/>
        <w:rPr>
          <w:rFonts w:ascii="Times New Roman" w:cs="Times New Roman" w:eastAsia="Times New Roman" w:hAnsi="Times New Roman"/>
          <w:sz w:val="20"/>
          <w:szCs w:val="20"/>
          <w:color w:val="auto"/>
        </w:rPr>
      </w:pPr>
    </w:p>
    <w:p>
      <w:pPr>
        <w:jc w:val="both"/>
        <w:ind w:firstLine="1303"/>
        <w:spacing w:after="0" w:line="268" w:lineRule="auto"/>
        <w:tabs>
          <w:tab w:leader="none" w:pos="2149"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of RIC, RRC, RPC or any other U.S. Insurance Subsidiary, as applicable, in each case, in the ordinary course of business, and consistent with the investment policy approved by the Board of Directors of Holdings, the Borrower or their respective Subsidiaries, as applicable;</w:t>
      </w:r>
    </w:p>
    <w:p>
      <w:pPr>
        <w:spacing w:after="0" w:line="188" w:lineRule="exact"/>
        <w:rPr>
          <w:rFonts w:ascii="Times New Roman" w:cs="Times New Roman" w:eastAsia="Times New Roman" w:hAnsi="Times New Roman"/>
          <w:sz w:val="20"/>
          <w:szCs w:val="20"/>
          <w:color w:val="auto"/>
        </w:rPr>
      </w:pPr>
    </w:p>
    <w:p>
      <w:pPr>
        <w:ind w:right="20" w:firstLine="1303"/>
        <w:spacing w:after="0" w:line="283" w:lineRule="auto"/>
        <w:tabs>
          <w:tab w:leader="none" w:pos="2149"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mutual funds investing at least 95% of their assets in any one or more of the Permitted Investments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(v) above;</w:t>
      </w:r>
    </w:p>
    <w:p>
      <w:pPr>
        <w:spacing w:after="0" w:line="281" w:lineRule="exact"/>
        <w:rPr>
          <w:rFonts w:ascii="Times New Roman" w:cs="Times New Roman" w:eastAsia="Times New Roman" w:hAnsi="Times New Roman"/>
          <w:sz w:val="20"/>
          <w:szCs w:val="20"/>
          <w:color w:val="auto"/>
        </w:rPr>
      </w:pPr>
    </w:p>
    <w:p>
      <w:pPr>
        <w:ind w:left="2160" w:hanging="857"/>
        <w:spacing w:after="0"/>
        <w:tabs>
          <w:tab w:leader="none" w:pos="2160"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made in connection with the purchase of goods or services in the ordinary course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254" w:lineRule="exact"/>
        <w:rPr>
          <w:rFonts w:ascii="Times New Roman" w:cs="Times New Roman" w:eastAsia="Times New Roman" w:hAnsi="Times New Roman"/>
          <w:sz w:val="20"/>
          <w:szCs w:val="20"/>
          <w:color w:val="auto"/>
        </w:rPr>
      </w:pPr>
    </w:p>
    <w:p>
      <w:pPr>
        <w:ind w:right="20" w:firstLine="1303"/>
        <w:spacing w:after="0" w:line="283" w:lineRule="auto"/>
        <w:tabs>
          <w:tab w:leader="none" w:pos="2149"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made in the ordinary course of business to secure the performance of (x) operating leases and (y) other contractual obligations that do not constitute Indebtedness for borrowed money;</w:t>
      </w:r>
    </w:p>
    <w:p>
      <w:pPr>
        <w:spacing w:after="0" w:line="200" w:lineRule="exact"/>
        <w:rPr>
          <w:rFonts w:ascii="Times New Roman" w:cs="Times New Roman" w:eastAsia="Times New Roman" w:hAnsi="Times New Roman"/>
          <w:sz w:val="20"/>
          <w:szCs w:val="20"/>
          <w:color w:val="auto"/>
        </w:rPr>
      </w:pPr>
    </w:p>
    <w:p>
      <w:pPr>
        <w:ind w:firstLine="1303"/>
        <w:spacing w:after="0" w:line="283" w:lineRule="auto"/>
        <w:tabs>
          <w:tab w:leader="none" w:pos="2147"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investments which are required by law to maintain net capital requirements or as may be otherwise required by applicable law;</w:t>
      </w:r>
    </w:p>
    <w:p>
      <w:pPr>
        <w:spacing w:after="0" w:line="200" w:lineRule="exact"/>
        <w:rPr>
          <w:rFonts w:ascii="Times New Roman" w:cs="Times New Roman" w:eastAsia="Times New Roman" w:hAnsi="Times New Roman"/>
          <w:sz w:val="20"/>
          <w:szCs w:val="20"/>
          <w:color w:val="auto"/>
        </w:rPr>
      </w:pPr>
    </w:p>
    <w:p>
      <w:pPr>
        <w:ind w:right="20" w:firstLine="1303"/>
        <w:spacing w:after="0" w:line="283" w:lineRule="auto"/>
        <w:tabs>
          <w:tab w:leader="none" w:pos="2149"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and other acquisitions of inventory, materials, equipment, intangible property and other assets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-1992630</wp:posOffset>
            </wp:positionV>
            <wp:extent cx="1778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ectPr>
          <w:pgSz w:w="11900" w:h="16838" w:orient="portrait"/>
          <w:cols w:equalWidth="0" w:num="1">
            <w:col w:w="10040"/>
          </w:cols>
          <w:pgMar w:left="1400" w:top="1413" w:right="459" w:bottom="1440" w:gutter="0" w:footer="0" w:header="0"/>
        </w:sectPr>
      </w:pPr>
    </w:p>
    <w:bookmarkStart w:id="132" w:name="page133"/>
    <w:bookmarkEnd w:id="132"/>
    <w:p>
      <w:pPr>
        <w:jc w:val="both"/>
        <w:ind w:firstLine="1303"/>
        <w:spacing w:after="0" w:line="254" w:lineRule="auto"/>
        <w:tabs>
          <w:tab w:leader="none" w:pos="214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leases and subleases of real or personal property and (y) licenses and sublicenses of any patents, trademarks, copyrights, trade secrets, know-how, confidential and proprietary information and other intellectual property rights and other personal property in the ordinary course of business; and</w:t>
      </w:r>
    </w:p>
    <w:p>
      <w:pPr>
        <w:spacing w:after="0" w:line="201" w:lineRule="exact"/>
        <w:rPr>
          <w:rFonts w:ascii="Times New Roman" w:cs="Times New Roman" w:eastAsia="Times New Roman" w:hAnsi="Times New Roman"/>
          <w:sz w:val="20"/>
          <w:szCs w:val="20"/>
          <w:color w:val="auto"/>
        </w:rPr>
      </w:pPr>
    </w:p>
    <w:p>
      <w:pPr>
        <w:ind w:right="20" w:firstLine="1303"/>
        <w:spacing w:after="0" w:line="269" w:lineRule="auto"/>
        <w:tabs>
          <w:tab w:leader="none" w:pos="215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commission, travel and other similar cash advances made to directors (or similar Persons), officers or employees in the ordinary course of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Prior Liens</w:t>
      </w:r>
      <w:r>
        <w:rPr>
          <w:rFonts w:ascii="Times New Roman" w:cs="Times New Roman" w:eastAsia="Times New Roman" w:hAnsi="Times New Roman"/>
          <w:sz w:val="20"/>
          <w:szCs w:val="20"/>
          <w:color w:val="auto"/>
        </w:rPr>
        <w:t xml:space="preserve">” shall mean (a) with respect to any Capital Stock of any Subsidiary of Holdings, Liens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which are prior as a matter of law and (b) with respect to any other property or assets, any Liens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Refinancing</w:t>
      </w:r>
      <w:r>
        <w:rPr>
          <w:rFonts w:ascii="Times New Roman" w:cs="Times New Roman" w:eastAsia="Times New Roman" w:hAnsi="Times New Roman"/>
          <w:sz w:val="19"/>
          <w:szCs w:val="19"/>
          <w:color w:val="auto"/>
        </w:rPr>
        <w:t xml:space="preserve">” shall mean, with respect to any Person, any modification, refinancing, refunding, renewal or extension of any Indebtedness of such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the unpaid accrued interest and premium thereon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other reasonable amounts paid, and customary fees, expenses, original issue discount and upfront fees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(except by virtue of amortization of, or prepayment of, Indebtedness prior to such date of determination); (c) to the extent such Indebtedness being modified, refinanced, refunded, renewed or extended is subordinated in right of payment to the Obligations, such modification, refinancing, refunding, renewal or extension is subordinated in right of payment to the Obligations on terms, taken as a whole, at least as favorable to the Lenders as those contained in the documentation governing the Indebtedness being modified, refinanced, refunded, renewed or extended; (d) to the extent any Liens securing such Indebtedness being modified, refinanced, refunded, renewed or extended are subordinated to any Liens securing the Obligations, the Liens securing such modification, refinancing, refunding, renewal or extension are subordinated to the Liens securing the Obligations on terms, taken as a whole, at least as favorable to the Lenders as those contained in the documentation governing the Indebtedness being modified, refinanced, refunded, renewed or extended; (e) if any Indebtedness being modified, refinanced, refunded, renewed or extended is unsecured, such modified, refinanced, refunded, renewed or extended Indebtedness shall also be unsecured, (f) the only obligors in respect of such Indebtedness being modified, refinanced, refunded, renewed or extended are the original obligors thereon and any other Person required to be or become an obligor thereon under the then-terms of the Indebtedness being so modified, refinanced, refunded, renewed or extended to become an obligor in respect of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Loan Party may guarantee any Permitted Refinancing incurred by any other Loan Party to the extent permitted by </w:t>
      </w:r>
      <w:r>
        <w:rPr>
          <w:rFonts w:ascii="Times New Roman" w:cs="Times New Roman" w:eastAsia="Times New Roman" w:hAnsi="Times New Roman"/>
          <w:sz w:val="19"/>
          <w:szCs w:val="19"/>
          <w:u w:val="single" w:color="auto"/>
          <w:color w:val="auto"/>
        </w:rPr>
        <w:t>Section 7.1(e)</w:t>
      </w:r>
      <w:r>
        <w:rPr>
          <w:rFonts w:ascii="Times New Roman" w:cs="Times New Roman" w:eastAsia="Times New Roman" w:hAnsi="Times New Roman"/>
          <w:sz w:val="19"/>
          <w:szCs w:val="19"/>
          <w:color w:val="auto"/>
        </w:rPr>
        <w:t>); (g) the terms and conditions of any such modification, refinancing, refunding, renewal or extension, taken as a whole, are not materially less favorable to the Lenders than the terms and conditions of the Indebtedness being modified, refinanced, refunded, renewed or extended; and (h) in the case of any modification, refinancing, refunding, renewal or extension of any Pari Lien Debt Document, the terms and conditions of such modification, refinancing, refunding, renewal or extension are subject to, and in compliance with, the requirements set forth in the applicable Market Intercreditor Agreement.</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Reinsurance Activities</w:t>
      </w:r>
      <w:r>
        <w:rPr>
          <w:rFonts w:ascii="Times New Roman" w:cs="Times New Roman" w:eastAsia="Times New Roman" w:hAnsi="Times New Roman"/>
          <w:sz w:val="20"/>
          <w:szCs w:val="20"/>
          <w:color w:val="auto"/>
        </w:rPr>
        <w:t>” shall mean any agreement, contract, treaty, certificate or other arrangement by which any Insurance Subsidiary agrees to cede to, or assume from, another insurer all or part of the liability assumed or assets held by it under one or more insurance, annuity, reinsurance or retrocession policies, agreements, contracts, treaties, certificates or similar arrangements, including, without limitation, any aggregate stop loss insurance arrangements or certain other related activities that,</w:t>
      </w:r>
    </w:p>
    <w:p>
      <w:pPr>
        <w:sectPr>
          <w:pgSz w:w="11900" w:h="16838" w:orient="portrait"/>
          <w:cols w:equalWidth="0" w:num="1">
            <w:col w:w="10040"/>
          </w:cols>
          <w:pgMar w:left="1400" w:top="133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in the business judgment of the Borrower, are undertaken to create a capital-</w:t>
      </w:r>
      <w:r>
        <w:rPr>
          <w:rFonts w:ascii="Times New Roman" w:cs="Times New Roman" w:eastAsia="Times New Roman" w:hAnsi="Times New Roman"/>
          <w:sz w:val="20"/>
          <w:szCs w:val="20"/>
          <w:color w:val="EE2724"/>
          <w:strike w:val="1"/>
        </w:rPr>
        <w:t>light</w:t>
      </w:r>
      <w:r>
        <w:rPr>
          <w:rFonts w:ascii="Times New Roman" w:cs="Times New Roman" w:eastAsia="Times New Roman" w:hAnsi="Times New Roman"/>
          <w:sz w:val="20"/>
          <w:szCs w:val="20"/>
          <w:u w:val="single" w:color="auto"/>
          <w:color w:val="3051F2"/>
        </w:rPr>
        <w:t>efficient</w:t>
      </w:r>
      <w:r>
        <w:rPr>
          <w:rFonts w:ascii="Times New Roman" w:cs="Times New Roman" w:eastAsia="Times New Roman" w:hAnsi="Times New Roman"/>
          <w:sz w:val="20"/>
          <w:szCs w:val="20"/>
          <w:color w:val="auto"/>
        </w:rPr>
        <w:t xml:space="preserve"> insurance enterprise.</w:t>
      </w:r>
    </w:p>
    <w:p>
      <w:pPr>
        <w:spacing w:after="0" w:line="243" w:lineRule="exact"/>
        <w:rPr>
          <w:sz w:val="20"/>
          <w:szCs w:val="20"/>
          <w:color w:val="auto"/>
        </w:rPr>
      </w:pPr>
    </w:p>
    <w:p>
      <w:pPr>
        <w:jc w:val="both"/>
        <w:ind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Third Party Bank</w:t>
      </w:r>
      <w:r>
        <w:rPr>
          <w:rFonts w:ascii="Times New Roman" w:cs="Times New Roman" w:eastAsia="Times New Roman" w:hAnsi="Times New Roman"/>
          <w:sz w:val="20"/>
          <w:szCs w:val="20"/>
          <w:color w:val="auto"/>
        </w:rPr>
        <w:t>” shall mean any bank or other financial institution with whom any Loan Party maintains a Controlled Account and with whom a Control Account Agreement has been executed.</w:t>
      </w:r>
    </w:p>
    <w:p>
      <w:pPr>
        <w:spacing w:after="0" w:line="186" w:lineRule="exact"/>
        <w:rPr>
          <w:sz w:val="20"/>
          <w:szCs w:val="20"/>
          <w:color w:val="auto"/>
        </w:rPr>
      </w:pPr>
    </w:p>
    <w:p>
      <w:pPr>
        <w:jc w:val="both"/>
        <w:ind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natural person, corporation, limited liability company, trust, joint venture, association, company, partnership, Governmental Authority or other entity.</w:t>
      </w:r>
    </w:p>
    <w:p>
      <w:pPr>
        <w:spacing w:after="0" w:line="200"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PIK Debt</w:t>
      </w:r>
      <w:r>
        <w:rPr>
          <w:rFonts w:ascii="Times New Roman" w:cs="Times New Roman" w:eastAsia="Times New Roman" w:hAnsi="Times New Roman"/>
          <w:sz w:val="20"/>
          <w:szCs w:val="20"/>
          <w:color w:val="auto"/>
        </w:rPr>
        <w:t>” shall mean, collectively, any Indebtedness, the interest of which is not permitted to be paid in cash but instead must be paid in kind by capitalizing such interest and adding it to the principal balance of such Indebtedness and such interest added to the principal balance of such Indebtedness.</w:t>
      </w:r>
    </w:p>
    <w:p>
      <w:pPr>
        <w:spacing w:after="0" w:line="201"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mean any “employee benefit plan” (as defined in Section 3(3) of ERISA) (other than a Multiemployer Plan) subject to Title IV of ERISA that is or was, during the preceding five (5) calendar years, maintained or contributed to or required to be contributed to by Holdings, the Borrower or any ERISA Affiliate.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shall mean Debt Domain, Intralinks, Syndtrak or a substantially similar electronic transmission system.</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shall have the meaning set forth in the Carvana Agreements.</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Premium</w:t>
      </w:r>
      <w:r>
        <w:rPr>
          <w:rFonts w:ascii="Times New Roman" w:cs="Times New Roman" w:eastAsia="Times New Roman" w:hAnsi="Times New Roman"/>
          <w:sz w:val="20"/>
          <w:szCs w:val="20"/>
          <w:color w:val="auto"/>
        </w:rPr>
        <w:t>” shall mean an amount equal to:</w:t>
      </w:r>
    </w:p>
    <w:p>
      <w:pPr>
        <w:spacing w:after="0" w:line="243" w:lineRule="exact"/>
        <w:rPr>
          <w:sz w:val="20"/>
          <w:szCs w:val="20"/>
          <w:color w:val="auto"/>
        </w:rPr>
      </w:pPr>
    </w:p>
    <w:p>
      <w:pPr>
        <w:jc w:val="both"/>
        <w:ind w:firstLine="1303"/>
        <w:spacing w:after="0" w:line="253" w:lineRule="auto"/>
        <w:tabs>
          <w:tab w:leader="none" w:pos="1506" w:val="left"/>
        </w:tabs>
        <w:numPr>
          <w:ilvl w:val="0"/>
          <w:numId w:val="69"/>
        </w:numPr>
        <w:rPr>
          <w:rFonts w:ascii="Calibri" w:cs="Calibri" w:eastAsia="Calibri" w:hAnsi="Calibri"/>
          <w:sz w:val="20"/>
          <w:szCs w:val="20"/>
          <w:color w:val="auto"/>
        </w:rPr>
      </w:pPr>
      <w:r>
        <w:rPr>
          <w:rFonts w:ascii="Times New Roman" w:cs="Times New Roman" w:eastAsia="Times New Roman" w:hAnsi="Times New Roman"/>
          <w:sz w:val="20"/>
          <w:szCs w:val="20"/>
          <w:color w:val="auto"/>
        </w:rPr>
        <w:t xml:space="preserve">during the period of time from and after the </w:t>
      </w:r>
      <w:r>
        <w:rPr>
          <w:rFonts w:ascii="Times New Roman" w:cs="Times New Roman" w:eastAsia="Times New Roman" w:hAnsi="Times New Roman"/>
          <w:sz w:val="20"/>
          <w:szCs w:val="20"/>
          <w:color w:val="FF0000"/>
          <w:strike w:val="1"/>
        </w:rPr>
        <w:t>Funding</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up to (but not including) the date that is </w:t>
      </w:r>
      <w:r>
        <w:rPr>
          <w:rFonts w:ascii="Times New Roman" w:cs="Times New Roman" w:eastAsia="Times New Roman" w:hAnsi="Times New Roman"/>
          <w:sz w:val="20"/>
          <w:szCs w:val="20"/>
          <w:color w:val="FF0000"/>
          <w:strike w:val="1"/>
        </w:rPr>
        <w:t>eighteen</w:t>
      </w:r>
      <w:r>
        <w:rPr>
          <w:rFonts w:ascii="Times New Roman" w:cs="Times New Roman" w:eastAsia="Times New Roman" w:hAnsi="Times New Roman"/>
          <w:sz w:val="20"/>
          <w:szCs w:val="20"/>
          <w:u w:val="single" w:color="auto"/>
          <w:color w:val="0000FF"/>
        </w:rPr>
        <w:t>twelve</w:t>
      </w:r>
      <w:r>
        <w:rPr>
          <w:rFonts w:ascii="Times New Roman" w:cs="Times New Roman" w:eastAsia="Times New Roman" w:hAnsi="Times New Roman"/>
          <w:sz w:val="20"/>
          <w:szCs w:val="20"/>
          <w:color w:val="auto"/>
        </w:rPr>
        <w:t xml:space="preserve"> (1</w:t>
      </w:r>
      <w:r>
        <w:rPr>
          <w:rFonts w:ascii="Times New Roman" w:cs="Times New Roman" w:eastAsia="Times New Roman" w:hAnsi="Times New Roman"/>
          <w:sz w:val="20"/>
          <w:szCs w:val="20"/>
          <w:color w:val="FF0000"/>
          <w:strike w:val="1"/>
        </w:rPr>
        <w:t>8</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auto"/>
        </w:rPr>
        <w:t xml:space="preserve">) months following the </w:t>
      </w:r>
      <w:r>
        <w:rPr>
          <w:rFonts w:ascii="Times New Roman" w:cs="Times New Roman" w:eastAsia="Times New Roman" w:hAnsi="Times New Roman"/>
          <w:sz w:val="20"/>
          <w:szCs w:val="20"/>
          <w:color w:val="FF0000"/>
          <w:strike w:val="1"/>
        </w:rPr>
        <w:t>Funding Date, the greater of (x) the Make-Whole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and (y)</w:t>
      </w:r>
      <w:r>
        <w:rPr>
          <w:rFonts w:ascii="Times New Roman" w:cs="Times New Roman" w:eastAsia="Times New Roman" w:hAnsi="Times New Roman"/>
          <w:sz w:val="20"/>
          <w:szCs w:val="20"/>
          <w:u w:val="single" w:color="auto"/>
          <w:color w:val="0000FF"/>
        </w:rPr>
        <w:t>Second Amendment Effective Date,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00"/>
        </w:rPr>
        <w:t>.00% of the principal amount of the Term Loans prepaid, repaid or paid, as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applicable, on such date;</w:t>
      </w:r>
    </w:p>
    <w:p>
      <w:pPr>
        <w:spacing w:after="0" w:line="203" w:lineRule="exact"/>
        <w:rPr>
          <w:rFonts w:ascii="Calibri" w:cs="Calibri" w:eastAsia="Calibri" w:hAnsi="Calibri"/>
          <w:sz w:val="20"/>
          <w:szCs w:val="20"/>
          <w:color w:val="auto"/>
        </w:rPr>
      </w:pPr>
    </w:p>
    <w:p>
      <w:pPr>
        <w:jc w:val="both"/>
        <w:ind w:firstLine="1303"/>
        <w:spacing w:after="0" w:line="248" w:lineRule="auto"/>
        <w:tabs>
          <w:tab w:leader="none" w:pos="1606" w:val="left"/>
        </w:tabs>
        <w:numPr>
          <w:ilvl w:val="0"/>
          <w:numId w:val="69"/>
        </w:numPr>
        <w:rPr>
          <w:rFonts w:ascii="Calibri" w:cs="Calibri" w:eastAsia="Calibri" w:hAnsi="Calibri"/>
          <w:sz w:val="20"/>
          <w:szCs w:val="20"/>
          <w:color w:val="auto"/>
        </w:rPr>
      </w:pPr>
      <w:r>
        <w:rPr>
          <w:rFonts w:ascii="Times New Roman" w:cs="Times New Roman" w:eastAsia="Times New Roman" w:hAnsi="Times New Roman"/>
          <w:sz w:val="20"/>
          <w:szCs w:val="20"/>
          <w:color w:val="auto"/>
        </w:rPr>
        <w:t xml:space="preserve">during the period of time from and after the date that is </w:t>
      </w:r>
      <w:r>
        <w:rPr>
          <w:rFonts w:ascii="Times New Roman" w:cs="Times New Roman" w:eastAsia="Times New Roman" w:hAnsi="Times New Roman"/>
          <w:sz w:val="20"/>
          <w:szCs w:val="20"/>
          <w:color w:val="FF0000"/>
          <w:strike w:val="1"/>
        </w:rPr>
        <w:t>eighteen</w:t>
      </w:r>
      <w:r>
        <w:rPr>
          <w:rFonts w:ascii="Times New Roman" w:cs="Times New Roman" w:eastAsia="Times New Roman" w:hAnsi="Times New Roman"/>
          <w:sz w:val="20"/>
          <w:szCs w:val="20"/>
          <w:u w:val="single" w:color="auto"/>
          <w:color w:val="0000FF"/>
        </w:rPr>
        <w:t>twelve</w:t>
      </w:r>
      <w:r>
        <w:rPr>
          <w:rFonts w:ascii="Times New Roman" w:cs="Times New Roman" w:eastAsia="Times New Roman" w:hAnsi="Times New Roman"/>
          <w:sz w:val="20"/>
          <w:szCs w:val="20"/>
          <w:color w:val="auto"/>
        </w:rPr>
        <w:t xml:space="preserve"> (1</w:t>
      </w:r>
      <w:r>
        <w:rPr>
          <w:rFonts w:ascii="Times New Roman" w:cs="Times New Roman" w:eastAsia="Times New Roman" w:hAnsi="Times New Roman"/>
          <w:sz w:val="20"/>
          <w:szCs w:val="20"/>
          <w:color w:val="FF0000"/>
          <w:strike w:val="1"/>
        </w:rPr>
        <w:t>8</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auto"/>
        </w:rPr>
        <w:t xml:space="preserve">) months following the </w:t>
      </w:r>
      <w:r>
        <w:rPr>
          <w:rFonts w:ascii="Times New Roman" w:cs="Times New Roman" w:eastAsia="Times New Roman" w:hAnsi="Times New Roman"/>
          <w:sz w:val="20"/>
          <w:szCs w:val="20"/>
          <w:color w:val="FF0000"/>
          <w:strike w:val="1"/>
        </w:rPr>
        <w:t>Funding</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up to (but not including) the date that is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thirty</w:t>
      </w:r>
      <w:r>
        <w:rPr>
          <w:rFonts w:ascii="Times New Roman" w:cs="Times New Roman" w:eastAsia="Times New Roman" w:hAnsi="Times New Roman"/>
          <w:sz w:val="20"/>
          <w:szCs w:val="20"/>
          <w:u w:val="single" w:color="auto"/>
          <w:color w:val="0000FF"/>
        </w:rPr>
        <w:t>twenty four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strike w:val="1"/>
        </w:rPr>
        <w:t>30</w:t>
      </w:r>
      <w:r>
        <w:rPr>
          <w:rFonts w:ascii="Times New Roman" w:cs="Times New Roman" w:eastAsia="Times New Roman" w:hAnsi="Times New Roman"/>
          <w:sz w:val="20"/>
          <w:szCs w:val="20"/>
          <w:u w:val="single" w:color="auto"/>
          <w:color w:val="0000FF"/>
        </w:rPr>
        <w:t>24</w:t>
      </w:r>
      <w:r>
        <w:rPr>
          <w:rFonts w:ascii="Times New Roman" w:cs="Times New Roman" w:eastAsia="Times New Roman" w:hAnsi="Times New Roman"/>
          <w:sz w:val="20"/>
          <w:szCs w:val="20"/>
          <w:color w:val="000000"/>
        </w:rPr>
        <w:t>) months following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 </w:t>
      </w:r>
      <w:r>
        <w:rPr>
          <w:rFonts w:ascii="Times New Roman" w:cs="Times New Roman" w:eastAsia="Times New Roman" w:hAnsi="Times New Roman"/>
          <w:sz w:val="20"/>
          <w:szCs w:val="20"/>
          <w:color w:val="FF0000"/>
          <w:strike w:val="1"/>
        </w:rPr>
        <w:t>Funding</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000000"/>
        </w:rPr>
        <w:t xml:space="preserve"> Date, </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u w:val="single" w:color="auto"/>
          <w:color w:val="0000FF"/>
        </w:rPr>
        <w:t>1</w:t>
      </w:r>
      <w:r>
        <w:rPr>
          <w:rFonts w:ascii="Times New Roman" w:cs="Times New Roman" w:eastAsia="Times New Roman" w:hAnsi="Times New Roman"/>
          <w:sz w:val="20"/>
          <w:szCs w:val="20"/>
          <w:color w:val="000000"/>
        </w:rPr>
        <w:t>.00% of the principal amount of the Term Loans prepaid, repaid or paid, as applicable, on such date; and</w:t>
      </w:r>
    </w:p>
    <w:p>
      <w:pPr>
        <w:spacing w:after="0" w:line="222" w:lineRule="exact"/>
        <w:rPr>
          <w:rFonts w:ascii="Calibri" w:cs="Calibri" w:eastAsia="Calibri" w:hAnsi="Calibri"/>
          <w:sz w:val="20"/>
          <w:szCs w:val="20"/>
          <w:color w:val="auto"/>
        </w:rPr>
      </w:pPr>
    </w:p>
    <w:p>
      <w:pPr>
        <w:jc w:val="both"/>
        <w:ind w:firstLine="1303"/>
        <w:spacing w:after="0" w:line="260" w:lineRule="auto"/>
        <w:tabs>
          <w:tab w:leader="none" w:pos="2165" w:val="left"/>
        </w:tabs>
        <w:numPr>
          <w:ilvl w:val="0"/>
          <w:numId w:val="69"/>
        </w:numPr>
        <w:rPr>
          <w:rFonts w:ascii="Calibri" w:cs="Calibri" w:eastAsia="Calibri" w:hAnsi="Calibri"/>
          <w:sz w:val="20"/>
          <w:szCs w:val="20"/>
          <w:color w:val="auto"/>
        </w:rPr>
      </w:pPr>
      <w:r>
        <w:rPr>
          <w:rFonts w:ascii="Times New Roman" w:cs="Times New Roman" w:eastAsia="Times New Roman" w:hAnsi="Times New Roman"/>
          <w:sz w:val="20"/>
          <w:szCs w:val="20"/>
          <w:color w:val="auto"/>
        </w:rPr>
        <w:t xml:space="preserve">during the period of time from and after the date that is </w:t>
      </w:r>
      <w:r>
        <w:rPr>
          <w:rFonts w:ascii="Times New Roman" w:cs="Times New Roman" w:eastAsia="Times New Roman" w:hAnsi="Times New Roman"/>
          <w:sz w:val="20"/>
          <w:szCs w:val="20"/>
          <w:color w:val="FF0000"/>
          <w:strike w:val="1"/>
        </w:rPr>
        <w:t>thirty</w:t>
      </w:r>
      <w:r>
        <w:rPr>
          <w:rFonts w:ascii="Times New Roman" w:cs="Times New Roman" w:eastAsia="Times New Roman" w:hAnsi="Times New Roman"/>
          <w:sz w:val="20"/>
          <w:szCs w:val="20"/>
          <w:u w:val="single" w:color="auto"/>
          <w:color w:val="0000FF"/>
        </w:rPr>
        <w:t>twenty four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30</w:t>
      </w:r>
      <w:r>
        <w:rPr>
          <w:rFonts w:ascii="Times New Roman" w:cs="Times New Roman" w:eastAsia="Times New Roman" w:hAnsi="Times New Roman"/>
          <w:sz w:val="20"/>
          <w:szCs w:val="20"/>
          <w:u w:val="single" w:color="auto"/>
          <w:color w:val="0000FF"/>
        </w:rPr>
        <w:t>24</w:t>
      </w:r>
      <w:r>
        <w:rPr>
          <w:rFonts w:ascii="Times New Roman" w:cs="Times New Roman" w:eastAsia="Times New Roman" w:hAnsi="Times New Roman"/>
          <w:sz w:val="20"/>
          <w:szCs w:val="20"/>
          <w:color w:val="auto"/>
        </w:rPr>
        <w:t xml:space="preserve">) months following the </w:t>
      </w:r>
      <w:r>
        <w:rPr>
          <w:rFonts w:ascii="Times New Roman" w:cs="Times New Roman" w:eastAsia="Times New Roman" w:hAnsi="Times New Roman"/>
          <w:sz w:val="20"/>
          <w:szCs w:val="20"/>
          <w:color w:val="FF0000"/>
          <w:strike w:val="1"/>
        </w:rPr>
        <w:t>Funding</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0.00% of the principal amount of the Term Loans prepaid, repaid or paid, as applicable, on such date.</w:t>
      </w:r>
    </w:p>
    <w:p>
      <w:pPr>
        <w:spacing w:after="0" w:line="196" w:lineRule="exact"/>
        <w:rPr>
          <w:sz w:val="20"/>
          <w:szCs w:val="20"/>
          <w:color w:val="auto"/>
        </w:rPr>
      </w:pPr>
    </w:p>
    <w:p>
      <w:pPr>
        <w:jc w:val="both"/>
        <w:ind w:right="1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shall mean the rate of interest per annum publicly announced from time to time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Administrative Agent and the Required Lenders in their reasonable discretion) or any similar release by the Federal Reserve Board (as determined by Administrative Agent and the Required Lenders in their reasonable discretion).</w:t>
      </w:r>
    </w:p>
    <w:p>
      <w:pPr>
        <w:sectPr>
          <w:pgSz w:w="11900" w:h="16838" w:orient="portrait"/>
          <w:cols w:equalWidth="0" w:num="1">
            <w:col w:w="10160"/>
          </w:cols>
          <w:pgMar w:left="1400" w:top="1332" w:right="339" w:bottom="1440" w:gutter="0" w:footer="0" w:header="0"/>
        </w:sectPr>
      </w:pPr>
    </w:p>
    <w:bookmarkStart w:id="134" w:name="page135"/>
    <w:bookmarkEnd w:id="134"/>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shall mean, with respect to all payments, computations and other matters relating to the Term Loan of any Lender, the percentage obtained by dividing (a) the Term Loan Exposure of that Lender by (b) the aggregate Term Loan Exposure of all Lenders.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Capital Stock</w:t>
      </w:r>
      <w:r>
        <w:rPr>
          <w:rFonts w:ascii="Times New Roman" w:cs="Times New Roman" w:eastAsia="Times New Roman" w:hAnsi="Times New Roman"/>
          <w:sz w:val="20"/>
          <w:szCs w:val="20"/>
          <w:color w:val="auto"/>
        </w:rPr>
        <w:t>” of any Person, shall mean any Capital Stock of such Person that is not Disqualified Capital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w:t>
      </w:r>
      <w:r>
        <w:rPr>
          <w:rFonts w:ascii="Times New Roman" w:cs="Times New Roman" w:eastAsia="Times New Roman" w:hAnsi="Times New Roman"/>
          <w:sz w:val="20"/>
          <w:szCs w:val="20"/>
          <w:color w:val="auto"/>
        </w:rPr>
        <w:t>” shall mean all real property owned or leased by the Borrower and its Subsidiaries.</w:t>
      </w:r>
    </w:p>
    <w:p>
      <w:pPr>
        <w:spacing w:after="0" w:line="324" w:lineRule="exact"/>
        <w:rPr>
          <w:sz w:val="20"/>
          <w:szCs w:val="20"/>
          <w:color w:val="auto"/>
        </w:rPr>
      </w:pPr>
    </w:p>
    <w:p>
      <w:pPr>
        <w:jc w:val="both"/>
        <w:ind w:right="120"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 Documents</w:t>
      </w:r>
      <w:r>
        <w:rPr>
          <w:rFonts w:ascii="Times New Roman" w:cs="Times New Roman" w:eastAsia="Times New Roman" w:hAnsi="Times New Roman"/>
          <w:sz w:val="20"/>
          <w:szCs w:val="20"/>
          <w:color w:val="auto"/>
        </w:rPr>
        <w:t>” shall mean, collectively, (i) Mortgages covering all Real Estate owned by the Loan Parties that are required to be granted hereunder, duly executed by each applicable Loan Party, together with (A) title insurance policies, current as-built ALTA/ACSM Land Title surveys certified to the Administrative Agent, in each case, relating to such Real Estate and reasonably satisfactory in form and substance to the Administrative Agent, (B) (x) “Life of Loan” Federal Emergency Management Agency Standard Flood Hazard determinations, (y) notices, in the form required under the Flood Insurance Laws, about special flood hazard area status and flood disaster assistance duly executed by each Loan Party and (z) if any improved real property encumbered by any Mortgage is located in a special flood hazard area, a policy of flood insurance that is on terms reasonably satisfactory to the Administrative Agent, (C) evidence that counterparts of such Mortgages have been recorded in all places to the extent necessary or desirable, in the reasonable judgment of the Administrative Agent, to create a valid and enforceable first priority Lien (subject to Permitted Encumbrances) on such Real Estate in favor of the Administrative Agent (for the benefit of the Secured Parties) (or in favor of such other trustee as may be required or desired under local law), (D) an opinion of counsel in each state in which such Real Estate is located, in form and substance and from counsel reasonably satisfactory to the Administrative Agent, (E) Phase I Environmental Site Assessment Reports, consistent with American Society of Testing and Materials (ASTM) Standard E 1527-13, and applicable state requirements, on all of the owned Real Estate required to be subject to a Mortgage hereunder, dated no more than six (6) months prior to the Closing Date (or the date of the applicable Mortgage if provided post-closing) (or such earlier date as reasonably acceptable to the Administrative Agent), prepared by environmental engineers reasonably satisfactory to the Administrative Agent, all in form and substance reasonably satisfactory to the Administrative Agent, and the Administrative Agent shall be reasonably satisfied with the contents of all such environmental reports and (F) such other reports, documents, instruments and agreements as the Administrative Agent shall reasonably request, each in form and substance reasonably satisfactory to Administrative Agent.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shall mean, as applicable, (a) the Administrative Agent and (b) any Lender.</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Redpoint</w:t>
      </w:r>
      <w:r>
        <w:rPr>
          <w:rFonts w:ascii="Times New Roman" w:cs="Times New Roman" w:eastAsia="Times New Roman" w:hAnsi="Times New Roman"/>
          <w:sz w:val="20"/>
          <w:szCs w:val="20"/>
          <w:color w:val="auto"/>
        </w:rPr>
        <w:t>” shall mean Redpoint County Mutual Insurance Company.</w:t>
      </w:r>
    </w:p>
    <w:p>
      <w:pPr>
        <w:spacing w:after="0" w:line="324" w:lineRule="exact"/>
        <w:rPr>
          <w:sz w:val="20"/>
          <w:szCs w:val="20"/>
          <w:color w:val="auto"/>
        </w:rPr>
      </w:pPr>
    </w:p>
    <w:p>
      <w:pPr>
        <w:jc w:val="both"/>
        <w:ind w:right="140" w:firstLine="648"/>
        <w:spacing w:after="0" w:line="254"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Redpoint Automobile Quota Share Reinsurance Contract</w:t>
      </w:r>
      <w:r>
        <w:rPr>
          <w:rFonts w:ascii="Times New Roman" w:cs="Times New Roman" w:eastAsia="Times New Roman" w:hAnsi="Times New Roman"/>
          <w:sz w:val="20"/>
          <w:szCs w:val="20"/>
          <w:color w:val="EE2724"/>
          <w:strike w:val="1"/>
        </w:rPr>
        <w:t>” shall mean that certain Automobile Quota Share Reinsurance Contract, effective as of August 1, 2021 (as amended, restated, amended and restated, supplemented or otherwise modified from time to time), by and between Redpoint and RRC.</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Regulated Subsidiary Equity</w:t>
      </w:r>
      <w:r>
        <w:rPr>
          <w:rFonts w:ascii="Times New Roman" w:cs="Times New Roman" w:eastAsia="Times New Roman" w:hAnsi="Times New Roman"/>
          <w:sz w:val="20"/>
          <w:szCs w:val="20"/>
          <w:color w:val="auto"/>
        </w:rPr>
        <w:t>” shall mean, as of any date of determination, the total equity reflected on the balance sheet of the Insurance Subsidiaries prepared in accordance with GAAP. For the</w:t>
      </w:r>
    </w:p>
    <w:p>
      <w:pPr>
        <w:sectPr>
          <w:pgSz w:w="11900" w:h="16838" w:orient="portrait"/>
          <w:cols w:equalWidth="0" w:num="1">
            <w:col w:w="10160"/>
          </w:cols>
          <w:pgMar w:left="1400" w:top="1332" w:right="339" w:bottom="1440" w:gutter="0" w:footer="0" w:header="0"/>
        </w:sectPr>
      </w:pPr>
    </w:p>
    <w:bookmarkStart w:id="135" w:name="page136"/>
    <w:bookmarkEnd w:id="135"/>
    <w:p>
      <w:pPr>
        <w:ind w:left="20"/>
        <w:spacing w:after="0" w:line="297" w:lineRule="auto"/>
        <w:rPr>
          <w:sz w:val="20"/>
          <w:szCs w:val="20"/>
          <w:color w:val="auto"/>
        </w:rPr>
      </w:pPr>
      <w:r>
        <w:rPr>
          <w:rFonts w:ascii="Times New Roman" w:cs="Times New Roman" w:eastAsia="Times New Roman" w:hAnsi="Times New Roman"/>
          <w:sz w:val="20"/>
          <w:szCs w:val="20"/>
          <w:color w:val="auto"/>
        </w:rPr>
        <w:t>avoidance of doubt, the equity of any Insurance Subsidiary that is wholly owned by another Insurance Subsidiary shall not be double-counted in determining the Regulated Subsidiary Equity.</w:t>
      </w:r>
    </w:p>
    <w:p>
      <w:pPr>
        <w:spacing w:after="0" w:line="160"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shall mean Regulation D of the Board of Governors of the Federal Reserve System, as the same may be in effect from time to time, and any successor regulations.</w:t>
      </w:r>
    </w:p>
    <w:p>
      <w:pPr>
        <w:spacing w:after="0" w:line="186" w:lineRule="exact"/>
        <w:rPr>
          <w:sz w:val="20"/>
          <w:szCs w:val="20"/>
          <w:color w:val="auto"/>
        </w:rPr>
      </w:pPr>
    </w:p>
    <w:p>
      <w:pPr>
        <w:jc w:val="both"/>
        <w:ind w:left="20"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shall mean Regulation T of the Board of Governors of the Federal Reserve System, as the same may be in effect from time to time, and any successor regulations.</w:t>
      </w:r>
    </w:p>
    <w:p>
      <w:pPr>
        <w:spacing w:after="0" w:line="186"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shall mean Regulation U of the Board of Governors of the Federal Reserve System, as the same may be in effect from time to time, and any successor regulations.</w:t>
      </w:r>
    </w:p>
    <w:p>
      <w:pPr>
        <w:spacing w:after="0" w:line="186"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shall mean Regulation X of the Board of Governors of the Federal Reserve System, as the same may be in effect from time to time, and any successor regulations.</w:t>
      </w:r>
    </w:p>
    <w:p>
      <w:pPr>
        <w:spacing w:after="0" w:line="186"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Y</w:t>
      </w:r>
      <w:r>
        <w:rPr>
          <w:rFonts w:ascii="Times New Roman" w:cs="Times New Roman" w:eastAsia="Times New Roman" w:hAnsi="Times New Roman"/>
          <w:sz w:val="20"/>
          <w:szCs w:val="20"/>
          <w:color w:val="auto"/>
        </w:rPr>
        <w:t>” shall mean Regulation Y of the Board of Governors of the Federal Reserve System, as the same may be in effect from time to time, and any successor regulations.</w:t>
      </w:r>
    </w:p>
    <w:p>
      <w:pPr>
        <w:spacing w:after="0" w:line="200" w:lineRule="exact"/>
        <w:rPr>
          <w:sz w:val="20"/>
          <w:szCs w:val="20"/>
          <w:color w:val="auto"/>
        </w:rPr>
      </w:pPr>
    </w:p>
    <w:p>
      <w:pPr>
        <w:jc w:val="both"/>
        <w:ind w:left="20" w:right="120" w:firstLine="648"/>
        <w:spacing w:after="0" w:line="247"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Reinsurance Pooling Agreement</w:t>
      </w:r>
      <w:r>
        <w:rPr>
          <w:rFonts w:ascii="Times New Roman" w:cs="Times New Roman" w:eastAsia="Times New Roman" w:hAnsi="Times New Roman"/>
          <w:sz w:val="20"/>
          <w:szCs w:val="20"/>
          <w:color w:val="EE2724"/>
          <w:strike w:val="1"/>
        </w:rPr>
        <w:t>” shall mean that certain Reinsurance Pooling Agreement, dated as of January 1, 2021 (as amended, restated, amended and restated, supplemented or otherwise modified from time to time), by and between RIC and RPC.</w:t>
      </w:r>
    </w:p>
    <w:p>
      <w:pPr>
        <w:spacing w:after="0" w:line="221" w:lineRule="exact"/>
        <w:rPr>
          <w:sz w:val="20"/>
          <w:szCs w:val="20"/>
          <w:color w:val="auto"/>
        </w:rPr>
      </w:pPr>
    </w:p>
    <w:p>
      <w:pPr>
        <w:jc w:val="both"/>
        <w:ind w:left="20" w:right="140"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shall mean, with respect to any Person, such Person’s Affiliates and the managers, administrators, trustees, partners, general partners, limited partners, members, controlling persons, directors, officers, employees, agents, managed funds and accounts, financing sources, advisors, attorneys or other representatives of such Person and such Person’s Affiliates, and each of their permitted successors and assigns.</w:t>
      </w:r>
    </w:p>
    <w:p>
      <w:pPr>
        <w:spacing w:after="0" w:line="226"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shall mean any release, spill, emission, leaking, dumping, injection, pouring, deposit, disposal, discharge, dispersal, leaching or migration into the environment (including ambient air, surface water, groundwater, land surface or subsurface strata) or within any building or facility.</w:t>
      </w:r>
    </w:p>
    <w:p>
      <w:pPr>
        <w:spacing w:after="0" w:line="188"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shall mean the Term SOFR Administrator, the Federal Reserve Board and/or the Federal Reserve Bank of New York, or a committee officially endorsed or convened by the Federal Reserve Board and/or the Federal Reserve Bank of New York, or any successor thereto.</w:t>
      </w:r>
    </w:p>
    <w:p>
      <w:pPr>
        <w:spacing w:after="0" w:line="2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Additional Debt Terms</w:t>
      </w:r>
      <w:r>
        <w:rPr>
          <w:rFonts w:ascii="Times New Roman" w:cs="Times New Roman" w:eastAsia="Times New Roman" w:hAnsi="Times New Roman"/>
          <w:sz w:val="19"/>
          <w:szCs w:val="19"/>
          <w:color w:val="auto"/>
        </w:rPr>
        <w:t xml:space="preserve">” shall mean, with respect to any Indebtedness incurred under </w:t>
      </w:r>
      <w:r>
        <w:rPr>
          <w:rFonts w:ascii="Times New Roman" w:cs="Times New Roman" w:eastAsia="Times New Roman" w:hAnsi="Times New Roman"/>
          <w:sz w:val="19"/>
          <w:szCs w:val="19"/>
          <w:u w:val="single" w:color="auto"/>
          <w:color w:val="auto"/>
        </w:rPr>
        <w:t>Section 7.1(f)</w:t>
      </w:r>
      <w:r>
        <w:rPr>
          <w:rFonts w:ascii="Times New Roman" w:cs="Times New Roman" w:eastAsia="Times New Roman" w:hAnsi="Times New Roman"/>
          <w:sz w:val="19"/>
          <w:szCs w:val="19"/>
          <w:color w:val="auto"/>
        </w:rPr>
        <w:t xml:space="preserve">, all of the following: (a) to the extent such Indebtedness is secured by any of the Collateral, such Indebtedness shall not be secured by any assets of a Loan Party other than the Collateral securing the Obligations unless such asset is added to the Collateral to secure the Obligations; (b) such Indebtedness shall not be borrowed, issued or guaranteed by any Person which is not a Loan Party; (c) to the extent such Indebtedness is secured by any of the Collateral, such Indebtedness shall be subject to a Market Intercreditor Agreement; (d) such Indebtedness is not structurally or contractually senior to the Obligations; (e) such Indebtedness does not have a maturity date earlier than the Stated Maturity Date or a Weighted Average Life to Maturity shorter than that of the Term Loans;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(f) </w:t>
      </w:r>
      <w:r>
        <w:rPr>
          <w:rFonts w:ascii="Times New Roman" w:cs="Times New Roman" w:eastAsia="Times New Roman" w:hAnsi="Times New Roman"/>
          <w:sz w:val="19"/>
          <w:szCs w:val="19"/>
          <w:u w:val="single" w:color="auto"/>
          <w:color w:val="0000FF"/>
        </w:rPr>
        <w:t>other than interest rate and fees, which shall be subject to the MFN Provision,</w:t>
      </w:r>
      <w:r>
        <w:rPr>
          <w:rFonts w:ascii="Times New Roman" w:cs="Times New Roman" w:eastAsia="Times New Roman" w:hAnsi="Times New Roman"/>
          <w:sz w:val="19"/>
          <w:szCs w:val="19"/>
          <w:color w:val="auto"/>
        </w:rPr>
        <w:t xml:space="preserve"> such Indebtedness shall not</w:t>
      </w:r>
    </w:p>
    <w:p>
      <w:pPr>
        <w:spacing w:after="0" w:line="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provide the applicable lender(s) thereunder with </w:t>
      </w:r>
      <w:r>
        <w:rPr>
          <w:rFonts w:ascii="Times New Roman" w:cs="Times New Roman" w:eastAsia="Times New Roman" w:hAnsi="Times New Roman"/>
          <w:sz w:val="20"/>
          <w:szCs w:val="20"/>
          <w:color w:val="FF0000"/>
          <w:strike w:val="1"/>
        </w:rPr>
        <w:t>an interest rate or effective yield greater than such terms as are 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hereunder nor shall such Indebtedness provide the applicable lender(s) thereunder with any other</w:t>
      </w:r>
      <w:r>
        <w:rPr>
          <w:rFonts w:ascii="Times New Roman" w:cs="Times New Roman" w:eastAsia="Times New Roman" w:hAnsi="Times New Roman"/>
          <w:sz w:val="20"/>
          <w:szCs w:val="20"/>
          <w:u w:val="single" w:color="auto"/>
          <w:color w:val="0000FF"/>
        </w:rPr>
        <w:t>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terms more favorable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beneficial to the lender(s) thereunder than the terms set forth in this Agreement </w:t>
      </w:r>
      <w:r>
        <w:rPr>
          <w:rFonts w:ascii="Times New Roman" w:cs="Times New Roman" w:eastAsia="Times New Roman" w:hAnsi="Times New Roman"/>
          <w:sz w:val="20"/>
          <w:szCs w:val="20"/>
          <w:u w:val="single" w:color="auto"/>
          <w:color w:val="0000FF"/>
        </w:rPr>
        <w:t>(except for covenants or other provisions</w:t>
      </w:r>
    </w:p>
    <w:p>
      <w:pPr>
        <w:jc w:val="both"/>
        <w:ind w:right="20"/>
        <w:spacing w:after="0" w:line="236" w:lineRule="auto"/>
        <w:rPr>
          <w:sz w:val="20"/>
          <w:szCs w:val="20"/>
          <w:color w:val="auto"/>
        </w:rPr>
      </w:pPr>
      <w:r>
        <w:rPr>
          <w:rFonts w:ascii="Times New Roman" w:cs="Times New Roman" w:eastAsia="Times New Roman" w:hAnsi="Times New Roman"/>
          <w:sz w:val="20"/>
          <w:szCs w:val="20"/>
          <w:u w:val="single" w:color="auto"/>
          <w:color w:val="0000FF"/>
        </w:rPr>
        <w:t>applicable only to periods after the Stated Maturity Date); and (g) such Indebtedness shall be in compliance with the terms of Section 7.1(f)</w:t>
      </w:r>
      <w:r>
        <w:rPr>
          <w:rFonts w:ascii="Times New Roman" w:cs="Times New Roman" w:eastAsia="Times New Roman" w:hAnsi="Times New Roman"/>
          <w:sz w:val="20"/>
          <w:szCs w:val="20"/>
          <w:color w:val="000000"/>
        </w:rPr>
        <w:t>.</w:t>
      </w:r>
    </w:p>
    <w:p>
      <w:pPr>
        <w:sectPr>
          <w:pgSz w:w="11900" w:h="16838" w:orient="portrait"/>
          <w:cols w:equalWidth="0" w:num="1">
            <w:col w:w="10180"/>
          </w:cols>
          <w:pgMar w:left="1380" w:top="1345" w:right="339" w:bottom="1440" w:gutter="0" w:footer="0" w:header="0"/>
        </w:sectPr>
      </w:pPr>
    </w:p>
    <w:bookmarkStart w:id="136" w:name="page137"/>
    <w:bookmarkEnd w:id="136"/>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shall mean Non-Defaulting Lenders holding, in the aggregate, more than 50% of the total Term Loan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any Lender is a Defaulting Lender, such Defaulting Lender and all of its Term Loans shall be excluded for purposes of determining Required Lenders.</w:t>
      </w:r>
    </w:p>
    <w:p>
      <w:pPr>
        <w:spacing w:after="0" w:line="20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for any Person, shall mean the articles of organization, certificate of incorporation, certificate of formation, bylaws, partnership certificate and agreement, or limited liability company certificate of organization and 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w:t>
      </w:r>
    </w:p>
    <w:p>
      <w:pPr>
        <w:spacing w:after="0" w:line="21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shall mean an EEA Resolution Authority or, with respect to any UK Financial Institution, a UK Resolution Authority.</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of any Person, shall mean the chief executive officer, president, Financial Officer, chief operating officer, general counsel, secretary, assistant secretary or such other officer that has similar responsibilities to the extent such officer is designated in writing to the Administrative Agent.</w:t>
      </w:r>
    </w:p>
    <w:p>
      <w:pPr>
        <w:spacing w:after="0" w:line="20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Debt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xml:space="preserve">. For the avoidance of doubt, Indebtedness consisting any intercompany Indebtedness, or any Indebtedness permitted under </w:t>
      </w:r>
      <w:r>
        <w:rPr>
          <w:rFonts w:ascii="Times New Roman" w:cs="Times New Roman" w:eastAsia="Times New Roman" w:hAnsi="Times New Roman"/>
          <w:sz w:val="20"/>
          <w:szCs w:val="20"/>
          <w:u w:val="single" w:color="auto"/>
          <w:color w:val="auto"/>
        </w:rPr>
        <w:t>Sections 7.1(i)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shall not constitute Restricted Debt.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Debt Payment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shall mean (i) any dividend or other distribution, direct or indirect, on account of any shares of any class of Capital Stock of Holdings, the Borrower or any of their respective Subsidiaries now or hereafter outstanding, except a dividend payable solely in shares of that class of Capital Stock to the holders of that class (other than Disqualified Capital Stock); (ii) any redemption, retirement, sinking fund or similar payment, purchase or other acquisition for value, direct or indirect, of any shares of any class of Capital Stock of Holdings, the Borrower or any of their respective Subsidiaries now or hereafter outstanding; (iii) any payment made to retire, or to obtain the surrender of, any outstanding warrants, options or other rights to acquire shares of any class of Capital Stock of Holdings, the Borrower or any of their respective Subsidiaries now or hereafter outstanding; and (iv) any payment or prepayment of management or similar fees.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Tax Amount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2.11(i)</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RIA</w:t>
      </w:r>
      <w:r>
        <w:rPr>
          <w:rFonts w:ascii="Times New Roman" w:cs="Times New Roman" w:eastAsia="Times New Roman" w:hAnsi="Times New Roman"/>
          <w:sz w:val="20"/>
          <w:szCs w:val="20"/>
          <w:color w:val="auto"/>
        </w:rPr>
        <w:t>” shall mean Root Insurance Agency, LLC, an Ohio limited liability company.</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RIC</w:t>
      </w:r>
      <w:r>
        <w:rPr>
          <w:rFonts w:ascii="Times New Roman" w:cs="Times New Roman" w:eastAsia="Times New Roman" w:hAnsi="Times New Roman"/>
          <w:sz w:val="20"/>
          <w:szCs w:val="20"/>
          <w:color w:val="auto"/>
        </w:rPr>
        <w:t>” shall mean Root Insurance Company, an Ohio corporation.</w:t>
      </w:r>
    </w:p>
    <w:p>
      <w:pPr>
        <w:spacing w:after="0" w:line="3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RIC Administrative Services Agreement</w:t>
      </w:r>
      <w:r>
        <w:rPr>
          <w:rFonts w:ascii="Times New Roman" w:cs="Times New Roman" w:eastAsia="Times New Roman" w:hAnsi="Times New Roman"/>
          <w:sz w:val="20"/>
          <w:szCs w:val="20"/>
          <w:color w:val="EE2724"/>
          <w:strike w:val="1"/>
        </w:rPr>
        <w:t>” shall mean that certain Amended and Restated Administrative Services Agreement, dated as of May 10, 2018 (as amended, restated, amended and restated, supplemented or otherwise modified from time to time), by and between the Borrower and RIC.</w:t>
      </w:r>
    </w:p>
    <w:p>
      <w:pPr>
        <w:spacing w:after="0" w:line="20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RIC Authorized Producer Agreement</w:t>
      </w:r>
      <w:r>
        <w:rPr>
          <w:rFonts w:ascii="Times New Roman" w:cs="Times New Roman" w:eastAsia="Times New Roman" w:hAnsi="Times New Roman"/>
          <w:sz w:val="20"/>
          <w:szCs w:val="20"/>
          <w:color w:val="auto"/>
        </w:rPr>
        <w:t>” shall mean that certain Authorized Producer Agreement, dated as of November 1, 2020 (as amended, restated, amended and restated, supplemented or otherwise modified from time to time), by and between RIC and RIA.</w:t>
      </w:r>
    </w:p>
    <w:p>
      <w:pPr>
        <w:sectPr>
          <w:pgSz w:w="11900" w:h="16838" w:orient="portrait"/>
          <w:cols w:equalWidth="0" w:num="1">
            <w:col w:w="10040"/>
          </w:cols>
          <w:pgMar w:left="1400" w:top="1440" w:right="459" w:bottom="1440" w:gutter="0" w:footer="0" w:header="0"/>
        </w:sectPr>
      </w:pPr>
    </w:p>
    <w:bookmarkStart w:id="137" w:name="page138"/>
    <w:bookmarkEnd w:id="137"/>
    <w:p>
      <w:pPr>
        <w:jc w:val="both"/>
        <w:ind w:left="20" w:right="120" w:firstLine="648"/>
        <w:spacing w:after="0" w:line="261"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RIC Guaranty</w:t>
      </w:r>
      <w:r>
        <w:rPr>
          <w:rFonts w:ascii="Times New Roman" w:cs="Times New Roman" w:eastAsia="Times New Roman" w:hAnsi="Times New Roman"/>
          <w:sz w:val="20"/>
          <w:szCs w:val="20"/>
          <w:color w:val="EE2724"/>
          <w:strike w:val="1"/>
        </w:rPr>
        <w:t>” shall mean that certain Guaranty, dated as of June 17, 2016 (as amended, restated, amended and restated, supplemented or otherwise modified from time to time), executed by the Borrower in favor of the Superintendent of Insurance, State of Ohio.</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RLSA</w:t>
      </w:r>
      <w:r>
        <w:rPr>
          <w:rFonts w:ascii="Times New Roman" w:cs="Times New Roman" w:eastAsia="Times New Roman" w:hAnsi="Times New Roman"/>
          <w:sz w:val="20"/>
          <w:szCs w:val="20"/>
          <w:color w:val="auto"/>
        </w:rPr>
        <w:t>” shall mean Root Lone Star Insurance Agency, Inc., a Texas corporation.</w:t>
      </w:r>
    </w:p>
    <w:p>
      <w:pPr>
        <w:spacing w:after="0" w:line="337" w:lineRule="exact"/>
        <w:rPr>
          <w:sz w:val="20"/>
          <w:szCs w:val="20"/>
          <w:color w:val="auto"/>
        </w:rPr>
      </w:pPr>
    </w:p>
    <w:p>
      <w:pPr>
        <w:jc w:val="both"/>
        <w:ind w:left="20" w:right="120" w:firstLine="648"/>
        <w:spacing w:after="0" w:line="268"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RLSA Administrative Services Agreement</w:t>
      </w:r>
      <w:r>
        <w:rPr>
          <w:rFonts w:ascii="Times New Roman" w:cs="Times New Roman" w:eastAsia="Times New Roman" w:hAnsi="Times New Roman"/>
          <w:sz w:val="20"/>
          <w:szCs w:val="20"/>
          <w:color w:val="EE2724"/>
          <w:strike w:val="1"/>
        </w:rPr>
        <w:t>” shall mean that certain Administrative Services Agreement, dated as of August 1, 2021 (as amended, restated, amended and restated, supplemented or otherwise modified from time to time), by and between the Borrower and RLSA.</w:t>
      </w:r>
    </w:p>
    <w:p>
      <w:pPr>
        <w:spacing w:after="0" w:line="188" w:lineRule="exact"/>
        <w:rPr>
          <w:sz w:val="20"/>
          <w:szCs w:val="20"/>
          <w:color w:val="auto"/>
        </w:rPr>
      </w:pPr>
    </w:p>
    <w:p>
      <w:pPr>
        <w:jc w:val="both"/>
        <w:ind w:left="20" w:right="140" w:firstLine="648"/>
        <w:spacing w:after="0" w:line="261"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RLSA Authorized Producer Agreement</w:t>
      </w:r>
      <w:r>
        <w:rPr>
          <w:rFonts w:ascii="Times New Roman" w:cs="Times New Roman" w:eastAsia="Times New Roman" w:hAnsi="Times New Roman"/>
          <w:sz w:val="20"/>
          <w:szCs w:val="20"/>
          <w:color w:val="EE2724"/>
          <w:strike w:val="1"/>
        </w:rPr>
        <w:t>” shall mean that certain Authorized Producer Agreement, dated as of August 1, 2021 (as amended, restated, amended and restated, supplemented or otherwise modified from time to time), by and between RLSA and RIA.</w:t>
      </w:r>
    </w:p>
    <w:p>
      <w:pPr>
        <w:spacing w:after="0" w:line="222" w:lineRule="exact"/>
        <w:rPr>
          <w:sz w:val="20"/>
          <w:szCs w:val="20"/>
          <w:color w:val="auto"/>
        </w:rPr>
      </w:pPr>
    </w:p>
    <w:p>
      <w:pPr>
        <w:jc w:val="both"/>
        <w:ind w:left="20" w:right="120" w:firstLine="648"/>
        <w:spacing w:after="0" w:line="261"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RLSA Guaranty</w:t>
      </w:r>
      <w:r>
        <w:rPr>
          <w:rFonts w:ascii="Times New Roman" w:cs="Times New Roman" w:eastAsia="Times New Roman" w:hAnsi="Times New Roman"/>
          <w:sz w:val="20"/>
          <w:szCs w:val="20"/>
          <w:color w:val="EE2724"/>
          <w:strike w:val="1"/>
        </w:rPr>
        <w:t>” shall mean that certain Guaranty, substantially in the form delivered to the Administrative Agent on or prior to the Closing Date (as amended, restated, amended and restated, supplemented or otherwise modified from time to time), executed by the Borrower and acknowledged and agreed to by Redpoint.</w:t>
      </w:r>
    </w:p>
    <w:p>
      <w:pPr>
        <w:spacing w:after="0" w:line="2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RPC</w:t>
      </w:r>
      <w:r>
        <w:rPr>
          <w:rFonts w:ascii="Times New Roman" w:cs="Times New Roman" w:eastAsia="Times New Roman" w:hAnsi="Times New Roman"/>
          <w:sz w:val="20"/>
          <w:szCs w:val="20"/>
          <w:color w:val="auto"/>
        </w:rPr>
        <w:t xml:space="preserve">” shall mean Root Property &amp; Casualty Insurance Company, </w:t>
      </w:r>
      <w:r>
        <w:rPr>
          <w:rFonts w:ascii="Times New Roman" w:cs="Times New Roman" w:eastAsia="Times New Roman" w:hAnsi="Times New Roman"/>
          <w:sz w:val="20"/>
          <w:szCs w:val="20"/>
          <w:color w:val="EE2724"/>
        </w:rPr>
        <w:t>a Delaware</w:t>
      </w:r>
      <w:r>
        <w:rPr>
          <w:rFonts w:ascii="Times New Roman" w:cs="Times New Roman" w:eastAsia="Times New Roman" w:hAnsi="Times New Roman"/>
          <w:sz w:val="20"/>
          <w:szCs w:val="20"/>
          <w:u w:val="single" w:color="auto"/>
          <w:color w:val="3051F2"/>
        </w:rPr>
        <w:t>an Ohio</w:t>
      </w:r>
      <w:r>
        <w:rPr>
          <w:rFonts w:ascii="Times New Roman" w:cs="Times New Roman" w:eastAsia="Times New Roman" w:hAnsi="Times New Roman"/>
          <w:sz w:val="20"/>
          <w:szCs w:val="20"/>
          <w:color w:val="auto"/>
        </w:rPr>
        <w:t xml:space="preserv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-62230</wp:posOffset>
            </wp:positionV>
            <wp:extent cx="6000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17" w:lineRule="exact"/>
        <w:rPr>
          <w:sz w:val="20"/>
          <w:szCs w:val="20"/>
          <w:color w:val="auto"/>
        </w:rPr>
      </w:pPr>
    </w:p>
    <w:p>
      <w:pPr>
        <w:jc w:val="both"/>
        <w:ind w:left="20" w:right="120" w:firstLine="648"/>
        <w:spacing w:after="0" w:line="261"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RPC Administrative Services Agreement</w:t>
      </w:r>
      <w:r>
        <w:rPr>
          <w:rFonts w:ascii="Times New Roman" w:cs="Times New Roman" w:eastAsia="Times New Roman" w:hAnsi="Times New Roman"/>
          <w:sz w:val="20"/>
          <w:szCs w:val="20"/>
          <w:color w:val="EE2724"/>
          <w:strike w:val="1"/>
        </w:rPr>
        <w:t>” shall mean that certain Administrative Services Agreement, dated as of January 1, 2021 (as amended, restated, amended and restated, supplemented or otherwise modified from time to time), by and between the Borrower and RPC.</w:t>
      </w:r>
    </w:p>
    <w:p>
      <w:pPr>
        <w:spacing w:after="0" w:line="208" w:lineRule="exact"/>
        <w:rPr>
          <w:sz w:val="20"/>
          <w:szCs w:val="20"/>
          <w:color w:val="auto"/>
        </w:rPr>
      </w:pPr>
    </w:p>
    <w:p>
      <w:pPr>
        <w:jc w:val="both"/>
        <w:ind w:left="20" w:right="1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RPC Authorized Producer Agreement</w:t>
      </w:r>
      <w:r>
        <w:rPr>
          <w:rFonts w:ascii="Times New Roman" w:cs="Times New Roman" w:eastAsia="Times New Roman" w:hAnsi="Times New Roman"/>
          <w:sz w:val="20"/>
          <w:szCs w:val="20"/>
          <w:color w:val="auto"/>
        </w:rPr>
        <w:t>” shall mean that certain Authorized Producer Agreement, dated as of January 1, 2021 (as amended, restated, amended and restated, supplemented or otherwise modified from time to time), by and between RPC and RIA.</w:t>
      </w:r>
    </w:p>
    <w:p>
      <w:pPr>
        <w:spacing w:after="0" w:line="1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RRC</w:t>
      </w:r>
      <w:r>
        <w:rPr>
          <w:rFonts w:ascii="Times New Roman" w:cs="Times New Roman" w:eastAsia="Times New Roman" w:hAnsi="Times New Roman"/>
          <w:sz w:val="20"/>
          <w:szCs w:val="20"/>
          <w:color w:val="auto"/>
        </w:rPr>
        <w:t>” shall mean Root Reinsurance Company, Ltd., a Cayman Islands exempted company.</w:t>
      </w:r>
    </w:p>
    <w:p>
      <w:pPr>
        <w:spacing w:after="0" w:line="351"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RRC Services Agreement</w:t>
      </w:r>
      <w:r>
        <w:rPr>
          <w:rFonts w:ascii="Times New Roman" w:cs="Times New Roman" w:eastAsia="Times New Roman" w:hAnsi="Times New Roman"/>
          <w:sz w:val="20"/>
          <w:szCs w:val="20"/>
          <w:color w:val="EE2724"/>
          <w:strike w:val="1"/>
        </w:rPr>
        <w:t>” shall mean that certain Services Agreement, dated as of August 1, 2021 (as amended, restated, amended and restated, supplemented or otherwise modified from time to time), by and between RRC and RLSA.</w:t>
      </w:r>
    </w:p>
    <w:p>
      <w:pPr>
        <w:spacing w:after="0" w:line="200" w:lineRule="exact"/>
        <w:rPr>
          <w:sz w:val="20"/>
          <w:szCs w:val="20"/>
          <w:color w:val="auto"/>
        </w:rPr>
      </w:pPr>
    </w:p>
    <w:p>
      <w:pPr>
        <w:jc w:val="both"/>
        <w:ind w:left="20"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shall mean S&amp;P Global Ratings, a business unit of Standard &amp; Poor’s Financial Services LLC, and any successor thereto.</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Sale/Leaseback Transaction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xml:space="preserve">” shall mean, at any time, a country, region or territory that is, or whose government is, the subject or target of any comprehensive Sanctions (as of the </w:t>
      </w:r>
      <w:r>
        <w:rPr>
          <w:rFonts w:ascii="Times New Roman" w:cs="Times New Roman" w:eastAsia="Times New Roman" w:hAnsi="Times New Roman"/>
          <w:sz w:val="20"/>
          <w:szCs w:val="20"/>
          <w:color w:val="FF0000"/>
          <w:strike w:val="1"/>
        </w:rPr>
        <w:t>Closing Date, Crimea</w:t>
      </w:r>
      <w:r>
        <w:rPr>
          <w:rFonts w:ascii="Times New Roman" w:cs="Times New Roman" w:eastAsia="Times New Roman" w:hAnsi="Times New Roman"/>
          <w:sz w:val="20"/>
          <w:szCs w:val="20"/>
          <w:u w:val="single" w:color="auto"/>
          <w:color w:val="0000FF"/>
        </w:rPr>
        <w:t>Second Amendment Effective Date, the so-called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Donetsk People’s Republic, the so-called Luhansk People’s Republic, the Crimea, Zaporizhzhia and Kherson Regions of Ukraine</w:t>
      </w:r>
      <w:r>
        <w:rPr>
          <w:rFonts w:ascii="Times New Roman" w:cs="Times New Roman" w:eastAsia="Times New Roman" w:hAnsi="Times New Roman"/>
          <w:sz w:val="20"/>
          <w:szCs w:val="20"/>
          <w:color w:val="000000"/>
        </w:rPr>
        <w:t>, Cuba, Iran, North Korea, and Syria).</w:t>
      </w:r>
    </w:p>
    <w:p>
      <w:pPr>
        <w:spacing w:after="0" w:line="213" w:lineRule="exact"/>
        <w:rPr>
          <w:sz w:val="20"/>
          <w:szCs w:val="20"/>
          <w:color w:val="auto"/>
        </w:rPr>
      </w:pPr>
    </w:p>
    <w:p>
      <w:pPr>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shall mean, at any time, (a) any Person that is the subject or target of any Sanctions, (b) any Person located, organized or resident in a Sanctioned Country or (c) any Person owned or controlled by any such Person.</w:t>
      </w:r>
    </w:p>
    <w:p>
      <w:pPr>
        <w:sectPr>
          <w:pgSz w:w="11900" w:h="16838" w:orient="portrait"/>
          <w:cols w:equalWidth="0" w:num="1">
            <w:col w:w="10180"/>
          </w:cols>
          <w:pgMar w:left="1380" w:top="1332" w:right="339" w:bottom="1440" w:gutter="0" w:footer="0" w:header="0"/>
        </w:sectPr>
      </w:pPr>
    </w:p>
    <w:bookmarkStart w:id="138" w:name="page139"/>
    <w:bookmarkEnd w:id="138"/>
    <w:p>
      <w:pPr>
        <w:jc w:val="both"/>
        <w:ind w:left="20" w:right="12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shall mean economic or financial sanctions or trade embargoes imposed, administered or enforced from time to time by (a) the U.S. government, including those administered by OFAC or the U.S. Department of State, (b) the United Nations Security Council, the European Union or Her Majesty’s Treasury of the United Kingdom or (c) any other relevant sanctions authority.</w:t>
      </w:r>
    </w:p>
    <w:p>
      <w:pPr>
        <w:spacing w:after="0" w:line="207"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SAP</w:t>
      </w:r>
      <w:r>
        <w:rPr>
          <w:rFonts w:ascii="Times New Roman" w:cs="Times New Roman" w:eastAsia="Times New Roman" w:hAnsi="Times New Roman"/>
          <w:sz w:val="20"/>
          <w:szCs w:val="20"/>
          <w:color w:val="auto"/>
        </w:rPr>
        <w:t xml:space="preserve">” shall mean, with respect to any Insurance Subsidiary, the accounting procedures and practices prescribed or permitted by the applicable Insurance Regulatory Authority, applied in accordance with </w:t>
      </w:r>
      <w:r>
        <w:rPr>
          <w:rFonts w:ascii="Times New Roman" w:cs="Times New Roman" w:eastAsia="Times New Roman" w:hAnsi="Times New Roman"/>
          <w:sz w:val="20"/>
          <w:szCs w:val="20"/>
          <w:u w:val="single" w:color="auto"/>
          <w:color w:val="auto"/>
        </w:rPr>
        <w:t>Section 1.2</w:t>
      </w:r>
    </w:p>
    <w:p>
      <w:pPr>
        <w:spacing w:after="0" w:line="267" w:lineRule="exact"/>
        <w:rPr>
          <w:sz w:val="20"/>
          <w:szCs w:val="20"/>
          <w:color w:val="auto"/>
        </w:rPr>
      </w:pPr>
    </w:p>
    <w:p>
      <w:pPr>
        <w:ind w:left="20" w:right="2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shall mean the Securities and Exchange Commission or any Governmental Authority succeeding to any of its principal functions.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u w:val="single" w:color="auto"/>
          <w:color w:val="0000FF"/>
        </w:rPr>
        <w:t xml:space="preserve">“Second Amendment” means that certain Limited Consent and Second Amendment to Term Loan Credit Agreement dated as of the Second Amendment Effective Date, by and among, </w:t>
      </w:r>
      <w:r>
        <w:rPr>
          <w:rFonts w:ascii="Times New Roman" w:cs="Times New Roman" w:eastAsia="Times New Roman" w:hAnsi="Times New Roman"/>
          <w:sz w:val="21"/>
          <w:szCs w:val="21"/>
          <w:i w:val="1"/>
          <w:iCs w:val="1"/>
          <w:u w:val="single" w:color="auto"/>
          <w:color w:val="0000FF"/>
        </w:rPr>
        <w:t>inter alia</w:t>
      </w:r>
      <w:r>
        <w:rPr>
          <w:rFonts w:ascii="Times New Roman" w:cs="Times New Roman" w:eastAsia="Times New Roman" w:hAnsi="Times New Roman"/>
          <w:sz w:val="20"/>
          <w:szCs w:val="20"/>
          <w:u w:val="single" w:color="auto"/>
          <w:color w:val="0000FF"/>
        </w:rPr>
        <w:t>, the Borrower, the other Loan Parties party thereto, the Lenders and the Administrative Agent.</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u w:val="single" w:color="auto"/>
          <w:color w:val="0000FF"/>
        </w:rPr>
        <w:t>“Second Amendment BlackRock Fee Letter” shall mean that certain Fee Letter, dated the Second Amendment Effective Date, by and among the Borrower and the Lenders party thereto.</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0000FF"/>
        </w:rPr>
        <w:t>“Second Amendment Effective Date” means October 29, 2024.</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0000FF"/>
        </w:rPr>
        <w:t xml:space="preserve">“Second Amendment </w:t>
      </w:r>
      <w:r>
        <w:rPr>
          <w:rFonts w:ascii="Times New Roman" w:cs="Times New Roman" w:eastAsia="Times New Roman" w:hAnsi="Times New Roman"/>
          <w:sz w:val="20"/>
          <w:szCs w:val="20"/>
          <w:u w:val="single" w:color="auto"/>
          <w:color w:val="008000"/>
        </w:rPr>
        <w:t>Lender” shall have the meaning</w:t>
      </w:r>
      <w:r>
        <w:rPr>
          <w:rFonts w:ascii="Times New Roman" w:cs="Times New Roman" w:eastAsia="Times New Roman" w:hAnsi="Times New Roman"/>
          <w:sz w:val="20"/>
          <w:szCs w:val="20"/>
          <w:u w:val="single" w:color="auto"/>
          <w:color w:val="0000FF"/>
        </w:rPr>
        <w:t xml:space="preserve"> set forth in the Second Amendment.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0000FF"/>
        </w:rPr>
        <w:t xml:space="preserve">“Second Amendment Term Loan” shall </w:t>
      </w:r>
      <w:r>
        <w:rPr>
          <w:rFonts w:ascii="Times New Roman" w:cs="Times New Roman" w:eastAsia="Times New Roman" w:hAnsi="Times New Roman"/>
          <w:sz w:val="20"/>
          <w:szCs w:val="20"/>
          <w:u w:val="single" w:color="auto"/>
          <w:color w:val="008000"/>
        </w:rPr>
        <w:t>have the meaning set forth in</w:t>
      </w:r>
      <w:r>
        <w:rPr>
          <w:rFonts w:ascii="Times New Roman" w:cs="Times New Roman" w:eastAsia="Times New Roman" w:hAnsi="Times New Roman"/>
          <w:sz w:val="20"/>
          <w:szCs w:val="20"/>
          <w:u w:val="single" w:color="auto"/>
          <w:color w:val="0000FF"/>
        </w:rPr>
        <w:t xml:space="preserve"> the Second Amendment.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0000FF"/>
        </w:rPr>
        <w:t>“Second Amendment Term Loan Commitment” shall have the meaning set forth in the Second Amendment.</w:t>
      </w:r>
    </w:p>
    <w:p>
      <w:pPr>
        <w:spacing w:after="0" w:line="243"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shall mean, collectively, the Administrative Agent, the Lenders and, solely with respect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each other Indemnitee.</w:t>
      </w:r>
    </w:p>
    <w:p>
      <w:pPr>
        <w:spacing w:after="0" w:line="2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shall mean a rate equal to the secured overnight financing rate as administered by the SOFR Administrator.</w:t>
      </w:r>
    </w:p>
    <w:p>
      <w:pPr>
        <w:spacing w:after="0" w:line="243" w:lineRule="exact"/>
        <w:rPr>
          <w:sz w:val="20"/>
          <w:szCs w:val="20"/>
          <w:color w:val="auto"/>
        </w:rPr>
      </w:pPr>
    </w:p>
    <w:p>
      <w:pPr>
        <w:jc w:val="both"/>
        <w:ind w:left="20"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shall mean the Federal Reserve Bank of New York (or a successor administrator of the secured overnight financing rate).</w:t>
      </w:r>
    </w:p>
    <w:p>
      <w:pPr>
        <w:spacing w:after="0" w:line="200" w:lineRule="exact"/>
        <w:rPr>
          <w:sz w:val="20"/>
          <w:szCs w:val="20"/>
          <w:color w:val="auto"/>
        </w:rPr>
      </w:pPr>
    </w:p>
    <w:p>
      <w:pPr>
        <w:ind w:left="20" w:right="4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shall mean a Loan that bears interest at a rate based on Adjusted Term SOFR, other than pursuant to clause (iii) of the definition of Base Rate.</w:t>
      </w:r>
    </w:p>
    <w:p>
      <w:pPr>
        <w:spacing w:after="0" w:line="213" w:lineRule="exact"/>
        <w:rPr>
          <w:sz w:val="20"/>
          <w:szCs w:val="20"/>
          <w:color w:val="auto"/>
        </w:rPr>
      </w:pPr>
    </w:p>
    <w:p>
      <w:pPr>
        <w:jc w:val="both"/>
        <w:ind w:left="20" w:right="120"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shall mean, with respect to any Person on any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sectPr>
          <w:pgSz w:w="11900" w:h="16838" w:orient="portrait"/>
          <w:cols w:equalWidth="0" w:num="1">
            <w:col w:w="10180"/>
          </w:cols>
          <w:pgMar w:left="1380" w:top="1332" w:right="339" w:bottom="1440" w:gutter="0" w:footer="0" w:header="0"/>
        </w:sectPr>
      </w:pPr>
    </w:p>
    <w:bookmarkStart w:id="139" w:name="page140"/>
    <w:bookmarkEnd w:id="139"/>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shall mean any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Stated Maturity Date</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color w:val="FF0000"/>
          <w:strike w:val="1"/>
        </w:rPr>
        <w:t>January</w:t>
      </w:r>
      <w:r>
        <w:rPr>
          <w:rFonts w:ascii="Times New Roman" w:cs="Times New Roman" w:eastAsia="Times New Roman" w:hAnsi="Times New Roman"/>
          <w:sz w:val="20"/>
          <w:szCs w:val="20"/>
          <w:u w:val="single" w:color="auto"/>
          <w:color w:val="0000FF"/>
        </w:rPr>
        <w:t>October</w:t>
      </w:r>
      <w:r>
        <w:rPr>
          <w:rFonts w:ascii="Times New Roman" w:cs="Times New Roman" w:eastAsia="Times New Roman" w:hAnsi="Times New Roman"/>
          <w:sz w:val="20"/>
          <w:szCs w:val="20"/>
          <w:color w:val="auto"/>
        </w:rPr>
        <w:t xml:space="preserve"> 2</w:t>
      </w:r>
      <w:r>
        <w:rPr>
          <w:rFonts w:ascii="Times New Roman" w:cs="Times New Roman" w:eastAsia="Times New Roman" w:hAnsi="Times New Roman"/>
          <w:sz w:val="20"/>
          <w:szCs w:val="20"/>
          <w:color w:val="FF0000"/>
          <w:strike w:val="1"/>
        </w:rPr>
        <w:t>7</w:t>
      </w:r>
      <w:r>
        <w:rPr>
          <w:rFonts w:ascii="Times New Roman" w:cs="Times New Roman" w:eastAsia="Times New Roman" w:hAnsi="Times New Roman"/>
          <w:sz w:val="20"/>
          <w:szCs w:val="20"/>
          <w:u w:val="single" w:color="auto"/>
          <w:color w:val="0000FF"/>
        </w:rPr>
        <w:t>9</w:t>
      </w:r>
      <w:r>
        <w:rPr>
          <w:rFonts w:ascii="Times New Roman" w:cs="Times New Roman" w:eastAsia="Times New Roman" w:hAnsi="Times New Roman"/>
          <w:sz w:val="20"/>
          <w:szCs w:val="20"/>
          <w:color w:val="auto"/>
        </w:rPr>
        <w:t>, 20</w:t>
      </w:r>
      <w:r>
        <w:rPr>
          <w:rFonts w:ascii="Times New Roman" w:cs="Times New Roman" w:eastAsia="Times New Roman" w:hAnsi="Times New Roman"/>
          <w:sz w:val="20"/>
          <w:szCs w:val="20"/>
          <w:color w:val="FF0000"/>
          <w:strike w:val="1"/>
        </w:rPr>
        <w:t>27</w:t>
      </w:r>
      <w:r>
        <w:rPr>
          <w:rFonts w:ascii="Times New Roman" w:cs="Times New Roman" w:eastAsia="Times New Roman" w:hAnsi="Times New Roman"/>
          <w:sz w:val="20"/>
          <w:szCs w:val="20"/>
          <w:u w:val="single" w:color="auto"/>
          <w:color w:val="0000FF"/>
        </w:rPr>
        <w:t>30</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xml:space="preserve">” shall mean any Indebtedness of the Loan Parties that is expressly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7.1(r)(ii)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7.1(r)(iii)</w:t>
      </w:r>
      <w:r>
        <w:rPr>
          <w:rFonts w:ascii="Times New Roman" w:cs="Times New Roman" w:eastAsia="Times New Roman" w:hAnsi="Times New Roman"/>
          <w:sz w:val="20"/>
          <w:szCs w:val="20"/>
          <w:color w:val="auto"/>
        </w:rPr>
        <w:t>.</w:t>
      </w:r>
    </w:p>
    <w:p>
      <w:pPr>
        <w:spacing w:after="0" w:line="268" w:lineRule="exact"/>
        <w:rPr>
          <w:sz w:val="20"/>
          <w:szCs w:val="20"/>
          <w:color w:val="auto"/>
        </w:rPr>
      </w:pPr>
    </w:p>
    <w:p>
      <w:pPr>
        <w:jc w:val="both"/>
        <w:ind w:left="20" w:firstLine="648"/>
        <w:spacing w:after="0" w:line="29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 Documents</w:t>
      </w:r>
      <w:r>
        <w:rPr>
          <w:rFonts w:ascii="Times New Roman" w:cs="Times New Roman" w:eastAsia="Times New Roman" w:hAnsi="Times New Roman"/>
          <w:sz w:val="20"/>
          <w:szCs w:val="20"/>
          <w:color w:val="auto"/>
        </w:rPr>
        <w:t>” shall mean the indentures, loan agreements, notes, guaranties, subordination agreements and other related documents and/or agreements governing or evidencing the Subordinated Debt.</w:t>
      </w:r>
    </w:p>
    <w:p>
      <w:pPr>
        <w:spacing w:after="0" w:line="173" w:lineRule="exact"/>
        <w:rPr>
          <w:sz w:val="20"/>
          <w:szCs w:val="20"/>
          <w:color w:val="auto"/>
        </w:rPr>
      </w:pPr>
    </w:p>
    <w:p>
      <w:pPr>
        <w:jc w:val="both"/>
        <w:ind w:left="20" w:firstLine="648"/>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Unless otherwise indicated, all references to “Subsidiary” hereunder shall mean a Subsidiary of the Borrower. For the avoidance of doubt, an Insurance Subsidiary is a Subsidiary of the Borrower.</w:t>
      </w:r>
    </w:p>
    <w:p>
      <w:pPr>
        <w:spacing w:after="0" w:line="211"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Loan Party</w:t>
      </w:r>
      <w:r>
        <w:rPr>
          <w:rFonts w:ascii="Times New Roman" w:cs="Times New Roman" w:eastAsia="Times New Roman" w:hAnsi="Times New Roman"/>
          <w:sz w:val="20"/>
          <w:szCs w:val="20"/>
          <w:color w:val="auto"/>
        </w:rPr>
        <w:t xml:space="preserve">” shall mean any Subsidiary that executes or becomes a party to the Guaranty and Security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(a) no Insurance Subsidiary nor any Subsidiary of an Insurance Subsidiary shall be a Subsidiary Loan Party and (b) no Subsidiary shall be a Subsidiary Loan Party if a guarantee by it would result in an adverse tax consequence (which 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notwithstanding anything to the contrary contained herein, no Subsidiary that is a Subsidiary Loan Party 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shall be subject to clause (b) of the aforementioned proviso.</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ind w:left="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w:t>
      </w:r>
      <w:r>
        <w:rPr>
          <w:rFonts w:ascii="Times New Roman" w:cs="Times New Roman" w:eastAsia="Times New Roman" w:hAnsi="Times New Roman"/>
          <w:sz w:val="20"/>
          <w:szCs w:val="20"/>
          <w:color w:val="auto"/>
        </w:rPr>
        <w:t>” shall mean a lease transaction under which the parties intend that (i) the lease will be treated as an “operating lease” by the lessee pursuant to Accounting Standards Codification Sections 840-10 and 840-20, as amended and</w:t>
      </w:r>
    </w:p>
    <w:p>
      <w:pPr>
        <w:spacing w:after="0" w:line="1" w:lineRule="exact"/>
        <w:rPr>
          <w:sz w:val="20"/>
          <w:szCs w:val="20"/>
          <w:color w:val="auto"/>
        </w:rPr>
      </w:pPr>
    </w:p>
    <w:p>
      <w:pPr>
        <w:ind w:left="20" w:firstLine="8"/>
        <w:spacing w:after="0" w:line="267" w:lineRule="auto"/>
        <w:tabs>
          <w:tab w:leader="none" w:pos="32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lessee will be entitled to various tax and other benefits ordinarily available to owners (as opposed to lessees) of like property.</w:t>
      </w:r>
    </w:p>
    <w:p>
      <w:pPr>
        <w:spacing w:after="0" w:line="215" w:lineRule="exact"/>
        <w:rPr>
          <w:sz w:val="20"/>
          <w:szCs w:val="20"/>
          <w:color w:val="auto"/>
        </w:rPr>
      </w:pPr>
    </w:p>
    <w:p>
      <w:pPr>
        <w:jc w:val="both"/>
        <w:ind w:left="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Obligations</w:t>
      </w:r>
      <w:r>
        <w:rPr>
          <w:rFonts w:ascii="Times New Roman" w:cs="Times New Roman" w:eastAsia="Times New Roman" w:hAnsi="Times New Roman"/>
          <w:sz w:val="20"/>
          <w:szCs w:val="20"/>
          <w:color w:val="auto"/>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ectPr>
          <w:pgSz w:w="11900" w:h="16838" w:orient="portrait"/>
          <w:cols w:equalWidth="0" w:num="1">
            <w:col w:w="10060"/>
          </w:cols>
          <w:pgMar w:left="1380" w:top="1426" w:right="459" w:bottom="1440" w:gutter="0" w:footer="0" w:header="0"/>
        </w:sectPr>
      </w:pPr>
    </w:p>
    <w:bookmarkStart w:id="140" w:name="page141"/>
    <w:bookmarkEnd w:id="140"/>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any and all present or future taxes, levies, imposts, duties, deductions, withholdings (including backup withholding), assessments, fees, or charges imposed by any Governmental Authority, including any interest, additions to tax or penalties applicable thereto.</w:t>
      </w:r>
    </w:p>
    <w:p>
      <w:pPr>
        <w:spacing w:after="0" w:line="2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Group</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7.5(e)</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jc w:val="both"/>
        <w:ind w:left="20" w:right="120" w:firstLine="648"/>
        <w:spacing w:after="0" w:line="254"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Tax Sharing Agreement</w:t>
      </w:r>
      <w:r>
        <w:rPr>
          <w:rFonts w:ascii="Times New Roman" w:cs="Times New Roman" w:eastAsia="Times New Roman" w:hAnsi="Times New Roman"/>
          <w:sz w:val="20"/>
          <w:szCs w:val="20"/>
          <w:color w:val="EE2724"/>
          <w:strike w:val="1"/>
        </w:rPr>
        <w:t>” shall mean that certain Tax Sharing Agreement, effective as of August 17, 2017 (as amended, restated, amended and restated, supplemented or otherwise modified from time to time), by and between the Borrower and RIC.</w:t>
      </w:r>
    </w:p>
    <w:p>
      <w:pPr>
        <w:spacing w:after="0" w:line="18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the date upon which all Obligations (other than contingent obligations as to which no claim exists or has been asserted) have been paid in full in cash.</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xml:space="preserve">” shall </w:t>
      </w:r>
      <w:r>
        <w:rPr>
          <w:rFonts w:ascii="Times New Roman" w:cs="Times New Roman" w:eastAsia="Times New Roman" w:hAnsi="Times New Roman"/>
          <w:sz w:val="20"/>
          <w:szCs w:val="20"/>
          <w:color w:val="008000"/>
          <w:strike w:val="1"/>
        </w:rPr>
        <w:t>have the meaning set forth in</w:t>
      </w:r>
      <w:r>
        <w:rPr>
          <w:rFonts w:ascii="Times New Roman" w:cs="Times New Roman" w:eastAsia="Times New Roman" w:hAnsi="Times New Roman"/>
          <w:sz w:val="20"/>
          <w:szCs w:val="20"/>
          <w:u w:val="single" w:color="auto"/>
          <w:color w:val="0000FF"/>
        </w:rPr>
        <w:t>mean the Initial Term Loans and the</w:t>
      </w:r>
      <w:r>
        <w:rPr>
          <w:rFonts w:ascii="Times New Roman" w:cs="Times New Roman" w:eastAsia="Times New Roman" w:hAnsi="Times New Roman"/>
          <w:sz w:val="20"/>
          <w:szCs w:val="20"/>
          <w:color w:val="auto"/>
        </w:rPr>
        <w:t xml:space="preserve"> Sec</w:t>
      </w:r>
      <w:r>
        <w:rPr>
          <w:rFonts w:ascii="Times New Roman" w:cs="Times New Roman" w:eastAsia="Times New Roman" w:hAnsi="Times New Roman"/>
          <w:sz w:val="20"/>
          <w:szCs w:val="20"/>
          <w:u w:val="single" w:color="auto"/>
          <w:color w:val="FF0000"/>
          <w:strike w:val="1"/>
        </w:rPr>
        <w:t>ti</w:t>
      </w:r>
      <w:r>
        <w:rPr>
          <w:rFonts w:ascii="Times New Roman" w:cs="Times New Roman" w:eastAsia="Times New Roman" w:hAnsi="Times New Roman"/>
          <w:sz w:val="20"/>
          <w:szCs w:val="20"/>
          <w:color w:val="auto"/>
        </w:rPr>
        <w:t>on</w:t>
      </w:r>
      <w:r>
        <w:rPr>
          <w:rFonts w:ascii="Times New Roman" w:cs="Times New Roman" w:eastAsia="Times New Roman" w:hAnsi="Times New Roman"/>
          <w:sz w:val="20"/>
          <w:szCs w:val="20"/>
          <w:u w:val="single" w:color="auto"/>
          <w:color w:val="0000FF"/>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2.5(a)</w:t>
      </w:r>
      <w:r>
        <w:rPr>
          <w:rFonts w:ascii="Times New Roman" w:cs="Times New Roman" w:eastAsia="Times New Roman" w:hAnsi="Times New Roman"/>
          <w:sz w:val="20"/>
          <w:szCs w:val="20"/>
          <w:u w:val="single" w:color="auto"/>
          <w:color w:val="0000FF"/>
        </w:rPr>
        <w:t>Amendment Term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Loans</w:t>
      </w:r>
      <w:r>
        <w:rPr>
          <w:rFonts w:ascii="Times New Roman" w:cs="Times New Roman" w:eastAsia="Times New Roman" w:hAnsi="Times New Roman"/>
          <w:sz w:val="20"/>
          <w:szCs w:val="20"/>
          <w:color w:val="000000"/>
        </w:rPr>
        <w:t>.</w:t>
      </w:r>
    </w:p>
    <w:p>
      <w:pPr>
        <w:spacing w:after="0" w:line="221" w:lineRule="exact"/>
        <w:rPr>
          <w:sz w:val="20"/>
          <w:szCs w:val="20"/>
          <w:color w:val="auto"/>
        </w:rPr>
      </w:pPr>
    </w:p>
    <w:p>
      <w:pPr>
        <w:jc w:val="both"/>
        <w:ind w:left="20"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xml:space="preserve">” shall mean, with respect to each Lender, the obligation of such Lender to make a Term Loan on the Funding Date </w:t>
      </w:r>
      <w:r>
        <w:rPr>
          <w:rFonts w:ascii="Times New Roman" w:cs="Times New Roman" w:eastAsia="Times New Roman" w:hAnsi="Times New Roman"/>
          <w:sz w:val="20"/>
          <w:szCs w:val="20"/>
          <w:color w:val="0000FF"/>
        </w:rPr>
        <w:t>or the Second Amendment Effective Date, as applicable</w:t>
      </w:r>
      <w:r>
        <w:rPr>
          <w:rFonts w:ascii="Times New Roman" w:cs="Times New Roman" w:eastAsia="Times New Roman" w:hAnsi="Times New Roman"/>
          <w:sz w:val="20"/>
          <w:szCs w:val="20"/>
          <w:color w:val="auto"/>
        </w:rPr>
        <w:t xml:space="preserve">, in a principal amount not exceeding the amount set forth with respect to such Lender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 The aggregate principal amount of all Lenders’ Term Loan Commitments as of the Funding Date is $300,000,000. </w:t>
      </w:r>
      <w:r>
        <w:rPr>
          <w:rFonts w:ascii="Times New Roman" w:cs="Times New Roman" w:eastAsia="Times New Roman" w:hAnsi="Times New Roman"/>
          <w:sz w:val="20"/>
          <w:szCs w:val="20"/>
          <w:color w:val="0000FF"/>
        </w:rPr>
        <w:t>The aggregate principal amount of all Second Amendment Lenders’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Term Loan Commitments as of the Second Amendment Effective Date is $137,061,087.10.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-448945</wp:posOffset>
            </wp:positionV>
            <wp:extent cx="28905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289052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-165735</wp:posOffset>
            </wp:positionV>
            <wp:extent cx="35947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3594735" cy="8255"/>
                    </a:xfrm>
                    <a:prstGeom prst="rect">
                      <a:avLst/>
                    </a:prstGeom>
                    <a:noFill/>
                  </pic:spPr>
                </pic:pic>
              </a:graphicData>
            </a:graphic>
          </wp:anchor>
        </w:drawing>
      </w:r>
    </w:p>
    <w:p>
      <w:pPr>
        <w:spacing w:after="0" w:line="194" w:lineRule="exact"/>
        <w:rPr>
          <w:sz w:val="20"/>
          <w:szCs w:val="20"/>
          <w:color w:val="auto"/>
        </w:rPr>
      </w:pPr>
    </w:p>
    <w:p>
      <w:pPr>
        <w:ind w:left="20" w:right="1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Exposure</w:t>
      </w:r>
      <w:r>
        <w:rPr>
          <w:rFonts w:ascii="Times New Roman" w:cs="Times New Roman" w:eastAsia="Times New Roman" w:hAnsi="Times New Roman"/>
          <w:sz w:val="20"/>
          <w:szCs w:val="20"/>
          <w:color w:val="auto"/>
        </w:rPr>
        <w:t>” shall mean, with respect to any Lender, as of any date of determination, the outstanding principal amount of the Term Loans of such Lender.</w:t>
      </w:r>
    </w:p>
    <w:p>
      <w:pPr>
        <w:spacing w:after="0" w:line="2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shall mean:</w:t>
      </w:r>
    </w:p>
    <w:p>
      <w:pPr>
        <w:spacing w:after="0" w:line="337" w:lineRule="exact"/>
        <w:rPr>
          <w:sz w:val="20"/>
          <w:szCs w:val="20"/>
          <w:color w:val="auto"/>
        </w:rPr>
      </w:pPr>
    </w:p>
    <w:p>
      <w:pPr>
        <w:jc w:val="both"/>
        <w:ind w:left="20" w:right="120" w:firstLine="655"/>
        <w:spacing w:after="0" w:line="241" w:lineRule="auto"/>
        <w:tabs>
          <w:tab w:leader="none" w:pos="152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15" w:lineRule="exact"/>
        <w:rPr>
          <w:rFonts w:ascii="Times New Roman" w:cs="Times New Roman" w:eastAsia="Times New Roman" w:hAnsi="Times New Roman"/>
          <w:sz w:val="20"/>
          <w:szCs w:val="20"/>
          <w:color w:val="auto"/>
        </w:rPr>
      </w:pPr>
    </w:p>
    <w:p>
      <w:pPr>
        <w:jc w:val="both"/>
        <w:ind w:left="20" w:right="120" w:firstLine="655"/>
        <w:spacing w:after="0" w:line="241" w:lineRule="auto"/>
        <w:tabs>
          <w:tab w:leader="none" w:pos="151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ectPr>
          <w:pgSz w:w="11900" w:h="16838" w:orient="portrait"/>
          <w:cols w:equalWidth="0" w:num="1">
            <w:col w:w="10180"/>
          </w:cols>
          <w:pgMar w:left="1380" w:top="1332" w:right="339" w:bottom="1440" w:gutter="0" w:footer="0" w:header="0"/>
        </w:sectPr>
      </w:pPr>
    </w:p>
    <w:bookmarkStart w:id="141" w:name="page142"/>
    <w:bookmarkEnd w:id="141"/>
    <w:p>
      <w:pPr>
        <w:spacing w:after="0" w:line="149" w:lineRule="exact"/>
        <w:rPr>
          <w:sz w:val="20"/>
          <w:szCs w:val="20"/>
          <w:color w:val="auto"/>
        </w:rPr>
      </w:pPr>
    </w:p>
    <w:p>
      <w:pPr>
        <w:ind w:left="108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Term SOFR determined as provided above (including pursuant to the provisos above) shall ever be less than the Floor, then Term SOFR shall be deemed to be the Floor.</w:t>
      </w:r>
    </w:p>
    <w:p>
      <w:pPr>
        <w:spacing w:after="0" w:line="186" w:lineRule="exact"/>
        <w:rPr>
          <w:sz w:val="20"/>
          <w:szCs w:val="20"/>
          <w:color w:val="auto"/>
        </w:rPr>
      </w:pPr>
    </w:p>
    <w:p>
      <w:pPr>
        <w:jc w:val="both"/>
        <w:ind w:left="1080" w:right="140"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shall mean CME Group Benchmark Administration Limited (CBA) (or a successor administrator of the Term SOFR Reference Rate selected by the Administrative Agent and Required Lenders in their reasonable discretion).</w:t>
      </w:r>
    </w:p>
    <w:p>
      <w:pPr>
        <w:spacing w:after="0" w:line="20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shall mean the forward-looking term rate based on SOFR.</w:t>
      </w:r>
    </w:p>
    <w:p>
      <w:pPr>
        <w:spacing w:after="0" w:line="33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243" w:lineRule="exact"/>
        <w:rPr>
          <w:sz w:val="20"/>
          <w:szCs w:val="20"/>
          <w:color w:val="auto"/>
        </w:rPr>
      </w:pPr>
    </w:p>
    <w:p>
      <w:pPr>
        <w:jc w:val="both"/>
        <w:ind w:left="1060"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1 Warrants</w:t>
      </w:r>
      <w:r>
        <w:rPr>
          <w:rFonts w:ascii="Times New Roman" w:cs="Times New Roman" w:eastAsia="Times New Roman" w:hAnsi="Times New Roman"/>
          <w:sz w:val="20"/>
          <w:szCs w:val="20"/>
          <w:color w:val="auto"/>
        </w:rPr>
        <w:t>” shall mean the warrants to purchase the Capital Stock representing Class A common stock of Holdings, on a fully diluted basis, in accordance with the terms of such warrants, entered into by and among Holdings, the Lenders, or one or more of such Lenders’ respective affiliates or designees designated thereby, to be issued on the date hereof, or any replacement warrants thereof</w:t>
      </w:r>
      <w:r>
        <w:rPr>
          <w:rFonts w:ascii="Times New Roman" w:cs="Times New Roman" w:eastAsia="Times New Roman" w:hAnsi="Times New Roman"/>
          <w:sz w:val="20"/>
          <w:szCs w:val="20"/>
          <w:u w:val="single" w:color="auto"/>
          <w:color w:val="0000FF"/>
        </w:rPr>
        <w:t>, as amended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or otherwise modified from time to time.</w:t>
      </w:r>
    </w:p>
    <w:p>
      <w:pPr>
        <w:spacing w:after="0" w:line="212" w:lineRule="exact"/>
        <w:rPr>
          <w:sz w:val="20"/>
          <w:szCs w:val="20"/>
          <w:color w:val="auto"/>
        </w:rPr>
      </w:pPr>
    </w:p>
    <w:p>
      <w:pPr>
        <w:jc w:val="both"/>
        <w:ind w:left="1080" w:firstLine="648"/>
        <w:spacing w:after="0" w:line="245"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Tranche 2 Warrants</w:t>
      </w:r>
      <w:r>
        <w:rPr>
          <w:rFonts w:ascii="Times New Roman" w:cs="Times New Roman" w:eastAsia="Times New Roman" w:hAnsi="Times New Roman"/>
          <w:sz w:val="20"/>
          <w:szCs w:val="20"/>
          <w:color w:val="EE2724"/>
          <w:strike w:val="1"/>
        </w:rPr>
        <w:t xml:space="preserve">” shall mean the warrants to purchase the Capital Stock representing Class A common stock of Holdings, on a fully diluted basis, in accordance with the terms of such warrants, entered into on the form attached hereto as </w:t>
      </w:r>
      <w:r>
        <w:rPr>
          <w:rFonts w:ascii="Times New Roman" w:cs="Times New Roman" w:eastAsia="Times New Roman" w:hAnsi="Times New Roman"/>
          <w:sz w:val="20"/>
          <w:szCs w:val="20"/>
          <w:u w:val="single" w:color="auto"/>
          <w:color w:val="EE2724"/>
          <w:strike w:val="1"/>
        </w:rPr>
        <w:t>Exhibit 5.18</w:t>
      </w:r>
      <w:r>
        <w:rPr>
          <w:rFonts w:ascii="Times New Roman" w:cs="Times New Roman" w:eastAsia="Times New Roman" w:hAnsi="Times New Roman"/>
          <w:sz w:val="20"/>
          <w:szCs w:val="20"/>
          <w:color w:val="EE2724"/>
          <w:strike w:val="1"/>
        </w:rPr>
        <w:t>, by and among Holdings, the Lenders, or one or more of such Lenders’ respective affiliates or designees</w:t>
      </w:r>
      <w:r>
        <w:rPr>
          <w:rFonts w:ascii="Times New Roman" w:cs="Times New Roman" w:eastAsia="Times New Roman" w:hAnsi="Times New Roman"/>
          <w:sz w:val="20"/>
          <w:szCs w:val="20"/>
          <w:u w:val="single" w:color="auto"/>
          <w:color w:val="EE2724"/>
          <w:strike w:val="1"/>
        </w:rPr>
        <w:t xml:space="preserve"> </w:t>
      </w:r>
      <w:r>
        <w:rPr>
          <w:rFonts w:ascii="Times New Roman" w:cs="Times New Roman" w:eastAsia="Times New Roman" w:hAnsi="Times New Roman"/>
          <w:sz w:val="20"/>
          <w:szCs w:val="20"/>
          <w:color w:val="EE2724"/>
          <w:strike w:val="1"/>
        </w:rPr>
        <w:t xml:space="preserve">designated thereby, to be issued pursuant to, and in accordance with, </w:t>
      </w:r>
      <w:r>
        <w:rPr>
          <w:rFonts w:ascii="Times New Roman" w:cs="Times New Roman" w:eastAsia="Times New Roman" w:hAnsi="Times New Roman"/>
          <w:sz w:val="20"/>
          <w:szCs w:val="20"/>
          <w:u w:val="single" w:color="auto"/>
          <w:color w:val="EE2724"/>
          <w:strike w:val="1"/>
        </w:rPr>
        <w:t>Section 5.18</w:t>
      </w:r>
      <w:r>
        <w:rPr>
          <w:rFonts w:ascii="Times New Roman" w:cs="Times New Roman" w:eastAsia="Times New Roman" w:hAnsi="Times New Roman"/>
          <w:sz w:val="20"/>
          <w:szCs w:val="20"/>
          <w:color w:val="EE2724"/>
          <w:strike w:val="1"/>
        </w:rPr>
        <w:t>, or any replacement warrants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shall mean $10,000,000.</w:t>
      </w:r>
    </w:p>
    <w:p>
      <w:pPr>
        <w:spacing w:after="0" w:line="3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2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Security Agreement</w:t>
      </w:r>
      <w:r>
        <w:rPr>
          <w:rFonts w:ascii="Times New Roman" w:cs="Times New Roman" w:eastAsia="Times New Roman" w:hAnsi="Times New Roman"/>
          <w:sz w:val="20"/>
          <w:szCs w:val="20"/>
          <w:color w:val="auto"/>
        </w:rPr>
        <w:t>” shall mean any Trademark Security Agreement, substantially in the form of Annex</w:t>
      </w:r>
    </w:p>
    <w:p>
      <w:pPr>
        <w:spacing w:after="0" w:line="28" w:lineRule="exact"/>
        <w:rPr>
          <w:sz w:val="20"/>
          <w:szCs w:val="20"/>
          <w:color w:val="auto"/>
        </w:rPr>
      </w:pPr>
    </w:p>
    <w:p>
      <w:pPr>
        <w:jc w:val="both"/>
        <w:ind w:left="1080" w:right="120" w:firstLine="8"/>
        <w:spacing w:after="0" w:line="267" w:lineRule="auto"/>
        <w:tabs>
          <w:tab w:leader="none" w:pos="126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attached to the Guaranty and Security Agreement, executed by a Loan Party owning registered Trademarks or applications for Trademarks in favor of the Administrative Agent for the benefit of the Secured Parties, both on the Closing Date and thereafter.</w:t>
      </w:r>
    </w:p>
    <w:p>
      <w:pPr>
        <w:spacing w:after="0" w:line="216" w:lineRule="exact"/>
        <w:rPr>
          <w:sz w:val="20"/>
          <w:szCs w:val="20"/>
          <w:color w:val="auto"/>
        </w:rPr>
      </w:pPr>
    </w:p>
    <w:p>
      <w:pPr>
        <w:jc w:val="both"/>
        <w:ind w:left="1080" w:right="120" w:firstLine="648"/>
        <w:spacing w:after="0" w:line="279" w:lineRule="auto"/>
        <w:rPr>
          <w:sz w:val="20"/>
          <w:szCs w:val="20"/>
          <w:color w:val="auto"/>
        </w:rPr>
      </w:pPr>
      <w:r>
        <w:rPr>
          <w:rFonts w:ascii="Times New Roman" w:cs="Times New Roman" w:eastAsia="Times New Roman" w:hAnsi="Times New Roman"/>
          <w:sz w:val="19"/>
          <w:szCs w:val="19"/>
          <w:color w:val="EE2724"/>
          <w:strike w:val="1"/>
        </w:rPr>
        <w:t>“</w:t>
      </w:r>
      <w:r>
        <w:rPr>
          <w:rFonts w:ascii="Times New Roman" w:cs="Times New Roman" w:eastAsia="Times New Roman" w:hAnsi="Times New Roman"/>
          <w:sz w:val="19"/>
          <w:szCs w:val="19"/>
          <w:u w:val="single" w:color="auto"/>
          <w:color w:val="EE2724"/>
          <w:strike w:val="1"/>
        </w:rPr>
        <w:t>Treasury Rate</w:t>
      </w:r>
      <w:r>
        <w:rPr>
          <w:rFonts w:ascii="Times New Roman" w:cs="Times New Roman" w:eastAsia="Times New Roman" w:hAnsi="Times New Roman"/>
          <w:sz w:val="19"/>
          <w:szCs w:val="19"/>
          <w:color w:val="EE2724"/>
          <w:strike w:val="1"/>
        </w:rPr>
        <w:t xml:space="preserve">” shall mean, for any date on which the Make-Whole Amount is paid, the yield to maturity as of such date of United States Treasury securities with a constant maturity (as compiled and published in the most recent Federal Reserve Statistical Release H.15 (519) that has become publicly available at least two (2) Business Days prior to such date (or, if such Statistical Release is no longer published, any publicly available source of similar market data)) most nearly equal to the period from such date to the date that is eighteen (18) months following the Funding Date; </w:t>
      </w:r>
      <w:r>
        <w:rPr>
          <w:rFonts w:ascii="Times New Roman" w:cs="Times New Roman" w:eastAsia="Times New Roman" w:hAnsi="Times New Roman"/>
          <w:sz w:val="19"/>
          <w:szCs w:val="19"/>
          <w:u w:val="single" w:color="auto"/>
          <w:color w:val="EE2724"/>
          <w:strike w:val="1"/>
        </w:rPr>
        <w:t>provided</w:t>
      </w:r>
      <w:r>
        <w:rPr>
          <w:rFonts w:ascii="Times New Roman" w:cs="Times New Roman" w:eastAsia="Times New Roman" w:hAnsi="Times New Roman"/>
          <w:sz w:val="19"/>
          <w:szCs w:val="19"/>
          <w:color w:val="EE2724"/>
          <w:strike w:val="1"/>
        </w:rPr>
        <w:t xml:space="preserve"> that if the period from the Payment Date to the date that is eighteen (18) months following the Funding Date is less than one year, the weekly average yield on actually traded United States Treasury securities adjusted to a constant maturity of one year shall be used.</w:t>
      </w:r>
    </w:p>
    <w:p>
      <w:pPr>
        <w:spacing w:after="0" w:line="207" w:lineRule="exact"/>
        <w:rPr>
          <w:sz w:val="20"/>
          <w:szCs w:val="20"/>
          <w:color w:val="auto"/>
        </w:rPr>
      </w:pPr>
    </w:p>
    <w:p>
      <w:pPr>
        <w:jc w:val="both"/>
        <w:ind w:left="1080"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shall mean, when used in reference to a Loan or a Borrowing, whether the rate of interest on such Loan, or on the Loans comprising such Borrowing, is determined by reference to Adjusted Term SOFR or the Base Rate.</w:t>
      </w:r>
    </w:p>
    <w:p>
      <w:pPr>
        <w:sectPr>
          <w:pgSz w:w="11900" w:h="16838" w:orient="portrait"/>
          <w:cols w:equalWidth="0" w:num="1">
            <w:col w:w="11240"/>
          </w:cols>
          <w:pgMar w:left="320" w:top="1440" w:right="339" w:bottom="1440" w:gutter="0" w:footer="0" w:header="0"/>
        </w:sectPr>
      </w:pPr>
    </w:p>
    <w:bookmarkStart w:id="142" w:name="page143"/>
    <w:bookmarkEnd w:id="142"/>
    <w:p>
      <w:pPr>
        <w:jc w:val="both"/>
        <w:ind w:right="12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2" w:lineRule="exact"/>
        <w:rPr>
          <w:sz w:val="20"/>
          <w:szCs w:val="20"/>
          <w:color w:val="auto"/>
        </w:rPr>
      </w:pPr>
    </w:p>
    <w:p>
      <w:pPr>
        <w:jc w:val="both"/>
        <w:ind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shall mean the Bank of England or any other public administrative authority having responsibility for the resolution of any UK Financial Institution.</w:t>
      </w:r>
    </w:p>
    <w:p>
      <w:pPr>
        <w:spacing w:after="0" w:line="186" w:lineRule="exact"/>
        <w:rPr>
          <w:sz w:val="20"/>
          <w:szCs w:val="20"/>
          <w:color w:val="auto"/>
        </w:rPr>
      </w:pPr>
    </w:p>
    <w:p>
      <w:pPr>
        <w:jc w:val="both"/>
        <w:ind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shall mean the Benchmark Replacement excluding the Benchmark Replacement Adjustment.</w:t>
      </w:r>
    </w:p>
    <w:p>
      <w:pPr>
        <w:spacing w:after="0" w:line="186" w:lineRule="exact"/>
        <w:rPr>
          <w:sz w:val="20"/>
          <w:szCs w:val="20"/>
          <w:color w:val="auto"/>
        </w:rPr>
      </w:pPr>
    </w:p>
    <w:p>
      <w:pPr>
        <w:jc w:val="both"/>
        <w:ind w:right="120"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Pension Liability</w:t>
      </w:r>
      <w:r>
        <w:rPr>
          <w:rFonts w:ascii="Times New Roman" w:cs="Times New Roman" w:eastAsia="Times New Roman" w:hAnsi="Times New Roman"/>
          <w:sz w:val="20"/>
          <w:szCs w:val="20"/>
          <w:color w:val="auto"/>
        </w:rPr>
        <w:t>” 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22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shall mean the Uniform Commercial Code as in effect from time to time in the State of New York.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shall mean the United States of America.</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USCRO</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337" w:lineRule="exact"/>
        <w:rPr>
          <w:sz w:val="20"/>
          <w:szCs w:val="20"/>
          <w:color w:val="auto"/>
        </w:rPr>
      </w:pPr>
    </w:p>
    <w:p>
      <w:pPr>
        <w:jc w:val="both"/>
        <w:ind w:right="140"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208"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Insurance Subsidiary</w:t>
      </w:r>
      <w:r>
        <w:rPr>
          <w:rFonts w:ascii="Times New Roman" w:cs="Times New Roman" w:eastAsia="Times New Roman" w:hAnsi="Times New Roman"/>
          <w:sz w:val="20"/>
          <w:szCs w:val="20"/>
          <w:color w:val="auto"/>
        </w:rPr>
        <w:t xml:space="preserve">” shall mean a wholly owned Insurance Subsidiary of Holdings (whether direct or indirect) that is domiciled in the United States or any Insurance Subsidiary that is a mutual insurance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“U.S. Insurance Subsidiaries” shall mean each U.S. Insurance Subsidiary on a collective basis.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shall mean any Person that is a “United States person” as defined in Section 7701(a)(30) of the Code.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USPTO</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2.21(g)(ii)(B)(iii)</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 shall mean</w:t>
      </w:r>
      <w:r>
        <w:rPr>
          <w:rFonts w:ascii="Times New Roman" w:cs="Times New Roman" w:eastAsia="Times New Roman" w:hAnsi="Times New Roman"/>
          <w:sz w:val="20"/>
          <w:szCs w:val="20"/>
          <w:color w:val="EE2724"/>
          <w:strike w:val="1"/>
        </w:rPr>
        <w:t>, collectively,</w:t>
      </w:r>
      <w:r>
        <w:rPr>
          <w:rFonts w:ascii="Times New Roman" w:cs="Times New Roman" w:eastAsia="Times New Roman" w:hAnsi="Times New Roman"/>
          <w:sz w:val="20"/>
          <w:szCs w:val="20"/>
          <w:color w:val="auto"/>
        </w:rPr>
        <w:t xml:space="preserve"> the Tranche 1 Warrants </w:t>
      </w:r>
      <w:r>
        <w:rPr>
          <w:rFonts w:ascii="Times New Roman" w:cs="Times New Roman" w:eastAsia="Times New Roman" w:hAnsi="Times New Roman"/>
          <w:sz w:val="20"/>
          <w:szCs w:val="20"/>
          <w:color w:val="EE2724"/>
        </w:rPr>
        <w:t>and the Tranche 2 Warrants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-62230</wp:posOffset>
            </wp:positionV>
            <wp:extent cx="14122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304" w:lineRule="exact"/>
        <w:rPr>
          <w:sz w:val="20"/>
          <w:szCs w:val="20"/>
          <w:color w:val="auto"/>
        </w:rPr>
      </w:pPr>
    </w:p>
    <w:p>
      <w:pPr>
        <w:jc w:val="both"/>
        <w:ind w:right="12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xml:space="preserve">” shall mean, when applied to any Indebtedness at any date, the number of years obtained by dividing (i) the sum of the products obtained by multiplying (x) the amount of each then remaining installment, sinking fund, serial maturity or other required payments of principal, including payment at final maturity, in respect thereof, </w:t>
      </w:r>
      <w:r>
        <w:rPr>
          <w:rFonts w:ascii="Times New Roman" w:cs="Times New Roman" w:eastAsia="Times New Roman" w:hAnsi="Times New Roman"/>
          <w:sz w:val="20"/>
          <w:szCs w:val="20"/>
          <w:i w:val="1"/>
          <w:iCs w:val="1"/>
          <w:color w:val="auto"/>
        </w:rPr>
        <w:t xml:space="preserve">by </w:t>
      </w:r>
      <w:r>
        <w:rPr>
          <w:rFonts w:ascii="Times New Roman" w:cs="Times New Roman" w:eastAsia="Times New Roman" w:hAnsi="Times New Roman"/>
          <w:sz w:val="20"/>
          <w:szCs w:val="20"/>
          <w:color w:val="auto"/>
        </w:rPr>
        <w:t>(y) the number of years (calculated to the nearest one twelfth) that will elapse between such date and the making of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by (ii) the then outstanding principal amount of such Indebtedness.</w:t>
      </w:r>
    </w:p>
    <w:p>
      <w:pPr>
        <w:sectPr>
          <w:pgSz w:w="11900" w:h="16838" w:orient="portrait"/>
          <w:cols w:equalWidth="0" w:num="1">
            <w:col w:w="10160"/>
          </w:cols>
          <w:pgMar w:left="1400" w:top="1332" w:right="339" w:bottom="1440" w:gutter="0" w:footer="0" w:header="0"/>
        </w:sectPr>
      </w:pPr>
    </w:p>
    <w:bookmarkStart w:id="143" w:name="page144"/>
    <w:bookmarkEnd w:id="143"/>
    <w:p>
      <w:pPr>
        <w:spacing w:after="0" w:line="13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shall mean the Borrower, any other Loan Party or the Administrative Agent, as applicable.</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jc w:val="both"/>
        <w:ind w:firstLine="8"/>
        <w:spacing w:after="0" w:line="238" w:lineRule="auto"/>
        <w:tabs>
          <w:tab w:leader="none" w:pos="29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u w:val="single" w:color="auto"/>
          <w:color w:val="0000FF"/>
        </w:rPr>
        <w:t>“Yield Differential” shall have the meaning set forth in Section 7.1(f).</w:t>
      </w:r>
    </w:p>
    <w:p>
      <w:pPr>
        <w:spacing w:after="0" w:line="23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b w:val="1"/>
          <w:bCs w:val="1"/>
          <w:u w:val="single" w:color="auto"/>
          <w:color w:val="auto"/>
        </w:rPr>
        <w:t>Classifications of Loans and Borrowings</w:t>
      </w:r>
      <w:r>
        <w:rPr>
          <w:rFonts w:ascii="Times New Roman" w:cs="Times New Roman" w:eastAsia="Times New Roman" w:hAnsi="Times New Roman"/>
          <w:sz w:val="20"/>
          <w:szCs w:val="20"/>
          <w:color w:val="auto"/>
        </w:rPr>
        <w:t>. For purposes of this Agreement, Loans may be classified and referred to by Type (e.g. “SOFR Loan” or “Base Rate Loan”).</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b w:val="1"/>
          <w:bCs w:val="1"/>
          <w:u w:val="single" w:color="auto"/>
          <w:color w:val="auto"/>
        </w:rPr>
        <w:t>Accounting Terms and Determination</w:t>
      </w:r>
      <w:r>
        <w:rPr>
          <w:rFonts w:ascii="Times New Roman" w:cs="Times New Roman" w:eastAsia="Times New Roman" w:hAnsi="Times New Roman"/>
          <w:sz w:val="20"/>
          <w:szCs w:val="20"/>
          <w:color w:val="auto"/>
        </w:rPr>
        <w:t xml:space="preserve">. Unless otherwise defined or specified herein, all accounting terms used herein shall be interpreted, all accounting determinations hereunder shall be made, and all financial statements required to be delivered hereunder shall be prepared, in accordance with GAAP or SAP, as applicable, as in effect from time to time, applied on a basis consistent with the most recent audited consolidated financial statements of Holdings delivered pursuant to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(or, if no such financial statements have been delivered, on a basis consistent with the audited consolidated financial statements of the Borrower last delivered to the Administrative Agent in connection with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notifies the Administrative Agent that the Borrower wishes to amend any covenant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to eliminate the effect of any change in GAAP or SAP, as applicable, on the operation of such covenant (or if the Administrative Agent notifies the Borrower that the Required Lenders wish to amend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for such purpose), then the Borrower’s compliance with such covenant shall be determined on the basis of GAAP or SAP, as applicable, in effect immediately before the relevant change in GAAP or SAP, as applicable, became effective, until either such notice is withdrawn or such covenant is amended in a manner satisfactory to the Borrower and the Required Lenders. Notwithstanding any other provision contained herein, (a) all terms of an accounting or financial nature used herein shall be construed, and all computations of amounts and ratios referred to herein shall be made, (x) without giving effect to any election under Accounting Standards Codification Section 825-10 (or any other Financial Accounting Standard having a similar result or effect including ASU 2015-03, 1 and any other related treatment for debt discounts and premiums, such as original issue discount) to value any Indebtedness or other liabilities of any Loan Party or any Subsidiary of any Loan Party at “fair value”, as defined therein and (y) without giving effect to any treatment of Indebtedness in respect of convertible debt instruments under Accounting Standards Codification 470-20 (or any other Financial Accounting Standard having a similar result or effect) to value any such Indebtedness in a reduced or bifurcated manner as described therein, and such Indebtedness shall at all times be valued at the full stated principal amount thereof, (b) the accounting for any lease (and whether such lease shall be treated as Capital Lease Obligations) shall be based on GAAP as in effect on December 31, 2017 and without giving effect to any subsequent changes in GAAP (or required implementation of any previously promulgated changes in GAAP) relating to the treatment of a lease as an operating lease, capitalized lease or finance lease and (c)</w:t>
      </w:r>
    </w:p>
    <w:p>
      <w:pPr>
        <w:sectPr>
          <w:pgSz w:w="11900" w:h="16838" w:orient="portrait"/>
          <w:cols w:equalWidth="0" w:num="1">
            <w:col w:w="10040"/>
          </w:cols>
          <w:pgMar w:left="1400" w:top="1440" w:right="459" w:bottom="1440" w:gutter="0" w:footer="0" w:header="0"/>
        </w:sectPr>
      </w:pPr>
    </w:p>
    <w:bookmarkStart w:id="144" w:name="page145"/>
    <w:bookmarkEnd w:id="144"/>
    <w:p>
      <w:pPr>
        <w:jc w:val="both"/>
        <w:spacing w:after="0" w:line="249" w:lineRule="auto"/>
        <w:rPr>
          <w:sz w:val="20"/>
          <w:szCs w:val="20"/>
          <w:color w:val="auto"/>
        </w:rPr>
      </w:pPr>
      <w:r>
        <w:rPr>
          <w:rFonts w:ascii="Times New Roman" w:cs="Times New Roman" w:eastAsia="Times New Roman" w:hAnsi="Times New Roman"/>
          <w:sz w:val="20"/>
          <w:szCs w:val="20"/>
          <w:color w:val="auto"/>
        </w:rPr>
        <w:t>for purposes of determining compliance with any basket, test or condition under any provision of this Agreement or any other Loan Document, no Loan Party or Subsidiary may retroactively divide, classify, re-classify or deem or otherwise treat a historical transaction as having occurred in reliance on a basket or exception that was not available at the time of such historical transaction or if and to the extent that such basket or exception was relied upon for any later transaction.</w:t>
      </w:r>
    </w:p>
    <w:p>
      <w:pPr>
        <w:spacing w:after="0" w:line="20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b w:val="1"/>
          <w:bCs w:val="1"/>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“other” and “otherwise” shall not be construed ejusdem generis with any foregoing words where a wider construction is possible. Except as otherwise expressly provided herein, the word “or” shall not be exclusive.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amended and restated, supplemented or otherwise modified (subject to any restrictions on such amendments, supplements or modifications set forth herein), (ii) any reference herein to any Person shall be construed to include such Person’s permitted successors and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references to a specific time shall be construed to refer to the time in the city and state of the Administrative Agent’s principal office, unless otherwise indicated. Unless otherwise expressly provided herein, all references to dollar amounts shall mean Dollars.</w:t>
      </w:r>
    </w:p>
    <w:p>
      <w:pPr>
        <w:spacing w:after="0" w:line="21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b w:val="1"/>
          <w:bCs w:val="1"/>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1.6. </w:t>
      </w:r>
      <w:r>
        <w:rPr>
          <w:rFonts w:ascii="Times New Roman" w:cs="Times New Roman" w:eastAsia="Times New Roman" w:hAnsi="Times New Roman"/>
          <w:sz w:val="19"/>
          <w:szCs w:val="19"/>
          <w:b w:val="1"/>
          <w:bCs w:val="1"/>
          <w:u w:val="single" w:color="auto"/>
          <w:color w:val="auto"/>
        </w:rPr>
        <w:t>Rates</w:t>
      </w:r>
      <w:r>
        <w:rPr>
          <w:rFonts w:ascii="Times New Roman" w:cs="Times New Roman" w:eastAsia="Times New Roman" w:hAnsi="Times New Roman"/>
          <w:sz w:val="19"/>
          <w:szCs w:val="19"/>
          <w:color w:val="auto"/>
        </w:rPr>
        <w:t>. The Administrative Agent and the Lenders do not warrant or accept responsibility for, and shall not have any liability with respect to (a) the continuation of, administration of, submission of, calculation of or any other matter related to the Base Rate,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Term SOFR Reference Rate, Adjusted Term SOFR, Term SOFR or any other Benchmark prior to its discontinuance or unavailability or (b) the effect, implementation or composition of any Conforming Changes. The Administrative Agent, the Lenders and each of its Affiliates or other related entities may engage in transactions that affect the calculation of the Base Rate, Term SOFR Reference Rate, Term SOFR,</w:t>
      </w:r>
    </w:p>
    <w:p>
      <w:pPr>
        <w:sectPr>
          <w:pgSz w:w="11900" w:h="16838" w:orient="portrait"/>
          <w:cols w:equalWidth="0" w:num="1">
            <w:col w:w="10040"/>
          </w:cols>
          <w:pgMar w:left="1400" w:top="1332" w:right="459" w:bottom="1440" w:gutter="0" w:footer="0" w:header="0"/>
        </w:sectPr>
      </w:pPr>
    </w:p>
    <w:bookmarkStart w:id="145" w:name="page146"/>
    <w:bookmarkEnd w:id="145"/>
    <w:p>
      <w:pPr>
        <w:jc w:val="both"/>
        <w:ind w:right="120"/>
        <w:spacing w:after="0" w:line="241" w:lineRule="auto"/>
        <w:rPr>
          <w:sz w:val="20"/>
          <w:szCs w:val="20"/>
          <w:color w:val="auto"/>
        </w:rPr>
      </w:pPr>
      <w:r>
        <w:rPr>
          <w:rFonts w:ascii="Times New Roman" w:cs="Times New Roman" w:eastAsia="Times New Roman" w:hAnsi="Times New Roman"/>
          <w:sz w:val="20"/>
          <w:szCs w:val="20"/>
          <w:color w:val="auto"/>
        </w:rPr>
        <w:t>Adjusted Term SOFR, any alternative, successor or replacement rate (including any Benchmark Replacement) or any relevant adjustments thereto, in each case, in a manner adverse to the Borrower. The Administrative Agent and the Lenders may select information sources or services in their reasonable discretion to ascertain the Base Rate,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2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u w:val="single" w:color="auto"/>
          <w:color w:val="auto"/>
        </w:rPr>
        <w:t>ARTICLE II</w:t>
      </w:r>
    </w:p>
    <w:p>
      <w:pPr>
        <w:spacing w:after="0" w:line="32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b w:val="1"/>
          <w:bCs w:val="1"/>
          <w:u w:val="single" w:color="auto"/>
          <w:color w:val="auto"/>
        </w:rPr>
        <w:t>AMOUNT AND TERMS OF THE COMMITMENTS</w:t>
      </w:r>
    </w:p>
    <w:p>
      <w:pPr>
        <w:spacing w:after="0" w:line="32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2.5.</w:t>
      </w:r>
      <w:r>
        <w:rPr>
          <w:sz w:val="20"/>
          <w:szCs w:val="20"/>
          <w:color w:val="auto"/>
        </w:rPr>
        <w:tab/>
      </w:r>
      <w:r>
        <w:rPr>
          <w:rFonts w:ascii="Times New Roman" w:cs="Times New Roman" w:eastAsia="Times New Roman" w:hAnsi="Times New Roman"/>
          <w:sz w:val="19"/>
          <w:szCs w:val="19"/>
          <w:b w:val="1"/>
          <w:bCs w:val="1"/>
          <w:u w:val="single" w:color="auto"/>
          <w:color w:val="auto"/>
        </w:rPr>
        <w:t>Term Loan; Term Loan Commitments</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jc w:val="both"/>
        <w:ind w:firstLine="1303"/>
        <w:spacing w:after="0" w:line="254" w:lineRule="auto"/>
        <w:tabs>
          <w:tab w:leader="none" w:pos="159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Subject to the terms and conditions of this Agreement, and in reliance upon the representations and warranties of the Loan Parties contained herein, each Lender, severally and not jointly, </w:t>
      </w:r>
      <w:r>
        <w:rPr>
          <w:rFonts w:ascii="Times New Roman" w:cs="Times New Roman" w:eastAsia="Times New Roman" w:hAnsi="Times New Roman"/>
          <w:sz w:val="19"/>
          <w:szCs w:val="19"/>
          <w:color w:val="FF0000"/>
          <w:strike w:val="1"/>
        </w:rPr>
        <w:t>agrees to</w:t>
      </w:r>
      <w:r>
        <w:rPr>
          <w:rFonts w:ascii="Times New Roman" w:cs="Times New Roman" w:eastAsia="Times New Roman" w:hAnsi="Times New Roman"/>
          <w:sz w:val="19"/>
          <w:szCs w:val="19"/>
          <w:color w:val="auto"/>
        </w:rPr>
        <w:t xml:space="preserve"> ma</w:t>
      </w:r>
      <w:r>
        <w:rPr>
          <w:rFonts w:ascii="Times New Roman" w:cs="Times New Roman" w:eastAsia="Times New Roman" w:hAnsi="Times New Roman"/>
          <w:sz w:val="19"/>
          <w:szCs w:val="19"/>
          <w:color w:val="FF0000"/>
          <w:strike w:val="1"/>
        </w:rPr>
        <w:t>k</w:t>
      </w:r>
      <w:r>
        <w:rPr>
          <w:rFonts w:ascii="Times New Roman" w:cs="Times New Roman" w:eastAsia="Times New Roman" w:hAnsi="Times New Roman"/>
          <w:sz w:val="19"/>
          <w:szCs w:val="19"/>
          <w:u w:val="single" w:color="auto"/>
          <w:color w:val="0000FF"/>
        </w:rPr>
        <w:t>d</w:t>
      </w:r>
      <w:r>
        <w:rPr>
          <w:rFonts w:ascii="Times New Roman" w:cs="Times New Roman" w:eastAsia="Times New Roman" w:hAnsi="Times New Roman"/>
          <w:sz w:val="19"/>
          <w:szCs w:val="19"/>
          <w:color w:val="auto"/>
        </w:rPr>
        <w:t xml:space="preserve">e </w:t>
      </w:r>
      <w:r>
        <w:rPr>
          <w:rFonts w:ascii="Times New Roman" w:cs="Times New Roman" w:eastAsia="Times New Roman" w:hAnsi="Times New Roman"/>
          <w:sz w:val="19"/>
          <w:szCs w:val="19"/>
          <w:color w:val="FF0000"/>
          <w:strike w:val="1"/>
        </w:rPr>
        <w:t>a single</w:t>
      </w:r>
      <w:r>
        <w:rPr>
          <w:rFonts w:ascii="Times New Roman" w:cs="Times New Roman" w:eastAsia="Times New Roman" w:hAnsi="Times New Roman"/>
          <w:sz w:val="19"/>
          <w:szCs w:val="19"/>
          <w:color w:val="auto"/>
        </w:rPr>
        <w:t xml:space="preserve"> term loan</w:t>
      </w:r>
      <w:r>
        <w:rPr>
          <w:rFonts w:ascii="Times New Roman" w:cs="Times New Roman" w:eastAsia="Times New Roman" w:hAnsi="Times New Roman"/>
          <w:sz w:val="19"/>
          <w:szCs w:val="19"/>
          <w:u w:val="single" w:color="auto"/>
          <w:color w:val="0000FF"/>
        </w:rPr>
        <w:t>s</w:t>
      </w:r>
      <w:r>
        <w:rPr>
          <w:rFonts w:ascii="Times New Roman" w:cs="Times New Roman" w:eastAsia="Times New Roman" w:hAnsi="Times New Roman"/>
          <w:sz w:val="19"/>
          <w:szCs w:val="19"/>
          <w:color w:val="auto"/>
        </w:rPr>
        <w:t xml:space="preserve"> to the Borrower in Dollars on the Funding Date (the “</w:t>
      </w:r>
      <w:r>
        <w:rPr>
          <w:rFonts w:ascii="Times New Roman" w:cs="Times New Roman" w:eastAsia="Times New Roman" w:hAnsi="Times New Roman"/>
          <w:sz w:val="19"/>
          <w:szCs w:val="19"/>
          <w:u w:val="single" w:color="auto"/>
          <w:color w:val="0000FF"/>
        </w:rPr>
        <w:t>Initial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xml:space="preserve">”) in a principal amount set forth opposite such Lender’s name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attached hereto</w:t>
      </w:r>
      <w:r>
        <w:rPr>
          <w:rFonts w:ascii="Times New Roman" w:cs="Times New Roman" w:eastAsia="Times New Roman" w:hAnsi="Times New Roman"/>
          <w:sz w:val="19"/>
          <w:szCs w:val="19"/>
          <w:color w:val="FF0000"/>
          <w:strike w:val="1"/>
        </w:rPr>
        <w:t>.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on the Funding Date. As of the Second Amendment Effective Date, the aggregate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principal amount of Initial Term Loans outstanding equals $62,938,912.90, held by the Lenders as set forth opposite such Lender’s name in Schedule I attached hereto. Subject to the terms and conditions of this Agreement and the Second Amendment, and in reliance upon the representations and warranties of the Loan Parties contained herein and therein, each Second Amendment Lender, severally and not jointly, agrees to make the Second Amendment Term Loans to the Borrower in Dollars on the Second Amendment Effective Date in a principal amount set forth opposite such Lender’s name in Schedule I attached hereto as amended on the Second Amendment Effective Date. The Second Amendment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Term Loans shall be advanced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in a single Borrowing on the </w:t>
      </w:r>
      <w:r>
        <w:rPr>
          <w:rFonts w:ascii="Times New Roman" w:cs="Times New Roman" w:eastAsia="Times New Roman" w:hAnsi="Times New Roman"/>
          <w:sz w:val="19"/>
          <w:szCs w:val="19"/>
          <w:color w:val="FF0000"/>
          <w:strike w:val="1"/>
        </w:rPr>
        <w:t>Funding</w:t>
      </w:r>
      <w:r>
        <w:rPr>
          <w:rFonts w:ascii="Times New Roman" w:cs="Times New Roman" w:eastAsia="Times New Roman" w:hAnsi="Times New Roman"/>
          <w:sz w:val="19"/>
          <w:szCs w:val="19"/>
          <w:u w:val="single" w:color="auto"/>
          <w:color w:val="0000FF"/>
        </w:rPr>
        <w:t>Second Amendment Effective</w:t>
      </w:r>
      <w:r>
        <w:rPr>
          <w:rFonts w:ascii="Times New Roman" w:cs="Times New Roman" w:eastAsia="Times New Roman" w:hAnsi="Times New Roman"/>
          <w:sz w:val="19"/>
          <w:szCs w:val="19"/>
          <w:color w:val="000000"/>
        </w:rPr>
        <w:t xml:space="preserve"> Date and shall be made ratably by the </w:t>
      </w:r>
      <w:r>
        <w:rPr>
          <w:rFonts w:ascii="Times New Roman" w:cs="Times New Roman" w:eastAsia="Times New Roman" w:hAnsi="Times New Roman"/>
          <w:sz w:val="19"/>
          <w:szCs w:val="19"/>
          <w:u w:val="single" w:color="auto"/>
          <w:color w:val="0000FF"/>
        </w:rPr>
        <w:t>Second Amendment</w:t>
      </w:r>
      <w:r>
        <w:rPr>
          <w:rFonts w:ascii="Times New Roman" w:cs="Times New Roman" w:eastAsia="Times New Roman" w:hAnsi="Times New Roman"/>
          <w:sz w:val="19"/>
          <w:szCs w:val="19"/>
          <w:color w:val="000000"/>
        </w:rPr>
        <w:t xml:space="preserve"> Lenders in proportion to their respective </w:t>
      </w:r>
      <w:r>
        <w:rPr>
          <w:rFonts w:ascii="Times New Roman" w:cs="Times New Roman" w:eastAsia="Times New Roman" w:hAnsi="Times New Roman"/>
          <w:sz w:val="19"/>
          <w:szCs w:val="19"/>
          <w:u w:val="single" w:color="auto"/>
          <w:color w:val="0000FF"/>
        </w:rPr>
        <w:t>Second Amendment Term Loan</w:t>
      </w:r>
      <w:r>
        <w:rPr>
          <w:rFonts w:ascii="Times New Roman" w:cs="Times New Roman" w:eastAsia="Times New Roman" w:hAnsi="Times New Roman"/>
          <w:sz w:val="19"/>
          <w:szCs w:val="19"/>
          <w:color w:val="000000"/>
        </w:rPr>
        <w:t xml:space="preserve"> Commitments, at which time the </w:t>
      </w:r>
      <w:r>
        <w:rPr>
          <w:rFonts w:ascii="Times New Roman" w:cs="Times New Roman" w:eastAsia="Times New Roman" w:hAnsi="Times New Roman"/>
          <w:sz w:val="19"/>
          <w:szCs w:val="19"/>
          <w:u w:val="single" w:color="auto"/>
          <w:color w:val="0000FF"/>
        </w:rPr>
        <w:t>Second Amendment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Term Loan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Commitments shall expire. Subject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Section 2.12</w:t>
      </w:r>
      <w:r>
        <w:rPr>
          <w:rFonts w:ascii="Times New Roman" w:cs="Times New Roman" w:eastAsia="Times New Roman" w:hAnsi="Times New Roman"/>
          <w:sz w:val="19"/>
          <w:szCs w:val="19"/>
          <w:color w:val="000000"/>
        </w:rPr>
        <w:t>, each Borrowing initially shall be of SOFR Loans.</w:t>
      </w:r>
    </w:p>
    <w:p>
      <w:pPr>
        <w:spacing w:after="0" w:line="288" w:lineRule="exact"/>
        <w:rPr>
          <w:rFonts w:ascii="Times New Roman" w:cs="Times New Roman" w:eastAsia="Times New Roman" w:hAnsi="Times New Roman"/>
          <w:sz w:val="17"/>
          <w:szCs w:val="17"/>
          <w:color w:val="auto"/>
        </w:rPr>
      </w:pPr>
    </w:p>
    <w:p>
      <w:pPr>
        <w:jc w:val="both"/>
        <w:ind w:right="140" w:firstLine="1303"/>
        <w:spacing w:after="0" w:line="254" w:lineRule="auto"/>
        <w:tabs>
          <w:tab w:leader="none" w:pos="214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the Term Loans may be, from time to time, Base Rate Loans or SOFR Loans or a combination thereof. Amounts paid or prepaid with respect to the Term Loans may not be reborrowed.</w:t>
      </w:r>
    </w:p>
    <w:p>
      <w:pPr>
        <w:spacing w:after="0" w:line="19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2.6.</w:t>
      </w:r>
      <w:r>
        <w:rPr>
          <w:sz w:val="20"/>
          <w:szCs w:val="20"/>
          <w:color w:val="auto"/>
        </w:rPr>
        <w:tab/>
      </w:r>
      <w:r>
        <w:rPr>
          <w:rFonts w:ascii="Times New Roman" w:cs="Times New Roman" w:eastAsia="Times New Roman" w:hAnsi="Times New Roman"/>
          <w:sz w:val="19"/>
          <w:szCs w:val="19"/>
          <w:b w:val="1"/>
          <w:bCs w:val="1"/>
          <w:u w:val="single" w:color="auto"/>
          <w:color w:val="auto"/>
        </w:rPr>
        <w:t>Funding of Borrowings</w:t>
      </w:r>
      <w:r>
        <w:rPr>
          <w:rFonts w:ascii="Times New Roman" w:cs="Times New Roman" w:eastAsia="Times New Roman" w:hAnsi="Times New Roman"/>
          <w:sz w:val="19"/>
          <w:szCs w:val="19"/>
          <w:color w:val="auto"/>
        </w:rPr>
        <w:t>.</w:t>
      </w:r>
    </w:p>
    <w:p>
      <w:pPr>
        <w:sectPr>
          <w:pgSz w:w="11900" w:h="16838" w:orient="portrait"/>
          <w:cols w:equalWidth="0" w:num="1">
            <w:col w:w="10160"/>
          </w:cols>
          <w:pgMar w:left="1400" w:top="1332" w:right="339" w:bottom="1440" w:gutter="0" w:footer="0" w:header="0"/>
        </w:sectPr>
      </w:pPr>
    </w:p>
    <w:bookmarkStart w:id="146" w:name="page147"/>
    <w:bookmarkEnd w:id="146"/>
    <w:p>
      <w:pPr>
        <w:jc w:val="both"/>
        <w:ind w:firstLine="1303"/>
        <w:spacing w:after="0"/>
        <w:tabs>
          <w:tab w:leader="none" w:pos="155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Borrower shall give the Administrative Agent written notice (or telephonic notice promptly confirmed in writing) of any Borrowing, substantially in the form of </w:t>
      </w:r>
      <w:r>
        <w:rPr>
          <w:rFonts w:ascii="Times New Roman" w:cs="Times New Roman" w:eastAsia="Times New Roman" w:hAnsi="Times New Roman"/>
          <w:sz w:val="20"/>
          <w:szCs w:val="20"/>
          <w:u w:val="single" w:color="auto"/>
          <w:color w:val="auto"/>
        </w:rPr>
        <w:t>Exhibit 2.6</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prior to 12:00 p.m. (New York city time) three (3) U.S. Government Securities Business Days prior to the requested date of such Borrowing, or such later date and/or time as the Administrative Agent and the Lenders may agree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auto"/>
        </w:rPr>
        <w:t xml:space="preserve"> any notice of a Borrowing to be made on the Funding </w:t>
      </w:r>
      <w:r>
        <w:rPr>
          <w:rFonts w:ascii="Times New Roman" w:cs="Times New Roman" w:eastAsia="Times New Roman" w:hAnsi="Times New Roman"/>
          <w:sz w:val="20"/>
          <w:szCs w:val="20"/>
          <w:u w:val="single" w:color="auto"/>
          <w:color w:val="0000FF"/>
        </w:rPr>
        <w:t>Date may be given not later than 12:00 p.m. (New York city time) one (1) 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Government Securities Business Day prior to the date of such proposed Borrowing, or such later date and/or time as the Administrative Agent and the Lenders may agree and (y) any notice of a Borrowing to be made on the Second Amendment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may be given not later than 12:00 p.m. (New York city time) one (1) U.S. Government Securities Business Day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prior to the date of such proposed Borrowing, or such later date and/or time as the Administrative Agent and the Lenders may agree). Each Notice of Borrowing shall be irrevocable and shall specify (i) the aggregate principal amount of the Borrowing,</w:t>
      </w:r>
    </w:p>
    <w:p>
      <w:pPr>
        <w:spacing w:after="0" w:line="3" w:lineRule="exact"/>
        <w:rPr>
          <w:rFonts w:ascii="Times New Roman" w:cs="Times New Roman" w:eastAsia="Times New Roman" w:hAnsi="Times New Roman"/>
          <w:sz w:val="18"/>
          <w:szCs w:val="18"/>
          <w:color w:val="auto"/>
        </w:rPr>
      </w:pPr>
    </w:p>
    <w:p>
      <w:pPr>
        <w:jc w:val="both"/>
        <w:ind w:firstLine="7"/>
        <w:spacing w:after="0" w:line="238" w:lineRule="auto"/>
        <w:tabs>
          <w:tab w:leader="none" w:pos="30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the Borrowing (which shall be a U.S. Government Securities Business Day), (iii) the Type of such Term Loan comprising such Borrowing and (iv) the Borrower’s bank account information for receipt of funds. Each Borrowing shall consist entirely of Base Rate Loans or SOFR Loans, as the Borrower may request. Promptly following the receipt of a Notice of Borrowing, in accordance herewith, the Administrative Agent shall advise each Lender of the details thereof and the amount of such Lender’s Loan to be made as part of the requested Borrowing.</w:t>
      </w:r>
    </w:p>
    <w:p>
      <w:pPr>
        <w:spacing w:after="0" w:line="228" w:lineRule="exact"/>
        <w:rPr>
          <w:rFonts w:ascii="Times New Roman" w:cs="Times New Roman" w:eastAsia="Times New Roman" w:hAnsi="Times New Roman"/>
          <w:sz w:val="20"/>
          <w:szCs w:val="20"/>
          <w:color w:val="auto"/>
        </w:rPr>
      </w:pPr>
    </w:p>
    <w:p>
      <w:pPr>
        <w:jc w:val="both"/>
        <w:ind w:right="120" w:firstLine="1303"/>
        <w:spacing w:after="0" w:line="243" w:lineRule="auto"/>
        <w:tabs>
          <w:tab w:leader="none" w:pos="214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make available each Term Loan to be made by it hereunder on the proposed date thereof by wire transfer in immediately available funds by 12:00 p.m. (New York city time) to the Administrative Agent at the Payment Office. The Administrative Agent shall make such Term Loans available to the Borrower by promptly crediting the amounts that it receives, in like funds by the close of business on such proposed date, to an account designated by the Borrower to the Administrative Agent in the Notice of Borrowing.</w:t>
      </w:r>
    </w:p>
    <w:p>
      <w:pPr>
        <w:spacing w:after="0" w:line="226" w:lineRule="exact"/>
        <w:rPr>
          <w:rFonts w:ascii="Times New Roman" w:cs="Times New Roman" w:eastAsia="Times New Roman" w:hAnsi="Times New Roman"/>
          <w:sz w:val="20"/>
          <w:szCs w:val="20"/>
          <w:color w:val="auto"/>
        </w:rPr>
      </w:pPr>
    </w:p>
    <w:p>
      <w:pPr>
        <w:jc w:val="both"/>
        <w:ind w:right="120" w:firstLine="1303"/>
        <w:spacing w:after="0" w:line="239" w:lineRule="auto"/>
        <w:tabs>
          <w:tab w:leader="none" w:pos="215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been notified by any Lender prior to 5:00 p.m. (New York city time)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to which the Borrower may have against any Lender as a result of any default by such Lender hereunder.</w:t>
      </w:r>
    </w:p>
    <w:p>
      <w:pPr>
        <w:spacing w:after="0" w:line="219"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2.8 </w:t>
      </w:r>
      <w:r>
        <w:rPr>
          <w:rFonts w:ascii="Times New Roman" w:cs="Times New Roman" w:eastAsia="Times New Roman" w:hAnsi="Times New Roman"/>
          <w:sz w:val="20"/>
          <w:szCs w:val="20"/>
          <w:b w:val="1"/>
          <w:bCs w:val="1"/>
          <w:u w:val="single" w:color="auto"/>
          <w:color w:val="auto"/>
        </w:rPr>
        <w:t>Repayment of Loans</w:t>
      </w:r>
      <w:r>
        <w:rPr>
          <w:rFonts w:ascii="Times New Roman" w:cs="Times New Roman" w:eastAsia="Times New Roman" w:hAnsi="Times New Roman"/>
          <w:sz w:val="20"/>
          <w:szCs w:val="20"/>
          <w:color w:val="auto"/>
        </w:rPr>
        <w:t>. The Borrower unconditionally promises to pay to the Administrative Agent, for the account of each Lender, the outstanding principal amount of the Term Loans (together with all accrued interest, fees, premiums and other Obligations relating thereto, as applicable) of such Lender on the Maturity Date (and on such other date(s) as may be required hereunder).</w:t>
      </w:r>
    </w:p>
    <w:p>
      <w:pPr>
        <w:spacing w:after="0" w:line="20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2.9.</w:t>
      </w:r>
      <w:r>
        <w:rPr>
          <w:sz w:val="20"/>
          <w:szCs w:val="20"/>
          <w:color w:val="auto"/>
        </w:rPr>
        <w:tab/>
      </w:r>
      <w:r>
        <w:rPr>
          <w:rFonts w:ascii="Times New Roman" w:cs="Times New Roman" w:eastAsia="Times New Roman" w:hAnsi="Times New Roman"/>
          <w:sz w:val="19"/>
          <w:szCs w:val="19"/>
          <w:b w:val="1"/>
          <w:bCs w:val="1"/>
          <w:u w:val="single" w:color="auto"/>
          <w:color w:val="auto"/>
        </w:rPr>
        <w:t>Evidence of Indebtedness</w:t>
      </w:r>
      <w:r>
        <w:rPr>
          <w:rFonts w:ascii="Times New Roman" w:cs="Times New Roman" w:eastAsia="Times New Roman" w:hAnsi="Times New Roman"/>
          <w:sz w:val="19"/>
          <w:szCs w:val="19"/>
          <w:color w:val="auto"/>
        </w:rPr>
        <w:t>.</w:t>
      </w:r>
    </w:p>
    <w:p>
      <w:pPr>
        <w:sectPr>
          <w:pgSz w:w="11900" w:h="16838" w:orient="portrait"/>
          <w:cols w:equalWidth="0" w:num="1">
            <w:col w:w="10160"/>
          </w:cols>
          <w:pgMar w:left="1400" w:top="1332" w:right="339" w:bottom="1440" w:gutter="0" w:footer="0" w:header="0"/>
        </w:sectPr>
      </w:pPr>
    </w:p>
    <w:bookmarkStart w:id="147" w:name="page148"/>
    <w:bookmarkEnd w:id="147"/>
    <w:p>
      <w:pPr>
        <w:jc w:val="both"/>
        <w:ind w:firstLine="1303"/>
        <w:spacing w:after="0" w:line="254" w:lineRule="auto"/>
        <w:tabs>
          <w:tab w:leader="none" w:pos="215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(i) the Term Loan Commitment of each Lender, (ii) the amount of each Loan made hereunder by each Lender, the Type thereof and, in the case of each SOFR Loan, the Interest Period applicable thereto, (iii) the date of any conversion of all or a portion of any Type of Loan to another Type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(iv) the date and amount of any principal or interest due and payable or to become due and payable from the Borrower to each Lender hereunder in respect of the Loans and (v) both the date and amount of any sum received by the Administrative Agent hereunder from the Borrower in respect of the Loans and each Lender’s Pro Rata Share thereof. The entries made in such records shall be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existence and amounts of the obligations of the Borrower therein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or delay of any Lender or the Administrative Agent in maintaining or making entries into any such record or any error therein shall not in any manner affect the obligation of the Borrower to repay the Loans (both principal and unpaid accrued interest) of such Lender in accordance with the terms of this Agreement.</w:t>
      </w:r>
    </w:p>
    <w:p>
      <w:pPr>
        <w:spacing w:after="0" w:line="207" w:lineRule="exact"/>
        <w:rPr>
          <w:rFonts w:ascii="Times New Roman" w:cs="Times New Roman" w:eastAsia="Times New Roman" w:hAnsi="Times New Roman"/>
          <w:sz w:val="19"/>
          <w:szCs w:val="19"/>
          <w:color w:val="auto"/>
        </w:rPr>
      </w:pPr>
    </w:p>
    <w:p>
      <w:pPr>
        <w:jc w:val="both"/>
        <w:ind w:firstLine="1303"/>
        <w:spacing w:after="0" w:line="242" w:lineRule="auto"/>
        <w:tabs>
          <w:tab w:leader="none" w:pos="214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evidences the obligation of the Borrower to repay the Loans and is being executed as a “noteless” term loan agreement. However, at the request of any Lender at any time, the Borrower agrees that it shall prepare, execute and deliver to such Lender a promissory note payable to such Lender (or, if requested by such Lender, to such Lender and its registered assigns) and in a form approved by the Administrative Agent in its reasonable discretion. Thereafter, the Loans evidenced by such promissory note and interest thereon shall at all times (including after assignment permitted hereunder) be represented by one or more promissory notes in such form payable to the payee named therein.</w:t>
      </w:r>
    </w:p>
    <w:p>
      <w:pPr>
        <w:spacing w:after="0" w:line="22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b w:val="1"/>
          <w:bCs w:val="1"/>
          <w:u w:val="single" w:color="auto"/>
          <w:color w:val="auto"/>
        </w:rPr>
        <w:t>Optional Prepayments</w:t>
      </w:r>
      <w:r>
        <w:rPr>
          <w:rFonts w:ascii="Times New Roman" w:cs="Times New Roman" w:eastAsia="Times New Roman" w:hAnsi="Times New Roman"/>
          <w:sz w:val="20"/>
          <w:szCs w:val="20"/>
          <w:color w:val="auto"/>
        </w:rPr>
        <w:t xml:space="preserve">. The Borrower shall have the right, at any time and from time to time, to prepay the Term Loans, in whole or in part, together with the Prepayment Premium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(if any), but otherwise without premium or penalty, by giving written notice (or telephonic notice promptly confirmed in writing) to the Administrative Agent no later than (i) in the case of any prepayment of any SOFR Loan, 1:00 p.m. (New York City time), three (3) U.S. Government Securities Business Days prior to the date of such prepayment and (ii) in the case of any prepayment of any Base Rate Loan, no later than 1:00 p.m. (New York City time) on the date of such prepayment. Each such notice shall be irrevocable and shall specify the proposed date of such prepayment and the principal amount of Term Loans (or portion thereof) to be prepaid and the Prepayment Premium (if any) applicable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in connection with a repayment of the Term Loans may be conditioned upon the occurrence of another financing or transaction.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(subject to the occurrence of any condition described above), together with accrued interest to such date on the amount so prepaid in accordance with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SOFR Loan is prepaid on a date other than the last day of the Interest Period applicable thereto, the Borrower shall also pay all amounts required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Each prepayment made by the Borrower pursuant to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Prepayment Premium due on the amount of such prepayment required by </w:t>
      </w:r>
      <w:r>
        <w:rPr>
          <w:rFonts w:ascii="Times New Roman" w:cs="Times New Roman" w:eastAsia="Times New Roman" w:hAnsi="Times New Roman"/>
          <w:sz w:val="20"/>
          <w:szCs w:val="20"/>
          <w:u w:val="single" w:color="auto"/>
          <w:color w:val="auto"/>
        </w:rPr>
        <w:t>Section 2.13; second,</w:t>
      </w:r>
      <w:r>
        <w:rPr>
          <w:rFonts w:ascii="Times New Roman" w:cs="Times New Roman" w:eastAsia="Times New Roman" w:hAnsi="Times New Roman"/>
          <w:sz w:val="20"/>
          <w:szCs w:val="20"/>
          <w:color w:val="auto"/>
        </w:rPr>
        <w:t xml:space="preserve"> to the accrued interest due on the amount of the prepayment;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principal balance of the Term Loans, until the same shall have been paid in full,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the Lenders based on their Pro Rata Shares of the Term Loans. FOR THE AVOIDANCE OF DOUBT, ANY VOLUNTARY PAYMENT OR PREPAYMENT, INCLUDING, BUT NOT LIMITED TO, PURSUANT TO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BE MADE TOGETHER WITH THE PREPAYMENT PREMIUM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(IF REQUIRED UNDER SUCH SECTION).</w:t>
      </w:r>
    </w:p>
    <w:p>
      <w:pPr>
        <w:sectPr>
          <w:pgSz w:w="11900" w:h="16838" w:orient="portrait"/>
          <w:cols w:equalWidth="0" w:num="1">
            <w:col w:w="10040"/>
          </w:cols>
          <w:pgMar w:left="1400" w:top="1413" w:right="459" w:bottom="1440" w:gutter="0" w:footer="0" w:header="0"/>
        </w:sectPr>
      </w:pPr>
    </w:p>
    <w:bookmarkStart w:id="148" w:name="page149"/>
    <w:bookmarkEnd w:id="148"/>
    <w:p>
      <w:pPr>
        <w:ind w:left="62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b w:val="1"/>
          <w:bCs w:val="1"/>
          <w:u w:val="single" w:color="auto"/>
          <w:color w:val="auto"/>
        </w:rPr>
        <w:t>Mandatory Prepayments</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jc w:val="both"/>
        <w:ind w:left="-40" w:firstLine="1303"/>
        <w:spacing w:after="0" w:line="236" w:lineRule="auto"/>
        <w:tabs>
          <w:tab w:leader="none" w:pos="211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Business Day (or such later date as agreed to by the Administrative Agent and the Lenders in their sole discretion) following the date of receipt by Holdings or any of its Subsidiaries of any Net Cash Proceeds from any sale or disposition by Holdings or any of its Subsidiaries of any assets in an aggregate amount exceeding $1,000,000, the Borrower shall prepay the Obligations in an amount equal to the Net Cash Proceeds of such sale or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not be required to prepay the Obligations with respect to proceeds from the sale or disposition of assets in the ordinary course of business (including obsolete or worn-out equipment no longer useful in its business) or in connection with Permitted Reinsurance Activities in the ordinary course of business and consistent with industry practice (including the “InsureTech” industry) and (ii) so long as no Default or Event of Default shall have occurred and be continuing at the time of the receipt of proceeds pursuant to this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at the proposed time of the reinvestment of such proceeds, the Borrower shall have the option, upon written notice to the Administrative Agent, directly or (x) 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or, in the case of proceeds that have been contractually committed to be reinvested as described in 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within such one hundred eighty (180)-day period, within three hundred sixty-five (365) days following the date of receipt of such proceeds, in assets of the general type used in the business of the Borrower and its Subsidiaries (excluding cash or cash equivalents) so long as such proceeds received by a Loan Party are held in Controlled Account(s) subject to Control Account Agreement(s) until reinvested;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obligation of the Borrower to prepay the Obligations under this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shall also not apply solely to the extent that (A) the sale or disposition was consummated by any Insurance Subsidiary (or Subsidiary thereof) of any of such Insurance Subsidiary’s assets (or the assets of a Subsidiary thereof) and (B) the dividend of such Net Cash Proceeds by such Insurance Subsidiary (or Subsidiary thereof) to the Borrower for application of this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is prohibited by applicable law (including, without limitation, rules and regulations of any Insurance Regulatory Authority), it being understood and agreed that absent the prohibition set forth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 Borrower shall cause such Insurance Subsidiary (or Subsidiary thereof) to immediately make a dividend of the Net Cash Proceeds to the Borrower which the Borrower shall use to prepay the Obligations in accordance with this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Any such prepayment shall be applied in accordance with subsection (f) of this Section. FOR THE AVOIDANCE OF DOUBT, ANY MANDATORY PAYMENT OR PREPAYMENT PURSUANT TO 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SHALL BE MADE TOGETHER WITH THE PREPAYMENT PREMIUM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(IF REQUIRED UNDER SUCH SECTION).</w:t>
      </w:r>
    </w:p>
    <w:p>
      <w:pPr>
        <w:spacing w:after="0" w:line="228" w:lineRule="exact"/>
        <w:rPr>
          <w:rFonts w:ascii="Times New Roman" w:cs="Times New Roman" w:eastAsia="Times New Roman" w:hAnsi="Times New Roman"/>
          <w:sz w:val="20"/>
          <w:szCs w:val="20"/>
          <w:color w:val="auto"/>
        </w:rPr>
      </w:pPr>
    </w:p>
    <w:p>
      <w:pPr>
        <w:jc w:val="both"/>
        <w:ind w:left="-40" w:firstLine="1303"/>
        <w:spacing w:after="0" w:line="236" w:lineRule="auto"/>
        <w:tabs>
          <w:tab w:leader="none" w:pos="210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Business Day (or such later date as agreed to by the Administrative Agent and the Lenders in their sole discretion) following the date of receipt by Holdings or any of its Subsidiaries of any Net Cash Proceeds from any casualty insurance policies or eminent domain, condemnation or similar proceedings (which, for the avoidance of doubt, shall not include reinsurance) in an aggregate amount exceeding $1,000,000, the Borrower shall prepay the Obligations in an amount equal to all such Net Cash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Default or Event of Default shall have occurred and be continuing at the time of the receipt of proceeds pursuant to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or at the proposed time of the reinvestment of such proceeds, the Borrower shall have the option, upon written notice to the Administrative Agent, directly or (x) 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or, in the case or proceeds that have been contractually committed to be reinvested as described in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within such one hundred eighty (180)-day period, within three hundred sixty-five (365) days following the date of receipt of such proceeds, in assets of the general type used in the business of the Borrower and its Subsidiaries (excluding cash or cash equivalents) so long as such proceeds received by a Loan Party are</w:t>
      </w:r>
    </w:p>
    <w:p>
      <w:pPr>
        <w:sectPr>
          <w:pgSz w:w="11900" w:h="16838" w:orient="portrait"/>
          <w:cols w:equalWidth="0" w:num="1">
            <w:col w:w="10000"/>
          </w:cols>
          <w:pgMar w:left="1440" w:top="1328" w:right="459" w:bottom="1440" w:gutter="0" w:footer="0" w:header="0"/>
        </w:sectPr>
      </w:pPr>
    </w:p>
    <w:bookmarkStart w:id="149" w:name="page150"/>
    <w:bookmarkEnd w:id="149"/>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held in Controlled Account(s) subject to Control Account Agreement(s) until reinvested;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obligation of the Borrower to prepay the Obligations under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shall also not apply solely to the extent that (A) the Net Cash Proceeds of the casualty insurance policies or eminent domain, condemnation or similar proceedings were received by any Insurance Subsidiary (or Subsidiary thereof) and (B) the dividend of such Net Cash Proceeds by such Insurance Subsidiary (or Subsidiary thereof) to the Borrower for application of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is prohibited by applicable law (including, without limitation, rules and regulations of any Insurance Regulatory Authority), it being understood and agreed that absent the prohibition set forth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 Borrower shall cause such Insurance Subsidiary (or Subsidiary thereof) to immediately make a dividend of the Net Cash Proceeds to the Borrower which the Borrower shall use to prepay the Obligations in accordance with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Any such prepayment shall be applied in accordance with </w:t>
      </w:r>
      <w:r>
        <w:rPr>
          <w:rFonts w:ascii="Times New Roman" w:cs="Times New Roman" w:eastAsia="Times New Roman" w:hAnsi="Times New Roman"/>
          <w:sz w:val="20"/>
          <w:szCs w:val="20"/>
          <w:u w:val="single" w:color="auto"/>
          <w:color w:val="auto"/>
        </w:rPr>
        <w:t>subsection (f)</w:t>
      </w:r>
      <w:r>
        <w:rPr>
          <w:rFonts w:ascii="Times New Roman" w:cs="Times New Roman" w:eastAsia="Times New Roman" w:hAnsi="Times New Roman"/>
          <w:sz w:val="20"/>
          <w:szCs w:val="20"/>
          <w:color w:val="auto"/>
        </w:rPr>
        <w:t xml:space="preserve"> of this Section. For the avoidance of doubt, no Prepayment Premium shall be due with respect to any prepayment made pursuant to this clause (b).</w:t>
      </w:r>
    </w:p>
    <w:p>
      <w:pPr>
        <w:spacing w:after="0" w:line="214" w:lineRule="exact"/>
        <w:rPr>
          <w:sz w:val="20"/>
          <w:szCs w:val="20"/>
          <w:color w:val="auto"/>
        </w:rPr>
      </w:pPr>
    </w:p>
    <w:p>
      <w:pPr>
        <w:jc w:val="both"/>
        <w:ind w:firstLine="1303"/>
        <w:spacing w:after="0" w:line="248" w:lineRule="auto"/>
        <w:tabs>
          <w:tab w:leader="none" w:pos="215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Business Day (or such later date as agreed to by the Administrative Agent and the Lenders in their sole discretion) following the date of receipt by Holdings or any of its Subsidiaries of any Net Cash Proceeds from any issuance of Indebtedness by Holdings or any of its Subsidiaries, the Borrower shall prepay the Obligations in an amount equal to all such Net Cash Proceeds;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prepay the Obligations with respect to proceeds of Indebtedness permitted under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obligation of the Borrower to prepay the Obligations under this </w:t>
      </w:r>
      <w:r>
        <w:rPr>
          <w:rFonts w:ascii="Times New Roman" w:cs="Times New Roman" w:eastAsia="Times New Roman" w:hAnsi="Times New Roman"/>
          <w:sz w:val="19"/>
          <w:szCs w:val="19"/>
          <w:u w:val="single" w:color="auto"/>
          <w:color w:val="auto"/>
        </w:rPr>
        <w:t>subsection (c)</w:t>
      </w:r>
      <w:r>
        <w:rPr>
          <w:rFonts w:ascii="Times New Roman" w:cs="Times New Roman" w:eastAsia="Times New Roman" w:hAnsi="Times New Roman"/>
          <w:sz w:val="19"/>
          <w:szCs w:val="19"/>
          <w:color w:val="auto"/>
        </w:rPr>
        <w:t xml:space="preserve"> shall also not apply solely to the extent that (A) the Net Cash Proceeds of such Indebtedness were incurred and received by any Insurance Subsidiary (or Subsidiary thereof) and (B) the dividend of such Net Cash Proceeds by such Insurance Subsidiary (or Subsidiary thereof) to the Borrower for application of this </w:t>
      </w:r>
      <w:r>
        <w:rPr>
          <w:rFonts w:ascii="Times New Roman" w:cs="Times New Roman" w:eastAsia="Times New Roman" w:hAnsi="Times New Roman"/>
          <w:sz w:val="19"/>
          <w:szCs w:val="19"/>
          <w:u w:val="single" w:color="auto"/>
          <w:color w:val="auto"/>
        </w:rPr>
        <w:t>subsection (c)</w:t>
      </w:r>
      <w:r>
        <w:rPr>
          <w:rFonts w:ascii="Times New Roman" w:cs="Times New Roman" w:eastAsia="Times New Roman" w:hAnsi="Times New Roman"/>
          <w:sz w:val="19"/>
          <w:szCs w:val="19"/>
          <w:color w:val="auto"/>
        </w:rPr>
        <w:t xml:space="preserve"> is prohibited by applicable law (including, without limitation, rules and regulations of any Insurance Regulatory Authority), it being understood and agreed that absent the prohibition set forth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the Borrower shall cause such Insurance Subsidiary (or Subsidiary thereof) to immediately make a dividend of the Net Cash Proceeds to the Borrower which the Borrower shall use to prepay the Obligations in accordance with this </w:t>
      </w:r>
      <w:r>
        <w:rPr>
          <w:rFonts w:ascii="Times New Roman" w:cs="Times New Roman" w:eastAsia="Times New Roman" w:hAnsi="Times New Roman"/>
          <w:sz w:val="19"/>
          <w:szCs w:val="19"/>
          <w:u w:val="single" w:color="auto"/>
          <w:color w:val="auto"/>
        </w:rPr>
        <w:t>subsection (c)</w:t>
      </w:r>
      <w:r>
        <w:rPr>
          <w:rFonts w:ascii="Times New Roman" w:cs="Times New Roman" w:eastAsia="Times New Roman" w:hAnsi="Times New Roman"/>
          <w:sz w:val="19"/>
          <w:szCs w:val="19"/>
          <w:color w:val="auto"/>
        </w:rPr>
        <w:t xml:space="preserve">. Any such prepayment shall be applied in accordance with </w:t>
      </w:r>
      <w:r>
        <w:rPr>
          <w:rFonts w:ascii="Times New Roman" w:cs="Times New Roman" w:eastAsia="Times New Roman" w:hAnsi="Times New Roman"/>
          <w:sz w:val="19"/>
          <w:szCs w:val="19"/>
          <w:u w:val="single" w:color="auto"/>
          <w:color w:val="auto"/>
        </w:rPr>
        <w:t>subsection (f)</w:t>
      </w:r>
      <w:r>
        <w:rPr>
          <w:rFonts w:ascii="Times New Roman" w:cs="Times New Roman" w:eastAsia="Times New Roman" w:hAnsi="Times New Roman"/>
          <w:sz w:val="19"/>
          <w:szCs w:val="19"/>
          <w:color w:val="auto"/>
        </w:rPr>
        <w:t xml:space="preserve"> of this Section. FOR THE AVOIDANCE OF DOUBT, ANY MANDATORY PAYMENT OR PREPAYMENT PURSUANT TO THIS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SHALL BE MADE TOGETHER WITH THE PREPAYMENT PREMIUM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(IF REQUIRED UNDER SUCH SECTION).</w:t>
      </w:r>
    </w:p>
    <w:p>
      <w:pPr>
        <w:spacing w:after="0" w:line="212" w:lineRule="exact"/>
        <w:rPr>
          <w:rFonts w:ascii="Times New Roman" w:cs="Times New Roman" w:eastAsia="Times New Roman" w:hAnsi="Times New Roman"/>
          <w:sz w:val="19"/>
          <w:szCs w:val="19"/>
          <w:color w:val="auto"/>
        </w:rPr>
      </w:pPr>
    </w:p>
    <w:p>
      <w:pPr>
        <w:jc w:val="both"/>
        <w:ind w:firstLine="1303"/>
        <w:spacing w:after="0" w:line="243" w:lineRule="auto"/>
        <w:tabs>
          <w:tab w:leader="none" w:pos="214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of a Change of Control, the Borrower shall prepay the Obligations, in full, unless such prepayment is waived in writing by all of the Lenders under this Agreement. Any such prepayment shall be applied in accordance with </w:t>
      </w:r>
      <w:r>
        <w:rPr>
          <w:rFonts w:ascii="Times New Roman" w:cs="Times New Roman" w:eastAsia="Times New Roman" w:hAnsi="Times New Roman"/>
          <w:sz w:val="20"/>
          <w:szCs w:val="20"/>
          <w:u w:val="single" w:color="auto"/>
          <w:color w:val="auto"/>
        </w:rPr>
        <w:t>subsection (f)</w:t>
      </w:r>
      <w:r>
        <w:rPr>
          <w:rFonts w:ascii="Times New Roman" w:cs="Times New Roman" w:eastAsia="Times New Roman" w:hAnsi="Times New Roman"/>
          <w:sz w:val="20"/>
          <w:szCs w:val="20"/>
          <w:color w:val="auto"/>
        </w:rPr>
        <w:t xml:space="preserve"> of this Section. FOR THE AVOIDANCE OF DOUBT, ANY MANDATORY PAYMENT OR PREPAYMENT PURSUANT TO THIS </w:t>
      </w:r>
      <w:r>
        <w:rPr>
          <w:rFonts w:ascii="Times New Roman" w:cs="Times New Roman" w:eastAsia="Times New Roman" w:hAnsi="Times New Roman"/>
          <w:sz w:val="20"/>
          <w:szCs w:val="20"/>
          <w:u w:val="single" w:color="auto"/>
          <w:color w:val="auto"/>
        </w:rPr>
        <w:t>SECTION 2.11(d)</w:t>
      </w:r>
      <w:r>
        <w:rPr>
          <w:rFonts w:ascii="Times New Roman" w:cs="Times New Roman" w:eastAsia="Times New Roman" w:hAnsi="Times New Roman"/>
          <w:sz w:val="20"/>
          <w:szCs w:val="20"/>
          <w:color w:val="auto"/>
        </w:rPr>
        <w:t xml:space="preserve"> SHALL BE MADE TOGETHER WITH THE PREPAYMENT PREMIUM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(IF REQUIRED UNDER SUCH SECTION).</w:t>
      </w:r>
    </w:p>
    <w:p>
      <w:pPr>
        <w:spacing w:after="0" w:line="293" w:lineRule="exact"/>
        <w:rPr>
          <w:rFonts w:ascii="Times New Roman" w:cs="Times New Roman" w:eastAsia="Times New Roman" w:hAnsi="Times New Roman"/>
          <w:sz w:val="20"/>
          <w:szCs w:val="20"/>
          <w:color w:val="auto"/>
        </w:rPr>
      </w:pPr>
    </w:p>
    <w:p>
      <w:pPr>
        <w:ind w:left="1940" w:hanging="637"/>
        <w:spacing w:after="0"/>
        <w:tabs>
          <w:tab w:leader="none" w:pos="19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56" w:lineRule="exact"/>
        <w:rPr>
          <w:rFonts w:ascii="Times New Roman" w:cs="Times New Roman" w:eastAsia="Times New Roman" w:hAnsi="Times New Roman"/>
          <w:sz w:val="20"/>
          <w:szCs w:val="20"/>
          <w:color w:val="auto"/>
        </w:rPr>
      </w:pPr>
    </w:p>
    <w:p>
      <w:pPr>
        <w:ind w:left="1560" w:hanging="256"/>
        <w:spacing w:after="0"/>
        <w:tabs>
          <w:tab w:leader="none" w:pos="15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prepayments made by the Borrower pursuant to subsection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Section shall be</w:t>
      </w:r>
    </w:p>
    <w:p>
      <w:pPr>
        <w:spacing w:after="0" w:line="21" w:lineRule="exact"/>
        <w:rPr>
          <w:rFonts w:ascii="Times New Roman" w:cs="Times New Roman" w:eastAsia="Times New Roman" w:hAnsi="Times New Roman"/>
          <w:sz w:val="20"/>
          <w:szCs w:val="20"/>
          <w:color w:val="auto"/>
        </w:rPr>
      </w:pPr>
    </w:p>
    <w:p>
      <w:pPr>
        <w:jc w:val="both"/>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applied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Administrative Agent’s and Lenders’ fees and reimbursable expenses then due and payable pursuant to any of the Loan Documents, including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Prepayment Premium due on the amount of prepayment required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(if any);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accrued interest due on the amount of the prepayment; and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principal balance of the Term Loans, until the same shall have been paid in full,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the Lenders based on their Pro Rata Shares of the Term Loans.</w:t>
      </w:r>
    </w:p>
    <w:p>
      <w:pPr>
        <w:spacing w:after="0" w:line="214" w:lineRule="exact"/>
        <w:rPr>
          <w:rFonts w:ascii="Times New Roman" w:cs="Times New Roman" w:eastAsia="Times New Roman" w:hAnsi="Times New Roman"/>
          <w:sz w:val="20"/>
          <w:szCs w:val="20"/>
          <w:color w:val="auto"/>
        </w:rPr>
      </w:pPr>
    </w:p>
    <w:p>
      <w:pPr>
        <w:ind w:left="1940" w:hanging="637"/>
        <w:spacing w:after="0"/>
        <w:tabs>
          <w:tab w:leader="none" w:pos="19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ectPr>
          <w:pgSz w:w="11900" w:h="16838" w:orient="portrait"/>
          <w:cols w:equalWidth="0" w:num="1">
            <w:col w:w="10040"/>
          </w:cols>
          <w:pgMar w:left="1400" w:top="1332" w:right="459" w:bottom="1440" w:gutter="0" w:footer="0" w:header="0"/>
        </w:sectPr>
      </w:pPr>
    </w:p>
    <w:bookmarkStart w:id="150" w:name="page151"/>
    <w:bookmarkEnd w:id="150"/>
    <w:p>
      <w:pPr>
        <w:jc w:val="both"/>
        <w:ind w:left="20" w:firstLine="1303"/>
        <w:spacing w:after="0" w:line="241" w:lineRule="auto"/>
        <w:tabs>
          <w:tab w:leader="none" w:pos="216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by written notice of any prepayment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not later than 11:00 a.m. (New York City time) one (1) Business Day (or such later date as agreed to by the Administrative Agent and the Lenders in their sole discretion) before the date of prepayment. Each such notice shall specify the prepayment date (which shall be a Business Day), the principal amount of the Loans to be prepaid, the Prepayment Premium (if any) applicable thereto and a reasonably detailed calculation of the amount of such prepayment. Promptly following receipt of any such notice, the Administrative Agent shall advise the Lenders of the contents thereof. All prepayments of the Loans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be accompanied by accrued and unpaid interest on the principal amount to be prepaid to, but excluding, the date of payment.</w:t>
      </w:r>
    </w:p>
    <w:p>
      <w:pPr>
        <w:spacing w:after="0" w:line="231" w:lineRule="exact"/>
        <w:rPr>
          <w:rFonts w:ascii="Times New Roman" w:cs="Times New Roman" w:eastAsia="Times New Roman" w:hAnsi="Times New Roman"/>
          <w:sz w:val="20"/>
          <w:szCs w:val="20"/>
          <w:color w:val="auto"/>
        </w:rPr>
      </w:pPr>
    </w:p>
    <w:p>
      <w:pPr>
        <w:jc w:val="both"/>
        <w:ind w:left="20" w:firstLine="1303"/>
        <w:spacing w:after="0" w:line="239" w:lineRule="auto"/>
        <w:tabs>
          <w:tab w:leader="none" w:pos="157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and for so long as the Borrower reasonably determines in good faith (in consultation with the Required lenders and as set forth in a written notice delivered to the Administrative Agent) that the repatriation to the Borrower of any dividend or other distribution, as applicable, from a Subsidiary that is not organized in the United States to the Borrower of any amounts required to mandatorily prepay the Obligations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would result in an adverse Tax liability (which is not de minimis) to the Borrower or any of its Subsidiaries (including any material withholding Tax and taking into account any foreign tax credit or benefit received in connection with such repatriation, as determined by the Borrower in good faith and in consultation with the Required Lenders and as set forth in a written notice delivered to the Administrative Agent) (such amount, a “</w:t>
      </w:r>
      <w:r>
        <w:rPr>
          <w:rFonts w:ascii="Times New Roman" w:cs="Times New Roman" w:eastAsia="Times New Roman" w:hAnsi="Times New Roman"/>
          <w:sz w:val="20"/>
          <w:szCs w:val="20"/>
          <w:u w:val="single" w:color="auto"/>
          <w:color w:val="auto"/>
        </w:rPr>
        <w:t>Restricted Tax Amount</w:t>
      </w:r>
      <w:r>
        <w:rPr>
          <w:rFonts w:ascii="Times New Roman" w:cs="Times New Roman" w:eastAsia="Times New Roman" w:hAnsi="Times New Roman"/>
          <w:sz w:val="20"/>
          <w:szCs w:val="20"/>
          <w:color w:val="auto"/>
        </w:rPr>
        <w:t xml:space="preserve">”), the amount that the Borrower shall be required to mandatorily prepay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be reduced by the Restricted Tax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to the extent that the repatriation of such dividend or other distribution would no longer result in an adverse Tax liability (which is not de minimis), such dividend or other distribution shall be promptly applied to the repayment of the Obligations.</w:t>
      </w:r>
    </w:p>
    <w:p>
      <w:pPr>
        <w:spacing w:after="0" w:line="21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b w:val="1"/>
          <w:bCs w:val="1"/>
          <w:u w:val="single" w:color="auto"/>
          <w:color w:val="auto"/>
        </w:rPr>
        <w:t>Interest on Loans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left="20" w:firstLine="1304"/>
        <w:spacing w:after="0" w:line="247" w:lineRule="auto"/>
        <w:tabs>
          <w:tab w:leader="none" w:pos="217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pay interest on (i) each Base Rate Loan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and (ii) each SOFR Loan at Adjusted Term SOFR for the applicable Interest Period then in effect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302" w:lineRule="exact"/>
        <w:rPr>
          <w:rFonts w:ascii="Times New Roman" w:cs="Times New Roman" w:eastAsia="Times New Roman" w:hAnsi="Times New Roman"/>
          <w:sz w:val="20"/>
          <w:szCs w:val="20"/>
          <w:color w:val="auto"/>
        </w:rPr>
      </w:pPr>
    </w:p>
    <w:p>
      <w:pPr>
        <w:ind w:left="1960" w:hanging="637"/>
        <w:spacing w:after="0"/>
        <w:tabs>
          <w:tab w:leader="none" w:pos="19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jc w:val="both"/>
        <w:ind w:left="20" w:firstLine="1303"/>
        <w:spacing w:after="0" w:line="241" w:lineRule="auto"/>
        <w:tabs>
          <w:tab w:leader="none" w:pos="217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subsections (a) and (b) of this Section, at the election of the Administrative Agent (or upon the written request of the Required Lenders), and automatically after the occurrence and during the continuance of an Event of Default pursuant to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 (h) or (j)</w:t>
      </w:r>
      <w:r>
        <w:rPr>
          <w:rFonts w:ascii="Times New Roman" w:cs="Times New Roman" w:eastAsia="Times New Roman" w:hAnsi="Times New Roman"/>
          <w:sz w:val="20"/>
          <w:szCs w:val="20"/>
          <w:color w:val="auto"/>
        </w:rPr>
        <w:t>) if an Event of Default has occurred and is continuing, and automatically after acceleration or with respect to any past due amount hereunder, the Borrower shall pay interest (“</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with respect to all SOFR Loans at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200 basis points above the otherwise applicable interest rate for such SOFR Loans for the then-current Interest Period until the last day of such Interest Period, and thereafter, and with respect to all Base Rate Loans and all other Obligations hereunder, at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200 basis points above the otherwise applicable interest rate for Base Rate Loans.</w:t>
      </w:r>
    </w:p>
    <w:p>
      <w:pPr>
        <w:spacing w:after="0" w:line="218" w:lineRule="exact"/>
        <w:rPr>
          <w:rFonts w:ascii="Times New Roman" w:cs="Times New Roman" w:eastAsia="Times New Roman" w:hAnsi="Times New Roman"/>
          <w:sz w:val="20"/>
          <w:szCs w:val="20"/>
          <w:color w:val="auto"/>
        </w:rPr>
      </w:pPr>
    </w:p>
    <w:p>
      <w:pPr>
        <w:jc w:val="both"/>
        <w:ind w:left="20" w:firstLine="1303"/>
        <w:spacing w:after="0" w:line="244" w:lineRule="auto"/>
        <w:tabs>
          <w:tab w:leader="none" w:pos="216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the principal amount of all Loans shall accrue from and including the date such Loans are made to, but excluding, the date of any repayment thereof. Interest on all outstanding Base Rate Loans shall be payable quarterly in arrears on the last day of each of March, June, September and December and on the Maturity Date. Interest on all outstanding SOFR Loans shall be payable on the last day of each Interest Period applicable thereto and on the Maturity Date.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sectPr>
          <w:pgSz w:w="11900" w:h="16838" w:orient="portrait"/>
          <w:cols w:equalWidth="0" w:num="1">
            <w:col w:w="10060"/>
          </w:cols>
          <w:pgMar w:left="1380" w:top="1332" w:right="459" w:bottom="1440" w:gutter="0" w:footer="0" w:header="0"/>
        </w:sectPr>
      </w:pPr>
    </w:p>
    <w:bookmarkStart w:id="151" w:name="page152"/>
    <w:bookmarkEnd w:id="151"/>
    <w:p>
      <w:pPr>
        <w:spacing w:after="0" w:line="149" w:lineRule="exact"/>
        <w:rPr>
          <w:sz w:val="20"/>
          <w:szCs w:val="20"/>
          <w:color w:val="auto"/>
        </w:rPr>
      </w:pPr>
    </w:p>
    <w:p>
      <w:pPr>
        <w:jc w:val="both"/>
        <w:ind w:left="-7" w:firstLine="1304"/>
        <w:spacing w:after="0" w:line="254" w:lineRule="auto"/>
        <w:tabs>
          <w:tab w:leader="none" w:pos="214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spacing w:after="0" w:line="201" w:lineRule="exact"/>
        <w:rPr>
          <w:rFonts w:ascii="Times New Roman" w:cs="Times New Roman" w:eastAsia="Times New Roman" w:hAnsi="Times New Roman"/>
          <w:sz w:val="20"/>
          <w:szCs w:val="20"/>
          <w:color w:val="auto"/>
        </w:rPr>
      </w:pPr>
    </w:p>
    <w:p>
      <w:pPr>
        <w:jc w:val="both"/>
        <w:ind w:left="-7" w:firstLine="1304"/>
        <w:spacing w:after="0" w:line="242" w:lineRule="auto"/>
        <w:tabs>
          <w:tab w:leader="none" w:pos="156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Term SOFR, the Administrative Agent (in consultation with the Required Lenders and the Borrower)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Administrative Agent shall promptly notify the Borrower and the Lenders of the effectiveness of any Conforming Changes in connection with the use or administration of Term SOFR.</w:t>
      </w:r>
    </w:p>
    <w:p>
      <w:pPr>
        <w:spacing w:after="0" w:line="211" w:lineRule="exact"/>
        <w:rPr>
          <w:sz w:val="20"/>
          <w:szCs w:val="20"/>
          <w:color w:val="auto"/>
        </w:rPr>
      </w:pPr>
    </w:p>
    <w:p>
      <w:pPr>
        <w:ind w:left="653"/>
        <w:spacing w:after="0"/>
        <w:tabs>
          <w:tab w:leader="none" w:pos="1873"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b w:val="1"/>
          <w:bCs w:val="1"/>
          <w:u w:val="single" w:color="auto"/>
          <w:color w:val="auto"/>
        </w:rPr>
        <w:t>Prepayment Premium</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left="-7" w:firstLine="1303"/>
        <w:spacing w:after="0" w:line="264" w:lineRule="auto"/>
        <w:tabs>
          <w:tab w:leader="none" w:pos="2143"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 voluntary payment, repayment, prepayment, satisfaction, replacement or refinancing (including in connection with any payment pursuant to Section 2.26), (ii) mandatory prepayment pursuant to Sections 2.11(a),</w:t>
      </w:r>
    </w:p>
    <w:p>
      <w:pPr>
        <w:jc w:val="both"/>
        <w:ind w:left="-7" w:firstLine="7"/>
        <w:spacing w:after="0" w:line="238" w:lineRule="auto"/>
        <w:tabs>
          <w:tab w:leader="none" w:pos="26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(d), (iii) reduction to the amount of any Loan (whether in connection with any proceeding under Debtor Relief Laws or otherwise) (in each case of clauses (i), (ii) and (iii), whether before or after the occurrence of an Event of Default), (iv) the occurrence of a Change of Control or (v) acceleration (including as a result of any Event of Default (including as a result of any proceeding under Debtor Relief Laws), whether automatically or by declaration, by operation of law or otherwise), in each case, in advance of the Stated Maturity Date, of any Loans, whether in whole or in part, shall be at a price equal to (1) 100.0% of the principal amount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accrued and unpaid interest as of the date of such payment, repayment or prepayment or other event or occurrence,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(3) the Prepayment Premium, if any, as of the date of such payment, repayment or prepayment or other event or occurrence.</w:t>
      </w:r>
    </w:p>
    <w:p>
      <w:pPr>
        <w:spacing w:after="0" w:line="205" w:lineRule="exact"/>
        <w:rPr>
          <w:rFonts w:ascii="Times New Roman" w:cs="Times New Roman" w:eastAsia="Times New Roman" w:hAnsi="Times New Roman"/>
          <w:sz w:val="20"/>
          <w:szCs w:val="20"/>
          <w:color w:val="auto"/>
        </w:rPr>
      </w:pPr>
    </w:p>
    <w:p>
      <w:pPr>
        <w:jc w:val="both"/>
        <w:ind w:left="-7" w:firstLine="1303"/>
        <w:spacing w:after="0" w:line="239" w:lineRule="auto"/>
        <w:tabs>
          <w:tab w:leader="none" w:pos="21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Prepayment Premium payable in accordance with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be presumed to be equal to the liquidated damages sustained by the Lenders as the result of the occurrence of the payment, repayment or prepayment event, and the Borrower and the other Loan Parties agree that it is reasonable under the circumstances currently existing. The Prepayment Premium, if any, shall also be payable in the event that the Obligations (and/or this Agreement) are satisfied, released, restructured, reorganized, replaced, reinstated, defeased or compromised in any proceeding under any Debtor Relief Law, by foreclosure (whether by power of judicial proceeding), deed in lieu of foreclosure or by any other means. THE BORROWER AND OTHER LOAN PARTIES EXPRESSLY WAIVE THE PROVISIONS OF ANY PRESENT OR FUTURE STATUTE OR LAW THAT PROHIBITS OR MAY PROHIBIT THE COLLECTION OF THE PREPAYMENT PREMIUM IN CONNECTION WITH ANY OF THE FOREGOING OR ANY ACCELERATION. The Borrower and the other Loan Parties expressly agree that (A) the Prepayment Premium is reasonable and is the product of an arm’s length transaction between sophisticated business people, ably represented by counsel, (B) the Prepayment Premium shall be payable notwithstanding the then-prevailing market rates at the time the payment is made, (C) there has been a course of conduct between the Lenders and the Borrower and the other Loan Parties giving specific consideration in this transaction for such agreement to pay the Prepayment Premium, (D) the Borrower and the other Loan Parties shall be estopped hereafter from claiming differently than as agreed to in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(E) the agreement of the Borrower and the other Loan Parties to pay the Prepayment Premium is a material inducement to the Lenders to extend the Term Loans and (F) the Prepayment Premium represents a good faith, reasonable estimate and calculation of the lost profits or damages of the Lenders and that it would be impractical and extremely difficult to ascertain the actual amount of damages to the Lenders or profits lost by the Lenders as a result of such prepayment event.</w:t>
      </w:r>
    </w:p>
    <w:p>
      <w:pPr>
        <w:sectPr>
          <w:pgSz w:w="11900" w:h="16838" w:orient="portrait"/>
          <w:cols w:equalWidth="0" w:num="1">
            <w:col w:w="10033"/>
          </w:cols>
          <w:pgMar w:left="1407" w:top="1440" w:right="459" w:bottom="1440" w:gutter="0" w:footer="0" w:header="0"/>
        </w:sectPr>
      </w:pPr>
    </w:p>
    <w:bookmarkStart w:id="152" w:name="page153"/>
    <w:bookmarkEnd w:id="152"/>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b w:val="1"/>
          <w:bCs w:val="1"/>
          <w:u w:val="single" w:color="auto"/>
          <w:color w:val="auto"/>
        </w:rPr>
        <w:t>Conversion</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3"/>
        <w:spacing w:after="0" w:line="254" w:lineRule="auto"/>
        <w:tabs>
          <w:tab w:leader="none" w:pos="215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initially shall be of the Type specified in the applicable Notice of Borrowing. Thereafter,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and so long as no Default or Event of Default shall have occurred and be continuing, the Borrower shall have the option:</w:t>
      </w:r>
    </w:p>
    <w:p>
      <w:pPr>
        <w:spacing w:after="0" w:line="201" w:lineRule="exact"/>
        <w:rPr>
          <w:rFonts w:ascii="Times New Roman" w:cs="Times New Roman" w:eastAsia="Times New Roman" w:hAnsi="Times New Roman"/>
          <w:sz w:val="20"/>
          <w:szCs w:val="20"/>
          <w:color w:val="auto"/>
        </w:rPr>
      </w:pPr>
    </w:p>
    <w:p>
      <w:pPr>
        <w:jc w:val="both"/>
        <w:ind w:left="660" w:firstLine="1291"/>
        <w:spacing w:after="0" w:line="249" w:lineRule="auto"/>
        <w:tabs>
          <w:tab w:leader="none" w:pos="217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convert, at any time, all or any part of any Loan equal to $100,000 and integral multiples of $100,000 in excess of that amount from one Type of Loan to another Type of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SOFR Loan may only be converted on the expiration of the Interest Period applicable to such SOFR Loan unless the Borrower shall pay all amounts due under </w:t>
      </w:r>
      <w:r>
        <w:rPr>
          <w:rFonts w:ascii="Times New Roman" w:cs="Times New Roman" w:eastAsia="Times New Roman" w:hAnsi="Times New Roman"/>
          <w:sz w:val="20"/>
          <w:szCs w:val="20"/>
          <w:u w:val="single" w:color="auto"/>
          <w:color w:val="auto"/>
        </w:rPr>
        <w:t>Section 2.20</w:t>
      </w:r>
    </w:p>
    <w:p>
      <w:pPr>
        <w:spacing w:after="0" w:line="287" w:lineRule="exact"/>
        <w:rPr>
          <w:rFonts w:ascii="Times New Roman" w:cs="Times New Roman" w:eastAsia="Times New Roman" w:hAnsi="Times New Roman"/>
          <w:sz w:val="20"/>
          <w:szCs w:val="20"/>
          <w:color w:val="auto"/>
        </w:rPr>
      </w:pPr>
    </w:p>
    <w:p>
      <w:pPr>
        <w:ind w:left="2600" w:hanging="649"/>
        <w:spacing w:after="0"/>
        <w:tabs>
          <w:tab w:leader="none" w:pos="260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jc w:val="both"/>
        <w:ind w:firstLine="1303"/>
        <w:spacing w:after="0" w:line="257" w:lineRule="auto"/>
        <w:tabs>
          <w:tab w:leader="none" w:pos="214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deliver to the Administrative Agent a written notice (or a telephonic notice promptly confirmed in writing) of each Type of Loan that is to be converted, substantially in the form of </w:t>
      </w:r>
      <w:r>
        <w:rPr>
          <w:rFonts w:ascii="Times New Roman" w:cs="Times New Roman" w:eastAsia="Times New Roman" w:hAnsi="Times New Roman"/>
          <w:sz w:val="19"/>
          <w:szCs w:val="19"/>
          <w:u w:val="single" w:color="auto"/>
          <w:color w:val="auto"/>
        </w:rPr>
        <w:t>Exhibit 2.14</w:t>
      </w:r>
      <w:r>
        <w:rPr>
          <w:rFonts w:ascii="Times New Roman" w:cs="Times New Roman" w:eastAsia="Times New Roman" w:hAnsi="Times New Roman"/>
          <w:sz w:val="19"/>
          <w:szCs w:val="19"/>
          <w:color w:val="auto"/>
        </w:rPr>
        <w:t xml:space="preserve"> attached hereto (a </w:t>
      </w:r>
      <w:r>
        <w:rPr>
          <w:rFonts w:ascii="Calibri" w:cs="Calibri" w:eastAsia="Calibri" w:hAnsi="Calibri"/>
          <w:sz w:val="19"/>
          <w:szCs w:val="19"/>
          <w:color w:val="auto"/>
        </w:rPr>
        <w:t>“</w:t>
      </w:r>
      <w:r>
        <w:rPr>
          <w:rFonts w:ascii="Times New Roman" w:cs="Times New Roman" w:eastAsia="Times New Roman" w:hAnsi="Times New Roman"/>
          <w:sz w:val="19"/>
          <w:szCs w:val="19"/>
          <w:u w:val="single" w:color="auto"/>
          <w:color w:val="auto"/>
        </w:rPr>
        <w:t>Notice of Conversion</w:t>
      </w:r>
      <w:r>
        <w:rPr>
          <w:rFonts w:ascii="Calibri" w:cs="Calibri" w:eastAsia="Calibri" w:hAnsi="Calibri"/>
          <w:sz w:val="19"/>
          <w:szCs w:val="19"/>
          <w:u w:val="single" w:color="auto"/>
          <w:color w:val="auto"/>
        </w:rPr>
        <w:t>”</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no later than 1:00 p.m. (New York City time) at least one (1) Business Day in advance of</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proposed conversion date (in the case of a conversion to a Base Rate Loan) and at least three (3) U.S. Government Securities Business Days in advance of the proposed conversion date (in the case of a conversion to a SOFR Loan). Each Notice of Conversion shall be irrevocable, and the Borrower shall be bound to effect a conversion in accordance therewith.</w:t>
      </w:r>
    </w:p>
    <w:p>
      <w:pPr>
        <w:spacing w:after="0" w:line="209" w:lineRule="exact"/>
        <w:rPr>
          <w:sz w:val="20"/>
          <w:szCs w:val="20"/>
          <w:color w:val="auto"/>
        </w:rPr>
      </w:pPr>
    </w:p>
    <w:p>
      <w:pPr>
        <w:jc w:val="both"/>
        <w:ind w:firstLine="1303"/>
        <w:spacing w:after="0" w:line="254" w:lineRule="auto"/>
        <w:tabs>
          <w:tab w:leader="none" w:pos="215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 the expiration of any Interest Period in respect of any SOFR Loan, the Borrower shall have failed to deliver a Notice of Conversion, then, unless such SOFR Loan is repaid as provided herein, such SOFR Loan shall continue as a SOFR Loan with the applicable Interest Period relating thereto.</w:t>
      </w:r>
    </w:p>
    <w:p>
      <w:pPr>
        <w:spacing w:after="0" w:line="201" w:lineRule="exact"/>
        <w:rPr>
          <w:rFonts w:ascii="Times New Roman" w:cs="Times New Roman" w:eastAsia="Times New Roman" w:hAnsi="Times New Roman"/>
          <w:sz w:val="20"/>
          <w:szCs w:val="20"/>
          <w:color w:val="auto"/>
        </w:rPr>
      </w:pPr>
    </w:p>
    <w:p>
      <w:pPr>
        <w:ind w:right="320" w:firstLine="1303"/>
        <w:spacing w:after="0" w:line="269" w:lineRule="auto"/>
        <w:tabs>
          <w:tab w:leader="none" w:pos="214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any Notice of Conversion, the Administrative Agent shall promptly notify each Lender of the details thereof.</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b w:val="1"/>
          <w:bCs w:val="1"/>
          <w:u w:val="single" w:color="auto"/>
          <w:color w:val="auto"/>
        </w:rPr>
        <w:t>Fees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3"/>
        <w:spacing w:after="0" w:line="247" w:lineRule="auto"/>
        <w:tabs>
          <w:tab w:leader="none" w:pos="215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on the Funding Date, to the Administrative Agent and its affiliates (for the account of the Persons entitled thereto in accordance with the terms thereof) all fees in the Agent Fee Letter that are due and payable on or prior to (to the extent any such fees have not already been paid) the Funding Date.</w:t>
      </w:r>
    </w:p>
    <w:p>
      <w:pPr>
        <w:spacing w:after="0" w:line="194" w:lineRule="exact"/>
        <w:rPr>
          <w:rFonts w:ascii="Times New Roman" w:cs="Times New Roman" w:eastAsia="Times New Roman" w:hAnsi="Times New Roman"/>
          <w:sz w:val="20"/>
          <w:szCs w:val="20"/>
          <w:color w:val="auto"/>
        </w:rPr>
      </w:pPr>
    </w:p>
    <w:p>
      <w:pPr>
        <w:ind w:firstLine="1303"/>
        <w:spacing w:after="0"/>
        <w:tabs>
          <w:tab w:leader="none" w:pos="214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pay, on the Funding Date </w:t>
      </w:r>
      <w:r>
        <w:rPr>
          <w:rFonts w:ascii="Times New Roman" w:cs="Times New Roman" w:eastAsia="Times New Roman" w:hAnsi="Times New Roman"/>
          <w:sz w:val="20"/>
          <w:szCs w:val="20"/>
          <w:color w:val="FF0000"/>
        </w:rPr>
        <w:t>to the BlackRock Lenders</w:t>
      </w:r>
      <w:r>
        <w:rPr>
          <w:rFonts w:ascii="Times New Roman" w:cs="Times New Roman" w:eastAsia="Times New Roman" w:hAnsi="Times New Roman"/>
          <w:sz w:val="20"/>
          <w:szCs w:val="20"/>
          <w:color w:val="auto"/>
        </w:rPr>
        <w:t xml:space="preserve">, all fees specified in the BlackRock Fee Letter </w:t>
      </w:r>
      <w:r>
        <w:rPr>
          <w:rFonts w:ascii="Times New Roman" w:cs="Times New Roman" w:eastAsia="Times New Roman" w:hAnsi="Times New Roman"/>
          <w:sz w:val="20"/>
          <w:szCs w:val="20"/>
          <w:color w:val="0000FF"/>
        </w:rPr>
        <w:t>to the Lenders party thereto</w:t>
      </w:r>
      <w:r>
        <w:rPr>
          <w:rFonts w:ascii="Times New Roman" w:cs="Times New Roman" w:eastAsia="Times New Roman" w:hAnsi="Times New Roman"/>
          <w:sz w:val="20"/>
          <w:szCs w:val="20"/>
          <w:color w:val="auto"/>
        </w:rPr>
        <w:t>.</w:t>
      </w:r>
    </w:p>
    <w:p>
      <w:pPr>
        <w:spacing w:after="0" w:line="201" w:lineRule="exact"/>
        <w:rPr>
          <w:rFonts w:ascii="Times New Roman" w:cs="Times New Roman" w:eastAsia="Times New Roman" w:hAnsi="Times New Roman"/>
          <w:sz w:val="20"/>
          <w:szCs w:val="20"/>
          <w:color w:val="auto"/>
        </w:rPr>
      </w:pPr>
    </w:p>
    <w:p>
      <w:pPr>
        <w:ind w:left="2160" w:hanging="857"/>
        <w:spacing w:after="0"/>
        <w:tabs>
          <w:tab w:leader="none" w:pos="21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on the Funding Date to the AIMCo Lender, all fees specified in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AIMCo Fee Letter.</w:t>
      </w:r>
    </w:p>
    <w:p>
      <w:pPr>
        <w:spacing w:after="0" w:line="207" w:lineRule="exact"/>
        <w:rPr>
          <w:rFonts w:ascii="Times New Roman" w:cs="Times New Roman" w:eastAsia="Times New Roman" w:hAnsi="Times New Roman"/>
          <w:sz w:val="20"/>
          <w:szCs w:val="20"/>
          <w:color w:val="auto"/>
        </w:rPr>
      </w:pPr>
    </w:p>
    <w:p>
      <w:pPr>
        <w:ind w:firstLine="1303"/>
        <w:spacing w:after="0" w:line="233" w:lineRule="auto"/>
        <w:tabs>
          <w:tab w:leader="none" w:pos="214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The Borrower shall pay, on the Second Amendment Effective Date, all fees specified in the Second Amendment BlackRock Fee Letter to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-1057275</wp:posOffset>
            </wp:positionV>
            <wp:extent cx="13823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1382395"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-876935</wp:posOffset>
            </wp:positionV>
            <wp:extent cx="14198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1419860" cy="8890"/>
                    </a:xfrm>
                    <a:prstGeom prst="rect">
                      <a:avLst/>
                    </a:prstGeom>
                    <a:noFill/>
                  </pic:spPr>
                </pic:pic>
              </a:graphicData>
            </a:graphic>
          </wp:anchor>
        </w:drawing>
      </w:r>
    </w:p>
    <w:p>
      <w:pPr>
        <w:spacing w:after="0" w:line="177"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2.16.</w:t>
      </w:r>
      <w:r>
        <w:rPr>
          <w:sz w:val="20"/>
          <w:szCs w:val="20"/>
          <w:color w:val="auto"/>
        </w:rPr>
        <w:tab/>
      </w:r>
      <w:r>
        <w:rPr>
          <w:rFonts w:ascii="Times New Roman" w:cs="Times New Roman" w:eastAsia="Times New Roman" w:hAnsi="Times New Roman"/>
          <w:sz w:val="19"/>
          <w:szCs w:val="19"/>
          <w:b w:val="1"/>
          <w:bCs w:val="1"/>
          <w:u w:val="single" w:color="auto"/>
          <w:color w:val="auto"/>
        </w:rPr>
        <w:t>Computation of Interest and Fees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Interest hereunder based on the Prime Rate shall be computed on the basis of a year of 365 days (or 366 days in a leap year) and paid for the actual number of days elapsed (including the first day but excluding the last day). All other interest and fees payable hereunder shall be computed on the basis of a year of 360 days and paid for the actual number of days elapsed (including the first day but excluding the</w:t>
      </w:r>
    </w:p>
    <w:p>
      <w:pPr>
        <w:sectPr>
          <w:pgSz w:w="11900" w:h="16838" w:orient="portrait"/>
          <w:cols w:equalWidth="0" w:num="1">
            <w:col w:w="10040"/>
          </w:cols>
          <w:pgMar w:left="1400" w:top="1328" w:right="459" w:bottom="1440" w:gutter="0" w:footer="0" w:header="0"/>
        </w:sectPr>
      </w:pPr>
    </w:p>
    <w:bookmarkStart w:id="153" w:name="page154"/>
    <w:bookmarkEnd w:id="153"/>
    <w:p>
      <w:pPr>
        <w:spacing w:after="0" w:line="269" w:lineRule="auto"/>
        <w:rPr>
          <w:sz w:val="20"/>
          <w:szCs w:val="20"/>
          <w:color w:val="auto"/>
        </w:rPr>
      </w:pPr>
      <w:r>
        <w:rPr>
          <w:rFonts w:ascii="Times New Roman" w:cs="Times New Roman" w:eastAsia="Times New Roman" w:hAnsi="Times New Roman"/>
          <w:sz w:val="20"/>
          <w:szCs w:val="20"/>
          <w:color w:val="auto"/>
        </w:rPr>
        <w:t>last day). Each determination by the Administrative Agent of an interest rate or fee hereunder shall be made in good faith and, except for manifest error, shall be final, conclusive and binding for all purposes.</w:t>
      </w:r>
    </w:p>
    <w:p>
      <w:pPr>
        <w:spacing w:after="0" w:line="19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9"/>
          <w:szCs w:val="19"/>
          <w:b w:val="1"/>
          <w:bCs w:val="1"/>
          <w:u w:val="single" w:color="auto"/>
          <w:color w:val="auto"/>
        </w:rPr>
        <w:t>Inability to Determine Interest Rates</w:t>
      </w:r>
      <w:r>
        <w:rPr>
          <w:rFonts w:ascii="Times New Roman" w:cs="Times New Roman" w:eastAsia="Times New Roman" w:hAnsi="Times New Roman"/>
          <w:sz w:val="19"/>
          <w:szCs w:val="19"/>
          <w:color w:val="auto"/>
        </w:rPr>
        <w:t>.</w:t>
      </w:r>
    </w:p>
    <w:p>
      <w:pPr>
        <w:spacing w:after="0" w:line="328" w:lineRule="exact"/>
        <w:rPr>
          <w:sz w:val="20"/>
          <w:szCs w:val="20"/>
          <w:color w:val="auto"/>
        </w:rPr>
      </w:pPr>
    </w:p>
    <w:p>
      <w:pPr>
        <w:ind w:left="2160" w:hanging="856"/>
        <w:spacing w:after="0"/>
        <w:tabs>
          <w:tab w:leader="none" w:pos="21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if, on or prior to the commencement of any Interest Period for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Loan:</w:t>
      </w:r>
    </w:p>
    <w:p>
      <w:pPr>
        <w:spacing w:after="0" w:line="221" w:lineRule="exact"/>
        <w:rPr>
          <w:sz w:val="20"/>
          <w:szCs w:val="20"/>
          <w:color w:val="auto"/>
        </w:rPr>
      </w:pPr>
    </w:p>
    <w:p>
      <w:pPr>
        <w:ind w:left="660" w:right="40" w:firstLine="1291"/>
        <w:spacing w:after="0" w:line="254" w:lineRule="auto"/>
        <w:tabs>
          <w:tab w:leader="none" w:pos="261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determined (which determination shall be conclusive and binding absent manifest error) that “Adjusted Term SOFR” or “Term SOFR”, as applicable, cannot be determined pursuant to the definitions thereof, or</w:t>
      </w:r>
    </w:p>
    <w:p>
      <w:pPr>
        <w:spacing w:after="0" w:line="201" w:lineRule="exact"/>
        <w:rPr>
          <w:rFonts w:ascii="Times New Roman" w:cs="Times New Roman" w:eastAsia="Times New Roman" w:hAnsi="Times New Roman"/>
          <w:sz w:val="20"/>
          <w:szCs w:val="20"/>
          <w:color w:val="auto"/>
        </w:rPr>
      </w:pPr>
    </w:p>
    <w:p>
      <w:pPr>
        <w:jc w:val="both"/>
        <w:ind w:left="660" w:firstLine="1291"/>
        <w:spacing w:after="0" w:line="243" w:lineRule="auto"/>
        <w:tabs>
          <w:tab w:leader="none" w:pos="28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Adjusted Term SOFR or Term SOFR, as applicable, for any requested Interest Period with respect to a proposed SOFR Loan does not adequately and fairly reflect the cost to such Lenders of making, funding or maintaining such SOFR Loans for such Interest Period, as applicable, and the Required Lenders have provided notice of such determination to the Administrative Agent,</w:t>
      </w:r>
    </w:p>
    <w:p>
      <w:pPr>
        <w:spacing w:after="0" w:line="2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then the Administrative Agent shall give written notice thereof (or telephonic notice, promptly confirmed in writing) to the Borrower and to the Lenders as soon as practicable thereafter. Until the Administrative Agent shall notify the Borrower and the Lenders that the circumstances giving rise to such notice no longer exist, (i) any SOFR Loans requested to be made on the first day of such Interest Period which have not yet been incurred shall be deemed rescinded by the Borrower and (ii) all such affected SOFR Loans shall be converted into Base Rate Loans on the last day of the then-current Interest Period applicable thereto unless the Borrower prepays such SOFR Loans in accordance with this Agreement. Until such notice has been withdrawn by the Administrative Agent, no further SOFR Loans shall be made or continued as such, nor shall the Borrower have the right to convert a Type of Loan to SOFR Loans.</w:t>
      </w:r>
    </w:p>
    <w:p>
      <w:pPr>
        <w:spacing w:after="0" w:line="205" w:lineRule="exact"/>
        <w:rPr>
          <w:sz w:val="20"/>
          <w:szCs w:val="20"/>
          <w:color w:val="auto"/>
        </w:rPr>
      </w:pPr>
    </w:p>
    <w:p>
      <w:pPr>
        <w:ind w:left="2160" w:hanging="856"/>
        <w:spacing w:after="0"/>
        <w:tabs>
          <w:tab w:leader="none" w:pos="21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323" w:lineRule="exact"/>
        <w:rPr>
          <w:rFonts w:ascii="Times New Roman" w:cs="Times New Roman" w:eastAsia="Times New Roman" w:hAnsi="Times New Roman"/>
          <w:sz w:val="20"/>
          <w:szCs w:val="20"/>
          <w:color w:val="auto"/>
        </w:rPr>
      </w:pPr>
    </w:p>
    <w:p>
      <w:pPr>
        <w:jc w:val="both"/>
        <w:ind w:left="660" w:firstLine="1291"/>
        <w:spacing w:after="0" w:line="244" w:lineRule="auto"/>
        <w:tabs>
          <w:tab w:leader="none" w:pos="270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upon the occurrence of a Benchmark Transition Event, the Administrative Agent, the Required Lenders and the Borrower may amend this Agreement to replace the then-current Benchmark with a Benchmark Replacement. Any such amendment with respect to a Benchmark Transition Event shall become effective on the date that the Lenders comprising the Required Lenders have delivered to the Administrative Agent written notice that such Required Lenders accept such amendment. No replacement of a Benchmark with a Benchmark Replacement pursuant to these provisions shall occur prior to the applicable Benchmark Transition Start Date.</w:t>
      </w:r>
    </w:p>
    <w:p>
      <w:pPr>
        <w:spacing w:after="0" w:line="212" w:lineRule="exact"/>
        <w:rPr>
          <w:rFonts w:ascii="Times New Roman" w:cs="Times New Roman" w:eastAsia="Times New Roman" w:hAnsi="Times New Roman"/>
          <w:sz w:val="20"/>
          <w:szCs w:val="20"/>
          <w:color w:val="auto"/>
        </w:rPr>
      </w:pPr>
    </w:p>
    <w:p>
      <w:pPr>
        <w:jc w:val="both"/>
        <w:ind w:left="660" w:firstLine="1291"/>
        <w:spacing w:after="0" w:line="243" w:lineRule="auto"/>
        <w:tabs>
          <w:tab w:leader="none" w:pos="281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administration, adoption or implementation of a Benchmark Replacement, the Administrative Agent and the Required Lenders shall have the right, in consultation with the Borrower, to make Conforming Changes from time to time and, notwithstanding anything to the contrary contained herein or in any other Loan Document, any amendments implementing such Conforming Changes shall become effective without any further action or consent of any other party to this Agreement or any other Loan Document.</w:t>
      </w:r>
    </w:p>
    <w:p>
      <w:pPr>
        <w:spacing w:after="0" w:line="212" w:lineRule="exact"/>
        <w:rPr>
          <w:rFonts w:ascii="Times New Roman" w:cs="Times New Roman" w:eastAsia="Times New Roman" w:hAnsi="Times New Roman"/>
          <w:sz w:val="20"/>
          <w:szCs w:val="20"/>
          <w:color w:val="auto"/>
        </w:rPr>
      </w:pPr>
    </w:p>
    <w:p>
      <w:pPr>
        <w:jc w:val="both"/>
        <w:ind w:left="660" w:firstLine="1290"/>
        <w:spacing w:after="0" w:line="254" w:lineRule="auto"/>
        <w:tabs>
          <w:tab w:leader="none" w:pos="281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Borrower and the Lenders of (i) any occurrence of a Benchmark Transition Event, (ii) the implementation of any Benchmark Replacement, (iii) the effectiveness of any Conforming Changes, and (iv) (x) the</w:t>
      </w:r>
    </w:p>
    <w:p>
      <w:pPr>
        <w:sectPr>
          <w:pgSz w:w="11900" w:h="16838" w:orient="portrait"/>
          <w:cols w:equalWidth="0" w:num="1">
            <w:col w:w="10040"/>
          </w:cols>
          <w:pgMar w:left="1400" w:top="1413" w:right="459" w:bottom="1440" w:gutter="0" w:footer="0" w:header="0"/>
        </w:sectPr>
      </w:pPr>
    </w:p>
    <w:bookmarkStart w:id="154" w:name="page155"/>
    <w:bookmarkEnd w:id="154"/>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removal or reinstatement of any tenor of a Benchmark pursuant to clause (iv) below and (y) the commencement or conclusion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shall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232" w:lineRule="exact"/>
        <w:rPr>
          <w:sz w:val="20"/>
          <w:szCs w:val="20"/>
          <w:color w:val="auto"/>
        </w:rPr>
      </w:pPr>
    </w:p>
    <w:p>
      <w:pPr>
        <w:jc w:val="both"/>
        <w:ind w:left="660" w:firstLine="1290"/>
        <w:spacing w:after="0" w:line="238" w:lineRule="auto"/>
        <w:tabs>
          <w:tab w:leader="none" w:pos="280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Required Lenders and the Borrower) or (B) the regulatory supervisor for the administrator of such Benchmark has provided a public statement or publication of information announcing that any tenor for such Benchmark is not or will not be representative, then the Administrative Agent (in consultation with the Required Lenders and the Borrower) may modify the definition of “Interest Period” (or any similar or analogous definition) for any Benchmark settings at or after such time to remove such unavailable or non-representative tenor and (ii) if a tenor that was removed pursuant to clause (i) above either</w:t>
      </w:r>
    </w:p>
    <w:p>
      <w:pPr>
        <w:spacing w:after="0" w:line="9" w:lineRule="exact"/>
        <w:rPr>
          <w:rFonts w:ascii="Times New Roman" w:cs="Times New Roman" w:eastAsia="Times New Roman" w:hAnsi="Times New Roman"/>
          <w:sz w:val="20"/>
          <w:szCs w:val="20"/>
          <w:color w:val="auto"/>
        </w:rPr>
      </w:pPr>
    </w:p>
    <w:p>
      <w:pPr>
        <w:jc w:val="both"/>
        <w:ind w:left="660" w:hanging="6"/>
        <w:spacing w:after="0" w:line="241" w:lineRule="auto"/>
        <w:tabs>
          <w:tab w:leader="none" w:pos="104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(in consultation with the Required Lenders and the Borrower) may modify the definition of “Interest Period” (or any similar or analogous definition) for all Benchmark settings at or after such time to reinstate such previously removed tenor.</w:t>
      </w:r>
    </w:p>
    <w:p>
      <w:pPr>
        <w:spacing w:after="0" w:line="213" w:lineRule="exact"/>
        <w:rPr>
          <w:rFonts w:ascii="Times New Roman" w:cs="Times New Roman" w:eastAsia="Times New Roman" w:hAnsi="Times New Roman"/>
          <w:sz w:val="20"/>
          <w:szCs w:val="20"/>
          <w:color w:val="auto"/>
        </w:rPr>
      </w:pPr>
    </w:p>
    <w:p>
      <w:pPr>
        <w:jc w:val="both"/>
        <w:ind w:left="660" w:firstLine="1290"/>
        <w:spacing w:after="0" w:line="244" w:lineRule="auto"/>
        <w:tabs>
          <w:tab w:leader="none" w:pos="2821"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Borrower</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s receipt of notice of the commencement of a Benchmark Unavailability Period, the Borrower may revoke any request for a Borrowing of, conversion to or continuation of SOFR Loans to be made, converted or continued during any Benchmark Unavailability Period and, failing that, the Borrower shall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shall not be used in any determination of the Base Rate.</w:t>
      </w: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 xml:space="preserve">Section 2.18. </w:t>
      </w:r>
      <w:r>
        <w:rPr>
          <w:rFonts w:ascii="Times New Roman" w:cs="Times New Roman" w:eastAsia="Times New Roman" w:hAnsi="Times New Roman"/>
          <w:sz w:val="19"/>
          <w:szCs w:val="19"/>
          <w:b w:val="1"/>
          <w:bCs w:val="1"/>
          <w:u w:val="single" w:color="auto"/>
          <w:color w:val="auto"/>
        </w:rPr>
        <w:t>Illegality</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If any Change in Law shall make it unlawful or impossible for any Lender to make, maintain or fund any SOFR Loan,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the obligation of such Lender to make SOFR Loans, or to continue or convert outstanding Types of Loans as or into SOFR Loans, shall be suspended. In the case of the making of a SOFR Loan, if the affected SOFR Loan is then-outstanding, such SOFR Loan shall be converted to a Base Rate Loan either (i) on the last day of the then-current Interest Period applicable to such SOFR Loan if such Lender may lawfully continue to maintain such SOFR Loan to such date or (ii) immediately if such Lender shall determine that it may not lawfully continue to maintain such SOFR Loan to such date. Notwithstanding the foregoing, the affected Lender shall, prior to giving such notice to the Administrative Agent, use reasonable efforts to designate a different Applicable Lending</w:t>
      </w:r>
    </w:p>
    <w:p>
      <w:pPr>
        <w:sectPr>
          <w:pgSz w:w="11900" w:h="16838" w:orient="portrait"/>
          <w:cols w:equalWidth="0" w:num="1">
            <w:col w:w="10040"/>
          </w:cols>
          <w:pgMar w:left="1400" w:top="1332" w:right="459" w:bottom="1440" w:gutter="0" w:footer="0" w:header="0"/>
        </w:sectPr>
      </w:pPr>
    </w:p>
    <w:bookmarkStart w:id="155" w:name="page156"/>
    <w:bookmarkEnd w:id="155"/>
    <w:p>
      <w:pPr>
        <w:spacing w:after="0" w:line="269" w:lineRule="auto"/>
        <w:rPr>
          <w:sz w:val="20"/>
          <w:szCs w:val="20"/>
          <w:color w:val="auto"/>
        </w:rPr>
      </w:pPr>
      <w:r>
        <w:rPr>
          <w:rFonts w:ascii="Times New Roman" w:cs="Times New Roman" w:eastAsia="Times New Roman" w:hAnsi="Times New Roman"/>
          <w:sz w:val="20"/>
          <w:szCs w:val="20"/>
          <w:color w:val="auto"/>
        </w:rPr>
        <w:t>Office if such designation would avoid the need for giving such notice and if such designation would not otherwise be disadvantageous to such Lender in the good faith exercise of its discretion.</w:t>
      </w:r>
    </w:p>
    <w:p>
      <w:pPr>
        <w:spacing w:after="0" w:line="19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2.19.</w:t>
      </w:r>
      <w:r>
        <w:rPr>
          <w:sz w:val="20"/>
          <w:szCs w:val="20"/>
          <w:color w:val="auto"/>
        </w:rPr>
        <w:tab/>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color w:val="auto"/>
        </w:rPr>
        <w:t>.</w:t>
      </w:r>
    </w:p>
    <w:p>
      <w:pPr>
        <w:spacing w:after="0" w:line="328" w:lineRule="exact"/>
        <w:rPr>
          <w:sz w:val="20"/>
          <w:szCs w:val="20"/>
          <w:color w:val="auto"/>
        </w:rPr>
      </w:pPr>
    </w:p>
    <w:p>
      <w:pPr>
        <w:ind w:left="1940" w:hanging="637"/>
        <w:spacing w:after="0"/>
        <w:tabs>
          <w:tab w:leader="none" w:pos="19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 shall:</w:t>
      </w:r>
    </w:p>
    <w:p>
      <w:pPr>
        <w:spacing w:after="0" w:line="242" w:lineRule="exact"/>
        <w:rPr>
          <w:rFonts w:ascii="Times New Roman" w:cs="Times New Roman" w:eastAsia="Times New Roman" w:hAnsi="Times New Roman"/>
          <w:sz w:val="20"/>
          <w:szCs w:val="20"/>
          <w:color w:val="auto"/>
        </w:rPr>
      </w:pPr>
    </w:p>
    <w:p>
      <w:pPr>
        <w:jc w:val="both"/>
        <w:ind w:left="660" w:firstLine="1291"/>
        <w:spacing w:after="0" w:line="254" w:lineRule="auto"/>
        <w:tabs>
          <w:tab w:leader="none" w:pos="2219"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or similar requirement that is not otherwise included in the determination of Adjusted Term SOFR hereunder against assets of, deposits with or for the account of, or credit extended by, any Lender (except any such reserve requirement reflected in Term SOFR); or</w:t>
      </w:r>
    </w:p>
    <w:p>
      <w:pPr>
        <w:spacing w:after="0" w:line="201" w:lineRule="exact"/>
        <w:rPr>
          <w:rFonts w:ascii="Times New Roman" w:cs="Times New Roman" w:eastAsia="Times New Roman" w:hAnsi="Times New Roman"/>
          <w:sz w:val="20"/>
          <w:szCs w:val="20"/>
          <w:color w:val="auto"/>
        </w:rPr>
      </w:pPr>
    </w:p>
    <w:p>
      <w:pPr>
        <w:jc w:val="both"/>
        <w:ind w:left="660" w:right="20" w:firstLine="1291"/>
        <w:spacing w:after="0" w:line="274" w:lineRule="auto"/>
        <w:tabs>
          <w:tab w:leader="none" w:pos="2818"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spacing w:after="0" w:line="183" w:lineRule="exact"/>
        <w:rPr>
          <w:rFonts w:ascii="Times New Roman" w:cs="Times New Roman" w:eastAsia="Times New Roman" w:hAnsi="Times New Roman"/>
          <w:sz w:val="19"/>
          <w:szCs w:val="19"/>
          <w:color w:val="auto"/>
        </w:rPr>
      </w:pPr>
    </w:p>
    <w:p>
      <w:pPr>
        <w:jc w:val="both"/>
        <w:ind w:left="660" w:firstLine="1291"/>
        <w:spacing w:after="0" w:line="254" w:lineRule="auto"/>
        <w:tabs>
          <w:tab w:leader="none" w:pos="2819"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interbank market any other condition, cost or expense (other than Taxes) affecting this Agreement or any SOFR Loans made by such Lender (except any such requirement reflected in Term SOFR);</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and the result of any of the foregoing is to increase the cost to such Lender of making, converting into, continuing or maintaining a SOFR Loan or to increase the cost to such Lender, then, from time to time, such Lender may provide the Borrower (with a copy thereof to the Administrative Agent) with written notice and demand with respect to such increased costs or reduced amounts, and within ten (10) Business Days after receipt of such notice and demand, the Borrower shall pay to such Lender such additional amounts as will compensate such Lender for any such increased costs incurred or reduction suffered.</w:t>
      </w:r>
    </w:p>
    <w:p>
      <w:pPr>
        <w:spacing w:after="0" w:line="283" w:lineRule="exact"/>
        <w:rPr>
          <w:sz w:val="20"/>
          <w:szCs w:val="20"/>
          <w:color w:val="auto"/>
        </w:rPr>
      </w:pPr>
    </w:p>
    <w:p>
      <w:pPr>
        <w:jc w:val="both"/>
        <w:ind w:firstLine="1303"/>
        <w:spacing w:after="0" w:line="241" w:lineRule="auto"/>
        <w:tabs>
          <w:tab w:leader="none" w:pos="214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have determined that any Change in Law regarding capital or liquidity ratios or requirements has or would have the effect of reducing the rate of return on such Lender’s capital (or on the capital of the Parent Company of such Lender) as a consequence of its obligations hereunder to a level below that which such Lender or such Parent Company could have achieved but for such Change in Law (taking into consideration such Lender’s policies or the policies of such Parent Company with respect to capital adequacy and liquidity), then, from time to time, such Lender may provide the Borrower (with a copy thereof to the Administrative Agent) with written notice and demand with respect to such reduced amounts, and within ten (10) Business Days after receipt of such notice and demand the Borrower shall pay to such Lender such additional amounts as will compensate such Lender or such Parent Company for any such reduction suffered. Notwithstanding the foregoing, this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shall not apply to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or (C) Connection Income Taxes.</w:t>
      </w:r>
    </w:p>
    <w:p>
      <w:pPr>
        <w:spacing w:after="0" w:line="228" w:lineRule="exact"/>
        <w:rPr>
          <w:rFonts w:ascii="Times New Roman" w:cs="Times New Roman" w:eastAsia="Times New Roman" w:hAnsi="Times New Roman"/>
          <w:sz w:val="20"/>
          <w:szCs w:val="20"/>
          <w:color w:val="auto"/>
        </w:rPr>
      </w:pPr>
    </w:p>
    <w:p>
      <w:pPr>
        <w:jc w:val="both"/>
        <w:ind w:firstLine="1303"/>
        <w:spacing w:after="0" w:line="247" w:lineRule="auto"/>
        <w:tabs>
          <w:tab w:leader="none" w:pos="215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such Lender setting forth the amount or amounts necessary to compensate such Lender or the Parent Company of such Lender, as the case may be, specified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shall be delivered to the Borrower (with a copy to the Administrative Agent) and shall be conclusive, absent manifest error.</w:t>
      </w:r>
    </w:p>
    <w:p>
      <w:pPr>
        <w:spacing w:after="0" w:line="221" w:lineRule="exact"/>
        <w:rPr>
          <w:rFonts w:ascii="Times New Roman" w:cs="Times New Roman" w:eastAsia="Times New Roman" w:hAnsi="Times New Roman"/>
          <w:sz w:val="20"/>
          <w:szCs w:val="20"/>
          <w:color w:val="auto"/>
        </w:rPr>
      </w:pPr>
    </w:p>
    <w:p>
      <w:pPr>
        <w:jc w:val="both"/>
        <w:ind w:firstLine="1303"/>
        <w:spacing w:after="0" w:line="259" w:lineRule="auto"/>
        <w:tabs>
          <w:tab w:leader="none" w:pos="2147"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compensate any Lender pursuant to this Section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w:t>
      </w:r>
    </w:p>
    <w:p>
      <w:pPr>
        <w:sectPr>
          <w:pgSz w:w="11900" w:h="16838" w:orient="portrait"/>
          <w:cols w:equalWidth="0" w:num="1">
            <w:col w:w="10040"/>
          </w:cols>
          <w:pgMar w:left="1400" w:top="1332" w:right="459" w:bottom="1440" w:gutter="0" w:footer="0" w:header="0"/>
        </w:sectPr>
      </w:pPr>
    </w:p>
    <w:bookmarkStart w:id="156" w:name="page157"/>
    <w:bookmarkEnd w:id="156"/>
    <w:p>
      <w:pPr>
        <w:jc w:val="both"/>
        <w:spacing w:after="0" w:line="269" w:lineRule="auto"/>
        <w:rPr>
          <w:sz w:val="20"/>
          <w:szCs w:val="20"/>
          <w:color w:val="auto"/>
        </w:rPr>
      </w:pPr>
      <w:r>
        <w:rPr>
          <w:rFonts w:ascii="Times New Roman" w:cs="Times New Roman" w:eastAsia="Times New Roman" w:hAnsi="Times New Roman"/>
          <w:sz w:val="20"/>
          <w:szCs w:val="20"/>
          <w:color w:val="auto"/>
        </w:rPr>
        <w:t>to such increased costs or reductions is retroactive, then the six (6)-month period referred to above shall be extended to include the period of retroactive effect thereof).</w:t>
      </w:r>
    </w:p>
    <w:p>
      <w:pPr>
        <w:spacing w:after="0" w:line="19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Section 2.20. </w:t>
      </w:r>
      <w:r>
        <w:rPr>
          <w:rFonts w:ascii="Times New Roman" w:cs="Times New Roman" w:eastAsia="Times New Roman" w:hAnsi="Times New Roman"/>
          <w:sz w:val="20"/>
          <w:szCs w:val="20"/>
          <w:b w:val="1"/>
          <w:bCs w:val="1"/>
          <w:u w:val="single" w:color="auto"/>
          <w:color w:val="auto"/>
        </w:rPr>
        <w:t>Funding Indemnity</w:t>
      </w:r>
      <w:r>
        <w:rPr>
          <w:rFonts w:ascii="Times New Roman" w:cs="Times New Roman" w:eastAsia="Times New Roman" w:hAnsi="Times New Roman"/>
          <w:sz w:val="20"/>
          <w:szCs w:val="20"/>
          <w:color w:val="auto"/>
        </w:rPr>
        <w:t xml:space="preserve">. In the event of (a) the payment of any principal of a SOFR Loan other than on the last day of the Interest Period applicable thereto (including as a result of an Event of Default), (b) the conversion of a SOFR Loan other than on the last day of the Interest Period applicable thereto, (c) the failure by the Borrower to borrow, prepay, convert or continue any SOFR Loan on the date specified in any applicable notice (regardless of whether such notice is withdrawn or revoked but other than as a result of a notice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(d) the assignment of any SOFR Loan other than on the last day of the Interest Period applicable thereto as a result of a request by the Borrower pursuant to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then, in any such event, the Borrower shall compensate each Lender, within ten(10) Business Days after written demand from such Lender, for any loss, cost or expense attributable to such event. In the case of a SOFR Loan, such loss, cost or expense shall be deemed to include an amount determined by such Lender to be the excess, if any, of (A) the amount of interest that would have accrued on the principal amount of such SOFR Loan if such event had not occurred at Adjusted Term SOFR applicable to such SOFR Loan for the period from the date of such event to the last day of the then-current Interest Period therefor (or, in the case of a failure to borrow, convert or continue, for the period that would have been the Interest Period for such SOFR Loan) over (B) the amount of interest that would accrue on the principal amount of such SOFR Loan for the same period if Adjusted Term SOFR was set on the date such SOFR Loan was prepaid or converted or the date on which the Borrower failed to borrow, convert or continue such SOFR Loan. A certificate as to any additional amount payable under this Section submitted to the Borrower by any Lender (with a copy to the Administrative Agent) shall be conclusive, absent manifest error.</w:t>
      </w:r>
    </w:p>
    <w:p>
      <w:pPr>
        <w:spacing w:after="0" w:line="29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2.21.</w:t>
      </w:r>
      <w:r>
        <w:rPr>
          <w:sz w:val="20"/>
          <w:szCs w:val="20"/>
          <w:color w:val="auto"/>
        </w:rPr>
        <w:tab/>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328" w:lineRule="exact"/>
        <w:rPr>
          <w:sz w:val="20"/>
          <w:szCs w:val="20"/>
          <w:color w:val="auto"/>
        </w:rPr>
      </w:pPr>
    </w:p>
    <w:p>
      <w:pPr>
        <w:ind w:left="2160" w:hanging="856"/>
        <w:spacing w:after="0"/>
        <w:tabs>
          <w:tab w:leader="none" w:pos="21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the term “applicable law” includes FATCA.</w:t>
      </w:r>
    </w:p>
    <w:p>
      <w:pPr>
        <w:spacing w:after="0" w:line="242" w:lineRule="exact"/>
        <w:rPr>
          <w:rFonts w:ascii="Times New Roman" w:cs="Times New Roman" w:eastAsia="Times New Roman" w:hAnsi="Times New Roman"/>
          <w:sz w:val="20"/>
          <w:szCs w:val="20"/>
          <w:color w:val="auto"/>
        </w:rPr>
      </w:pPr>
    </w:p>
    <w:p>
      <w:pPr>
        <w:jc w:val="both"/>
        <w:ind w:firstLine="1304"/>
        <w:spacing w:after="0" w:line="255" w:lineRule="auto"/>
        <w:tabs>
          <w:tab w:leader="none" w:pos="2148"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w:t>
      </w:r>
      <w:r>
        <w:rPr>
          <w:rFonts w:ascii="Times New Roman" w:cs="Times New Roman" w:eastAsia="Times New Roman" w:hAnsi="Times New Roman"/>
          <w:sz w:val="19"/>
          <w:szCs w:val="19"/>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05" w:lineRule="exact"/>
        <w:rPr>
          <w:rFonts w:ascii="Times New Roman" w:cs="Times New Roman" w:eastAsia="Times New Roman" w:hAnsi="Times New Roman"/>
          <w:sz w:val="19"/>
          <w:szCs w:val="19"/>
          <w:color w:val="auto"/>
        </w:rPr>
      </w:pPr>
    </w:p>
    <w:p>
      <w:pPr>
        <w:jc w:val="both"/>
        <w:ind w:firstLine="1304"/>
        <w:spacing w:after="0" w:line="254" w:lineRule="auto"/>
        <w:tabs>
          <w:tab w:leader="none" w:pos="215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w:t>
      </w:r>
      <w:r>
        <w:rPr>
          <w:rFonts w:ascii="Times New Roman" w:cs="Times New Roman" w:eastAsia="Times New Roman" w:hAnsi="Times New Roman"/>
          <w:sz w:val="20"/>
          <w:szCs w:val="20"/>
          <w:color w:val="auto"/>
        </w:rPr>
        <w:t>. The Borrower shall timely pay to the relevant Governmental Authority in accordance with applicable law, or at the option of the Administrative Agent timely reimburse it for the payment of, any Other Taxes.</w:t>
      </w:r>
    </w:p>
    <w:p>
      <w:pPr>
        <w:spacing w:after="0" w:line="201" w:lineRule="exact"/>
        <w:rPr>
          <w:rFonts w:ascii="Times New Roman" w:cs="Times New Roman" w:eastAsia="Times New Roman" w:hAnsi="Times New Roman"/>
          <w:sz w:val="20"/>
          <w:szCs w:val="20"/>
          <w:color w:val="auto"/>
        </w:rPr>
      </w:pPr>
    </w:p>
    <w:p>
      <w:pPr>
        <w:jc w:val="both"/>
        <w:ind w:firstLine="1303"/>
        <w:spacing w:after="0" w:line="242" w:lineRule="auto"/>
        <w:tabs>
          <w:tab w:leader="none" w:pos="214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xml:space="preserve">. Without duplication of any additional amounts paid under </w:t>
      </w:r>
      <w:r>
        <w:rPr>
          <w:rFonts w:ascii="Times New Roman" w:cs="Times New Roman" w:eastAsia="Times New Roman" w:hAnsi="Times New Roman"/>
          <w:sz w:val="20"/>
          <w:szCs w:val="20"/>
          <w:u w:val="single" w:color="auto"/>
          <w:color w:val="auto"/>
        </w:rPr>
        <w:t>Sections 2.21(b)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hereof, the Borrower shall indemnify each Recipient (without duplication),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w:t>
      </w:r>
    </w:p>
    <w:p>
      <w:pPr>
        <w:sectPr>
          <w:pgSz w:w="11900" w:h="16838" w:orient="portrait"/>
          <w:cols w:equalWidth="0" w:num="1">
            <w:col w:w="10040"/>
          </w:cols>
          <w:pgMar w:left="1400" w:top="1332" w:right="459" w:bottom="1440" w:gutter="0" w:footer="0" w:header="0"/>
        </w:sectPr>
      </w:pPr>
    </w:p>
    <w:bookmarkStart w:id="157" w:name="page158"/>
    <w:bookmarkEnd w:id="157"/>
    <w:p>
      <w:pPr>
        <w:jc w:val="both"/>
        <w:spacing w:after="0" w:line="254" w:lineRule="auto"/>
        <w:rPr>
          <w:sz w:val="20"/>
          <w:szCs w:val="20"/>
          <w:color w:val="auto"/>
        </w:rPr>
      </w:pPr>
      <w:r>
        <w:rPr>
          <w:rFonts w:ascii="Times New Roman" w:cs="Times New Roman" w:eastAsia="Times New Roman" w:hAnsi="Times New Roman"/>
          <w:sz w:val="20"/>
          <w:szCs w:val="20"/>
          <w:color w:val="auto"/>
        </w:rPr>
        <w:t>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1" w:lineRule="exact"/>
        <w:rPr>
          <w:sz w:val="20"/>
          <w:szCs w:val="20"/>
          <w:color w:val="auto"/>
        </w:rPr>
      </w:pPr>
    </w:p>
    <w:p>
      <w:pPr>
        <w:jc w:val="both"/>
        <w:ind w:firstLine="1304"/>
        <w:spacing w:after="0"/>
        <w:tabs>
          <w:tab w:leader="none" w:pos="215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ten (10) Business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jc w:val="both"/>
        <w:ind w:firstLine="1304"/>
        <w:spacing w:after="0" w:line="243" w:lineRule="auto"/>
        <w:tabs>
          <w:tab w:leader="none" w:pos="157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the Borrower or any other Loan Party to a Governmental Authority pursuant to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the Borrower or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12" w:lineRule="exact"/>
        <w:rPr>
          <w:rFonts w:ascii="Times New Roman" w:cs="Times New Roman" w:eastAsia="Times New Roman" w:hAnsi="Times New Roman"/>
          <w:sz w:val="20"/>
          <w:szCs w:val="20"/>
          <w:color w:val="auto"/>
        </w:rPr>
      </w:pPr>
    </w:p>
    <w:p>
      <w:pPr>
        <w:ind w:left="2160" w:hanging="856"/>
        <w:spacing w:after="0"/>
        <w:tabs>
          <w:tab w:leader="none" w:pos="21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323" w:lineRule="exact"/>
        <w:rPr>
          <w:rFonts w:ascii="Times New Roman" w:cs="Times New Roman" w:eastAsia="Times New Roman" w:hAnsi="Times New Roman"/>
          <w:sz w:val="20"/>
          <w:szCs w:val="20"/>
          <w:color w:val="auto"/>
        </w:rPr>
      </w:pPr>
    </w:p>
    <w:p>
      <w:pPr>
        <w:jc w:val="both"/>
        <w:ind w:left="660" w:firstLine="1291"/>
        <w:spacing w:after="0"/>
        <w:tabs>
          <w:tab w:leader="none" w:pos="279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2.21(g)(ii)(A)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2.21(g)(ii)(B) and 2.21(g)(ii)(D)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Solely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2.21(g)</w:t>
      </w:r>
      <w:r>
        <w:rPr>
          <w:rFonts w:ascii="Times New Roman" w:cs="Times New Roman" w:eastAsia="Times New Roman" w:hAnsi="Times New Roman"/>
          <w:sz w:val="20"/>
          <w:szCs w:val="20"/>
          <w:color w:val="auto"/>
        </w:rPr>
        <w:t>, the Administrative Agent shall be considered to be a Lender (and if applicable, a Foreign Lender).</w:t>
      </w:r>
    </w:p>
    <w:p>
      <w:pPr>
        <w:spacing w:after="0" w:line="222" w:lineRule="exact"/>
        <w:rPr>
          <w:rFonts w:ascii="Times New Roman" w:cs="Times New Roman" w:eastAsia="Times New Roman" w:hAnsi="Times New Roman"/>
          <w:sz w:val="20"/>
          <w:szCs w:val="20"/>
          <w:color w:val="auto"/>
        </w:rPr>
      </w:pPr>
    </w:p>
    <w:p>
      <w:pPr>
        <w:ind w:left="2600" w:hanging="649"/>
        <w:spacing w:after="0"/>
        <w:tabs>
          <w:tab w:leader="none" w:pos="260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42" w:lineRule="exact"/>
        <w:rPr>
          <w:rFonts w:ascii="Times New Roman" w:cs="Times New Roman" w:eastAsia="Times New Roman" w:hAnsi="Times New Roman"/>
          <w:sz w:val="20"/>
          <w:szCs w:val="20"/>
          <w:color w:val="auto"/>
        </w:rPr>
      </w:pPr>
    </w:p>
    <w:p>
      <w:pPr>
        <w:jc w:val="both"/>
        <w:ind w:left="1300" w:firstLine="1299"/>
        <w:spacing w:after="0" w:line="243" w:lineRule="auto"/>
        <w:tabs>
          <w:tab w:leader="none" w:pos="3451"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ectPr>
          <w:pgSz w:w="11900" w:h="16838" w:orient="portrait"/>
          <w:cols w:equalWidth="0" w:num="1">
            <w:col w:w="10040"/>
          </w:cols>
          <w:pgMar w:left="1400" w:top="1332" w:right="459" w:bottom="1440" w:gutter="0" w:footer="0" w:header="0"/>
        </w:sectPr>
      </w:pPr>
    </w:p>
    <w:bookmarkStart w:id="158" w:name="page159"/>
    <w:bookmarkEnd w:id="158"/>
    <w:p>
      <w:pPr>
        <w:spacing w:after="0" w:line="149" w:lineRule="exact"/>
        <w:rPr>
          <w:sz w:val="20"/>
          <w:szCs w:val="20"/>
          <w:color w:val="auto"/>
        </w:rPr>
      </w:pPr>
    </w:p>
    <w:p>
      <w:pPr>
        <w:jc w:val="both"/>
        <w:ind w:left="1260" w:right="40" w:firstLine="1299"/>
        <w:spacing w:after="0" w:line="253" w:lineRule="auto"/>
        <w:tabs>
          <w:tab w:leader="none" w:pos="3414"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18" w:lineRule="exact"/>
        <w:rPr>
          <w:rFonts w:ascii="Times New Roman" w:cs="Times New Roman" w:eastAsia="Times New Roman" w:hAnsi="Times New Roman"/>
          <w:sz w:val="20"/>
          <w:szCs w:val="20"/>
          <w:color w:val="auto"/>
        </w:rPr>
      </w:pPr>
    </w:p>
    <w:p>
      <w:pPr>
        <w:jc w:val="both"/>
        <w:ind w:left="1920" w:right="40" w:firstLine="1287"/>
        <w:spacing w:after="0" w:line="253" w:lineRule="auto"/>
        <w:tabs>
          <w:tab w:leader="none" w:pos="3492" w:val="left"/>
        </w:tabs>
        <w:numPr>
          <w:ilvl w:val="3"/>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forms) establishing an exemption from, or reduction of, U.S. federal withholding Tax pursuant to the “interest” article of such tax treaty and (y) with respect to any other applicable payments under any Loan Document, IRS Form W-8BEN or IRS Form W-8BEN-E (as applicable, or any successor forms) establishing an exemption from, or reduction of, U.S. federal withholding Tax pursuant to the “business profits” or “other income” article of such tax treaty;</w:t>
      </w:r>
    </w:p>
    <w:p>
      <w:pPr>
        <w:spacing w:after="0" w:line="220" w:lineRule="exact"/>
        <w:rPr>
          <w:rFonts w:ascii="Times New Roman" w:cs="Times New Roman" w:eastAsia="Times New Roman" w:hAnsi="Times New Roman"/>
          <w:sz w:val="20"/>
          <w:szCs w:val="20"/>
          <w:color w:val="auto"/>
        </w:rPr>
      </w:pPr>
    </w:p>
    <w:p>
      <w:pPr>
        <w:ind w:left="4060" w:hanging="853"/>
        <w:spacing w:after="0"/>
        <w:tabs>
          <w:tab w:leader="none" w:pos="4060" w:val="left"/>
        </w:tabs>
        <w:numPr>
          <w:ilvl w:val="3"/>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IRS Form W-8ECI (or any successor forms);</w:t>
      </w:r>
    </w:p>
    <w:p>
      <w:pPr>
        <w:spacing w:after="0" w:line="323" w:lineRule="exact"/>
        <w:rPr>
          <w:rFonts w:ascii="Times New Roman" w:cs="Times New Roman" w:eastAsia="Times New Roman" w:hAnsi="Times New Roman"/>
          <w:sz w:val="20"/>
          <w:szCs w:val="20"/>
          <w:color w:val="auto"/>
        </w:rPr>
      </w:pPr>
    </w:p>
    <w:p>
      <w:pPr>
        <w:jc w:val="both"/>
        <w:ind w:left="1920" w:right="40" w:firstLine="1287"/>
        <w:spacing w:after="0" w:line="251" w:lineRule="auto"/>
        <w:tabs>
          <w:tab w:leader="none" w:pos="4080" w:val="left"/>
        </w:tabs>
        <w:numPr>
          <w:ilvl w:val="3"/>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2.21A</w:t>
      </w:r>
      <w:r>
        <w:rPr>
          <w:rFonts w:ascii="Times New Roman" w:cs="Times New Roman" w:eastAsia="Times New Roman" w:hAnsi="Times New Roman"/>
          <w:sz w:val="20"/>
          <w:szCs w:val="20"/>
          <w:color w:val="auto"/>
        </w:rPr>
        <w:t xml:space="preserve"> to the effect that such Foreign Lender is not a “bank” described in Section 881(c)(3)</w:t>
      </w:r>
    </w:p>
    <w:p>
      <w:pPr>
        <w:spacing w:after="0" w:line="2" w:lineRule="exact"/>
        <w:rPr>
          <w:rFonts w:ascii="Times New Roman" w:cs="Times New Roman" w:eastAsia="Times New Roman" w:hAnsi="Times New Roman"/>
          <w:sz w:val="20"/>
          <w:szCs w:val="20"/>
          <w:color w:val="auto"/>
        </w:rPr>
      </w:pPr>
    </w:p>
    <w:p>
      <w:pPr>
        <w:ind w:left="2240" w:hanging="329"/>
        <w:spacing w:after="0"/>
        <w:tabs>
          <w:tab w:leader="none" w:pos="22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a “10 percent shareholder” of the Borrower within the meaning of Section 881(c)(3)</w:t>
      </w:r>
    </w:p>
    <w:p>
      <w:pPr>
        <w:spacing w:after="0" w:line="6" w:lineRule="exact"/>
        <w:rPr>
          <w:rFonts w:ascii="Times New Roman" w:cs="Times New Roman" w:eastAsia="Times New Roman" w:hAnsi="Times New Roman"/>
          <w:sz w:val="20"/>
          <w:szCs w:val="20"/>
          <w:color w:val="auto"/>
        </w:rPr>
      </w:pPr>
    </w:p>
    <w:p>
      <w:pPr>
        <w:ind w:left="1920" w:right="40" w:hanging="9"/>
        <w:spacing w:after="0" w:line="250" w:lineRule="auto"/>
        <w:tabs>
          <w:tab w:leader="none" w:pos="224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w:t>
      </w:r>
    </w:p>
    <w:p>
      <w:pPr>
        <w:ind w:left="2200" w:hanging="288"/>
        <w:spacing w:after="0"/>
        <w:tabs>
          <w:tab w:leader="none" w:pos="2200"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originals of IRS Form W-8BEN or IRS Form W-8BEN-E (as applicable, or any successor</w:t>
      </w:r>
    </w:p>
    <w:p>
      <w:pPr>
        <w:spacing w:after="0" w:line="1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forms); or</w:t>
      </w:r>
    </w:p>
    <w:p>
      <w:pPr>
        <w:spacing w:after="0" w:line="241" w:lineRule="exact"/>
        <w:rPr>
          <w:sz w:val="20"/>
          <w:szCs w:val="20"/>
          <w:color w:val="auto"/>
        </w:rPr>
      </w:pPr>
    </w:p>
    <w:p>
      <w:pPr>
        <w:jc w:val="both"/>
        <w:ind w:left="1920" w:right="40" w:firstLine="1287"/>
        <w:spacing w:after="0" w:line="252" w:lineRule="auto"/>
        <w:tabs>
          <w:tab w:leader="none" w:pos="4069"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originals of IRS Form W-8IMY, accompanied by IRS Form W-8ECI, IRS Form W-8BEN or IRS Form W-8BEN-E (as applicable, or any successor forms), a U.S. Tax Compliance Certificate substantially in the form of </w:t>
      </w:r>
      <w:r>
        <w:rPr>
          <w:rFonts w:ascii="Times New Roman" w:cs="Times New Roman" w:eastAsia="Times New Roman" w:hAnsi="Times New Roman"/>
          <w:sz w:val="20"/>
          <w:szCs w:val="20"/>
          <w:u w:val="single" w:color="auto"/>
          <w:color w:val="auto"/>
        </w:rPr>
        <w:t>Exhibit 2.21B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2.21C</w:t>
      </w:r>
      <w:r>
        <w:rPr>
          <w:rFonts w:ascii="Times New Roman" w:cs="Times New Roman" w:eastAsia="Times New Roman" w:hAnsi="Times New Roman"/>
          <w:sz w:val="20"/>
          <w:szCs w:val="20"/>
          <w:color w:val="auto"/>
        </w:rPr>
        <w:t xml:space="preserve">, IRS Form W-9 (or any successor forms),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2.21D</w:t>
      </w:r>
      <w:r>
        <w:rPr>
          <w:rFonts w:ascii="Times New Roman" w:cs="Times New Roman" w:eastAsia="Times New Roman" w:hAnsi="Times New Roman"/>
          <w:sz w:val="20"/>
          <w:szCs w:val="20"/>
          <w:color w:val="auto"/>
        </w:rPr>
        <w:t xml:space="preserve"> on behalf of each such direct and indirect partner;</w:t>
      </w:r>
    </w:p>
    <w:p>
      <w:pPr>
        <w:spacing w:after="0" w:line="297" w:lineRule="exact"/>
        <w:rPr>
          <w:rFonts w:ascii="Times New Roman" w:cs="Times New Roman" w:eastAsia="Times New Roman" w:hAnsi="Times New Roman"/>
          <w:sz w:val="20"/>
          <w:szCs w:val="20"/>
          <w:color w:val="auto"/>
        </w:rPr>
      </w:pPr>
    </w:p>
    <w:p>
      <w:pPr>
        <w:jc w:val="both"/>
        <w:ind w:left="1260" w:right="40" w:firstLine="1299"/>
        <w:spacing w:after="0" w:line="257" w:lineRule="auto"/>
        <w:tabs>
          <w:tab w:leader="none" w:pos="341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w:t>
      </w:r>
    </w:p>
    <w:p>
      <w:pPr>
        <w:sectPr>
          <w:pgSz w:w="11900" w:h="16838" w:orient="portrait"/>
          <w:cols w:equalWidth="0" w:num="1">
            <w:col w:w="10040"/>
          </w:cols>
          <w:pgMar w:left="1440" w:top="1440" w:right="419" w:bottom="1440" w:gutter="0" w:footer="0" w:header="0"/>
        </w:sectPr>
      </w:pPr>
    </w:p>
    <w:bookmarkStart w:id="159" w:name="page160"/>
    <w:bookmarkEnd w:id="159"/>
    <w:p>
      <w:pPr>
        <w:jc w:val="both"/>
        <w:ind w:left="1300" w:right="120"/>
        <w:spacing w:after="0" w:line="268" w:lineRule="auto"/>
        <w:rPr>
          <w:sz w:val="20"/>
          <w:szCs w:val="20"/>
          <w:color w:val="auto"/>
        </w:rPr>
      </w:pPr>
      <w:r>
        <w:rPr>
          <w:rFonts w:ascii="Times New Roman" w:cs="Times New Roman" w:eastAsia="Times New Roman" w:hAnsi="Times New Roman"/>
          <w:sz w:val="20"/>
          <w:szCs w:val="20"/>
          <w:color w:val="auto"/>
        </w:rPr>
        <w:t>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2" w:lineRule="exact"/>
        <w:rPr>
          <w:sz w:val="20"/>
          <w:szCs w:val="20"/>
          <w:color w:val="auto"/>
        </w:rPr>
      </w:pPr>
    </w:p>
    <w:p>
      <w:pPr>
        <w:jc w:val="both"/>
        <w:ind w:left="1300" w:right="120" w:firstLine="1299"/>
        <w:spacing w:after="0" w:line="239" w:lineRule="auto"/>
        <w:tabs>
          <w:tab w:leader="none" w:pos="345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35"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Each Lender hereby agrees that if any form or certification it previously delivered becomes inaccurate in any respect, it shall update such form or certification or promptly notify the Borrower and the Administrative Agent in writing of its legal inability to do so.</w:t>
      </w:r>
    </w:p>
    <w:p>
      <w:pPr>
        <w:spacing w:after="0" w:line="269" w:lineRule="exact"/>
        <w:rPr>
          <w:sz w:val="20"/>
          <w:szCs w:val="20"/>
          <w:color w:val="auto"/>
        </w:rPr>
      </w:pPr>
    </w:p>
    <w:p>
      <w:pPr>
        <w:jc w:val="both"/>
        <w:ind w:right="120" w:firstLine="1303"/>
        <w:spacing w:after="0" w:line="253" w:lineRule="auto"/>
        <w:tabs>
          <w:tab w:leader="none" w:pos="2147"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(including by the payment of additional amounts pursuant to this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in no event shall the indemnified party be required to pay any amount to an indemnifying party pursuant to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3" w:lineRule="exact"/>
        <w:rPr>
          <w:rFonts w:ascii="Times New Roman" w:cs="Times New Roman" w:eastAsia="Times New Roman" w:hAnsi="Times New Roman"/>
          <w:sz w:val="19"/>
          <w:szCs w:val="19"/>
          <w:color w:val="auto"/>
        </w:rPr>
      </w:pPr>
    </w:p>
    <w:p>
      <w:pPr>
        <w:jc w:val="both"/>
        <w:ind w:firstLine="1303"/>
        <w:spacing w:after="0" w:line="245" w:lineRule="auto"/>
        <w:tabs>
          <w:tab w:leader="none" w:pos="199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 Treatment. Each Lender and the Loan Parties agree (a) that </w:t>
      </w:r>
      <w:r>
        <w:rPr>
          <w:rFonts w:ascii="Times New Roman" w:cs="Times New Roman" w:eastAsia="Times New Roman" w:hAnsi="Times New Roman"/>
          <w:sz w:val="20"/>
          <w:szCs w:val="20"/>
          <w:color w:val="FF0000"/>
        </w:rPr>
        <w:t>the Loans</w:t>
      </w:r>
      <w:r>
        <w:rPr>
          <w:rFonts w:ascii="Times New Roman" w:cs="Times New Roman" w:eastAsia="Times New Roman" w:hAnsi="Times New Roman"/>
          <w:sz w:val="20"/>
          <w:szCs w:val="20"/>
          <w:u w:val="single" w:color="auto"/>
          <w:color w:val="0000FF"/>
        </w:rPr>
        <w:t>, as of the Closing Date,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Initial Term Loans (but not, for the avoidance of doubt, Second Amendment Term 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the Warrants together constitute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 “investment unit” for purposes of Section 1273(c)(2) of the Code, (b) that</w:t>
      </w:r>
      <w:r>
        <w:rPr>
          <w:rFonts w:ascii="Times New Roman" w:cs="Times New Roman" w:eastAsia="Times New Roman" w:hAnsi="Times New Roman"/>
          <w:sz w:val="20"/>
          <w:szCs w:val="20"/>
          <w:u w:val="single" w:color="auto"/>
          <w:color w:val="0000FF"/>
        </w:rPr>
        <w:t>, as of the Closing Date,</w:t>
      </w:r>
      <w:r>
        <w:rPr>
          <w:rFonts w:ascii="Times New Roman" w:cs="Times New Roman" w:eastAsia="Times New Roman" w:hAnsi="Times New Roman"/>
          <w:sz w:val="20"/>
          <w:szCs w:val="20"/>
          <w:color w:val="000000"/>
        </w:rPr>
        <w:t xml:space="preserve"> for purposes of the allocation of the issue price of such investment unit among the </w:t>
      </w:r>
      <w:r>
        <w:rPr>
          <w:rFonts w:ascii="Times New Roman" w:cs="Times New Roman" w:eastAsia="Times New Roman" w:hAnsi="Times New Roman"/>
          <w:sz w:val="20"/>
          <w:szCs w:val="20"/>
          <w:u w:val="single" w:color="auto"/>
          <w:color w:val="0000FF"/>
        </w:rPr>
        <w:t>Initial Term</w:t>
      </w:r>
      <w:r>
        <w:rPr>
          <w:rFonts w:ascii="Times New Roman" w:cs="Times New Roman" w:eastAsia="Times New Roman" w:hAnsi="Times New Roman"/>
          <w:sz w:val="20"/>
          <w:szCs w:val="20"/>
          <w:color w:val="000000"/>
        </w:rPr>
        <w:t xml:space="preserve"> Loans and the Warrants in accordance with Section 1273(c)(2) of the Code and U.S. Treasury Regulation Section 1.1273-2(h), after the Closing Date each BlackRock Lender, Holdings and the Borrower shall promptly agree on the allocation of the issue price that shall be allocated to the </w:t>
      </w:r>
      <w:r>
        <w:rPr>
          <w:rFonts w:ascii="Times New Roman" w:cs="Times New Roman" w:eastAsia="Times New Roman" w:hAnsi="Times New Roman"/>
          <w:sz w:val="20"/>
          <w:szCs w:val="20"/>
          <w:u w:val="single" w:color="auto"/>
          <w:color w:val="0000FF"/>
        </w:rPr>
        <w:t>Initial Term</w:t>
      </w:r>
      <w:r>
        <w:rPr>
          <w:rFonts w:ascii="Times New Roman" w:cs="Times New Roman" w:eastAsia="Times New Roman" w:hAnsi="Times New Roman"/>
          <w:sz w:val="20"/>
          <w:szCs w:val="20"/>
          <w:color w:val="000000"/>
        </w:rPr>
        <w:t xml:space="preserve"> Loans and the Warrants</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and (c) not to take any actions inconsistent with such allocation, except as otherwise required by a “determination” within the meaning of Section 1313(a) of the Code. </w:t>
      </w:r>
      <w:r>
        <w:rPr>
          <w:rFonts w:ascii="Times New Roman" w:cs="Times New Roman" w:eastAsia="Times New Roman" w:hAnsi="Times New Roman"/>
          <w:sz w:val="20"/>
          <w:szCs w:val="20"/>
          <w:color w:val="0000FF"/>
        </w:rPr>
        <w: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-1108710</wp:posOffset>
            </wp:positionV>
            <wp:extent cx="5321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532130" cy="8255"/>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-28575</wp:posOffset>
            </wp:positionV>
            <wp:extent cx="1708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ectPr>
          <w:pgSz w:w="11900" w:h="16838" w:orient="portrait"/>
          <w:cols w:equalWidth="0" w:num="1">
            <w:col w:w="10160"/>
          </w:cols>
          <w:pgMar w:left="1400" w:top="1413" w:right="339" w:bottom="1440" w:gutter="0" w:footer="0" w:header="0"/>
        </w:sectPr>
      </w:pPr>
    </w:p>
    <w:bookmarkStart w:id="160" w:name="page161"/>
    <w:bookmarkEnd w:id="160"/>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0000FF"/>
        </w:rPr>
        <w:t xml:space="preserve">of the Second Amendment Effective Date, Borrower and the Lenders of the Initial Term Loans agree to treat the outstanding aggregate principal amount of the Initial Term Loans as significantly modified within the meaning of Section 1.1001-3(e) of the United States Treasury Regulations, and the parties shall not take any position inconsistent with such treatment except as otherwise required by a “determination” within the meaning of Section 1313(a) of the Code. The Borrower and the Lenders of the Initial Term Loans intend to treat the Second Amendment as a </w:t>
      </w:r>
      <w:r>
        <w:rPr>
          <w:rFonts w:ascii="Calibri" w:cs="Calibri" w:eastAsia="Calibri" w:hAnsi="Calibri"/>
          <w:sz w:val="20"/>
          <w:szCs w:val="20"/>
          <w:u w:val="single" w:color="auto"/>
          <w:color w:val="0000FF"/>
        </w:rPr>
        <w:t>“</w:t>
      </w:r>
      <w:r>
        <w:rPr>
          <w:rFonts w:ascii="Times New Roman" w:cs="Times New Roman" w:eastAsia="Times New Roman" w:hAnsi="Times New Roman"/>
          <w:sz w:val="20"/>
          <w:szCs w:val="20"/>
          <w:u w:val="single" w:color="auto"/>
          <w:color w:val="0000FF"/>
        </w:rPr>
        <w:t>recapitalization</w:t>
      </w:r>
      <w:r>
        <w:rPr>
          <w:rFonts w:ascii="Calibri" w:cs="Calibri" w:eastAsia="Calibri" w:hAnsi="Calibri"/>
          <w:sz w:val="20"/>
          <w:szCs w:val="20"/>
          <w:u w:val="single" w:color="auto"/>
          <w:color w:val="0000FF"/>
        </w:rPr>
        <w:t>”</w:t>
      </w:r>
      <w:r>
        <w:rPr>
          <w:rFonts w:ascii="Times New Roman" w:cs="Times New Roman" w:eastAsia="Times New Roman" w:hAnsi="Times New Roman"/>
          <w:sz w:val="20"/>
          <w:szCs w:val="20"/>
          <w:u w:val="single" w:color="auto"/>
          <w:color w:val="0000FF"/>
        </w:rPr>
        <w:t xml:space="preserve"> with respect to the outstanding aggregate</w:t>
      </w:r>
    </w:p>
    <w:p>
      <w:pPr>
        <w:spacing w:after="0" w:line="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u w:val="single" w:color="auto"/>
          <w:color w:val="0000FF"/>
        </w:rPr>
        <w:t>principal amount of the Initial Term Loans pursuant to section 368(a)(1)(E) of the Code and the Borrower and the Lenders agree to report the Second Amendment as such to the extent permitted to do so and this position is not challenged.</w:t>
      </w:r>
    </w:p>
    <w:p>
      <w:pPr>
        <w:spacing w:after="0" w:line="215" w:lineRule="exact"/>
        <w:rPr>
          <w:sz w:val="20"/>
          <w:szCs w:val="20"/>
          <w:color w:val="auto"/>
        </w:rPr>
      </w:pPr>
    </w:p>
    <w:p>
      <w:pPr>
        <w:jc w:val="both"/>
        <w:ind w:right="120" w:firstLine="1304"/>
        <w:spacing w:after="0" w:line="247" w:lineRule="auto"/>
        <w:tabs>
          <w:tab w:leader="none" w:pos="195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Term Loan Commitments and the repayment, satisfaction or discharge of all obligations under any Loan Document.</w:t>
      </w:r>
    </w:p>
    <w:p>
      <w:pPr>
        <w:spacing w:after="0" w:line="20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0"/>
          <w:szCs w:val="20"/>
          <w:color w:val="auto"/>
        </w:rPr>
        <w:t>Section 2.22.</w:t>
      </w:r>
      <w:r>
        <w:rPr>
          <w:sz w:val="20"/>
          <w:szCs w:val="20"/>
          <w:color w:val="auto"/>
        </w:rPr>
        <w:tab/>
      </w:r>
      <w:r>
        <w:rPr>
          <w:rFonts w:ascii="Times New Roman" w:cs="Times New Roman" w:eastAsia="Times New Roman" w:hAnsi="Times New Roman"/>
          <w:sz w:val="19"/>
          <w:szCs w:val="19"/>
          <w:b w:val="1"/>
          <w:bCs w:val="1"/>
          <w:u w:val="single" w:color="auto"/>
          <w:color w:val="auto"/>
        </w:rPr>
        <w:t>Payments Generally; Pro Rata Treatment; Sharing of Set-offs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right="120" w:firstLine="1303"/>
        <w:spacing w:after="0" w:line="239" w:lineRule="auto"/>
        <w:tabs>
          <w:tab w:leader="none" w:pos="215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make each payment required to be made by it hereunder (whether of principal, interest, fees or of amounts payable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or otherwise) prior to 2:00 p.m. (New York City time)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that payments pursuant to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pacing w:after="0" w:line="221" w:lineRule="exact"/>
        <w:rPr>
          <w:rFonts w:ascii="Times New Roman" w:cs="Times New Roman" w:eastAsia="Times New Roman" w:hAnsi="Times New Roman"/>
          <w:sz w:val="20"/>
          <w:szCs w:val="20"/>
          <w:color w:val="auto"/>
        </w:rPr>
      </w:pPr>
    </w:p>
    <w:p>
      <w:pPr>
        <w:jc w:val="both"/>
        <w:ind w:right="120" w:firstLine="1303"/>
        <w:spacing w:after="0" w:line="242" w:lineRule="auto"/>
        <w:tabs>
          <w:tab w:leader="none" w:pos="214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interest and fees then due hereunder, such funds shall be applied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all fees, indemnities and reimbursable expenses of the Administrative Agent and the Lenders then due and payable pursuant to any of the Loan Documents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based on their respective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shares of such fees and expenses);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all interest and fees then due and payable hereunder,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the Lenders based on their respective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shares of such interest and fees;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all principal of the Loans then due and payable hereunder,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the parties entitled thereto based on their respective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shares of such principal.</w:t>
      </w:r>
    </w:p>
    <w:p>
      <w:pPr>
        <w:spacing w:after="0" w:line="226" w:lineRule="exact"/>
        <w:rPr>
          <w:rFonts w:ascii="Times New Roman" w:cs="Times New Roman" w:eastAsia="Times New Roman" w:hAnsi="Times New Roman"/>
          <w:sz w:val="20"/>
          <w:szCs w:val="20"/>
          <w:color w:val="auto"/>
        </w:rPr>
      </w:pPr>
    </w:p>
    <w:p>
      <w:pPr>
        <w:jc w:val="both"/>
        <w:ind w:right="120" w:firstLine="1303"/>
        <w:spacing w:after="0" w:line="255" w:lineRule="auto"/>
        <w:tabs>
          <w:tab w:leader="none" w:pos="215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shall, by exercising any right of set-off or counterclaim or otherwise, obtain payment in respect of any principal of, or interest on, any of its Term Loans that would result in such Lender receiving payment of a greater proportion of the aggregate amount of Term Loans and accrued interest and fees thereon than the proportion received by any other Lender with respect to its Term Loans, then the Lender receiving such greater proportion shall purchase (for cash at face value) participations in Term Loans of other Lenders to the extent necessary so that the benefit of all such payments shall be shared by the Lenders ratably in accordance with the aggregate amount of principal of and accrued interest on their respective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or any payment obtained by a</w:t>
      </w:r>
    </w:p>
    <w:p>
      <w:pPr>
        <w:sectPr>
          <w:pgSz w:w="11900" w:h="16838" w:orient="portrait"/>
          <w:cols w:equalWidth="0" w:num="1">
            <w:col w:w="10160"/>
          </w:cols>
          <w:pgMar w:left="1400" w:top="1332" w:right="339" w:bottom="1440" w:gutter="0" w:footer="0" w:header="0"/>
        </w:sectPr>
      </w:pPr>
    </w:p>
    <w:bookmarkStart w:id="161" w:name="page162"/>
    <w:bookmarkEnd w:id="161"/>
    <w:p>
      <w:pPr>
        <w:jc w:val="both"/>
        <w:ind w:left="20" w:right="120"/>
        <w:spacing w:after="0" w:line="245" w:lineRule="auto"/>
        <w:rPr>
          <w:sz w:val="20"/>
          <w:szCs w:val="20"/>
          <w:color w:val="auto"/>
        </w:rPr>
      </w:pPr>
      <w:r>
        <w:rPr>
          <w:rFonts w:ascii="Times New Roman" w:cs="Times New Roman" w:eastAsia="Times New Roman" w:hAnsi="Times New Roman"/>
          <w:sz w:val="20"/>
          <w:szCs w:val="20"/>
          <w:color w:val="auto"/>
        </w:rPr>
        <w:t>Lender as consideration for the assignment of or sale of a participation in any of its Term Loans to any assignee or participant, other than to the Borrower or any Subsidiary or Affiliate thereof (as to which the provisions of this subsection shall apply). The Borrower hereby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8" w:lineRule="exact"/>
        <w:rPr>
          <w:sz w:val="20"/>
          <w:szCs w:val="20"/>
          <w:color w:val="auto"/>
        </w:rPr>
      </w:pPr>
    </w:p>
    <w:p>
      <w:pPr>
        <w:jc w:val="both"/>
        <w:ind w:left="20" w:right="120" w:firstLine="1303"/>
        <w:spacing w:after="0" w:line="241" w:lineRule="auto"/>
        <w:tabs>
          <w:tab w:leader="none" w:pos="216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or amounts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13"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2.23.</w:t>
      </w:r>
      <w:r>
        <w:rPr>
          <w:sz w:val="20"/>
          <w:szCs w:val="20"/>
          <w:color w:val="auto"/>
        </w:rPr>
        <w:tab/>
      </w:r>
      <w:r>
        <w:rPr>
          <w:rFonts w:ascii="Times New Roman" w:cs="Times New Roman" w:eastAsia="Times New Roman" w:hAnsi="Times New Roman"/>
          <w:sz w:val="19"/>
          <w:szCs w:val="19"/>
          <w:b w:val="1"/>
          <w:bCs w:val="1"/>
          <w:u w:val="single" w:color="auto"/>
          <w:color w:val="auto"/>
        </w:rPr>
        <w:t>[Reserved]</w:t>
      </w:r>
    </w:p>
    <w:p>
      <w:pPr>
        <w:spacing w:after="0" w:line="337"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2.24.</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24" w:lineRule="exact"/>
        <w:rPr>
          <w:sz w:val="20"/>
          <w:szCs w:val="20"/>
          <w:color w:val="auto"/>
        </w:rPr>
      </w:pPr>
    </w:p>
    <w:p>
      <w:pPr>
        <w:jc w:val="both"/>
        <w:ind w:left="20" w:right="120"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2.25. </w:t>
      </w:r>
      <w:r>
        <w:rPr>
          <w:rFonts w:ascii="Times New Roman" w:cs="Times New Roman" w:eastAsia="Times New Roman" w:hAnsi="Times New Roman"/>
          <w:sz w:val="20"/>
          <w:szCs w:val="20"/>
          <w:b w:val="1"/>
          <w:bCs w:val="1"/>
          <w:u w:val="single" w:color="auto"/>
          <w:color w:val="auto"/>
        </w:rPr>
        <w:t>Mitigation of Obligations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if the Borrower is required to pay any Indemnified Taxes or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 hereby agrees to pay all costs and expenses incurred by any Lender in connection with such designation or assignment.</w:t>
      </w:r>
    </w:p>
    <w:p>
      <w:pPr>
        <w:spacing w:after="0" w:line="27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Section 2.26. </w:t>
      </w:r>
      <w:r>
        <w:rPr>
          <w:rFonts w:ascii="Times New Roman" w:cs="Times New Roman" w:eastAsia="Times New Roman" w:hAnsi="Times New Roman"/>
          <w:sz w:val="20"/>
          <w:szCs w:val="20"/>
          <w:b w:val="1"/>
          <w:bCs w:val="1"/>
          <w:u w:val="single" w:color="auto"/>
          <w:color w:val="auto"/>
        </w:rPr>
        <w:t>Replacement of Lenders</w:t>
      </w:r>
      <w:r>
        <w:rPr>
          <w:rFonts w:ascii="Times New Roman" w:cs="Times New Roman" w:eastAsia="Times New Roman" w:hAnsi="Times New Roman"/>
          <w:sz w:val="20"/>
          <w:szCs w:val="20"/>
          <w:color w:val="auto"/>
        </w:rPr>
        <w:t xml:space="preserve">. If (a) any Lender gives notice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(b) any Lender requests compensation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(c) the Borrower is required to pay any Indemnified Taxes or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(d) any Lender is a Defaulting Lender or (e) in connection with any proposed amendment, modification, termination, waiver or consent with respect to any of the provisions hereof as contemplated by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the consent of the Required Lenders shall have been obtained but the consent of one or more of such other Lenders (each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whose consent is required shall not have been obtained, then the Borrower may, at its sole expense and effort, upon notice to such Lender and the Administrative Agent, require such Lender to assign and delegate, without recourse (in accordance with and subject to the restrictions set forth in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as applicable) and obligations under this Agreement and the other Loan Documents to an assignee that shall assume such obligations (which assignee may be another Lender)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have received the prior written consent of the Administrative Agent (to the extent such consent is required for an assignment to such Replacement Lender pursuant to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w:t>
      </w:r>
    </w:p>
    <w:p>
      <w:pPr>
        <w:sectPr>
          <w:pgSz w:w="11900" w:h="16838" w:orient="portrait"/>
          <w:cols w:equalWidth="0" w:num="1">
            <w:col w:w="10180"/>
          </w:cols>
          <w:pgMar w:left="1380" w:top="1332" w:right="339" w:bottom="1440" w:gutter="0" w:footer="0" w:header="0"/>
        </w:sectPr>
      </w:pPr>
    </w:p>
    <w:bookmarkStart w:id="162" w:name="page163"/>
    <w:bookmarkEnd w:id="162"/>
    <w:p>
      <w:pPr>
        <w:jc w:val="both"/>
        <w:spacing w:after="0"/>
        <w:rPr>
          <w:sz w:val="20"/>
          <w:szCs w:val="20"/>
          <w:color w:val="auto"/>
        </w:rPr>
      </w:pPr>
      <w:r>
        <w:rPr>
          <w:rFonts w:ascii="Times New Roman" w:cs="Times New Roman" w:eastAsia="Times New Roman" w:hAnsi="Times New Roman"/>
          <w:sz w:val="20"/>
          <w:szCs w:val="20"/>
          <w:color w:val="auto"/>
        </w:rPr>
        <w:t xml:space="preserve">and from the Borrower (in the case of all other amounts) and (iii) in the case of a notice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 claim for compensation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such assignment shall result in elimination of the applicable illegality or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Upon receipt by the Lender being replaced of all amounts required to be paid by it pursuant to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such Lender shall execute an Assignment and Acceptance within two (2) Business Days of the date on which the Replacement Lender executes and delivers such Assignment and Assumption to the Lender (or such executed Assignment and Assumption is delivered by the Administrative Agent on behalf of the Replacement Lender). If the Lender does not execute such Assignment and Acceptance within such two (2) Business Days, then such Lender shall be deemed to have executed and delivered the Assignment and Assumption without any action on the part of the Lender and the Assignment and Assumption so executed by the Replacement Lender shall be effective for the purposes of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w:t>
      </w:r>
    </w:p>
    <w:p>
      <w:pPr>
        <w:spacing w:after="0" w:line="301"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2.27.</w:t>
      </w:r>
      <w:r>
        <w:rPr>
          <w:sz w:val="20"/>
          <w:szCs w:val="20"/>
          <w:color w:val="auto"/>
        </w:rPr>
        <w:tab/>
      </w:r>
      <w:r>
        <w:rPr>
          <w:rFonts w:ascii="Times New Roman" w:cs="Times New Roman" w:eastAsia="Times New Roman" w:hAnsi="Times New Roman"/>
          <w:sz w:val="19"/>
          <w:szCs w:val="19"/>
          <w:b w:val="1"/>
          <w:bCs w:val="1"/>
          <w:u w:val="single" w:color="auto"/>
          <w:color w:val="auto"/>
        </w:rPr>
        <w:t>Defaulting Lenders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ind w:left="2020" w:hanging="697"/>
        <w:spacing w:after="0"/>
        <w:tabs>
          <w:tab w:leader="none" w:pos="20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323" w:lineRule="exact"/>
        <w:rPr>
          <w:rFonts w:ascii="Times New Roman" w:cs="Times New Roman" w:eastAsia="Times New Roman" w:hAnsi="Times New Roman"/>
          <w:sz w:val="20"/>
          <w:szCs w:val="20"/>
          <w:color w:val="auto"/>
        </w:rPr>
      </w:pPr>
    </w:p>
    <w:p>
      <w:pPr>
        <w:jc w:val="both"/>
        <w:ind w:left="20" w:right="140" w:firstLine="1304"/>
        <w:spacing w:after="0" w:line="254" w:lineRule="auto"/>
        <w:tabs>
          <w:tab w:leader="none" w:pos="216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01" w:lineRule="exact"/>
        <w:rPr>
          <w:rFonts w:ascii="Times New Roman" w:cs="Times New Roman" w:eastAsia="Times New Roman" w:hAnsi="Times New Roman"/>
          <w:sz w:val="20"/>
          <w:szCs w:val="20"/>
          <w:color w:val="auto"/>
        </w:rPr>
      </w:pPr>
    </w:p>
    <w:p>
      <w:pPr>
        <w:jc w:val="both"/>
        <w:ind w:left="680" w:right="120" w:firstLine="1291"/>
        <w:spacing w:after="0" w:line="254" w:lineRule="auto"/>
        <w:tabs>
          <w:tab w:leader="none" w:pos="2532"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Defaulting Lender’s right to approve or disapprove any amendment, waiver or consent with respect to this Agreement shall be restricted as set forth in the definition of Required Lenders and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w:t>
      </w:r>
    </w:p>
    <w:p>
      <w:pPr>
        <w:spacing w:after="0" w:line="282" w:lineRule="exact"/>
        <w:rPr>
          <w:rFonts w:ascii="Times New Roman" w:cs="Times New Roman" w:eastAsia="Times New Roman" w:hAnsi="Times New Roman"/>
          <w:sz w:val="20"/>
          <w:szCs w:val="20"/>
          <w:color w:val="auto"/>
        </w:rPr>
      </w:pPr>
    </w:p>
    <w:p>
      <w:pPr>
        <w:ind w:left="2660" w:hanging="689"/>
        <w:spacing w:after="0"/>
        <w:tabs>
          <w:tab w:leader="none" w:pos="266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ind w:left="2660" w:hanging="689"/>
        <w:spacing w:after="0"/>
        <w:tabs>
          <w:tab w:leader="none" w:pos="266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ind w:left="2660" w:hanging="689"/>
        <w:spacing w:after="0"/>
        <w:tabs>
          <w:tab w:leader="none" w:pos="266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310" w:lineRule="exact"/>
        <w:rPr>
          <w:rFonts w:ascii="Times New Roman" w:cs="Times New Roman" w:eastAsia="Times New Roman" w:hAnsi="Times New Roman"/>
          <w:sz w:val="20"/>
          <w:szCs w:val="20"/>
          <w:color w:val="auto"/>
        </w:rPr>
      </w:pPr>
    </w:p>
    <w:p>
      <w:pPr>
        <w:jc w:val="both"/>
        <w:ind w:left="20" w:right="120" w:firstLine="1304"/>
        <w:spacing w:after="0" w:line="242" w:lineRule="auto"/>
        <w:tabs>
          <w:tab w:leader="none" w:pos="217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and the Administrative Agent agree in writing that a Lender is no longer a Defaulting Lender, the Administrative Agent shall so notify the parties hereto, whereupon as of the effective date specified in such notice, and subject to any conditions set forth therein, that Lender shall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to by the affected parties, no change hereunder from Defaulting Lender to Lender shall constitute a waiver or release of any claim of any party hereunder arising from that Lender having been a Defaulting Lender.</w:t>
      </w:r>
    </w:p>
    <w:p>
      <w:pPr>
        <w:spacing w:after="0" w:line="215" w:lineRule="exact"/>
        <w:rPr>
          <w:rFonts w:ascii="Times New Roman" w:cs="Times New Roman" w:eastAsia="Times New Roman" w:hAnsi="Times New Roman"/>
          <w:sz w:val="20"/>
          <w:szCs w:val="20"/>
          <w:color w:val="auto"/>
        </w:rPr>
      </w:pPr>
    </w:p>
    <w:p>
      <w:pPr>
        <w:ind w:left="2000" w:hanging="677"/>
        <w:spacing w:after="0"/>
        <w:tabs>
          <w:tab w:leader="none" w:pos="20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3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u w:val="single" w:color="auto"/>
          <w:color w:val="auto"/>
        </w:rPr>
        <w:t>ARTICLE III</w:t>
      </w:r>
    </w:p>
    <w:p>
      <w:pPr>
        <w:spacing w:after="0" w:line="32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LOANS</w:t>
      </w:r>
    </w:p>
    <w:p>
      <w:pPr>
        <w:spacing w:after="0" w:line="324" w:lineRule="exact"/>
        <w:rPr>
          <w:sz w:val="20"/>
          <w:szCs w:val="20"/>
          <w:color w:val="auto"/>
        </w:rPr>
      </w:pPr>
    </w:p>
    <w:p>
      <w:pPr>
        <w:ind w:left="20" w:right="300"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color w:val="auto"/>
        </w:rPr>
        <w:t xml:space="preserve">. This Agreement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ectPr>
          <w:pgSz w:w="11900" w:h="16838" w:orient="portrait"/>
          <w:cols w:equalWidth="0" w:num="1">
            <w:col w:w="10180"/>
          </w:cols>
          <w:pgMar w:left="1380" w:top="1399" w:right="339" w:bottom="1440" w:gutter="0" w:footer="0" w:header="0"/>
        </w:sectPr>
      </w:pPr>
    </w:p>
    <w:bookmarkStart w:id="163" w:name="page164"/>
    <w:bookmarkEnd w:id="163"/>
    <w:p>
      <w:pPr>
        <w:jc w:val="both"/>
        <w:ind w:left="-40" w:firstLine="1303"/>
        <w:spacing w:after="0" w:line="241" w:lineRule="auto"/>
        <w:tabs>
          <w:tab w:leader="none" w:pos="211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shall have received the payment of all fees, expenses and other amounts earned, due and payable on or prior to the Closing Date, including, without limitation, and to the extent invoiced, reimbursement or payment of all reasonable and documented out-of-pocket expenses (including reasonable and documented fees, charges and disbursements of outside counsel), in each case, required to be reimbursed or paid by the Borrower hereunder or under any other Loan Document (including, for the avoidance of doubt, the Fee Letters);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(a) shall be deemed satisfied on the Closing Date by the delivery of a Notice of Borrowing on or prior to the Closing Date that authorizes the disbursement of the proceeds of the Term Loans on the Funding Date to pay such fees, expenses and other amounts.</w:t>
      </w:r>
    </w:p>
    <w:p>
      <w:pPr>
        <w:spacing w:after="0" w:line="231" w:lineRule="exact"/>
        <w:rPr>
          <w:rFonts w:ascii="Times New Roman" w:cs="Times New Roman" w:eastAsia="Times New Roman" w:hAnsi="Times New Roman"/>
          <w:sz w:val="20"/>
          <w:szCs w:val="20"/>
          <w:color w:val="auto"/>
        </w:rPr>
      </w:pPr>
    </w:p>
    <w:p>
      <w:pPr>
        <w:ind w:left="-40" w:firstLine="1303"/>
        <w:spacing w:after="0" w:line="269" w:lineRule="auto"/>
        <w:tabs>
          <w:tab w:leader="none" w:pos="2107"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the following, each to be in form and substance reasonably satisfactory to the Administrative Agent and Required Lenders:</w:t>
      </w:r>
    </w:p>
    <w:p>
      <w:pPr>
        <w:spacing w:after="0" w:line="186" w:lineRule="exact"/>
        <w:rPr>
          <w:rFonts w:ascii="Times New Roman" w:cs="Times New Roman" w:eastAsia="Times New Roman" w:hAnsi="Times New Roman"/>
          <w:sz w:val="20"/>
          <w:szCs w:val="20"/>
          <w:color w:val="auto"/>
        </w:rPr>
      </w:pPr>
    </w:p>
    <w:p>
      <w:pPr>
        <w:jc w:val="both"/>
        <w:ind w:left="620" w:firstLine="1291"/>
        <w:spacing w:after="0" w:line="254" w:lineRule="auto"/>
        <w:tabs>
          <w:tab w:leader="none" w:pos="2777"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counterpart of this Agreement, signed by or on behalf of each party hereto, or written evidence reasonably satisfactory to the Administrative Agent that such party has signed a counterpart of this Agreement;</w:t>
      </w:r>
    </w:p>
    <w:p>
      <w:pPr>
        <w:spacing w:after="0" w:line="201" w:lineRule="exact"/>
        <w:rPr>
          <w:rFonts w:ascii="Times New Roman" w:cs="Times New Roman" w:eastAsia="Times New Roman" w:hAnsi="Times New Roman"/>
          <w:sz w:val="20"/>
          <w:szCs w:val="20"/>
          <w:color w:val="auto"/>
        </w:rPr>
      </w:pPr>
    </w:p>
    <w:p>
      <w:pPr>
        <w:ind w:left="620" w:firstLine="1291"/>
        <w:spacing w:after="0" w:line="269" w:lineRule="auto"/>
        <w:tabs>
          <w:tab w:leader="none" w:pos="2778"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signatures to, and true, correct and complete copies of, each other Loan Document (as applicable) related to the Closing Date;</w:t>
      </w:r>
    </w:p>
    <w:p>
      <w:pPr>
        <w:spacing w:after="0" w:line="186" w:lineRule="exact"/>
        <w:rPr>
          <w:rFonts w:ascii="Times New Roman" w:cs="Times New Roman" w:eastAsia="Times New Roman" w:hAnsi="Times New Roman"/>
          <w:sz w:val="20"/>
          <w:szCs w:val="20"/>
          <w:color w:val="auto"/>
        </w:rPr>
      </w:pPr>
    </w:p>
    <w:p>
      <w:pPr>
        <w:jc w:val="both"/>
        <w:ind w:left="620" w:firstLine="1291"/>
        <w:spacing w:after="0" w:line="241" w:lineRule="auto"/>
        <w:tabs>
          <w:tab w:leader="none" w:pos="278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the Secretary or Assistant Secretary of each Loan Party, substantially in the form of </w:t>
      </w:r>
      <w:r>
        <w:rPr>
          <w:rFonts w:ascii="Times New Roman" w:cs="Times New Roman" w:eastAsia="Times New Roman" w:hAnsi="Times New Roman"/>
          <w:sz w:val="20"/>
          <w:szCs w:val="20"/>
          <w:u w:val="single" w:color="auto"/>
          <w:color w:val="auto"/>
        </w:rPr>
        <w:t>Exhibit 3.1(b)(iii)</w:t>
      </w:r>
      <w:r>
        <w:rPr>
          <w:rFonts w:ascii="Times New Roman" w:cs="Times New Roman" w:eastAsia="Times New Roman" w:hAnsi="Times New Roman"/>
          <w:sz w:val="20"/>
          <w:szCs w:val="20"/>
          <w:color w:val="auto"/>
        </w:rPr>
        <w:t xml:space="preserve"> attached hereto, attaching and certifying copies of (x) its bylaws, limited liability company agreement, declaration of sole member or partnership agreement, as applicable, or equivalent thereof, (y) its articles or certificate of incorporation, certificate of formation, articles of organization or certificate of partnership, as applicable, or equivalent thereof and (z) the resolutions of its Board of Directors, shareholders (if required) or comparable authorizations, authorizing the execution, delivery and performance of the Loan Document(s) to which it is a party and certifying the name, title and true signature of each officer of such Loan Party executing the Loan Document(s) to which it is a party;</w:t>
      </w:r>
    </w:p>
    <w:p>
      <w:pPr>
        <w:spacing w:after="0" w:line="231" w:lineRule="exact"/>
        <w:rPr>
          <w:rFonts w:ascii="Times New Roman" w:cs="Times New Roman" w:eastAsia="Times New Roman" w:hAnsi="Times New Roman"/>
          <w:sz w:val="20"/>
          <w:szCs w:val="20"/>
          <w:color w:val="auto"/>
        </w:rPr>
      </w:pPr>
    </w:p>
    <w:p>
      <w:pPr>
        <w:jc w:val="both"/>
        <w:ind w:left="620" w:firstLine="1291"/>
        <w:spacing w:after="0" w:line="244" w:lineRule="auto"/>
        <w:tabs>
          <w:tab w:leader="none" w:pos="2769"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certificates of good standing or existence, as may be available from the Secretary of State of the jurisdiction of organization of each Loan Party and (B) with respect to RRC, a certificate of good standing from the Registrar of Companies and a letter of good standing from the Cayman Islands Monetary Authority, in each case, issued on the Closing Date or as reasonably close to the Closing Date as possible;</w:t>
      </w:r>
    </w:p>
    <w:p>
      <w:pPr>
        <w:spacing w:after="0" w:line="212" w:lineRule="exact"/>
        <w:rPr>
          <w:rFonts w:ascii="Times New Roman" w:cs="Times New Roman" w:eastAsia="Times New Roman" w:hAnsi="Times New Roman"/>
          <w:sz w:val="20"/>
          <w:szCs w:val="20"/>
          <w:color w:val="auto"/>
        </w:rPr>
      </w:pPr>
    </w:p>
    <w:p>
      <w:pPr>
        <w:ind w:left="2760" w:hanging="849"/>
        <w:spacing w:after="0"/>
        <w:tabs>
          <w:tab w:leader="none" w:pos="276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written opinions of Kirkland &amp; Ellis LLP, Squire Patton Boggs (US) LLP and Conyers Dill</w:t>
      </w:r>
    </w:p>
    <w:p>
      <w:pPr>
        <w:spacing w:after="0" w:line="33" w:lineRule="exact"/>
        <w:rPr>
          <w:rFonts w:ascii="Times New Roman" w:cs="Times New Roman" w:eastAsia="Times New Roman" w:hAnsi="Times New Roman"/>
          <w:sz w:val="19"/>
          <w:szCs w:val="19"/>
          <w:color w:val="auto"/>
        </w:rPr>
      </w:pPr>
    </w:p>
    <w:p>
      <w:pPr>
        <w:jc w:val="both"/>
        <w:ind w:left="620" w:hanging="5"/>
        <w:spacing w:after="0" w:line="258" w:lineRule="auto"/>
        <w:tabs>
          <w:tab w:leader="none" w:pos="842"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Pearman LLP, counsel to the Loan Parties, as applicable, addressed to the Administrative Agent and each of the Lenders, and covering such matters relating to the Loan Parties, the Loan Documents and the transactions contemplated therein as the Administrative Agent and the Required Lenders shall reasonably request (which opinions shall expressly permit reliance by permitted successors and assigns of the Administrative Agent and the Lenders);</w:t>
      </w:r>
    </w:p>
    <w:p>
      <w:pPr>
        <w:spacing w:after="0" w:line="199" w:lineRule="exact"/>
        <w:rPr>
          <w:rFonts w:ascii="Times New Roman" w:cs="Times New Roman" w:eastAsia="Times New Roman" w:hAnsi="Times New Roman"/>
          <w:sz w:val="19"/>
          <w:szCs w:val="19"/>
          <w:color w:val="auto"/>
        </w:rPr>
      </w:pPr>
    </w:p>
    <w:p>
      <w:pPr>
        <w:jc w:val="both"/>
        <w:ind w:left="620" w:firstLine="1292"/>
        <w:spacing w:after="0" w:line="242" w:lineRule="auto"/>
        <w:tabs>
          <w:tab w:leader="none" w:pos="2769"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substantially in the form of </w:t>
      </w:r>
      <w:r>
        <w:rPr>
          <w:rFonts w:ascii="Times New Roman" w:cs="Times New Roman" w:eastAsia="Times New Roman" w:hAnsi="Times New Roman"/>
          <w:sz w:val="20"/>
          <w:szCs w:val="20"/>
          <w:u w:val="single" w:color="auto"/>
          <w:color w:val="auto"/>
        </w:rPr>
        <w:t>Exhibit 3.1(b)(vi)</w:t>
      </w:r>
      <w:r>
        <w:rPr>
          <w:rFonts w:ascii="Times New Roman" w:cs="Times New Roman" w:eastAsia="Times New Roman" w:hAnsi="Times New Roman"/>
          <w:sz w:val="20"/>
          <w:szCs w:val="20"/>
          <w:color w:val="auto"/>
        </w:rPr>
        <w:t xml:space="preserve"> attached hereto, dated as of the Closing Date, and signed by a Responsible Officer of the Borrower, certifying that immediately after giving effect to consummation of the transactions contemplated to occur on the Closing Date, (A) no Default or Event of Default exists or shall result therefrom, (B) all representations and warranties of each Loan Party set forth in the Loan Documents are true and correct in all material respects (other than those representations and warranties that are expressly qualified by “Material Adverse Effect” or other materiality, which representations and warranties shall be true and correct in all respects), (C) since the date of the financial statements</w:t>
      </w:r>
    </w:p>
    <w:p>
      <w:pPr>
        <w:sectPr>
          <w:pgSz w:w="11900" w:h="16838" w:orient="portrait"/>
          <w:cols w:equalWidth="0" w:num="1">
            <w:col w:w="10000"/>
          </w:cols>
          <w:pgMar w:left="1440" w:top="1413" w:right="459" w:bottom="1440" w:gutter="0" w:footer="0" w:header="0"/>
        </w:sectPr>
      </w:pPr>
    </w:p>
    <w:bookmarkStart w:id="164" w:name="page165"/>
    <w:bookmarkEnd w:id="164"/>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 xml:space="preserve">of the Borrower described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there shall have been no change which has had or would reasonably be expected to have a Material Adverse Effect and (D) the Liquidity of the Borrower and the other Loan Parties shall be no less than $200,000,000;</w:t>
      </w:r>
    </w:p>
    <w:p>
      <w:pPr>
        <w:spacing w:after="0" w:line="201" w:lineRule="exact"/>
        <w:rPr>
          <w:sz w:val="20"/>
          <w:szCs w:val="20"/>
          <w:color w:val="auto"/>
        </w:rPr>
      </w:pPr>
    </w:p>
    <w:p>
      <w:pPr>
        <w:ind w:left="2580" w:hanging="629"/>
        <w:spacing w:after="0"/>
        <w:tabs>
          <w:tab w:leader="none" w:pos="258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jc w:val="both"/>
        <w:ind w:left="660" w:firstLine="1290"/>
        <w:spacing w:after="0" w:line="242" w:lineRule="auto"/>
        <w:tabs>
          <w:tab w:leader="none" w:pos="2809"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certified copies of all consents, approvals, authorizations, registrations and filings and orders required to be made or obtained under any Requirement of Law, or by any Material Agreement of any Loan Party, in connection with the execution, delivery, performance, validity and enforceability of the Loan Documents or any of the transactions contemplated hereby or thereby, and such consents, approvals, authorizations, registrations, filings and orders shall be in full force and effect and all applicable waiting periods shall have expired, and no investigation or inquiry by any Governmental Authority regarding the Term Loans shall be ongoing;</w:t>
      </w:r>
    </w:p>
    <w:p>
      <w:pPr>
        <w:spacing w:after="0" w:line="215" w:lineRule="exact"/>
        <w:rPr>
          <w:rFonts w:ascii="Times New Roman" w:cs="Times New Roman" w:eastAsia="Times New Roman" w:hAnsi="Times New Roman"/>
          <w:sz w:val="20"/>
          <w:szCs w:val="20"/>
          <w:color w:val="auto"/>
        </w:rPr>
      </w:pPr>
    </w:p>
    <w:p>
      <w:pPr>
        <w:ind w:left="2640" w:hanging="690"/>
        <w:spacing w:after="0"/>
        <w:tabs>
          <w:tab w:leader="none" w:pos="26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56" w:lineRule="exact"/>
        <w:rPr>
          <w:rFonts w:ascii="Times New Roman" w:cs="Times New Roman" w:eastAsia="Times New Roman" w:hAnsi="Times New Roman"/>
          <w:sz w:val="20"/>
          <w:szCs w:val="20"/>
          <w:color w:val="auto"/>
        </w:rPr>
      </w:pPr>
    </w:p>
    <w:p>
      <w:pPr>
        <w:ind w:left="2640" w:hanging="690"/>
        <w:spacing w:after="0"/>
        <w:tabs>
          <w:tab w:leader="none" w:pos="26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ind w:left="2640" w:hanging="690"/>
        <w:spacing w:after="0"/>
        <w:tabs>
          <w:tab w:leader="none" w:pos="26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ind w:left="2640" w:hanging="690"/>
        <w:spacing w:after="0"/>
        <w:tabs>
          <w:tab w:leader="none" w:pos="26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ind w:left="2640" w:hanging="690"/>
        <w:spacing w:after="0"/>
        <w:tabs>
          <w:tab w:leader="none" w:pos="26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ind w:left="2640" w:hanging="690"/>
        <w:spacing w:after="0"/>
        <w:tabs>
          <w:tab w:leader="none" w:pos="26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56" w:lineRule="exact"/>
        <w:rPr>
          <w:rFonts w:ascii="Times New Roman" w:cs="Times New Roman" w:eastAsia="Times New Roman" w:hAnsi="Times New Roman"/>
          <w:sz w:val="20"/>
          <w:szCs w:val="20"/>
          <w:color w:val="auto"/>
        </w:rPr>
      </w:pPr>
    </w:p>
    <w:p>
      <w:pPr>
        <w:jc w:val="both"/>
        <w:ind w:left="660" w:firstLine="1291"/>
        <w:spacing w:after="0" w:line="254" w:lineRule="auto"/>
        <w:tabs>
          <w:tab w:leader="none" w:pos="281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dated as of the Closing Date, and signed by a Responsible Officer of the Borrower, confirming that the Loan Parties and their Subsidiaries, taken as a whole, are Solvent, immediately after giving effect to the consummation of the transactions contemplated to occur on the Closing Date;</w:t>
      </w:r>
    </w:p>
    <w:p>
      <w:pPr>
        <w:spacing w:after="0" w:line="201" w:lineRule="exact"/>
        <w:rPr>
          <w:rFonts w:ascii="Times New Roman" w:cs="Times New Roman" w:eastAsia="Times New Roman" w:hAnsi="Times New Roman"/>
          <w:sz w:val="20"/>
          <w:szCs w:val="20"/>
          <w:color w:val="auto"/>
        </w:rPr>
      </w:pPr>
    </w:p>
    <w:p>
      <w:pPr>
        <w:ind w:left="2640" w:hanging="690"/>
        <w:spacing w:after="0"/>
        <w:tabs>
          <w:tab w:leader="none" w:pos="26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310" w:lineRule="exact"/>
        <w:rPr>
          <w:rFonts w:ascii="Times New Roman" w:cs="Times New Roman" w:eastAsia="Times New Roman" w:hAnsi="Times New Roman"/>
          <w:sz w:val="20"/>
          <w:szCs w:val="20"/>
          <w:color w:val="auto"/>
        </w:rPr>
      </w:pPr>
    </w:p>
    <w:p>
      <w:pPr>
        <w:ind w:left="2640" w:hanging="689"/>
        <w:spacing w:after="0"/>
        <w:tabs>
          <w:tab w:leader="none" w:pos="26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42" w:lineRule="exact"/>
        <w:rPr>
          <w:rFonts w:ascii="Times New Roman" w:cs="Times New Roman" w:eastAsia="Times New Roman" w:hAnsi="Times New Roman"/>
          <w:sz w:val="20"/>
          <w:szCs w:val="20"/>
          <w:color w:val="auto"/>
        </w:rPr>
      </w:pPr>
    </w:p>
    <w:p>
      <w:pPr>
        <w:ind w:left="660" w:firstLine="1291"/>
        <w:spacing w:after="0" w:line="269" w:lineRule="auto"/>
        <w:tabs>
          <w:tab w:leader="none" w:pos="281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other documents, certificates, information or legal opinions as the Administrative Agent or any Lender shall have reasonably requested prior to the Closing Date.</w:t>
      </w:r>
    </w:p>
    <w:p>
      <w:pPr>
        <w:spacing w:after="0" w:line="186" w:lineRule="exact"/>
        <w:rPr>
          <w:rFonts w:ascii="Times New Roman" w:cs="Times New Roman" w:eastAsia="Times New Roman" w:hAnsi="Times New Roman"/>
          <w:sz w:val="20"/>
          <w:szCs w:val="20"/>
          <w:color w:val="auto"/>
        </w:rPr>
      </w:pPr>
    </w:p>
    <w:p>
      <w:pPr>
        <w:ind w:right="20" w:firstLine="1303"/>
        <w:spacing w:after="0" w:line="269" w:lineRule="auto"/>
        <w:tabs>
          <w:tab w:leader="none" w:pos="215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color w:val="EE2724"/>
          <w:strike w:val="1"/>
        </w:rPr>
        <w:t>BlackRock</w:t>
      </w:r>
      <w:r>
        <w:rPr>
          <w:rFonts w:ascii="Times New Roman" w:cs="Times New Roman" w:eastAsia="Times New Roman" w:hAnsi="Times New Roman"/>
          <w:sz w:val="20"/>
          <w:szCs w:val="20"/>
          <w:color w:val="auto"/>
        </w:rPr>
        <w:t xml:space="preserve"> Lenders </w:t>
      </w:r>
      <w:r>
        <w:rPr>
          <w:rFonts w:ascii="Times New Roman" w:cs="Times New Roman" w:eastAsia="Times New Roman" w:hAnsi="Times New Roman"/>
          <w:sz w:val="20"/>
          <w:szCs w:val="20"/>
          <w:u w:val="single" w:color="auto"/>
          <w:color w:val="3051F2"/>
        </w:rPr>
        <w:t>as of the Closing Date</w:t>
      </w:r>
      <w:r>
        <w:rPr>
          <w:rFonts w:ascii="Times New Roman" w:cs="Times New Roman" w:eastAsia="Times New Roman" w:hAnsi="Times New Roman"/>
          <w:sz w:val="20"/>
          <w:szCs w:val="20"/>
          <w:color w:val="auto"/>
        </w:rPr>
        <w:t xml:space="preserve"> (or one or more of their designated affiliates or other designees) shall have received executed counterparts of the Board Observer Side Letter.</w:t>
      </w:r>
    </w:p>
    <w:p>
      <w:pPr>
        <w:spacing w:after="0" w:line="186" w:lineRule="exact"/>
        <w:rPr>
          <w:rFonts w:ascii="Times New Roman" w:cs="Times New Roman" w:eastAsia="Times New Roman" w:hAnsi="Times New Roman"/>
          <w:sz w:val="20"/>
          <w:szCs w:val="20"/>
          <w:color w:val="auto"/>
        </w:rPr>
      </w:pPr>
    </w:p>
    <w:p>
      <w:pPr>
        <w:ind w:firstLine="1303"/>
        <w:spacing w:after="0" w:line="269" w:lineRule="auto"/>
        <w:tabs>
          <w:tab w:leader="none" w:pos="214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(or one or more of their designated affiliates or other designees) shall have received executed counterparts of the Tranche 1 Warrants.</w:t>
      </w:r>
    </w:p>
    <w:p>
      <w:pPr>
        <w:spacing w:after="0" w:line="186" w:lineRule="exact"/>
        <w:rPr>
          <w:rFonts w:ascii="Times New Roman" w:cs="Times New Roman" w:eastAsia="Times New Roman" w:hAnsi="Times New Roman"/>
          <w:sz w:val="20"/>
          <w:szCs w:val="20"/>
          <w:color w:val="auto"/>
        </w:rPr>
      </w:pPr>
    </w:p>
    <w:p>
      <w:pPr>
        <w:ind w:firstLine="1303"/>
        <w:spacing w:after="0" w:line="269" w:lineRule="auto"/>
        <w:tabs>
          <w:tab w:leader="none" w:pos="215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satisfactory to the Administrative Agent that the Cayman Islands Monetary Authority has approved the Borrower’s entry into the Loan Documents.</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Without limiting the generality of the provisions of this Section, for purposes of determining compliance with the conditions specified in this Section, upon the express release of their signatures, the</w:t>
      </w:r>
    </w:p>
    <w:p>
      <w:pPr>
        <w:sectPr>
          <w:pgSz w:w="11900" w:h="16838" w:orient="portrait"/>
          <w:cols w:equalWidth="0" w:num="1">
            <w:col w:w="10040"/>
          </w:cols>
          <w:pgMar w:left="1400" w:top="1332" w:right="459" w:bottom="1440" w:gutter="0" w:footer="0" w:header="0"/>
        </w:sectPr>
      </w:pPr>
    </w:p>
    <w:bookmarkStart w:id="165" w:name="page166"/>
    <w:bookmarkEnd w:id="165"/>
    <w:p>
      <w:pPr>
        <w:jc w:val="both"/>
        <w:ind w:left="20" w:right="120"/>
        <w:spacing w:after="0" w:line="254" w:lineRule="auto"/>
        <w:rPr>
          <w:sz w:val="20"/>
          <w:szCs w:val="20"/>
          <w:color w:val="auto"/>
        </w:rPr>
      </w:pPr>
      <w:r>
        <w:rPr>
          <w:rFonts w:ascii="Times New Roman" w:cs="Times New Roman" w:eastAsia="Times New Roman" w:hAnsi="Times New Roman"/>
          <w:sz w:val="20"/>
          <w:szCs w:val="20"/>
          <w:color w:val="auto"/>
        </w:rPr>
        <w:t>Administrative Agent and each Lender that has signed this Agreement shall be deemed to have consented to, approved of, accepted or been satisfied with each document or other matter required thereunder to be consented to, approved by or acceptable or satisfactory to the Administrative Agent or such Lender.</w:t>
      </w:r>
    </w:p>
    <w:p>
      <w:pPr>
        <w:spacing w:after="0" w:line="197" w:lineRule="exact"/>
        <w:rPr>
          <w:sz w:val="20"/>
          <w:szCs w:val="20"/>
          <w:color w:val="auto"/>
        </w:rPr>
      </w:pPr>
    </w:p>
    <w:p>
      <w:pPr>
        <w:ind w:left="20" w:right="380"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b w:val="1"/>
          <w:bCs w:val="1"/>
          <w:u w:val="single" w:color="auto"/>
          <w:color w:val="auto"/>
        </w:rPr>
        <w:t>Conditions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3051F2"/>
        </w:rPr>
        <w:t>Initial 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Borrowing</w:t>
      </w:r>
      <w:r>
        <w:rPr>
          <w:rFonts w:ascii="Times New Roman" w:cs="Times New Roman" w:eastAsia="Times New Roman" w:hAnsi="Times New Roman"/>
          <w:sz w:val="20"/>
          <w:szCs w:val="20"/>
          <w:color w:val="auto"/>
        </w:rPr>
        <w:t>. The obligation of each Lender to make a Loan on the Funding Date is subject to the satisfaction of the following conditions:</w:t>
      </w:r>
    </w:p>
    <w:p>
      <w:pPr>
        <w:spacing w:after="0" w:line="183" w:lineRule="exact"/>
        <w:rPr>
          <w:sz w:val="20"/>
          <w:szCs w:val="20"/>
          <w:color w:val="auto"/>
        </w:rPr>
      </w:pPr>
    </w:p>
    <w:p>
      <w:pPr>
        <w:ind w:left="2180" w:hanging="857"/>
        <w:spacing w:after="0"/>
        <w:tabs>
          <w:tab w:leader="none" w:pos="21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Borrowing, no Default or Event of</w:t>
      </w:r>
    </w:p>
    <w:p>
      <w:pPr>
        <w:spacing w:after="0" w:line="21"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shall exist;</w:t>
      </w:r>
    </w:p>
    <w:p>
      <w:pPr>
        <w:spacing w:after="0" w:line="220" w:lineRule="exact"/>
        <w:rPr>
          <w:rFonts w:ascii="Times New Roman" w:cs="Times New Roman" w:eastAsia="Times New Roman" w:hAnsi="Times New Roman"/>
          <w:sz w:val="20"/>
          <w:szCs w:val="20"/>
          <w:color w:val="auto"/>
        </w:rPr>
      </w:pPr>
    </w:p>
    <w:p>
      <w:pPr>
        <w:jc w:val="both"/>
        <w:ind w:left="20" w:right="120" w:firstLine="1303"/>
        <w:spacing w:after="0" w:line="244" w:lineRule="auto"/>
        <w:tabs>
          <w:tab w:leader="none" w:pos="216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Borrowing, all representations and warranties of each Loan Party set forth in the Loan Documents shall be true and correct in all material respects (other than those representations and warranties that are expressly qualified by “Material Adverse Effect” or other materiality, in which case, such representations and warranties shall be true and correct in all respects); and</w:t>
      </w:r>
    </w:p>
    <w:p>
      <w:pPr>
        <w:spacing w:after="0" w:line="212" w:lineRule="exact"/>
        <w:rPr>
          <w:rFonts w:ascii="Times New Roman" w:cs="Times New Roman" w:eastAsia="Times New Roman" w:hAnsi="Times New Roman"/>
          <w:sz w:val="20"/>
          <w:szCs w:val="20"/>
          <w:color w:val="auto"/>
        </w:rPr>
      </w:pPr>
    </w:p>
    <w:p>
      <w:pPr>
        <w:ind w:left="1960" w:hanging="637"/>
        <w:spacing w:after="0"/>
        <w:tabs>
          <w:tab w:leader="none" w:pos="19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the required Notice of Borrowing.</w:t>
      </w:r>
    </w:p>
    <w:p>
      <w:pPr>
        <w:spacing w:after="0" w:line="256" w:lineRule="exact"/>
        <w:rPr>
          <w:sz w:val="20"/>
          <w:szCs w:val="20"/>
          <w:color w:val="auto"/>
        </w:rPr>
      </w:pPr>
    </w:p>
    <w:p>
      <w:pPr>
        <w:ind w:left="20" w:right="120"/>
        <w:spacing w:after="0" w:line="269" w:lineRule="auto"/>
        <w:rPr>
          <w:sz w:val="20"/>
          <w:szCs w:val="20"/>
          <w:color w:val="auto"/>
        </w:rPr>
      </w:pPr>
      <w:r>
        <w:rPr>
          <w:rFonts w:ascii="Times New Roman" w:cs="Times New Roman" w:eastAsia="Times New Roman" w:hAnsi="Times New Roman"/>
          <w:sz w:val="20"/>
          <w:szCs w:val="20"/>
          <w:color w:val="auto"/>
        </w:rPr>
        <w:t xml:space="preserve">The Borrowing shall be deemed to constitute a representation and warranty by the Borrower on the date thereof as to the matters specified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Section.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 xml:space="preserve">Section 3.3. </w:t>
      </w:r>
      <w:r>
        <w:rPr>
          <w:rFonts w:ascii="Times New Roman" w:cs="Times New Roman" w:eastAsia="Times New Roman" w:hAnsi="Times New Roman"/>
          <w:sz w:val="19"/>
          <w:szCs w:val="19"/>
          <w:b w:val="1"/>
          <w:bCs w:val="1"/>
          <w:color w:val="FF0000"/>
          <w:strike w:val="1"/>
        </w:rPr>
        <w:t>[Reserved].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Conditions to the Second Amendment Effective Date Term Loan 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obligation of each Second Amendment Lender to make a Second Amendment Term Loan on the Second Amendment Effective Date is subject solely to the satisfaction (or waiver) of the conditions specified in Section 4 of the Second Amendment.</w:t>
      </w:r>
    </w:p>
    <w:p>
      <w:pPr>
        <w:spacing w:after="0" w:line="28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u w:val="single" w:color="auto"/>
          <w:color w:val="auto"/>
        </w:rPr>
        <w:t>ARTICLE IV</w:t>
      </w:r>
    </w:p>
    <w:p>
      <w:pPr>
        <w:spacing w:after="0" w:line="8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328" w:lineRule="exact"/>
        <w:rPr>
          <w:sz w:val="20"/>
          <w:szCs w:val="20"/>
          <w:color w:val="auto"/>
        </w:rPr>
      </w:pPr>
    </w:p>
    <w:p>
      <w:pPr>
        <w:jc w:val="both"/>
        <w:ind w:left="20" w:right="140" w:firstLine="648"/>
        <w:spacing w:after="0" w:line="269" w:lineRule="auto"/>
        <w:rPr>
          <w:sz w:val="20"/>
          <w:szCs w:val="20"/>
          <w:color w:val="auto"/>
        </w:rPr>
      </w:pPr>
      <w:r>
        <w:rPr>
          <w:rFonts w:ascii="Times New Roman" w:cs="Times New Roman" w:eastAsia="Times New Roman" w:hAnsi="Times New Roman"/>
          <w:sz w:val="20"/>
          <w:szCs w:val="20"/>
          <w:color w:val="auto"/>
        </w:rPr>
        <w:t>Each of Holdings and the Borrower hereby represents and warrants to the Administrative Agent and each Lender as follows:</w:t>
      </w:r>
    </w:p>
    <w:p>
      <w:pPr>
        <w:spacing w:after="0" w:line="182" w:lineRule="exact"/>
        <w:rPr>
          <w:sz w:val="20"/>
          <w:szCs w:val="20"/>
          <w:color w:val="auto"/>
        </w:rPr>
      </w:pPr>
    </w:p>
    <w:p>
      <w:pPr>
        <w:jc w:val="both"/>
        <w:ind w:left="20" w:right="120"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b w:val="1"/>
          <w:bCs w:val="1"/>
          <w:u w:val="single" w:color="auto"/>
          <w:color w:val="auto"/>
        </w:rPr>
        <w:t>Existence; Power</w:t>
      </w:r>
      <w:r>
        <w:rPr>
          <w:rFonts w:ascii="Times New Roman" w:cs="Times New Roman" w:eastAsia="Times New Roman" w:hAnsi="Times New Roman"/>
          <w:sz w:val="20"/>
          <w:szCs w:val="20"/>
          <w:color w:val="auto"/>
        </w:rPr>
        <w:t>. Holdings and each of its Subsidiaries (i) is duly organized, validly existing and in good standing as a corporation, partnership, limited liability company or exempted company, as applicable, under the laws of the jurisdiction of its organization, (ii) has all requisite power and authority to (a) carry on its business as now conducted except where a failure would not reasonably be expected to result in a Material Adverse Effect and (b) execute, deliver and perform its obligations under the Loan Documents to which it is a party (if any) and (iii) is duly qualified to do business, and is in good standing, in each jurisdiction where such qualification is required, except where a failure to be so qualified would not reasonably be expected to result in a Material Adverse Effect.</w:t>
      </w:r>
    </w:p>
    <w:p>
      <w:pPr>
        <w:spacing w:after="0" w:line="267" w:lineRule="exact"/>
        <w:rPr>
          <w:sz w:val="20"/>
          <w:szCs w:val="20"/>
          <w:color w:val="auto"/>
        </w:rPr>
      </w:pPr>
    </w:p>
    <w:p>
      <w:pPr>
        <w:jc w:val="both"/>
        <w:ind w:left="20" w:right="120"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b w:val="1"/>
          <w:bCs w:val="1"/>
          <w:u w:val="single" w:color="auto"/>
          <w:color w:val="auto"/>
        </w:rPr>
        <w:t>Organizational Power; Authorization</w:t>
      </w:r>
      <w:r>
        <w:rPr>
          <w:rFonts w:ascii="Times New Roman" w:cs="Times New Roman" w:eastAsia="Times New Roman" w:hAnsi="Times New Roman"/>
          <w:sz w:val="20"/>
          <w:szCs w:val="20"/>
          <w:color w:val="auto"/>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Holdings, the Borrower and each other Loan Party, and constitutes, and each other Loan Document to which any Loan Party is a party, when executed and delivered by such Loan Party, shall constitute, valid and binding obligations of the Borrower 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ectPr>
          <w:pgSz w:w="11900" w:h="16838" w:orient="portrait"/>
          <w:cols w:equalWidth="0" w:num="1">
            <w:col w:w="10180"/>
          </w:cols>
          <w:pgMar w:left="1380" w:top="1332" w:right="339" w:bottom="1440" w:gutter="0" w:footer="0" w:header="0"/>
        </w:sectPr>
      </w:pPr>
    </w:p>
    <w:bookmarkStart w:id="166" w:name="page167"/>
    <w:bookmarkEnd w:id="166"/>
    <w:p>
      <w:pPr>
        <w:spacing w:after="0" w:line="13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b w:val="1"/>
          <w:bCs w:val="1"/>
          <w:u w:val="single" w:color="auto"/>
          <w:color w:val="auto"/>
        </w:rPr>
        <w:t>Governmental Approvals; No Conflicts; No Default</w:t>
      </w:r>
      <w:r>
        <w:rPr>
          <w:rFonts w:ascii="Times New Roman" w:cs="Times New Roman" w:eastAsia="Times New Roman" w:hAnsi="Times New Roman"/>
          <w:sz w:val="20"/>
          <w:szCs w:val="20"/>
          <w:color w:val="auto"/>
        </w:rPr>
        <w:t xml:space="preserve">. The execution, delivery and performance by each Loan Party of the Loan Documents to which it is a party (a) do not require any material consent or approval of, registration or filing with, or any action by, any Governmental Authority or any other Person, except those as have been obtained or made and are in full force and effect and except for filings necessary to perfect or maintain perfection of the Liens created under the Loan Documents, (b) shall not materially violate (i) any Requirement of Law applicable to Holdings or any of its Subsidiaries or (ii) any judgment, order or ruling of any Governmental Authority, (c) shall not violate or result in a default under any Contractual Obligation of Holdings or any of its Subsidiaries or any of its assets or give rise to a right thereunder to require any payment to be made by Holdings or any of its Subsidiaries (except as would not reasonably be expected to result in a Material Adverse Effect) and (d) shall not result in the creation or imposition of any Lien on any asset of Holdings or any of its Subsidiaries, except Liens (if any) created under the Loan Documents and Liens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Date, no Default or Event of Default has occurred and is continuing. As of the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neither the Borrower nor any Subsidiary is in default under or with respect to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Material Agreement in any respect that, individually or collectively, with all such defaults, would reasonably be expected to have a Material Adverse Effect.</w:t>
      </w:r>
    </w:p>
    <w:p>
      <w:pPr>
        <w:spacing w:after="0" w:line="2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Section 4.4. </w:t>
      </w:r>
      <w:r>
        <w:rPr>
          <w:rFonts w:ascii="Times New Roman" w:cs="Times New Roman" w:eastAsia="Times New Roman" w:hAnsi="Times New Roman"/>
          <w:sz w:val="20"/>
          <w:szCs w:val="20"/>
          <w:b w:val="1"/>
          <w:bCs w:val="1"/>
          <w:u w:val="single" w:color="auto"/>
          <w:color w:val="auto"/>
        </w:rPr>
        <w:t>Financial Statements</w:t>
      </w:r>
      <w:r>
        <w:rPr>
          <w:rFonts w:ascii="Times New Roman" w:cs="Times New Roman" w:eastAsia="Times New Roman" w:hAnsi="Times New Roman"/>
          <w:sz w:val="20"/>
          <w:szCs w:val="20"/>
          <w:color w:val="auto"/>
        </w:rPr>
        <w:t xml:space="preserve">. Holdings has furnished to each Lender (i) the audited consolidated balance sheet of Holdings and its Subsidiaries as of the Fiscal Years ended December 31, 2018, December 31, 2019 and December 31, 2020, and the related audited consolidated statements of income, shareholders’ equity and cash flows for such Fiscal Years then ended, in each case, audited by Deloitte, (ii) the unaudited consolidated balance sheet of Holdings and its Subsidiaries as of the Fiscal Quarter ended September 30, 2021, and the related unaudited consolidated statements of income and cash flows for the Fiscal Quarter and year-to-date period then ended, certified by a Responsible Officer of Holdings and (iii) the audited consolidated balance sheet of RIC as of the Fiscal Years ended December 31, 2018, December 31, 2019 and December 31, 2020, and the related audited consolidated statements of income, shareholders’ equity and cash flows for such Fiscal Years then ended, in each case, audited by Deloitte (the foregoing </w:t>
      </w:r>
      <w:r>
        <w:rPr>
          <w:rFonts w:ascii="Times New Roman" w:cs="Times New Roman" w:eastAsia="Times New Roman" w:hAnsi="Times New Roman"/>
          <w:sz w:val="20"/>
          <w:szCs w:val="20"/>
          <w:u w:val="single" w:color="auto"/>
          <w:color w:val="auto"/>
        </w:rPr>
        <w:t>items (i)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xml:space="preserve">”). Such financial statements fairly present the consolidated financial condition of (A)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Holdings and its Subsidiaries as of such dates and the consolidated results of operations for such periods in conformity with GAAP consistently applied, subject to year-end audit adjustments and the absence of footnotes in the case of the statements referred to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and (B)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RIC and the consolidated results of operations for such periods in conformity with SAP consistently applied. Since December 31, 202</w:t>
      </w:r>
      <w:r>
        <w:rPr>
          <w:rFonts w:ascii="Times New Roman" w:cs="Times New Roman" w:eastAsia="Times New Roman" w:hAnsi="Times New Roman"/>
          <w:sz w:val="20"/>
          <w:szCs w:val="20"/>
          <w:color w:val="EE2724"/>
          <w:strike w:val="1"/>
        </w:rPr>
        <w:t>0</w:t>
      </w:r>
      <w:r>
        <w:rPr>
          <w:rFonts w:ascii="Times New Roman" w:cs="Times New Roman" w:eastAsia="Times New Roman" w:hAnsi="Times New Roman"/>
          <w:sz w:val="20"/>
          <w:szCs w:val="20"/>
          <w:u w:val="single" w:color="auto"/>
          <w:color w:val="3051F2"/>
        </w:rPr>
        <w:t>3</w:t>
      </w:r>
      <w:r>
        <w:rPr>
          <w:rFonts w:ascii="Times New Roman" w:cs="Times New Roman" w:eastAsia="Times New Roman" w:hAnsi="Times New Roman"/>
          <w:sz w:val="20"/>
          <w:szCs w:val="20"/>
          <w:color w:val="auto"/>
        </w:rPr>
        <w:t>, there have been no changes with respect to Holdings and its Subsidiaries which have had or would reasonably be expected to have, either individually or in the aggregate, a Material Adverse Effect.</w:t>
      </w:r>
    </w:p>
    <w:p>
      <w:pPr>
        <w:spacing w:after="0" w:line="22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4.5.</w:t>
      </w:r>
      <w:r>
        <w:rPr>
          <w:sz w:val="20"/>
          <w:szCs w:val="20"/>
          <w:color w:val="auto"/>
        </w:rPr>
        <w:tab/>
      </w:r>
      <w:r>
        <w:rPr>
          <w:rFonts w:ascii="Times New Roman" w:cs="Times New Roman" w:eastAsia="Times New Roman" w:hAnsi="Times New Roman"/>
          <w:sz w:val="19"/>
          <w:szCs w:val="19"/>
          <w:b w:val="1"/>
          <w:bCs w:val="1"/>
          <w:u w:val="single" w:color="auto"/>
          <w:color w:val="auto"/>
        </w:rPr>
        <w:t>Litigation and Environmental Matters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3"/>
        <w:spacing w:after="0" w:line="243" w:lineRule="auto"/>
        <w:tabs>
          <w:tab w:leader="none" w:pos="215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litigation, investigation or proceeding of or before any arbitrators or Governmental Authorities is pending against or, to the knowledge of Holdings or the Borrower, threatened against or affecting Holdings, the Borrower or any of their respective Subsidiaries (i) as to which there is a reasonable possibility of an adverse determination that would reasonably be expected to have, either individually or in the aggregate, a Material Adverse Effect or (ii) which in any manner draws into question the validity or enforceability of this Agreement or any other Loan Document.</w:t>
      </w:r>
    </w:p>
    <w:p>
      <w:pPr>
        <w:spacing w:after="0" w:line="212" w:lineRule="exact"/>
        <w:rPr>
          <w:rFonts w:ascii="Times New Roman" w:cs="Times New Roman" w:eastAsia="Times New Roman" w:hAnsi="Times New Roman"/>
          <w:sz w:val="20"/>
          <w:szCs w:val="20"/>
          <w:color w:val="auto"/>
        </w:rPr>
      </w:pPr>
    </w:p>
    <w:p>
      <w:pPr>
        <w:jc w:val="both"/>
        <w:ind w:firstLine="1303"/>
        <w:spacing w:after="0" w:line="243" w:lineRule="auto"/>
        <w:tabs>
          <w:tab w:leader="none" w:pos="214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the matters set forth on </w:t>
      </w:r>
      <w:r>
        <w:rPr>
          <w:rFonts w:ascii="Times New Roman" w:cs="Times New Roman" w:eastAsia="Times New Roman" w:hAnsi="Times New Roman"/>
          <w:sz w:val="20"/>
          <w:szCs w:val="20"/>
          <w:u w:val="single" w:color="auto"/>
          <w:color w:val="auto"/>
        </w:rPr>
        <w:t>Schedule 4.5</w:t>
      </w:r>
      <w:r>
        <w:rPr>
          <w:rFonts w:ascii="Times New Roman" w:cs="Times New Roman" w:eastAsia="Times New Roman" w:hAnsi="Times New Roman"/>
          <w:sz w:val="20"/>
          <w:szCs w:val="20"/>
          <w:color w:val="auto"/>
        </w:rPr>
        <w:t xml:space="preserve"> attached hereto, and matters that would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become subject to any Environmental Liability, (iii) has received written notice of any claim against it with respect to any</w:t>
      </w:r>
    </w:p>
    <w:p>
      <w:pPr>
        <w:sectPr>
          <w:pgSz w:w="11900" w:h="16838" w:orient="portrait"/>
          <w:cols w:equalWidth="0" w:num="1">
            <w:col w:w="10040"/>
          </w:cols>
          <w:pgMar w:left="1400" w:top="1440" w:right="459" w:bottom="1440" w:gutter="0" w:footer="0" w:header="0"/>
        </w:sectPr>
      </w:pPr>
    </w:p>
    <w:bookmarkStart w:id="167" w:name="page168"/>
    <w:bookmarkEnd w:id="167"/>
    <w:p>
      <w:pPr>
        <w:spacing w:after="0" w:line="269" w:lineRule="auto"/>
        <w:rPr>
          <w:sz w:val="20"/>
          <w:szCs w:val="20"/>
          <w:color w:val="auto"/>
        </w:rPr>
      </w:pPr>
      <w:r>
        <w:rPr>
          <w:rFonts w:ascii="Times New Roman" w:cs="Times New Roman" w:eastAsia="Times New Roman" w:hAnsi="Times New Roman"/>
          <w:sz w:val="20"/>
          <w:szCs w:val="20"/>
          <w:color w:val="auto"/>
        </w:rPr>
        <w:t>Environmental Liability or (iv) has actual knowledge of any facts or circumstances that would reasonably be expected to give rise to an Environmental Liability.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4.6. </w:t>
      </w:r>
      <w:r>
        <w:rPr>
          <w:rFonts w:ascii="Times New Roman" w:cs="Times New Roman" w:eastAsia="Times New Roman" w:hAnsi="Times New Roman"/>
          <w:sz w:val="20"/>
          <w:szCs w:val="20"/>
          <w:b w:val="1"/>
          <w:bCs w:val="1"/>
          <w:u w:val="single" w:color="auto"/>
          <w:color w:val="auto"/>
        </w:rPr>
        <w:t>Compliance with Laws and Agreements</w:t>
      </w:r>
      <w:r>
        <w:rPr>
          <w:rFonts w:ascii="Times New Roman" w:cs="Times New Roman" w:eastAsia="Times New Roman" w:hAnsi="Times New Roman"/>
          <w:sz w:val="20"/>
          <w:szCs w:val="20"/>
          <w:color w:val="auto"/>
        </w:rPr>
        <w:t>. Holdings and each of its Subsidiaries is in compliance with</w:t>
      </w:r>
    </w:p>
    <w:p>
      <w:pPr>
        <w:spacing w:after="0" w:line="26" w:lineRule="exact"/>
        <w:rPr>
          <w:sz w:val="20"/>
          <w:szCs w:val="20"/>
          <w:color w:val="auto"/>
        </w:rPr>
      </w:pPr>
    </w:p>
    <w:p>
      <w:pPr>
        <w:jc w:val="both"/>
        <w:ind w:firstLine="8"/>
        <w:spacing w:after="0" w:line="237" w:lineRule="auto"/>
        <w:tabs>
          <w:tab w:leader="none" w:pos="293"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Requirements of Law and all judgments, decrees and orders of any Governmental Authority and (b) all indentures, agreements or other instruments binding upon it or its properties, except where non-compliance, either individually or in the aggregate, would not reasonably be expected to result in a Material Adverse Effect.</w:t>
      </w:r>
    </w:p>
    <w:p>
      <w:pPr>
        <w:spacing w:after="0" w:line="22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4.7. </w:t>
      </w:r>
      <w:r>
        <w:rPr>
          <w:rFonts w:ascii="Times New Roman" w:cs="Times New Roman" w:eastAsia="Times New Roman" w:hAnsi="Times New Roman"/>
          <w:sz w:val="20"/>
          <w:szCs w:val="20"/>
          <w:b w:val="1"/>
          <w:bCs w:val="1"/>
          <w:u w:val="single" w:color="auto"/>
          <w:color w:val="auto"/>
        </w:rPr>
        <w:t>Investment Company Act</w:t>
      </w:r>
      <w:r>
        <w:rPr>
          <w:rFonts w:ascii="Times New Roman" w:cs="Times New Roman" w:eastAsia="Times New Roman" w:hAnsi="Times New Roman"/>
          <w:sz w:val="20"/>
          <w:szCs w:val="20"/>
          <w:color w:val="auto"/>
        </w:rPr>
        <w:t>. Neither Holdings nor any of its Subsidiaries is (a) an “investment company” or is “controlled” by an “investment company”, as such terms are defined in, or subject to regulation under, the Investment Company Act of 1940, as amended and in effect from time to time or (b) otherwise subject to any other regulatory scheme limiting its ability to incur its Obligations under the Loan Documents or requiring any approval or consent from, or registration or filing with, any Governmental Authority in connection therewith.</w:t>
      </w:r>
    </w:p>
    <w:p>
      <w:pPr>
        <w:spacing w:after="0" w:line="22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4.8. </w:t>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 Holdings and its Subsidiaries have timely filed or caused to be filed all federal income tax returns and all other material tax returns that are required to be filed by them, and have paid all material taxes due and payable (whether or not shown on such returns) or on any assessments made against it or its property and all other material taxes, fees or other charges imposed on it or any of its property by any Governmental Authority, except where the same are currently being contested in good faith by appropriate proceedings and for which Holdings or such Subsidiary, as the case may be, has set aside on its books adequate reserves in accordance with GAAP. The charges, accruals and reserves on the books of Holdings and its Subsidiaries in respect of such taxes are adequate, and no tax liabilities that would be materially in excess of the amount so provided are anticipated.</w:t>
      </w:r>
    </w:p>
    <w:p>
      <w:pPr>
        <w:spacing w:after="0" w:line="19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4.9. </w:t>
      </w:r>
      <w:r>
        <w:rPr>
          <w:rFonts w:ascii="Times New Roman" w:cs="Times New Roman" w:eastAsia="Times New Roman" w:hAnsi="Times New Roman"/>
          <w:sz w:val="20"/>
          <w:szCs w:val="20"/>
          <w:b w:val="1"/>
          <w:bCs w:val="1"/>
          <w:u w:val="single" w:color="auto"/>
          <w:color w:val="auto"/>
        </w:rPr>
        <w:t>Margin Regulations</w:t>
      </w:r>
      <w:r>
        <w:rPr>
          <w:rFonts w:ascii="Times New Roman" w:cs="Times New Roman" w:eastAsia="Times New Roman" w:hAnsi="Times New Roman"/>
          <w:sz w:val="20"/>
          <w:szCs w:val="20"/>
          <w:color w:val="auto"/>
        </w:rPr>
        <w:t>. None of the proceeds of any of the Loans shall be used, directly or indirectly, for “purchasing” or “carrying” any “margin stock” within the respective meanings of each of such terms under Regulation U or for any purpose that violates the provisions of Regulation T, Regulation U or Regulation X. Neither Holdings nor any of its Subsidiaries is engaged principally, or as one of its important activities, in the business of extending credit for the purpose of purchasing or carrying “margin stock”.</w:t>
      </w:r>
    </w:p>
    <w:p>
      <w:pPr>
        <w:spacing w:after="0" w:line="27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4.10.</w:t>
      </w:r>
      <w:r>
        <w:rPr>
          <w:sz w:val="20"/>
          <w:szCs w:val="20"/>
          <w:color w:val="auto"/>
        </w:rPr>
        <w:tab/>
      </w:r>
      <w:r>
        <w:rPr>
          <w:rFonts w:ascii="Times New Roman" w:cs="Times New Roman" w:eastAsia="Times New Roman" w:hAnsi="Times New Roman"/>
          <w:sz w:val="19"/>
          <w:szCs w:val="19"/>
          <w:b w:val="1"/>
          <w:bCs w:val="1"/>
          <w:u w:val="single" w:color="auto"/>
          <w:color w:val="auto"/>
        </w:rPr>
        <w:t>ERISA</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3"/>
        <w:spacing w:after="0" w:line="239" w:lineRule="auto"/>
        <w:tabs>
          <w:tab w:leader="none" w:pos="215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which is intended to be qualified under Section 401(a) of the Code has received a favorable determination letter from the IRS to the effect that it meets the requirements of Section 401(a) of the Code, or is comprised of a master or prototype plan that has received a favorable opinion letter from the IRS and, to the knowledge of Holdings or the Borrower, nothing has occurred since the date of such determination or opinion letter that would adversely affect such qualification. Except as would not reasonably be expected to result in Material Adverse Effect, (i) each Plan is in compliance in form and operation with its terms and with ERISA and the Code (including, without limitation, the Code provisions compliance with which is necessary for any intended favorable tax treatment) and all other applicable laws and regulations, (ii) no ERISA Event has occurred or, to the knowledge of Holdings or the Borrower, is reasonably expected to occur; (iii) there exists no Unfunded Pension Liability with respect to any Plan; (iv) there are no actions, suits or claims pending against or involving a Plan (other than routine claims for benefits) or, to the knowledge of Holdings, the Borrower, any of their respective Subsidiaries or any ERISA Affiliate, threatened; and (v) none of Holdings, any of its Subsidiaries or any ERISA Affiliate has, within the past five (5) calendar years,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None of</w:t>
      </w:r>
    </w:p>
    <w:p>
      <w:pPr>
        <w:sectPr>
          <w:pgSz w:w="11900" w:h="16838" w:orient="portrait"/>
          <w:cols w:equalWidth="0" w:num="1">
            <w:col w:w="10040"/>
          </w:cols>
          <w:pgMar w:left="1400" w:top="1332" w:right="459" w:bottom="1440" w:gutter="0" w:footer="0" w:header="0"/>
        </w:sectPr>
      </w:pPr>
    </w:p>
    <w:bookmarkStart w:id="168" w:name="page169"/>
    <w:bookmarkEnd w:id="168"/>
    <w:p>
      <w:pPr>
        <w:jc w:val="both"/>
        <w:spacing w:after="0" w:line="254" w:lineRule="auto"/>
        <w:rPr>
          <w:sz w:val="20"/>
          <w:szCs w:val="20"/>
          <w:color w:val="auto"/>
        </w:rPr>
      </w:pPr>
      <w:r>
        <w:rPr>
          <w:rFonts w:ascii="Times New Roman" w:cs="Times New Roman" w:eastAsia="Times New Roman" w:hAnsi="Times New Roman"/>
          <w:sz w:val="20"/>
          <w:szCs w:val="20"/>
          <w:color w:val="auto"/>
        </w:rPr>
        <w:t>Holdings, any of its Subsidiaries or any ERISA Affiliate is, has or had, within any of the five (5) calendar years immediately preceding the date this assurance is given or deemed given, made or been required to make contributions to any Multiemployer Plan.</w:t>
      </w:r>
    </w:p>
    <w:p>
      <w:pPr>
        <w:spacing w:after="0" w:line="201" w:lineRule="exact"/>
        <w:rPr>
          <w:sz w:val="20"/>
          <w:szCs w:val="20"/>
          <w:color w:val="auto"/>
        </w:rPr>
      </w:pPr>
    </w:p>
    <w:p>
      <w:pPr>
        <w:ind w:left="1940" w:hanging="637"/>
        <w:spacing w:after="0"/>
        <w:tabs>
          <w:tab w:leader="none" w:pos="194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Effect,</w:t>
      </w:r>
    </w:p>
    <w:p>
      <w:pPr>
        <w:spacing w:after="0" w:line="21" w:lineRule="exact"/>
        <w:rPr>
          <w:rFonts w:ascii="Times New Roman" w:cs="Times New Roman" w:eastAsia="Times New Roman" w:hAnsi="Times New Roman"/>
          <w:sz w:val="20"/>
          <w:szCs w:val="20"/>
          <w:color w:val="auto"/>
        </w:rPr>
      </w:pPr>
    </w:p>
    <w:p>
      <w:pPr>
        <w:jc w:val="both"/>
        <w:ind w:firstLine="7"/>
        <w:spacing w:after="0" w:line="238" w:lineRule="auto"/>
        <w:tabs>
          <w:tab w:leader="none" w:pos="24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Non-U.S. Plan has been maintained in compliance with its terms and with the requirements of any and all applicable laws, statutes, rules, regulations and orders and has been maintained, where required, in good standing with applicable regulatory authorities; (ii) neither Holdings nor any of its Subsidiaries has incurred any obligation in connection with the termination of, or withdrawal from, any Non-U.S. Plan; and (iii) the present value of the accrued benefit liabilities (whether or not vested) under each Non-U.S. Plan, determined as of the end of Holdings’ most recently ended fiscal year on the basis of reasonable actuarial assumptions, did not exceed the current value of the assets of such Non-U.S. Plan allocable to such benefit liabilities.</w:t>
      </w:r>
    </w:p>
    <w:p>
      <w:pPr>
        <w:spacing w:after="0" w:line="21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0"/>
          <w:szCs w:val="20"/>
          <w:color w:val="auto"/>
        </w:rPr>
        <w:t>Section 4.11.</w:t>
      </w:r>
      <w:r>
        <w:rPr>
          <w:sz w:val="20"/>
          <w:szCs w:val="20"/>
          <w:color w:val="auto"/>
        </w:rPr>
        <w:tab/>
      </w:r>
      <w:r>
        <w:rPr>
          <w:rFonts w:ascii="Times New Roman" w:cs="Times New Roman" w:eastAsia="Times New Roman" w:hAnsi="Times New Roman"/>
          <w:sz w:val="19"/>
          <w:szCs w:val="19"/>
          <w:b w:val="1"/>
          <w:bCs w:val="1"/>
          <w:u w:val="single" w:color="auto"/>
          <w:color w:val="auto"/>
        </w:rPr>
        <w:t>Ownership of Property; Intellectual Property; and Insurance</w:t>
      </w:r>
      <w:r>
        <w:rPr>
          <w:rFonts w:ascii="Times New Roman" w:cs="Times New Roman" w:eastAsia="Times New Roman" w:hAnsi="Times New Roman"/>
          <w:sz w:val="19"/>
          <w:szCs w:val="19"/>
          <w:color w:val="auto"/>
        </w:rPr>
        <w:t>.</w:t>
      </w:r>
    </w:p>
    <w:p>
      <w:pPr>
        <w:spacing w:after="0" w:line="328" w:lineRule="exact"/>
        <w:rPr>
          <w:sz w:val="20"/>
          <w:szCs w:val="20"/>
          <w:color w:val="auto"/>
        </w:rPr>
      </w:pPr>
    </w:p>
    <w:p>
      <w:pPr>
        <w:jc w:val="both"/>
        <w:ind w:firstLine="1303"/>
        <w:spacing w:after="0" w:line="244" w:lineRule="auto"/>
        <w:tabs>
          <w:tab w:leader="none" w:pos="215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Borrower and its Subsidiaries has good title to, or valid leasehold interests in, all of its real and personal property material to the operation of its business, including all such properties reflected in the most recent audited consolidated balance sheet of Holdings referred to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or purported to have been acquired by the Borrower or any of its Subsidiaries after said date (except as sold or otherwise disposed of in the ordinary course of business or otherwise as permitted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of this Agreement), in each case, free and clear of Liens prohibited by this Agreement. All leases that individually or in the aggregate are material to the business or operations of Holdings and its Subsidiaries are valid and subsisting and are in full force.</w:t>
      </w:r>
    </w:p>
    <w:p>
      <w:pPr>
        <w:spacing w:after="0" w:line="212" w:lineRule="exact"/>
        <w:rPr>
          <w:rFonts w:ascii="Times New Roman" w:cs="Times New Roman" w:eastAsia="Times New Roman" w:hAnsi="Times New Roman"/>
          <w:sz w:val="20"/>
          <w:szCs w:val="20"/>
          <w:color w:val="auto"/>
        </w:rPr>
      </w:pPr>
    </w:p>
    <w:p>
      <w:pPr>
        <w:jc w:val="both"/>
        <w:ind w:firstLine="1303"/>
        <w:spacing w:after="0" w:line="242" w:lineRule="auto"/>
        <w:tabs>
          <w:tab w:leader="none" w:pos="214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its Subsidiaries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To the knowledge of the Borrower, (i) the conduct and operations of the businesses of Holdings and its Subsidiaries does not infringe, misappropriate, dilute or violate any Intellectual Property owned by any other Person and (ii) no other Person has contested any right, title or interest of Holdings or its Subsidiaries in, or relating to, any Intellectual Property, other than, in each case, as would not, in the aggregate, reasonably be expected to have a Material Adverse Effect.</w:t>
      </w:r>
    </w:p>
    <w:p>
      <w:pPr>
        <w:spacing w:after="0" w:line="212" w:lineRule="exact"/>
        <w:rPr>
          <w:rFonts w:ascii="Times New Roman" w:cs="Times New Roman" w:eastAsia="Times New Roman" w:hAnsi="Times New Roman"/>
          <w:sz w:val="20"/>
          <w:szCs w:val="20"/>
          <w:color w:val="auto"/>
        </w:rPr>
      </w:pPr>
    </w:p>
    <w:p>
      <w:pPr>
        <w:jc w:val="both"/>
        <w:ind w:firstLine="1303"/>
        <w:spacing w:after="0" w:line="249" w:lineRule="auto"/>
        <w:tabs>
          <w:tab w:leader="none" w:pos="215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of Holdings and its Subsidiaries are insured with financially sound and reputable insurance companies which are not Affiliates of Holdings, in such amounts with such deductibles and covering such risks as are customarily carried by companies engaged in similar businesses and owning similar properties in localities where Holdings or any applicable Subsidiary operates.</w:t>
      </w:r>
    </w:p>
    <w:p>
      <w:pPr>
        <w:spacing w:after="0" w:line="206" w:lineRule="exact"/>
        <w:rPr>
          <w:rFonts w:ascii="Times New Roman" w:cs="Times New Roman" w:eastAsia="Times New Roman" w:hAnsi="Times New Roman"/>
          <w:sz w:val="20"/>
          <w:szCs w:val="20"/>
          <w:color w:val="auto"/>
        </w:rPr>
      </w:pPr>
    </w:p>
    <w:p>
      <w:pPr>
        <w:ind w:right="20" w:firstLine="1303"/>
        <w:spacing w:after="0" w:line="269" w:lineRule="auto"/>
        <w:tabs>
          <w:tab w:leader="none" w:pos="214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neither the Borrower nor any of its Subsidiaries owns a fee interest in any Real Estate.</w:t>
      </w:r>
    </w:p>
    <w:p>
      <w:pPr>
        <w:spacing w:after="0" w:line="18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4.12. </w:t>
      </w:r>
      <w:r>
        <w:rPr>
          <w:rFonts w:ascii="Times New Roman" w:cs="Times New Roman" w:eastAsia="Times New Roman" w:hAnsi="Times New Roman"/>
          <w:sz w:val="20"/>
          <w:szCs w:val="20"/>
          <w:b w:val="1"/>
          <w:bCs w:val="1"/>
          <w:u w:val="single" w:color="auto"/>
          <w:color w:val="auto"/>
        </w:rPr>
        <w:t>Disclosure</w:t>
      </w:r>
      <w:r>
        <w:rPr>
          <w:rFonts w:ascii="Times New Roman" w:cs="Times New Roman" w:eastAsia="Times New Roman" w:hAnsi="Times New Roman"/>
          <w:sz w:val="20"/>
          <w:szCs w:val="20"/>
          <w:color w:val="auto"/>
        </w:rPr>
        <w:t>. Holdings and the Borrower have disclosed to the Lenders all agreements, instruments and corporate or other restrictions to which Holdings, the Borrower or any of their respective Subsidiaries is subject, and all other matters known to any of them, that, either individually or in the aggregate, would reasonably be expected to result in a Material Adverse Effect. None of the reports (including, without limitation, all reports that an Insurance Subsidiary is required to file with any regulatory agency), financial statements, certificates or other written information furnished by or on behalf of the Borrower to the Administrative Agent or any Lender in connection with the negotiation or syndication of this Agreement or any other Loan Document or delivered hereunder or</w:t>
      </w:r>
    </w:p>
    <w:p>
      <w:pPr>
        <w:sectPr>
          <w:pgSz w:w="11900" w:h="16838" w:orient="portrait"/>
          <w:cols w:equalWidth="0" w:num="1">
            <w:col w:w="10040"/>
          </w:cols>
          <w:pgMar w:left="1400" w:top="1413" w:right="459" w:bottom="1440" w:gutter="0" w:footer="0" w:header="0"/>
        </w:sectPr>
      </w:pPr>
    </w:p>
    <w:bookmarkStart w:id="169" w:name="page170"/>
    <w:bookmarkEnd w:id="169"/>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Holdings and the Borrower represent only that such information was prepared in good faith based upon assumptions believed to be reasonable at the time furnished (it being acknowledged and understood that such information is subject to contingencies and assumptions, many of which are beyond the Borrower’s control, and that actual results may differ materially from such information and that such projections are not a guarantee of financial performance).</w:t>
      </w:r>
    </w:p>
    <w:p>
      <w:pPr>
        <w:spacing w:after="0" w:line="22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4.13. </w:t>
      </w:r>
      <w:r>
        <w:rPr>
          <w:rFonts w:ascii="Times New Roman" w:cs="Times New Roman" w:eastAsia="Times New Roman" w:hAnsi="Times New Roman"/>
          <w:sz w:val="20"/>
          <w:szCs w:val="20"/>
          <w:b w:val="1"/>
          <w:bCs w:val="1"/>
          <w:u w:val="single" w:color="auto"/>
          <w:color w:val="auto"/>
        </w:rPr>
        <w:t>Labor Relations</w:t>
      </w:r>
      <w:r>
        <w:rPr>
          <w:rFonts w:ascii="Times New Roman" w:cs="Times New Roman" w:eastAsia="Times New Roman" w:hAnsi="Times New Roman"/>
          <w:sz w:val="20"/>
          <w:szCs w:val="20"/>
          <w:color w:val="auto"/>
        </w:rPr>
        <w:t>. Except as would not reasonably be expected to result in a Material Adverse Effect, (i) there are no strikes, lockouts or other material labor disputes against Holdings or any of its Subsidiaries or, to Holdings’ or the Borrower’s knowledge, threatened against or affecting Holdings or the Borrower or any of their respective Subsidiaries; (ii) significant unfair labor practice charges or grievances are pending against the Borrower or any of its Subsidiaries or, to Holdings’ or the Borrower’s knowledge, threatened against any of them before any Governmental Authority; and (iii) all payments due from Holdings or any of its Subsidiaries pursuant to the provisions of any collective bargaining agreement have been paid or accrued as a liability on the books of Holdings or any such Subsidiary.</w:t>
      </w:r>
    </w:p>
    <w:p>
      <w:pPr>
        <w:spacing w:after="0" w:line="22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4.14. </w:t>
      </w:r>
      <w:r>
        <w:rPr>
          <w:rFonts w:ascii="Times New Roman" w:cs="Times New Roman" w:eastAsia="Times New Roman" w:hAnsi="Times New Roman"/>
          <w:sz w:val="20"/>
          <w:szCs w:val="20"/>
          <w:b w:val="1"/>
          <w:bCs w:val="1"/>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4.14</w:t>
      </w:r>
      <w:r>
        <w:rPr>
          <w:rFonts w:ascii="Times New Roman" w:cs="Times New Roman" w:eastAsia="Times New Roman" w:hAnsi="Times New Roman"/>
          <w:sz w:val="20"/>
          <w:szCs w:val="20"/>
          <w:color w:val="auto"/>
        </w:rPr>
        <w:t xml:space="preserve"> sets forth the name of, the ownership interest of the applicable Loan Party in, the jurisdiction of incorporation or organization of, and the type of each Subsidiary of Holdings and the other Loan Parties and identifies each Subsidiary that is a Subsidiary Loan Party, in each case, 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all of the issued and outstanding Capital Stock of the Subsidiaries owned by any Loan Party have been (to the extent such concepts are relevant with respect to such ownership interests) duly authorized and issued and are fully paid and non-assessable free and clear of all Liens (other than Permitted Prior Liens). 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there are no outstanding purchase options, warrants, subscription rights, agreements to issue or sell or convertible interests by Holdings or any Subsidiary of Holdings relating to the Capital Stock of Holdings or any Subsidiary of Holdings, other than (i) the Warrants, (ii) the Carvana Warrants, (iii) the conversion of Class B Common Stock to Class A Common Stock, or the conversion of Preferred Stock to Class A Common Stock and (iv) equity awards issued pursuant to an equity incentive plan of Holdings or any Subsidiary of Holdings or other compensation arrangements with employees of Holdings or any Subsidiary of Holdings.</w:t>
      </w:r>
    </w:p>
    <w:p>
      <w:pPr>
        <w:spacing w:after="0" w:line="27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Section 4.15. </w:t>
      </w:r>
      <w:r>
        <w:rPr>
          <w:rFonts w:ascii="Times New Roman" w:cs="Times New Roman" w:eastAsia="Times New Roman" w:hAnsi="Times New Roman"/>
          <w:sz w:val="19"/>
          <w:szCs w:val="19"/>
          <w:b w:val="1"/>
          <w:bCs w:val="1"/>
          <w:u w:val="single" w:color="auto"/>
          <w:color w:val="auto"/>
        </w:rPr>
        <w:t>Solvency</w:t>
      </w:r>
      <w:r>
        <w:rPr>
          <w:rFonts w:ascii="Times New Roman" w:cs="Times New Roman" w:eastAsia="Times New Roman" w:hAnsi="Times New Roman"/>
          <w:sz w:val="19"/>
          <w:szCs w:val="19"/>
          <w:color w:val="auto"/>
        </w:rPr>
        <w:t>. After giving effect to the execution and delivery of the Loan Documents, the consummation of the transactions contemplated herein, including the issuance of the Loans on the Funding Date, and the use of proceeds of the Loans in connection therewith on the Funding Date, the Loan Parties and their Subsidiaries, taken as a whole, are Solvent.</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4.16. </w:t>
      </w:r>
      <w:r>
        <w:rPr>
          <w:rFonts w:ascii="Times New Roman" w:cs="Times New Roman" w:eastAsia="Times New Roman" w:hAnsi="Times New Roman"/>
          <w:sz w:val="20"/>
          <w:szCs w:val="20"/>
          <w:b w:val="1"/>
          <w:bCs w:val="1"/>
          <w:u w:val="single" w:color="auto"/>
          <w:color w:val="auto"/>
        </w:rPr>
        <w:t>Deposit and Disbursement Accounts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4.16</w:t>
      </w:r>
      <w:r>
        <w:rPr>
          <w:rFonts w:ascii="Times New Roman" w:cs="Times New Roman" w:eastAsia="Times New Roman" w:hAnsi="Times New Roman"/>
          <w:sz w:val="20"/>
          <w:szCs w:val="20"/>
          <w:color w:val="auto"/>
        </w:rPr>
        <w:t xml:space="preserve"> lists all banks and other financial institutions at which any Loan Party maintains deposit accounts, lockbox accounts, disbursement accounts, investment accounts or other similar accounts 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and such Schedule correctly identifies the name, address and telephone number of each financial institution, the name in which the account is held, the type of the account and the complete account number therefor.</w:t>
      </w:r>
    </w:p>
    <w:p>
      <w:pPr>
        <w:spacing w:after="0" w:line="208"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4.17.</w:t>
      </w:r>
      <w:r>
        <w:rPr>
          <w:sz w:val="20"/>
          <w:szCs w:val="20"/>
          <w:color w:val="auto"/>
        </w:rPr>
        <w:tab/>
      </w:r>
      <w:r>
        <w:rPr>
          <w:rFonts w:ascii="Times New Roman" w:cs="Times New Roman" w:eastAsia="Times New Roman" w:hAnsi="Times New Roman"/>
          <w:sz w:val="19"/>
          <w:szCs w:val="19"/>
          <w:b w:val="1"/>
          <w:bCs w:val="1"/>
          <w:u w:val="single" w:color="auto"/>
          <w:color w:val="auto"/>
        </w:rPr>
        <w:t>Collateral Documents</w:t>
      </w:r>
      <w:r>
        <w:rPr>
          <w:rFonts w:ascii="Times New Roman" w:cs="Times New Roman" w:eastAsia="Times New Roman" w:hAnsi="Times New Roman"/>
          <w:sz w:val="19"/>
          <w:szCs w:val="19"/>
          <w:color w:val="auto"/>
        </w:rPr>
        <w:t>.</w:t>
      </w:r>
    </w:p>
    <w:p>
      <w:pPr>
        <w:spacing w:after="0" w:line="328" w:lineRule="exact"/>
        <w:rPr>
          <w:sz w:val="20"/>
          <w:szCs w:val="20"/>
          <w:color w:val="auto"/>
        </w:rPr>
      </w:pPr>
    </w:p>
    <w:p>
      <w:pPr>
        <w:jc w:val="both"/>
        <w:ind w:firstLine="1303"/>
        <w:spacing w:after="0" w:line="254" w:lineRule="auto"/>
        <w:tabs>
          <w:tab w:leader="none" w:pos="215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Guaranty and Security Agreement is effective to create in favor of the Administrative Agent, for the ratable benefit of the Secured Parties, a legal, valid and enforceable security interest in the Collateral (as defined therein), and the Liens created under the Guaranty and Security</w:t>
      </w:r>
    </w:p>
    <w:p>
      <w:pPr>
        <w:sectPr>
          <w:pgSz w:w="11900" w:h="16838" w:orient="portrait"/>
          <w:cols w:equalWidth="0" w:num="1">
            <w:col w:w="10040"/>
          </w:cols>
          <w:pgMar w:left="1400" w:top="1332" w:right="459" w:bottom="1440" w:gutter="0" w:footer="0" w:header="0"/>
        </w:sectPr>
      </w:pPr>
    </w:p>
    <w:bookmarkStart w:id="170" w:name="page171"/>
    <w:bookmarkEnd w:id="170"/>
    <w:p>
      <w:pPr>
        <w:jc w:val="both"/>
        <w:spacing w:after="0" w:line="242" w:lineRule="auto"/>
        <w:rPr>
          <w:sz w:val="20"/>
          <w:szCs w:val="20"/>
          <w:color w:val="auto"/>
        </w:rPr>
      </w:pPr>
      <w:r>
        <w:rPr>
          <w:rFonts w:ascii="Times New Roman" w:cs="Times New Roman" w:eastAsia="Times New Roman" w:hAnsi="Times New Roman"/>
          <w:sz w:val="20"/>
          <w:szCs w:val="20"/>
          <w:color w:val="auto"/>
        </w:rPr>
        <w:t>Agreement constitute fully perfected Liens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Permitted Prior Liens. When the certificates evidencing Capital Stock that constitutes “certificated securities” pledged pursuant to the Guaranty and Security Agreement are delivered to the Administrative Agent, together with appropriate stock powers or other similar instruments of transfer duly executed in blank, the Liens in such Capital Stock shall be fully perfected first priority security interests, perfected by “control” as defined in the UCC.</w:t>
      </w:r>
    </w:p>
    <w:p>
      <w:pPr>
        <w:spacing w:after="0" w:line="226" w:lineRule="exact"/>
        <w:rPr>
          <w:sz w:val="20"/>
          <w:szCs w:val="20"/>
          <w:color w:val="auto"/>
        </w:rPr>
      </w:pPr>
    </w:p>
    <w:p>
      <w:pPr>
        <w:jc w:val="both"/>
        <w:ind w:firstLine="1304"/>
        <w:spacing w:after="0" w:line="242" w:lineRule="auto"/>
        <w:tabs>
          <w:tab w:leader="none" w:pos="214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if applicable, the Patent Security Agreement(s) and the Trademark Security Agreement(s) are filed with the USPTO, and the Copyright Security Agreement(s) are filed with the USCRO, the Liens created by the Guaranty and Security Agreement shall constitute a fully perfected Lien on, and security interest in, all right, title and interest of the applicable Loan Parties in such Patents, Trademarks and Copyrights, if any, in which a security interest may be perfected by filing, recording or registering a security agreement, financing statement or analogous document with the USPTO or the USCRO, as applicable, in each case, prior and superior in right to any other Person other than with respect to Permitted Prior Liens.</w:t>
      </w:r>
    </w:p>
    <w:p>
      <w:pPr>
        <w:spacing w:after="0" w:line="226" w:lineRule="exact"/>
        <w:rPr>
          <w:rFonts w:ascii="Times New Roman" w:cs="Times New Roman" w:eastAsia="Times New Roman" w:hAnsi="Times New Roman"/>
          <w:sz w:val="20"/>
          <w:szCs w:val="20"/>
          <w:color w:val="auto"/>
        </w:rPr>
      </w:pPr>
    </w:p>
    <w:p>
      <w:pPr>
        <w:jc w:val="both"/>
        <w:ind w:firstLine="1304"/>
        <w:spacing w:after="0" w:line="242" w:lineRule="auto"/>
        <w:tabs>
          <w:tab w:leader="none" w:pos="215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Mortgage, if any, when duly executed and delivered by the relevant Loan Party, shall be effective to create in favor of the Administrative Agent, for the ratable benefit of the Secured Parties, a legal, valid and enforceable Lien on all of such applicable Loan Party’s right, title and interest in and to the Real Estate of such Loan Party covered thereby and the proceeds thereof, and when such Mortgage is filed in the real estate records where the respective Mortgaged Property is located, such Mortgage shall constitute a fully perfected Lien on, and security interest in, all right, title and interest of such Loan Party in such Real Estate and the proceeds thereof, in each case, prior and superior in right to any other Person, other than with respect to Permitted Prior Liens.</w:t>
      </w:r>
    </w:p>
    <w:p>
      <w:pPr>
        <w:spacing w:after="0" w:line="212" w:lineRule="exact"/>
        <w:rPr>
          <w:rFonts w:ascii="Times New Roman" w:cs="Times New Roman" w:eastAsia="Times New Roman" w:hAnsi="Times New Roman"/>
          <w:sz w:val="20"/>
          <w:szCs w:val="20"/>
          <w:color w:val="auto"/>
        </w:rPr>
      </w:pPr>
    </w:p>
    <w:p>
      <w:pPr>
        <w:jc w:val="both"/>
        <w:ind w:firstLine="1304"/>
        <w:spacing w:after="0" w:line="249" w:lineRule="auto"/>
        <w:tabs>
          <w:tab w:leader="none" w:pos="214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1968, except to the extent that the applicable Loan Party maintains flood insurance with respect to such improved real property in compliance with the requirements of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w:t>
      </w:r>
    </w:p>
    <w:p>
      <w:pPr>
        <w:spacing w:after="0" w:line="2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4.18. </w:t>
      </w:r>
      <w:r>
        <w:rPr>
          <w:rFonts w:ascii="Times New Roman" w:cs="Times New Roman" w:eastAsia="Times New Roman" w:hAnsi="Times New Roman"/>
          <w:sz w:val="20"/>
          <w:szCs w:val="20"/>
          <w:b w:val="1"/>
          <w:bCs w:val="1"/>
          <w:u w:val="single" w:color="auto"/>
          <w:color w:val="auto"/>
        </w:rPr>
        <w:t>Material Agreements</w:t>
      </w:r>
      <w:r>
        <w:rPr>
          <w:rFonts w:ascii="Times New Roman" w:cs="Times New Roman" w:eastAsia="Times New Roman" w:hAnsi="Times New Roman"/>
          <w:sz w:val="20"/>
          <w:szCs w:val="20"/>
          <w:color w:val="auto"/>
        </w:rPr>
        <w:t xml:space="preserve">. 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all Material Agreements of the Borrower and its Subsidiaries are set forth on </w:t>
      </w:r>
      <w:r>
        <w:rPr>
          <w:rFonts w:ascii="Times New Roman" w:cs="Times New Roman" w:eastAsia="Times New Roman" w:hAnsi="Times New Roman"/>
          <w:sz w:val="20"/>
          <w:szCs w:val="20"/>
          <w:u w:val="single" w:color="auto"/>
          <w:color w:val="auto"/>
        </w:rPr>
        <w:t>Schedule 4.18</w:t>
      </w:r>
      <w:r>
        <w:rPr>
          <w:rFonts w:ascii="Times New Roman" w:cs="Times New Roman" w:eastAsia="Times New Roman" w:hAnsi="Times New Roman"/>
          <w:sz w:val="20"/>
          <w:szCs w:val="20"/>
          <w:color w:val="auto"/>
        </w:rPr>
        <w:t xml:space="preserve"> attached hereto, and each such Material Agreement is in full force and effect. 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the Borrower does not have any knowledge of any pending material amendments or threatened termination of any of the Material Agreements. As of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Date, the Borrower has electronically delivered to the Administrative Agent a true,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 xml:space="preserve">complete and correct copy of each Material Agreement (including all material schedules, exhibits, amendments, supplements, modifications, assignments and all other material documents delivered pursuant thereto or in connection therewith) listed on </w:t>
      </w:r>
      <w:r>
        <w:rPr>
          <w:rFonts w:ascii="Times New Roman" w:cs="Times New Roman" w:eastAsia="Times New Roman" w:hAnsi="Times New Roman"/>
          <w:sz w:val="20"/>
          <w:szCs w:val="20"/>
          <w:u w:val="single" w:color="auto"/>
          <w:color w:val="000000"/>
        </w:rPr>
        <w:t>Schedule 4.18</w:t>
      </w:r>
      <w:r>
        <w:rPr>
          <w:rFonts w:ascii="Times New Roman" w:cs="Times New Roman" w:eastAsia="Times New Roman" w:hAnsi="Times New Roman"/>
          <w:sz w:val="20"/>
          <w:szCs w:val="20"/>
          <w:color w:val="000000"/>
        </w:rPr>
        <w:t>.</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 xml:space="preserve">Section 4.19. </w:t>
      </w:r>
      <w:r>
        <w:rPr>
          <w:rFonts w:ascii="Times New Roman" w:cs="Times New Roman" w:eastAsia="Times New Roman" w:hAnsi="Times New Roman"/>
          <w:sz w:val="19"/>
          <w:szCs w:val="19"/>
          <w:b w:val="1"/>
          <w:bCs w:val="1"/>
          <w:u w:val="single" w:color="auto"/>
          <w:color w:val="auto"/>
        </w:rPr>
        <w:t>Insurance Licenses</w:t>
      </w:r>
      <w:r>
        <w:rPr>
          <w:rFonts w:ascii="Times New Roman" w:cs="Times New Roman" w:eastAsia="Times New Roman" w:hAnsi="Times New Roman"/>
          <w:sz w:val="19"/>
          <w:szCs w:val="19"/>
          <w:color w:val="auto"/>
        </w:rPr>
        <w:t>. No Insurance License of any Insurance Subsidiary, the loss of which individually or in the aggregate would reasonably be expected to have a Material Adverse Effect, is the subject of a proceeding for suspension or revocation. To the best of the Borrower’s knowledge, there is no sustainable basis for a suspension or revocation of any Insurance License of any Insurance Subsidiary, which individually or in the aggregate, would reasonably be expected to have a Material Adverse Effect, and no such suspension or revocation has been threatened by any Governmental Authority which individually or in the aggregate would reasonably be expected to have a Material Adverse Effect.</w:t>
      </w:r>
    </w:p>
    <w:p>
      <w:pPr>
        <w:sectPr>
          <w:pgSz w:w="11900" w:h="16838" w:orient="portrait"/>
          <w:cols w:equalWidth="0" w:num="1">
            <w:col w:w="10040"/>
          </w:cols>
          <w:pgMar w:left="1400" w:top="1413" w:right="459" w:bottom="1440" w:gutter="0" w:footer="0" w:header="0"/>
        </w:sectPr>
      </w:pPr>
    </w:p>
    <w:bookmarkStart w:id="171" w:name="page172"/>
    <w:bookmarkEnd w:id="171"/>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4.20.</w:t>
      </w:r>
      <w:r>
        <w:rPr>
          <w:sz w:val="20"/>
          <w:szCs w:val="20"/>
          <w:color w:val="auto"/>
        </w:rPr>
        <w:tab/>
      </w:r>
      <w:r>
        <w:rPr>
          <w:rFonts w:ascii="Times New Roman" w:cs="Times New Roman" w:eastAsia="Times New Roman" w:hAnsi="Times New Roman"/>
          <w:sz w:val="19"/>
          <w:szCs w:val="19"/>
          <w:b w:val="1"/>
          <w:bCs w:val="1"/>
          <w:u w:val="single" w:color="auto"/>
          <w:color w:val="auto"/>
        </w:rPr>
        <w:t>Sanctions and Anti-Corruption Laws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right="120" w:firstLine="1303"/>
        <w:spacing w:after="0" w:line="244" w:lineRule="auto"/>
        <w:tabs>
          <w:tab w:leader="none" w:pos="215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or any of its Subsidiaries or any of their respective directors, officers, employees or, to the knowledge of Holdings and the Borrower or agents, is a Sanctioned Person. No Loans, use of proceeds or other transaction by Holdings or any of its Subsidiaries contemplated by this Agreement or the other Loan Documents will violate Anti-Corruption Laws, the PATRIOT Act or Sanctions.</w:t>
      </w:r>
    </w:p>
    <w:p>
      <w:pPr>
        <w:spacing w:after="0" w:line="225" w:lineRule="exact"/>
        <w:rPr>
          <w:rFonts w:ascii="Times New Roman" w:cs="Times New Roman" w:eastAsia="Times New Roman" w:hAnsi="Times New Roman"/>
          <w:sz w:val="20"/>
          <w:szCs w:val="20"/>
          <w:color w:val="auto"/>
        </w:rPr>
      </w:pPr>
    </w:p>
    <w:p>
      <w:pPr>
        <w:jc w:val="both"/>
        <w:ind w:right="120" w:firstLine="1303"/>
        <w:spacing w:after="0" w:line="244" w:lineRule="auto"/>
        <w:tabs>
          <w:tab w:leader="none" w:pos="214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its Subsidiaries and their respective directors, officers and employees and, to the knowledge of Holdings and the Borrower, the agents of Holdings and its Subsidiaries, are in compliance with applicable Anti-Corruption Laws, the PATRIOT Act and applicable Sanctions. The Borrower and its Subsidiaries have instituted and maintain policies and procedures designed to promote continued compliance with Anti-Corruption Laws.</w:t>
      </w:r>
    </w:p>
    <w:p>
      <w:pPr>
        <w:spacing w:after="0" w:line="222" w:lineRule="exact"/>
        <w:rPr>
          <w:sz w:val="20"/>
          <w:szCs w:val="20"/>
          <w:color w:val="auto"/>
        </w:rPr>
      </w:pPr>
    </w:p>
    <w:p>
      <w:pPr>
        <w:jc w:val="center"/>
        <w:ind w:right="760"/>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Section 4.21.</w:t>
      </w:r>
      <w:r>
        <w:rPr>
          <w:sz w:val="20"/>
          <w:szCs w:val="20"/>
          <w:color w:val="auto"/>
        </w:rPr>
        <w:tab/>
      </w:r>
      <w:r>
        <w:rPr>
          <w:rFonts w:ascii="Times New Roman" w:cs="Times New Roman" w:eastAsia="Times New Roman" w:hAnsi="Times New Roman"/>
          <w:sz w:val="20"/>
          <w:szCs w:val="20"/>
          <w:b w:val="1"/>
          <w:bCs w:val="1"/>
          <w:u w:val="single" w:color="auto"/>
          <w:color w:val="auto"/>
        </w:rPr>
        <w:t>Affected Financial Institutions</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19"/>
          <w:szCs w:val="19"/>
          <w:color w:val="auto"/>
        </w:rPr>
        <w:t>No Loan Party is an Affected Financial Institution.</w:t>
      </w:r>
    </w:p>
    <w:p>
      <w:pPr>
        <w:spacing w:after="0" w:line="25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u w:val="single" w:color="auto"/>
          <w:color w:val="auto"/>
        </w:rPr>
        <w:t>ARTICLE V</w:t>
      </w:r>
    </w:p>
    <w:p>
      <w:pPr>
        <w:spacing w:after="0" w:line="3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328"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Until the Termination Date, Holdings and the Borrower hereby covenant and agree with the Administrative Agent and the Lenders that:</w:t>
      </w:r>
    </w:p>
    <w:p>
      <w:pPr>
        <w:spacing w:after="0" w:line="19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5.1.</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 and Other Information</w:t>
      </w:r>
      <w:r>
        <w:rPr>
          <w:rFonts w:ascii="Times New Roman" w:cs="Times New Roman" w:eastAsia="Times New Roman" w:hAnsi="Times New Roman"/>
          <w:sz w:val="19"/>
          <w:szCs w:val="19"/>
          <w:color w:val="auto"/>
        </w:rPr>
        <w:t>. Holdings shall deliver (or cause to be delivered) to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for delivery to each Lender:</w:t>
      </w:r>
    </w:p>
    <w:p>
      <w:pPr>
        <w:spacing w:after="0" w:line="234" w:lineRule="exact"/>
        <w:rPr>
          <w:sz w:val="20"/>
          <w:szCs w:val="20"/>
          <w:color w:val="auto"/>
        </w:rPr>
      </w:pPr>
    </w:p>
    <w:p>
      <w:pPr>
        <w:jc w:val="both"/>
        <w:ind w:firstLine="1303"/>
        <w:spacing w:after="0" w:line="234" w:lineRule="auto"/>
        <w:tabs>
          <w:tab w:leader="none" w:pos="219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and in any event within 120 days </w:t>
      </w:r>
      <w:r>
        <w:rPr>
          <w:rFonts w:ascii="Times New Roman" w:cs="Times New Roman" w:eastAsia="Times New Roman" w:hAnsi="Times New Roman"/>
          <w:sz w:val="20"/>
          <w:szCs w:val="20"/>
          <w:u w:val="single" w:color="auto"/>
          <w:color w:val="0000FF"/>
        </w:rPr>
        <w:t>(or such later date required by the 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regulatory authority, as notified by the Borrower to the Administrative Agent; provided that such notice may be provided by email by counsel to the Borrower; provided further that failure by the Borrower to provide such notice shall not constitute a Default or Event of Default)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after the end of each Fiscal Year of Holdings, a copy of the annual audited report for such Fiscal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Year for Holdings and its Subsidiaries (commencing with the Fiscal Year ended December 31, 2021), containing a consolidated balance sheet of Holdings and its Subsidiaries as of the end of such Fiscal Year, and the related consolidated statements of income, stockholders’ equity and cash flows (together with all footnotes thereto) of Holdings and its Subsidiaries for such Fiscal Year, setting forth, in each case, in comparative form, the figures for the previous Fiscal Year, all in reasonable detail and reported on by Deloitte or another independent public accountant of nationally recognized standing (which may have </w:t>
      </w:r>
      <w:r>
        <w:rPr>
          <w:rFonts w:ascii="Times New Roman" w:cs="Times New Roman" w:eastAsia="Times New Roman" w:hAnsi="Times New Roman"/>
          <w:sz w:val="20"/>
          <w:szCs w:val="20"/>
          <w:u w:val="single" w:color="auto"/>
          <w:color w:val="0000FF"/>
        </w:rPr>
        <w:t>an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emphasis of a matter or which may have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 “going concern” or like qualification, exception or explanation solely as a result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impending Maturity Date but</w:t>
      </w:r>
      <w:r>
        <w:rPr>
          <w:rFonts w:ascii="Times New Roman" w:cs="Times New Roman" w:eastAsia="Times New Roman" w:hAnsi="Times New Roman"/>
          <w:sz w:val="20"/>
          <w:szCs w:val="20"/>
          <w:u w:val="single" w:color="auto"/>
          <w:color w:val="0000FF"/>
        </w:rPr>
        <w:t>, in each case,</w:t>
      </w:r>
      <w:r>
        <w:rPr>
          <w:rFonts w:ascii="Times New Roman" w:cs="Times New Roman" w:eastAsia="Times New Roman" w:hAnsi="Times New Roman"/>
          <w:sz w:val="20"/>
          <w:szCs w:val="20"/>
          <w:color w:val="000000"/>
        </w:rPr>
        <w:t xml:space="preserve"> without any other qualification as to the scope of such audit) to the effect that such financial statements present fairly in all material respects the financial condition and the results of operations of Holdings and its Subsidiaries for such Fiscal Year on a consolidated basis in accordance with GAAP;</w:t>
      </w:r>
    </w:p>
    <w:p>
      <w:pPr>
        <w:spacing w:after="0" w:line="203" w:lineRule="exact"/>
        <w:rPr>
          <w:rFonts w:ascii="Times New Roman" w:cs="Times New Roman" w:eastAsia="Times New Roman" w:hAnsi="Times New Roman"/>
          <w:sz w:val="20"/>
          <w:szCs w:val="20"/>
          <w:color w:val="auto"/>
        </w:rPr>
      </w:pPr>
    </w:p>
    <w:p>
      <w:pPr>
        <w:jc w:val="both"/>
        <w:ind w:firstLine="1303"/>
        <w:spacing w:after="0" w:line="241" w:lineRule="auto"/>
        <w:tabs>
          <w:tab w:leader="none" w:pos="158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 soon as available, and in any event within 60 days (or </w:t>
      </w:r>
      <w:r>
        <w:rPr>
          <w:rFonts w:ascii="Times New Roman" w:cs="Times New Roman" w:eastAsia="Times New Roman" w:hAnsi="Times New Roman"/>
          <w:sz w:val="20"/>
          <w:szCs w:val="20"/>
          <w:u w:val="single" w:color="auto"/>
          <w:color w:val="0000FF"/>
        </w:rPr>
        <w:t>(x) such later date required by the 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Insurance Regulatory Authority, as notified by the Borrower to the Administrative Agent; provided that such notice may be provided by email by counsel to the Borrower; provided further that failure by the Borrower to provide such notice shall not constitute a Default or Event of Default), or (y)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 the case of any audited statements and risk-based capital reports required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be delivered pursuant to this </w:t>
      </w:r>
      <w:r>
        <w:rPr>
          <w:rFonts w:ascii="Times New Roman" w:cs="Times New Roman" w:eastAsia="Times New Roman" w:hAnsi="Times New Roman"/>
          <w:sz w:val="20"/>
          <w:szCs w:val="20"/>
          <w:u w:val="single" w:color="auto"/>
          <w:color w:val="000000"/>
        </w:rPr>
        <w:t>clause (b)</w:t>
      </w:r>
      <w:r>
        <w:rPr>
          <w:rFonts w:ascii="Times New Roman" w:cs="Times New Roman" w:eastAsia="Times New Roman" w:hAnsi="Times New Roman"/>
          <w:sz w:val="20"/>
          <w:szCs w:val="20"/>
          <w:color w:val="000000"/>
        </w:rPr>
        <w:t>, 180 days) after the end of each Fiscal Year of each Insurance Subsidiary (commencing, in the case of any audited statements and risk-based capital reports required to be delivered, with the Fiscal Year ended December 31, 2021), the annual statement of such Insurance Subsidiary (prepared in accordance with SAP) for such Fiscal Year and as filed with the Insurance</w:t>
      </w:r>
    </w:p>
    <w:p>
      <w:pPr>
        <w:sectPr>
          <w:pgSz w:w="11900" w:h="16838" w:orient="portrait"/>
          <w:cols w:equalWidth="0" w:num="1">
            <w:col w:w="10160"/>
          </w:cols>
          <w:pgMar w:left="1400" w:top="1328" w:right="339" w:bottom="1440" w:gutter="0" w:footer="0" w:header="0"/>
        </w:sectPr>
      </w:pPr>
    </w:p>
    <w:bookmarkStart w:id="172" w:name="page173"/>
    <w:bookmarkEnd w:id="172"/>
    <w:p>
      <w:pPr>
        <w:jc w:val="both"/>
        <w:spacing w:after="0" w:line="254" w:lineRule="auto"/>
        <w:rPr>
          <w:sz w:val="20"/>
          <w:szCs w:val="20"/>
          <w:color w:val="auto"/>
        </w:rPr>
      </w:pPr>
      <w:r>
        <w:rPr>
          <w:rFonts w:ascii="Times New Roman" w:cs="Times New Roman" w:eastAsia="Times New Roman" w:hAnsi="Times New Roman"/>
          <w:sz w:val="20"/>
          <w:szCs w:val="20"/>
          <w:color w:val="auto"/>
        </w:rPr>
        <w:t>Regulatory Authorities of the state in which such Insurance Subsidiary is domiciled (together with any certifications or statements of such Insurance Subsidiary relating to such annual statement and any audited statements and risk-based capital reports, in each case, which are required by such Insurance Regulatory Authorities);</w:t>
      </w:r>
    </w:p>
    <w:p>
      <w:pPr>
        <w:spacing w:after="0" w:line="215" w:lineRule="exact"/>
        <w:rPr>
          <w:sz w:val="20"/>
          <w:szCs w:val="20"/>
          <w:color w:val="auto"/>
        </w:rPr>
      </w:pPr>
    </w:p>
    <w:p>
      <w:pPr>
        <w:jc w:val="both"/>
        <w:ind w:firstLine="1303"/>
        <w:spacing w:after="0" w:line="233" w:lineRule="auto"/>
        <w:tabs>
          <w:tab w:leader="none" w:pos="158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 soon as available, and in any event: (i) within 45 days </w:t>
      </w:r>
      <w:r>
        <w:rPr>
          <w:rFonts w:ascii="Times New Roman" w:cs="Times New Roman" w:eastAsia="Times New Roman" w:hAnsi="Times New Roman"/>
          <w:sz w:val="20"/>
          <w:szCs w:val="20"/>
          <w:u w:val="single" w:color="auto"/>
          <w:color w:val="0000FF"/>
        </w:rPr>
        <w:t>(or such later date required by the 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regulatory authority, as notified by the Borrower to the Administrative Agent; provided that such notice may be provided by email by counsel to the Borrower; provided further that failure by the Borrower to provide such notice shall not constitute a Default or Event of Default)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after the end of each of the first three Fiscal Quarters of Holdings (commencing with the Fiscal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Quarter ending March 31, 2022), an unaudited consolidated balance sheet of Holdings and its Subsidiaries as of the end of such Fiscal Quarter, and the related unaudited consolidated statements of income and cash flows of Holdings and its Subsidiaries for such Fiscal Quarter and the then elapsed portion of such Fiscal Year, setting forth, in each case, in comparative form the figures for the corresponding Fiscal Quarter and the corresponding portion of Holdings’ previous Fiscal Year; and (ii) within 45 days </w:t>
      </w:r>
      <w:r>
        <w:rPr>
          <w:rFonts w:ascii="Times New Roman" w:cs="Times New Roman" w:eastAsia="Times New Roman" w:hAnsi="Times New Roman"/>
          <w:sz w:val="20"/>
          <w:szCs w:val="20"/>
          <w:u w:val="single" w:color="auto"/>
          <w:color w:val="0000FF"/>
        </w:rPr>
        <w:t>(or such later date required by the applicable Insurance Regulatory Authority, as notified by the Borrower to the Administrative Agent; provided that such notice may be provided by email by counsel to the Borrower; provided further that failure by the Borrower to provide such notice shall not constitute a Default or Event of Default)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after the end of each Fiscal Quarter (or 60</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days after the end of each Fiscal Quarter ending December 31), quarterly financial statements of each Insurance Subsidiary (prepared in accordance with SAP) as filed with the Insurance Regulatory Authority of the state in which such Insurance Subsidiary is domiciled (together with any certifications or statements of such Insurance Subsidiary relating to such financial statements as required by such Insurance Regulatory Authority);</w:t>
      </w:r>
    </w:p>
    <w:p>
      <w:pPr>
        <w:spacing w:after="0" w:line="228" w:lineRule="exact"/>
        <w:rPr>
          <w:rFonts w:ascii="Times New Roman" w:cs="Times New Roman" w:eastAsia="Times New Roman" w:hAnsi="Times New Roman"/>
          <w:sz w:val="18"/>
          <w:szCs w:val="18"/>
          <w:color w:val="auto"/>
        </w:rPr>
      </w:pPr>
    </w:p>
    <w:p>
      <w:pPr>
        <w:jc w:val="both"/>
        <w:ind w:right="120" w:firstLine="1302"/>
        <w:spacing w:after="0" w:line="253" w:lineRule="auto"/>
        <w:tabs>
          <w:tab w:leader="none" w:pos="2160"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EE2724"/>
          <w:strike w:val="1"/>
        </w:rPr>
        <w:t xml:space="preserve">(x) upon the election of the Borrower, and following any Minimum Liquidity Step- Down Date (and for so long as </w:t>
      </w:r>
      <w:r>
        <w:rPr>
          <w:rFonts w:ascii="Times New Roman" w:cs="Times New Roman" w:eastAsia="Times New Roman" w:hAnsi="Times New Roman"/>
          <w:sz w:val="19"/>
          <w:szCs w:val="19"/>
          <w:u w:val="single" w:color="auto"/>
          <w:color w:val="EE2724"/>
          <w:strike w:val="1"/>
        </w:rPr>
        <w:t>clause (a)</w:t>
      </w:r>
      <w:r>
        <w:rPr>
          <w:rFonts w:ascii="Times New Roman" w:cs="Times New Roman" w:eastAsia="Times New Roman" w:hAnsi="Times New Roman"/>
          <w:sz w:val="19"/>
          <w:szCs w:val="19"/>
          <w:color w:val="EE2724"/>
          <w:strike w:val="1"/>
        </w:rPr>
        <w:t xml:space="preserve"> or </w:t>
      </w:r>
      <w:r>
        <w:rPr>
          <w:rFonts w:ascii="Times New Roman" w:cs="Times New Roman" w:eastAsia="Times New Roman" w:hAnsi="Times New Roman"/>
          <w:sz w:val="19"/>
          <w:szCs w:val="19"/>
          <w:u w:val="single" w:color="auto"/>
          <w:color w:val="EE2724"/>
          <w:strike w:val="1"/>
        </w:rPr>
        <w:t>clause (b)</w:t>
      </w:r>
      <w:r>
        <w:rPr>
          <w:rFonts w:ascii="Times New Roman" w:cs="Times New Roman" w:eastAsia="Times New Roman" w:hAnsi="Times New Roman"/>
          <w:sz w:val="19"/>
          <w:szCs w:val="19"/>
          <w:color w:val="EE2724"/>
          <w:strike w:val="1"/>
        </w:rPr>
        <w:t xml:space="preserve"> of </w:t>
      </w:r>
      <w:r>
        <w:rPr>
          <w:rFonts w:ascii="Times New Roman" w:cs="Times New Roman" w:eastAsia="Times New Roman" w:hAnsi="Times New Roman"/>
          <w:sz w:val="19"/>
          <w:szCs w:val="19"/>
          <w:u w:val="single" w:color="auto"/>
          <w:color w:val="EE2724"/>
          <w:strike w:val="1"/>
        </w:rPr>
        <w:t>Section 6.4</w:t>
      </w:r>
      <w:r>
        <w:rPr>
          <w:rFonts w:ascii="Times New Roman" w:cs="Times New Roman" w:eastAsia="Times New Roman" w:hAnsi="Times New Roman"/>
          <w:sz w:val="19"/>
          <w:szCs w:val="19"/>
          <w:color w:val="EE2724"/>
          <w:strike w:val="1"/>
        </w:rPr>
        <w:t xml:space="preserve"> is and remains satisfied, and from time to time thereafter (at the Borrower’s re-election) and following any subsequent Minimum Liquidity Step- Down Date), as soon as available, and in any event: (i) within 45 days after the end of each Fiscal Quarter of Holdings, the information required pursuant to </w:t>
      </w:r>
      <w:r>
        <w:rPr>
          <w:rFonts w:ascii="Times New Roman" w:cs="Times New Roman" w:eastAsia="Times New Roman" w:hAnsi="Times New Roman"/>
          <w:sz w:val="19"/>
          <w:szCs w:val="19"/>
          <w:u w:val="single" w:color="auto"/>
          <w:color w:val="EE2724"/>
          <w:strike w:val="1"/>
        </w:rPr>
        <w:t>Section 6.4(a)</w:t>
      </w:r>
      <w:r>
        <w:rPr>
          <w:rFonts w:ascii="Times New Roman" w:cs="Times New Roman" w:eastAsia="Times New Roman" w:hAnsi="Times New Roman"/>
          <w:sz w:val="19"/>
          <w:szCs w:val="19"/>
          <w:color w:val="EE2724"/>
          <w:strike w:val="1"/>
        </w:rPr>
        <w:t xml:space="preserve"> and (ii) within 15 days after the end of each Fiscal Month, a report setting forth the Cumulative Cash Burn and such other information required pursuant to </w:t>
      </w:r>
      <w:r>
        <w:rPr>
          <w:rFonts w:ascii="Times New Roman" w:cs="Times New Roman" w:eastAsia="Times New Roman" w:hAnsi="Times New Roman"/>
          <w:sz w:val="19"/>
          <w:szCs w:val="19"/>
          <w:u w:val="single" w:color="auto"/>
          <w:color w:val="EE2724"/>
          <w:strike w:val="1"/>
        </w:rPr>
        <w:t>Section 6.4(b)</w:t>
      </w:r>
      <w:r>
        <w:rPr>
          <w:rFonts w:ascii="Times New Roman" w:cs="Times New Roman" w:eastAsia="Times New Roman" w:hAnsi="Times New Roman"/>
          <w:sz w:val="19"/>
          <w:szCs w:val="19"/>
          <w:color w:val="EE2724"/>
          <w:strike w:val="1"/>
        </w:rPr>
        <w:t>, in each case, in reasonable detail and consistent with the Liquidity Report and</w:t>
      </w:r>
    </w:p>
    <w:p>
      <w:pPr>
        <w:spacing w:after="0" w:line="3" w:lineRule="exact"/>
        <w:rPr>
          <w:rFonts w:ascii="Times New Roman" w:cs="Times New Roman" w:eastAsia="Times New Roman" w:hAnsi="Times New Roman"/>
          <w:sz w:val="19"/>
          <w:szCs w:val="19"/>
          <w:color w:val="auto"/>
        </w:rPr>
      </w:pPr>
    </w:p>
    <w:p>
      <w:pPr>
        <w:ind w:left="280" w:hanging="273"/>
        <w:spacing w:after="0"/>
        <w:tabs>
          <w:tab w:leader="none" w:pos="280" w:val="left"/>
        </w:tabs>
        <w:numPr>
          <w:ilvl w:val="0"/>
          <w:numId w:val="123"/>
        </w:numPr>
        <w:rPr>
          <w:rFonts w:ascii="Times New Roman" w:cs="Times New Roman" w:eastAsia="Times New Roman" w:hAnsi="Times New Roman"/>
          <w:sz w:val="20"/>
          <w:szCs w:val="20"/>
          <w:color w:val="EE2724"/>
          <w:strike w:val="1"/>
        </w:rPr>
      </w:pPr>
      <w:r>
        <w:rPr>
          <w:rFonts w:ascii="Times New Roman" w:cs="Times New Roman" w:eastAsia="Times New Roman" w:hAnsi="Times New Roman"/>
          <w:sz w:val="20"/>
          <w:szCs w:val="20"/>
          <w:color w:val="auto"/>
        </w:rPr>
        <w:t>within 15 days after the end of each Fiscal Month, a Liquidity Report;</w:t>
      </w:r>
    </w:p>
    <w:p>
      <w:pPr>
        <w:spacing w:after="0" w:line="220" w:lineRule="exact"/>
        <w:rPr>
          <w:rFonts w:ascii="Times New Roman" w:cs="Times New Roman" w:eastAsia="Times New Roman" w:hAnsi="Times New Roman"/>
          <w:sz w:val="20"/>
          <w:szCs w:val="20"/>
          <w:color w:val="EE2724"/>
          <w:strike w:val="1"/>
        </w:rPr>
      </w:pPr>
    </w:p>
    <w:p>
      <w:pPr>
        <w:jc w:val="both"/>
        <w:ind w:firstLine="1303"/>
        <w:spacing w:after="0" w:line="254" w:lineRule="auto"/>
        <w:tabs>
          <w:tab w:leader="none" w:pos="158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concurrently with the delivery of the financial statements, reports and other information referred to in </w:t>
      </w:r>
      <w:r>
        <w:rPr>
          <w:rFonts w:ascii="Times New Roman" w:cs="Times New Roman" w:eastAsia="Times New Roman" w:hAnsi="Times New Roman"/>
          <w:sz w:val="20"/>
          <w:szCs w:val="20"/>
          <w:u w:val="single" w:color="auto"/>
          <w:color w:val="auto"/>
        </w:rPr>
        <w:t>subsections (a) and (c)(i)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 Compliance Certificate; </w:t>
      </w:r>
      <w:r>
        <w:rPr>
          <w:rFonts w:ascii="Times New Roman" w:cs="Times New Roman" w:eastAsia="Times New Roman" w:hAnsi="Times New Roman"/>
          <w:sz w:val="20"/>
          <w:szCs w:val="20"/>
          <w:u w:val="single" w:color="auto"/>
          <w:color w:val="0000FF"/>
        </w:rPr>
        <w:t>provided that no Compliance Certificate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required to be delivered for the Fiscal Quarter ending September 30, 2024;</w:t>
      </w:r>
    </w:p>
    <w:p>
      <w:pPr>
        <w:spacing w:after="0" w:line="282" w:lineRule="exact"/>
        <w:rPr>
          <w:rFonts w:ascii="Times New Roman" w:cs="Times New Roman" w:eastAsia="Times New Roman" w:hAnsi="Times New Roman"/>
          <w:sz w:val="18"/>
          <w:szCs w:val="18"/>
          <w:color w:val="auto"/>
        </w:rPr>
      </w:pPr>
    </w:p>
    <w:p>
      <w:pPr>
        <w:jc w:val="both"/>
        <w:ind w:right="120" w:firstLine="1303"/>
        <w:spacing w:after="0" w:line="254" w:lineRule="auto"/>
        <w:tabs>
          <w:tab w:leader="none" w:pos="1556"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90 days after the end of the calendar year, forecasts and a pro forma budget for the succeeding Fiscal Year, containing an income statement, balance sheet, statement of cash flow and projected dividend capacity;</w:t>
      </w:r>
    </w:p>
    <w:p>
      <w:pPr>
        <w:spacing w:after="0" w:line="201" w:lineRule="exact"/>
        <w:rPr>
          <w:rFonts w:ascii="Times New Roman" w:cs="Times New Roman" w:eastAsia="Times New Roman" w:hAnsi="Times New Roman"/>
          <w:sz w:val="20"/>
          <w:szCs w:val="20"/>
          <w:color w:val="auto"/>
        </w:rPr>
      </w:pPr>
    </w:p>
    <w:p>
      <w:pPr>
        <w:jc w:val="both"/>
        <w:ind w:right="140" w:firstLine="1303"/>
        <w:spacing w:after="0" w:line="247" w:lineRule="auto"/>
        <w:tabs>
          <w:tab w:leader="none" w:pos="2147"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with any Insurance Regulatory Authority or the SEC, or distributed by Holdings to its shareholders, as the case may be;</w:t>
      </w:r>
    </w:p>
    <w:p>
      <w:pPr>
        <w:spacing w:after="0" w:line="207" w:lineRule="exact"/>
        <w:rPr>
          <w:rFonts w:ascii="Times New Roman" w:cs="Times New Roman" w:eastAsia="Times New Roman" w:hAnsi="Times New Roman"/>
          <w:sz w:val="20"/>
          <w:szCs w:val="20"/>
          <w:color w:val="auto"/>
        </w:rPr>
      </w:pPr>
    </w:p>
    <w:p>
      <w:pPr>
        <w:jc w:val="both"/>
        <w:ind w:right="120" w:firstLine="1302"/>
        <w:spacing w:after="0" w:line="245" w:lineRule="auto"/>
        <w:tabs>
          <w:tab w:leader="none" w:pos="216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the delivery to, or receipt by Holdings, the Borrower or any of their respective Subsidiaries thereof, (i) a copy of any regular or periodic final examination report or result(s) of any market conduct examination or examination by the applicable Insurance Regulatory Authority or the NAIC of the financial condition and operations of, or any notice of any finding as to a violation of any Requirement of Law from any Insurance Regulatory Authority or (ii) any other report with respect to any Insurance Subsidiary (including any summary report from the NAIC with respect to the performance of such Insurance Subsidiary as measured against the ratios and other financial</w:t>
      </w:r>
    </w:p>
    <w:p>
      <w:pPr>
        <w:sectPr>
          <w:pgSz w:w="11900" w:h="16838" w:orient="portrait"/>
          <w:cols w:equalWidth="0" w:num="1">
            <w:col w:w="10160"/>
          </w:cols>
          <w:pgMar w:left="1400" w:top="1332" w:right="339" w:bottom="1440" w:gutter="0" w:footer="0" w:header="0"/>
        </w:sectPr>
      </w:pPr>
    </w:p>
    <w:bookmarkStart w:id="173" w:name="page174"/>
    <w:bookmarkEnd w:id="173"/>
    <w:p>
      <w:pPr>
        <w:ind w:right="140"/>
        <w:spacing w:after="0" w:line="269" w:lineRule="auto"/>
        <w:rPr>
          <w:sz w:val="20"/>
          <w:szCs w:val="20"/>
          <w:color w:val="auto"/>
        </w:rPr>
      </w:pPr>
      <w:r>
        <w:rPr>
          <w:rFonts w:ascii="Times New Roman" w:cs="Times New Roman" w:eastAsia="Times New Roman" w:hAnsi="Times New Roman"/>
          <w:sz w:val="20"/>
          <w:szCs w:val="20"/>
          <w:color w:val="auto"/>
        </w:rPr>
        <w:t>measurements developed by the NAIC under its Insurance Regulatory Information System as in effect from time to time) that would reasonably be expected to result in a Material Adverse Effect;</w:t>
      </w:r>
    </w:p>
    <w:p>
      <w:pPr>
        <w:spacing w:after="0" w:line="200" w:lineRule="exact"/>
        <w:rPr>
          <w:sz w:val="20"/>
          <w:szCs w:val="20"/>
          <w:color w:val="auto"/>
        </w:rPr>
      </w:pPr>
    </w:p>
    <w:p>
      <w:pPr>
        <w:jc w:val="both"/>
        <w:ind w:right="120" w:firstLine="1303"/>
        <w:spacing w:after="0" w:line="242" w:lineRule="auto"/>
        <w:tabs>
          <w:tab w:leader="none" w:pos="233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thereof, (i) a copy of the “Statement of Actuarial Opinion” and “Management Discussion and Analysis” for each Insurance Subsidiary that is provided to the applicable Insurance Regulatory Authority or other applicable Governmental Authority (or equivalent information should such Governmental Authority no longer require such a statement) as to the adequacy of reserves of such Insurance Subsidiary, such opinion to be in the format prescribed by the insurance code of the applicable Insurance Regulatory Authority and (ii) each audit of any Insurance Subsidiary from the applicable Insurance Regulatory Authorities;</w:t>
      </w:r>
    </w:p>
    <w:p>
      <w:pPr>
        <w:spacing w:after="0" w:line="215" w:lineRule="exact"/>
        <w:rPr>
          <w:rFonts w:ascii="Times New Roman" w:cs="Times New Roman" w:eastAsia="Times New Roman" w:hAnsi="Times New Roman"/>
          <w:sz w:val="20"/>
          <w:szCs w:val="20"/>
          <w:color w:val="auto"/>
        </w:rPr>
      </w:pPr>
    </w:p>
    <w:p>
      <w:pPr>
        <w:jc w:val="both"/>
        <w:ind w:firstLine="1303"/>
        <w:spacing w:after="0" w:line="254" w:lineRule="auto"/>
        <w:tabs>
          <w:tab w:leader="none" w:pos="220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and in any event within 45 days after request by any Lender, a completed BlackRock ESG Questionnaire;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 may be made electronically through the "eFront" platform upon the implementation thereof; and</w:t>
      </w:r>
    </w:p>
    <w:p>
      <w:pPr>
        <w:spacing w:after="0" w:line="214" w:lineRule="exact"/>
        <w:rPr>
          <w:rFonts w:ascii="Times New Roman" w:cs="Times New Roman" w:eastAsia="Times New Roman" w:hAnsi="Times New Roman"/>
          <w:sz w:val="20"/>
          <w:szCs w:val="20"/>
          <w:color w:val="auto"/>
        </w:rPr>
      </w:pPr>
    </w:p>
    <w:p>
      <w:pPr>
        <w:jc w:val="both"/>
        <w:ind w:right="120" w:firstLine="1302"/>
        <w:spacing w:after="0" w:line="243" w:lineRule="auto"/>
        <w:tabs>
          <w:tab w:leader="none" w:pos="21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 such other information regarding the results of operations, business affairs and financial condition of Holdings or any of its Subsidiaries as the Administrative Agent or any Lender may reasonably request and (ii) information and documentation reasonably requested by the Administrative Agent or any Lender for purposes of compliance with applicable “know your customer” requirements under the Patriot Act or other applicable anti-money laundering laws;</w:t>
      </w:r>
    </w:p>
    <w:p>
      <w:pPr>
        <w:spacing w:after="0" w:line="226" w:lineRule="exact"/>
        <w:rPr>
          <w:sz w:val="20"/>
          <w:szCs w:val="20"/>
          <w:color w:val="auto"/>
        </w:rPr>
      </w:pPr>
    </w:p>
    <w:p>
      <w:pPr>
        <w:jc w:val="both"/>
        <w:ind w:right="120"/>
        <w:spacing w:after="0" w:line="24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documents required to be delivered pursuant to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5.2(a)(vi)</w:t>
      </w:r>
      <w:r>
        <w:rPr>
          <w:rFonts w:ascii="Times New Roman" w:cs="Times New Roman" w:eastAsia="Times New Roman" w:hAnsi="Times New Roman"/>
          <w:sz w:val="20"/>
          <w:szCs w:val="20"/>
          <w:color w:val="auto"/>
        </w:rPr>
        <w:t xml:space="preserve">, may be delivered, to the extent that such documents are publicly available on EDGAR or the Ohio Department of Insurance website, by Holdings advising the Administrative Agent of the filing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 upon the written request by the Administrative Agent, Holdings shall deliver paper copies of such documents to the Administrative Agent for further distribution to each Lender until a written request to cease delivering such paper copies is given by the Administrative Agent and (ii) Holdings shall notify (which may be by facsimile or electronic mail) the Administrative Agent of the posting of any such documents and provide to the Administrative Agent by electronic mail electronic versions (i.e., soft copies) of such documents for distribution to each Lender.</w:t>
      </w:r>
    </w:p>
    <w:p>
      <w:pPr>
        <w:spacing w:after="0" w:line="218" w:lineRule="exact"/>
        <w:rPr>
          <w:sz w:val="20"/>
          <w:szCs w:val="20"/>
          <w:color w:val="auto"/>
        </w:rPr>
      </w:pPr>
    </w:p>
    <w:p>
      <w:pPr>
        <w:jc w:val="both"/>
        <w:ind w:right="120" w:firstLine="648"/>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the foregoing or anything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to the contrary, Holdings and its Subsidiaries shall not be required to disclose any information or deliver any document to the extent it would violate any confidentiality agreement or any Requirement of Law or result in a loss of attorney-client privilege or claim of attorney work product;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to the extent any such restriction or obligation is removed or no longer valid, the Borrower shall promptly share any such information that was withheld.</w:t>
      </w:r>
    </w:p>
    <w:p>
      <w:pPr>
        <w:spacing w:after="0" w:line="230" w:lineRule="exact"/>
        <w:rPr>
          <w:sz w:val="20"/>
          <w:szCs w:val="20"/>
          <w:color w:val="auto"/>
        </w:rPr>
      </w:pPr>
    </w:p>
    <w:p>
      <w:pPr>
        <w:jc w:val="both"/>
        <w:ind w:right="120" w:firstLine="648"/>
        <w:spacing w:after="0" w:line="251" w:lineRule="auto"/>
        <w:rPr>
          <w:sz w:val="20"/>
          <w:szCs w:val="20"/>
          <w:color w:val="auto"/>
        </w:rPr>
      </w:pPr>
      <w:r>
        <w:rPr>
          <w:rFonts w:ascii="Times New Roman" w:cs="Times New Roman" w:eastAsia="Times New Roman" w:hAnsi="Times New Roman"/>
          <w:sz w:val="20"/>
          <w:szCs w:val="20"/>
          <w:color w:val="auto"/>
        </w:rPr>
        <w:t>Holdings and the Borrower hereby acknowledge that (a) the Administrative Agent shall make available to the Lenders materials and/or information provided by or on behalf of the Borrower hereunder (collectively, the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the Platform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shall use commercially reasonable efforts to identify that portion of the Borrower Materials that may be distributed to Public Lenders and that (w) all such Borrower Materials shall be clearly and conspicuously marked “PUBLIC” which, at a minimum,</w:t>
      </w:r>
    </w:p>
    <w:p>
      <w:pPr>
        <w:sectPr>
          <w:pgSz w:w="11900" w:h="16838" w:orient="portrait"/>
          <w:cols w:equalWidth="0" w:num="1">
            <w:col w:w="10160"/>
          </w:cols>
          <w:pgMar w:left="1400" w:top="1332" w:right="339" w:bottom="1440" w:gutter="0" w:footer="0" w:header="0"/>
        </w:sectPr>
      </w:pPr>
    </w:p>
    <w:bookmarkStart w:id="174" w:name="page175"/>
    <w:bookmarkEnd w:id="174"/>
    <w:p>
      <w:pPr>
        <w:jc w:val="both"/>
        <w:spacing w:after="0" w:line="252" w:lineRule="auto"/>
        <w:rPr>
          <w:sz w:val="20"/>
          <w:szCs w:val="20"/>
          <w:color w:val="auto"/>
        </w:rPr>
      </w:pPr>
      <w:r>
        <w:rPr>
          <w:rFonts w:ascii="Times New Roman" w:cs="Times New Roman" w:eastAsia="Times New Roman" w:hAnsi="Times New Roman"/>
          <w:sz w:val="20"/>
          <w:szCs w:val="20"/>
          <w:color w:val="auto"/>
        </w:rPr>
        <w:t>shall mean that the word “PUBLIC” shall appear prominently on the first page thereof; (x) by marking the Borrower Materials “PUBLIC”, the Borrower shall be deemed to have authorized the Administrative Agent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confidential information, they shall be treated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10.12</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shall be entitled to treat any Borrower Materials that are not marked “PUBLIC” as being suitable only for posting on a portion of the Platform not designated “Public Side Information”.</w:t>
      </w:r>
    </w:p>
    <w:p>
      <w:pPr>
        <w:spacing w:after="0" w:line="21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5.2.</w:t>
      </w:r>
      <w:r>
        <w:rPr>
          <w:sz w:val="20"/>
          <w:szCs w:val="20"/>
          <w:color w:val="auto"/>
        </w:rPr>
        <w:tab/>
      </w:r>
      <w:r>
        <w:rPr>
          <w:rFonts w:ascii="Times New Roman" w:cs="Times New Roman" w:eastAsia="Times New Roman" w:hAnsi="Times New Roman"/>
          <w:sz w:val="19"/>
          <w:szCs w:val="19"/>
          <w:b w:val="1"/>
          <w:bCs w:val="1"/>
          <w:u w:val="single" w:color="auto"/>
          <w:color w:val="auto"/>
        </w:rPr>
        <w:t>Notices of Material Events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3"/>
        <w:spacing w:after="0" w:line="261" w:lineRule="auto"/>
        <w:tabs>
          <w:tab w:leader="none" w:pos="215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promptly (and, in any event, not later than three (3) Business Days after a Responsible Officer becomes aware thereof) furnish to the Administrative Agent, for delivery to each Lender, written notice of the following:</w:t>
      </w:r>
    </w:p>
    <w:p>
      <w:pPr>
        <w:spacing w:after="0" w:line="208" w:lineRule="exact"/>
        <w:rPr>
          <w:rFonts w:ascii="Times New Roman" w:cs="Times New Roman" w:eastAsia="Times New Roman" w:hAnsi="Times New Roman"/>
          <w:sz w:val="20"/>
          <w:szCs w:val="20"/>
          <w:color w:val="auto"/>
        </w:rPr>
      </w:pPr>
    </w:p>
    <w:p>
      <w:pPr>
        <w:ind w:left="2640" w:hanging="689"/>
        <w:spacing w:after="0"/>
        <w:tabs>
          <w:tab w:leader="none" w:pos="2640"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256" w:lineRule="exact"/>
        <w:rPr>
          <w:rFonts w:ascii="Times New Roman" w:cs="Times New Roman" w:eastAsia="Times New Roman" w:hAnsi="Times New Roman"/>
          <w:sz w:val="20"/>
          <w:szCs w:val="20"/>
          <w:color w:val="auto"/>
        </w:rPr>
      </w:pPr>
    </w:p>
    <w:p>
      <w:pPr>
        <w:jc w:val="both"/>
        <w:ind w:left="660" w:firstLine="1291"/>
        <w:spacing w:after="0" w:line="258" w:lineRule="auto"/>
        <w:tabs>
          <w:tab w:leader="none" w:pos="2818"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or any material development in, any action, suit or proceeding by or before any arbitrator or Governmental Authority against or, to the knowledge of Holdings or the Borrower, affecting Holdings, the Borrower or any of their respective Subsidiaries which would reasonably be expected to result in a Material Adverse Effect;</w:t>
      </w:r>
    </w:p>
    <w:p>
      <w:pPr>
        <w:spacing w:after="0" w:line="199" w:lineRule="exact"/>
        <w:rPr>
          <w:rFonts w:ascii="Times New Roman" w:cs="Times New Roman" w:eastAsia="Times New Roman" w:hAnsi="Times New Roman"/>
          <w:sz w:val="20"/>
          <w:szCs w:val="20"/>
          <w:color w:val="auto"/>
        </w:rPr>
      </w:pPr>
    </w:p>
    <w:p>
      <w:pPr>
        <w:jc w:val="both"/>
        <w:ind w:left="660" w:firstLine="1291"/>
        <w:spacing w:after="0" w:line="270" w:lineRule="auto"/>
        <w:tabs>
          <w:tab w:leader="none" w:pos="2820" w:val="left"/>
        </w:tabs>
        <w:numPr>
          <w:ilvl w:val="2"/>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event or any other development by which Holdings or any of its Subsidiaries (A) fails to comply with any Environmental Law or to obtain, maintain or comply with any permit, license or other approval required under any Environmental Law, (B) becomes subject to any Environmental Liability,</w:t>
      </w:r>
    </w:p>
    <w:p>
      <w:pPr>
        <w:ind w:left="980" w:hanging="325"/>
        <w:spacing w:after="0"/>
        <w:tabs>
          <w:tab w:leader="none" w:pos="9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receives notice of any claim with respect to any Environmental Liability or (D) becomes aware of any basis for</w:t>
      </w:r>
    </w:p>
    <w:p>
      <w:pPr>
        <w:spacing w:after="0" w:line="6"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20"/>
          <w:szCs w:val="20"/>
          <w:color w:val="auto"/>
        </w:rPr>
        <w:t>any Environmental Liability, in each case, which, either individually or in the aggregate, would reasonably be expected to result in a Material Adverse Effect;</w:t>
      </w:r>
    </w:p>
    <w:p>
      <w:pPr>
        <w:spacing w:after="0" w:line="229" w:lineRule="exact"/>
        <w:rPr>
          <w:sz w:val="20"/>
          <w:szCs w:val="20"/>
          <w:color w:val="auto"/>
        </w:rPr>
      </w:pPr>
    </w:p>
    <w:p>
      <w:pPr>
        <w:jc w:val="both"/>
        <w:ind w:left="660" w:firstLine="1291"/>
        <w:spacing w:after="0" w:line="250" w:lineRule="auto"/>
        <w:tabs>
          <w:tab w:leader="none" w:pos="280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15 days after (A) Holdings, any of its Subsidiaries or any ERISA Affiliate knows or has reason to know that any ERISA Event has occurred, a certificate of a Responsible Officer of the Borrower describing such ERISA Event and the action, if any, proposed to be taken with respect to such ERISA Event and a copy of any notice filed with the PBGC or the IRS pertaining to such ERISA Event and any notices received by Holdings, such Subsidiary or such ERISA Affiliate from the PBGC or any other governmental agency with respect thereto and (B)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Holdings, any of its Subsidiaries or any ERISA Affiliate or (4) of the adoption of any amendment to a Plan subject to Section 412 of the Code which results in a material increase in contribution obligations of Holdings, any of its Subsidiaries or any ERISA Affiliate, a detailed written description thereof from a Responsible Officer of the Borrower;</w:t>
      </w:r>
    </w:p>
    <w:p>
      <w:pPr>
        <w:sectPr>
          <w:pgSz w:w="11900" w:h="16838" w:orient="portrait"/>
          <w:cols w:equalWidth="0" w:num="1">
            <w:col w:w="10040"/>
          </w:cols>
          <w:pgMar w:left="1400" w:top="1332" w:right="459" w:bottom="1440" w:gutter="0" w:footer="0" w:header="0"/>
        </w:sectPr>
      </w:pPr>
    </w:p>
    <w:bookmarkStart w:id="175" w:name="page176"/>
    <w:bookmarkEnd w:id="175"/>
    <w:p>
      <w:pPr>
        <w:jc w:val="both"/>
        <w:ind w:left="660" w:firstLine="1291"/>
        <w:spacing w:after="0" w:line="268" w:lineRule="auto"/>
        <w:tabs>
          <w:tab w:leader="none" w:pos="2807"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 or the receipt by Holdings or any of its Subsidiaries of any written notice of an alleged default or event of default, with respect to any Material Indebtedness of Holdings or any of its Subsidiaries;</w:t>
      </w:r>
    </w:p>
    <w:p>
      <w:pPr>
        <w:spacing w:after="0" w:line="188" w:lineRule="exact"/>
        <w:rPr>
          <w:rFonts w:ascii="Times New Roman" w:cs="Times New Roman" w:eastAsia="Times New Roman" w:hAnsi="Times New Roman"/>
          <w:sz w:val="20"/>
          <w:szCs w:val="20"/>
          <w:color w:val="auto"/>
        </w:rPr>
      </w:pPr>
    </w:p>
    <w:p>
      <w:pPr>
        <w:jc w:val="both"/>
        <w:ind w:left="660" w:firstLine="1291"/>
        <w:spacing w:after="0" w:line="258" w:lineRule="auto"/>
        <w:tabs>
          <w:tab w:leader="none" w:pos="2809"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amendment or modification to any Material Agreement (together with a copy thereof), and prompt notice of any termination, expiration or loss of any Material Agreement that, individually or in the aggregate, would reasonably be expected to result in a reduction in revenue of the Loan Parties of ten (10%) or more on a consolidated basis from the prior Fiscal Year;</w:t>
      </w:r>
    </w:p>
    <w:p>
      <w:pPr>
        <w:spacing w:after="0" w:line="212" w:lineRule="exact"/>
        <w:rPr>
          <w:rFonts w:ascii="Times New Roman" w:cs="Times New Roman" w:eastAsia="Times New Roman" w:hAnsi="Times New Roman"/>
          <w:sz w:val="20"/>
          <w:szCs w:val="20"/>
          <w:color w:val="auto"/>
        </w:rPr>
      </w:pPr>
    </w:p>
    <w:p>
      <w:pPr>
        <w:ind w:left="2640" w:hanging="689"/>
        <w:spacing w:after="0"/>
        <w:tabs>
          <w:tab w:leader="none" w:pos="264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56" w:lineRule="exact"/>
        <w:rPr>
          <w:rFonts w:ascii="Times New Roman" w:cs="Times New Roman" w:eastAsia="Times New Roman" w:hAnsi="Times New Roman"/>
          <w:sz w:val="20"/>
          <w:szCs w:val="20"/>
          <w:color w:val="auto"/>
        </w:rPr>
      </w:pPr>
    </w:p>
    <w:p>
      <w:pPr>
        <w:ind w:left="660" w:firstLine="1291"/>
        <w:spacing w:after="0" w:line="283" w:lineRule="auto"/>
        <w:tabs>
          <w:tab w:leader="none" w:pos="281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waiver, supplement, or other modification of any Subordinated Debt Document or Pari Lien Debt Document; and</w:t>
      </w:r>
    </w:p>
    <w:p>
      <w:pPr>
        <w:spacing w:after="0" w:line="186" w:lineRule="exact"/>
        <w:rPr>
          <w:rFonts w:ascii="Times New Roman" w:cs="Times New Roman" w:eastAsia="Times New Roman" w:hAnsi="Times New Roman"/>
          <w:sz w:val="20"/>
          <w:szCs w:val="20"/>
          <w:color w:val="auto"/>
        </w:rPr>
      </w:pPr>
    </w:p>
    <w:p>
      <w:pPr>
        <w:ind w:left="2800" w:hanging="849"/>
        <w:spacing w:after="0"/>
        <w:tabs>
          <w:tab w:leader="none" w:pos="280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would reasonably be expected to result in, a</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Adverse Effect.</w:t>
      </w:r>
    </w:p>
    <w:p>
      <w:pPr>
        <w:spacing w:after="0" w:line="234" w:lineRule="exact"/>
        <w:rPr>
          <w:rFonts w:ascii="Times New Roman" w:cs="Times New Roman" w:eastAsia="Times New Roman" w:hAnsi="Times New Roman"/>
          <w:sz w:val="20"/>
          <w:szCs w:val="20"/>
          <w:color w:val="auto"/>
        </w:rPr>
      </w:pPr>
    </w:p>
    <w:p>
      <w:pPr>
        <w:ind w:left="2160" w:hanging="857"/>
        <w:spacing w:after="0"/>
        <w:tabs>
          <w:tab w:leader="none" w:pos="216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furnish to the Administrative Agent, for delivery to each Lender, the following:</w:t>
      </w:r>
    </w:p>
    <w:p>
      <w:pPr>
        <w:spacing w:after="0" w:line="254" w:lineRule="exact"/>
        <w:rPr>
          <w:rFonts w:ascii="Times New Roman" w:cs="Times New Roman" w:eastAsia="Times New Roman" w:hAnsi="Times New Roman"/>
          <w:sz w:val="19"/>
          <w:szCs w:val="19"/>
          <w:color w:val="auto"/>
        </w:rPr>
      </w:pPr>
    </w:p>
    <w:p>
      <w:pPr>
        <w:jc w:val="both"/>
        <w:ind w:left="660" w:firstLine="1291"/>
        <w:spacing w:after="0" w:line="258" w:lineRule="auto"/>
        <w:tabs>
          <w:tab w:leader="none" w:pos="2727"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at least 30 days prior thereto (or such later date as agreed to in writing by the Administrative Agent and the Required Lenders), notice of any change (i) in any Loan Party’s legal name, (ii) in any Loan Party’s chief executive office, (iii) in any Loan Party’s identity or legal structure or (iv) in any Loan Party’s jurisdiction of organization;</w:t>
      </w:r>
    </w:p>
    <w:p>
      <w:pPr>
        <w:spacing w:after="0" w:line="226" w:lineRule="exact"/>
        <w:rPr>
          <w:rFonts w:ascii="Times New Roman" w:cs="Times New Roman" w:eastAsia="Times New Roman" w:hAnsi="Times New Roman"/>
          <w:sz w:val="20"/>
          <w:szCs w:val="20"/>
          <w:color w:val="auto"/>
        </w:rPr>
      </w:pPr>
    </w:p>
    <w:p>
      <w:pPr>
        <w:jc w:val="both"/>
        <w:ind w:left="660" w:firstLine="1291"/>
        <w:spacing w:after="0" w:line="261" w:lineRule="auto"/>
        <w:tabs>
          <w:tab w:leader="none" w:pos="2818"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30 days after receipt thereof: (x) each actuarial report for each Insurance Subsidiary; and (y) each audit of an Insurance Subsidiary from the applicable Insurance Regulatory Authorities; and</w:t>
      </w:r>
    </w:p>
    <w:p>
      <w:pPr>
        <w:spacing w:after="0" w:line="194" w:lineRule="exact"/>
        <w:rPr>
          <w:rFonts w:ascii="Times New Roman" w:cs="Times New Roman" w:eastAsia="Times New Roman" w:hAnsi="Times New Roman"/>
          <w:sz w:val="20"/>
          <w:szCs w:val="20"/>
          <w:color w:val="auto"/>
        </w:rPr>
      </w:pPr>
    </w:p>
    <w:p>
      <w:pPr>
        <w:jc w:val="both"/>
        <w:ind w:left="660" w:firstLine="1291"/>
        <w:spacing w:after="0" w:line="268" w:lineRule="auto"/>
        <w:tabs>
          <w:tab w:leader="none" w:pos="282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30 days after receipt thereof, a copy of any environmental report or site assessment prepared for Holdings or any of its Subsidiaries after the Closing Date on any Real Estate.</w:t>
      </w:r>
    </w:p>
    <w:p>
      <w:pPr>
        <w:spacing w:after="0" w:line="188" w:lineRule="exact"/>
        <w:rPr>
          <w:rFonts w:ascii="Times New Roman" w:cs="Times New Roman" w:eastAsia="Times New Roman" w:hAnsi="Times New Roman"/>
          <w:sz w:val="20"/>
          <w:szCs w:val="20"/>
          <w:color w:val="auto"/>
        </w:rPr>
      </w:pPr>
    </w:p>
    <w:p>
      <w:pPr>
        <w:jc w:val="both"/>
        <w:ind w:firstLine="1303"/>
        <w:spacing w:after="0" w:line="258" w:lineRule="auto"/>
        <w:tabs>
          <w:tab w:leader="none" w:pos="215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promptly (and in any event within 7 days) notify the Administrative Agent of the formation or acquisition of any Insurance Subsidiary or Subsidiary of an Insurance Subsidiary or if any Subsidiary of the Borrower has applied for an Insurance License and will become an Insurance Subsidiary or Subsidiary of an Insurance Subsidiary upon the approval of such Insurance License.</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Each notice or other document delivered under this Section shall be accompanied by a written statement of a Responsible Officer setting forth the reasonable details of the event or development requiring such notice or other document and any action taken or proposed to be taken with respect thereto.</w:t>
      </w:r>
    </w:p>
    <w:p>
      <w:pPr>
        <w:spacing w:after="0" w:line="19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b w:val="1"/>
          <w:bCs w:val="1"/>
          <w:u w:val="single" w:color="auto"/>
          <w:color w:val="auto"/>
        </w:rPr>
        <w:t>Existence; Conduct of Business</w:t>
      </w:r>
      <w:r>
        <w:rPr>
          <w:rFonts w:ascii="Times New Roman" w:cs="Times New Roman" w:eastAsia="Times New Roman" w:hAnsi="Times New Roman"/>
          <w:sz w:val="20"/>
          <w:szCs w:val="20"/>
          <w:color w:val="auto"/>
        </w:rPr>
        <w:t xml:space="preserve">. Holdings shall, and shall cause each of its Subsidiaries to, do or cause to be done all things necessary to preserve, renew and maintain in full force and effect its legal existence and the Intellectual Property that is material to the conduct of its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prohibit any merger, consolidation, liquidation or dissolution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or any disposition permitted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w:t>
      </w:r>
    </w:p>
    <w:p>
      <w:pPr>
        <w:sectPr>
          <w:pgSz w:w="11900" w:h="16838" w:orient="portrait"/>
          <w:cols w:equalWidth="0" w:num="1">
            <w:col w:w="10040"/>
          </w:cols>
          <w:pgMar w:left="1400" w:top="1399" w:right="459" w:bottom="1440" w:gutter="0" w:footer="0" w:header="0"/>
        </w:sectPr>
      </w:pPr>
    </w:p>
    <w:bookmarkStart w:id="176" w:name="page177"/>
    <w:bookmarkEnd w:id="176"/>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5.4. </w:t>
      </w:r>
      <w:r>
        <w:rPr>
          <w:rFonts w:ascii="Times New Roman" w:cs="Times New Roman" w:eastAsia="Times New Roman" w:hAnsi="Times New Roman"/>
          <w:sz w:val="20"/>
          <w:szCs w:val="20"/>
          <w:b w:val="1"/>
          <w:bCs w:val="1"/>
          <w:u w:val="single" w:color="auto"/>
          <w:color w:val="auto"/>
        </w:rPr>
        <w:t>Compliance with Laws</w:t>
      </w:r>
      <w:r>
        <w:rPr>
          <w:rFonts w:ascii="Times New Roman" w:cs="Times New Roman" w:eastAsia="Times New Roman" w:hAnsi="Times New Roman"/>
          <w:sz w:val="20"/>
          <w:szCs w:val="20"/>
          <w:color w:val="auto"/>
        </w:rPr>
        <w:t>. Holdings shall, and shall cause each of its Subsidiaries to, comply with all laws, rules, regulations and requirements of any Governmental Authority applicable to its business and properties, including, without limitation, all Environmental Laws, ERISA and OSHA, except where the failure to do so, either individually or in the aggregate, would not reasonably be expected to result in a Material Adverse Effect. Holdings shall maintain in effect and enforce policies and procedures designed to promote and achieve compliance by Holdings, its Subsidiaries and their respective directors, officers, employees and agents with applicable Anti-Corruption Laws and, within one hundred twenty (120) days of the Closing Date, the PATRIOT Act and applicable Sanctions.</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5.5. </w:t>
      </w:r>
      <w:r>
        <w:rPr>
          <w:rFonts w:ascii="Times New Roman" w:cs="Times New Roman" w:eastAsia="Times New Roman" w:hAnsi="Times New Roman"/>
          <w:sz w:val="20"/>
          <w:szCs w:val="20"/>
          <w:b w:val="1"/>
          <w:bCs w:val="1"/>
          <w:u w:val="single" w:color="auto"/>
          <w:color w:val="auto"/>
        </w:rPr>
        <w:t>Payment of Obligations</w:t>
      </w:r>
      <w:r>
        <w:rPr>
          <w:rFonts w:ascii="Times New Roman" w:cs="Times New Roman" w:eastAsia="Times New Roman" w:hAnsi="Times New Roman"/>
          <w:sz w:val="20"/>
          <w:szCs w:val="20"/>
          <w:color w:val="auto"/>
        </w:rPr>
        <w:t>. Holdings shall, and shall cause each of its Subsidiaries to, pay and discharge at or before maturity all of its obligations and liabilities (including, without limitation, all taxes, assessments and other governmental charges, levies and all other claims that would result in a statutory Lien) before the same shall become delinquent or in default, except where (a) the validity or amount thereof is being contested in good faith by appropriate proceedings and Holdings or such Subsidiary has set aside on its books adequate reserves with respect thereto in accordance with GAAP or (b) the failure to make such payment would not reasonably be expected to result in a Material Adverse Effect.</w:t>
      </w:r>
    </w:p>
    <w:p>
      <w:pPr>
        <w:spacing w:after="0" w:line="22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5.6. </w:t>
      </w:r>
      <w:r>
        <w:rPr>
          <w:rFonts w:ascii="Times New Roman" w:cs="Times New Roman" w:eastAsia="Times New Roman" w:hAnsi="Times New Roman"/>
          <w:sz w:val="20"/>
          <w:szCs w:val="20"/>
          <w:b w:val="1"/>
          <w:bCs w:val="1"/>
          <w:u w:val="single" w:color="auto"/>
          <w:color w:val="auto"/>
        </w:rPr>
        <w:t>Books and Records</w:t>
      </w:r>
      <w:r>
        <w:rPr>
          <w:rFonts w:ascii="Times New Roman" w:cs="Times New Roman" w:eastAsia="Times New Roman" w:hAnsi="Times New Roman"/>
          <w:sz w:val="20"/>
          <w:szCs w:val="20"/>
          <w:color w:val="auto"/>
        </w:rPr>
        <w:t>. Holdings shall, and shall cause each of its Subsidiaries to, keep proper books of record and account in which full, true and correct entries in all material respects shall be made of all dealings and transactions in relation to its business and activities to the extent necessary to prepare the consolidated financial statements of Holdings and its Subsidiaries in conformity with GAAP or SAP, as applicable.</w:t>
      </w:r>
    </w:p>
    <w:p>
      <w:pPr>
        <w:spacing w:after="0" w:line="21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Section 5.7. </w:t>
      </w:r>
      <w:r>
        <w:rPr>
          <w:rFonts w:ascii="Times New Roman" w:cs="Times New Roman" w:eastAsia="Times New Roman" w:hAnsi="Times New Roman"/>
          <w:sz w:val="20"/>
          <w:szCs w:val="20"/>
          <w:b w:val="1"/>
          <w:bCs w:val="1"/>
          <w:u w:val="single" w:color="auto"/>
          <w:color w:val="auto"/>
        </w:rPr>
        <w:t>Visitation and Inspection</w:t>
      </w:r>
      <w:r>
        <w:rPr>
          <w:rFonts w:ascii="Times New Roman" w:cs="Times New Roman" w:eastAsia="Times New Roman" w:hAnsi="Times New Roman"/>
          <w:sz w:val="20"/>
          <w:szCs w:val="20"/>
          <w:color w:val="auto"/>
        </w:rPr>
        <w:t>. Holdings and the Borrower shall, and shall cause each of their respective Subsidiaries to,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representatives of the Borrower shall be permitted to be present at any discussion with such accountants), all at such reasonable times and as often as the Administrative Agent or any Lender may reasonably request after reasonable prior notice to Holdings or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so long as no Event of Default shall have occurred and be continuing, the Administrative Agent and the Lenders shall not make more than one (1) such visit and inspection at the reasonable expense of the Borrower in any Fiscal Year, (b) if an Event of Default has occurred and is continuing, no prior notice shall be required and (c) Holdings and its Subsidiaries shall not be required to disclose any information or deliver any document to the extent it would violate confidentiality agreements or any Requirement of Law or result in a loss of attorney-client privilege or claim of attorney work product;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to the extent any such restriction or obligation is removed or no longer valid, the Borrower shall promptly share any such information that was withheld.</w:t>
      </w:r>
    </w:p>
    <w:p>
      <w:pPr>
        <w:spacing w:after="0" w:line="22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 xml:space="preserve">Section 5.8. </w:t>
      </w:r>
      <w:r>
        <w:rPr>
          <w:rFonts w:ascii="Times New Roman" w:cs="Times New Roman" w:eastAsia="Times New Roman" w:hAnsi="Times New Roman"/>
          <w:sz w:val="20"/>
          <w:szCs w:val="20"/>
          <w:b w:val="1"/>
          <w:bCs w:val="1"/>
          <w:u w:val="single" w:color="auto"/>
          <w:color w:val="auto"/>
        </w:rPr>
        <w:t>Maintenance of Properties; Insurance</w:t>
      </w:r>
      <w:r>
        <w:rPr>
          <w:rFonts w:ascii="Times New Roman" w:cs="Times New Roman" w:eastAsia="Times New Roman" w:hAnsi="Times New Roman"/>
          <w:sz w:val="20"/>
          <w:szCs w:val="20"/>
          <w:color w:val="auto"/>
        </w:rPr>
        <w:t>. Holdings shall, and shall cause each of its Subsidiaries to, (a) keep and maintain all property material to the conduct of its business in good working order and condition, ordinary wear and tear and casualty and condemnation excepted, (b) maintain with financially sound and reputable insurance companies which are not Affiliates of Holdings (i) insurance with respect to its properties and business, and the properties and business of its Subsidiaries, against loss or damage of the kinds customarily insured against by companies in the same or similar businesses operating in the same or similar locations (including, in any event, flood insurance as described in the</w:t>
      </w:r>
    </w:p>
    <w:p>
      <w:pPr>
        <w:sectPr>
          <w:pgSz w:w="11900" w:h="16838" w:orient="portrait"/>
          <w:cols w:equalWidth="0" w:num="1">
            <w:col w:w="10040"/>
          </w:cols>
          <w:pgMar w:left="1400" w:top="1395" w:right="459" w:bottom="1440" w:gutter="0" w:footer="0" w:header="0"/>
        </w:sectPr>
      </w:pPr>
    </w:p>
    <w:bookmarkStart w:id="177" w:name="page178"/>
    <w:bookmarkEnd w:id="177"/>
    <w:p>
      <w:pPr>
        <w:jc w:val="both"/>
        <w:ind w:right="120"/>
        <w:spacing w:after="0" w:line="231" w:lineRule="auto"/>
        <w:rPr>
          <w:sz w:val="20"/>
          <w:szCs w:val="20"/>
          <w:color w:val="auto"/>
        </w:rPr>
      </w:pPr>
      <w:r>
        <w:rPr>
          <w:rFonts w:ascii="Times New Roman" w:cs="Times New Roman" w:eastAsia="Times New Roman" w:hAnsi="Times New Roman"/>
          <w:sz w:val="20"/>
          <w:szCs w:val="20"/>
          <w:color w:val="auto"/>
        </w:rPr>
        <w:t xml:space="preserve">definition of Real Estate Documents) and (ii) (A) all insurance required to be maintained pursuant to the Collateral Documents, and shall, upon the request of the Administrative Agent, furnish to the Administrative Agent, at reasonable intervals (but in no event more than once per Fiscal Year) a certificate of a Responsible Officer setting forth the nature and extent of all insurance maintained by the Borrower and its Subsidiaries in accordance with this Section (and if requested by the Administrative Agent or any Lender, a copy of any policy referenced therein if not already delivered) and (B) reinsurance of the types and in amounts no less than as required pursuant to </w:t>
      </w:r>
      <w:r>
        <w:rPr>
          <w:rFonts w:ascii="Times New Roman" w:cs="Times New Roman" w:eastAsia="Times New Roman" w:hAnsi="Times New Roman"/>
          <w:sz w:val="20"/>
          <w:szCs w:val="20"/>
          <w:u w:val="single" w:color="auto"/>
          <w:color w:val="auto"/>
        </w:rPr>
        <w:t>Section 7.15(d)</w:t>
      </w:r>
      <w:r>
        <w:rPr>
          <w:rFonts w:ascii="Times New Roman" w:cs="Times New Roman" w:eastAsia="Times New Roman" w:hAnsi="Times New Roman"/>
          <w:sz w:val="20"/>
          <w:szCs w:val="20"/>
          <w:color w:val="auto"/>
        </w:rPr>
        <w:t xml:space="preserve">, and comply with all requirements and covenants set forth in the applicable reinsurance agreements in all material respects and (c) at all times shall name the Administrative Agent as additional insured on all </w:t>
      </w:r>
      <w:r>
        <w:rPr>
          <w:rFonts w:ascii="Times New Roman" w:cs="Times New Roman" w:eastAsia="Times New Roman" w:hAnsi="Times New Roman"/>
          <w:sz w:val="20"/>
          <w:szCs w:val="20"/>
          <w:u w:val="single" w:color="auto"/>
          <w:color w:val="3051F2"/>
        </w:rPr>
        <w:t>general</w:t>
      </w:r>
      <w:r>
        <w:rPr>
          <w:rFonts w:ascii="Times New Roman" w:cs="Times New Roman" w:eastAsia="Times New Roman" w:hAnsi="Times New Roman"/>
          <w:sz w:val="20"/>
          <w:szCs w:val="20"/>
          <w:color w:val="auto"/>
        </w:rPr>
        <w:t xml:space="preserve"> liability policies of the Borrower and its Subsidiaries and as loss payee (pursuant to a loss payee endorsement approved by the Administrative Agent in its reasonable discretion) on all casualty and property insurance policies of the Borrower and its Subsidiaries.</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 xml:space="preserve">Section 5.9. </w:t>
      </w:r>
      <w:r>
        <w:rPr>
          <w:rFonts w:ascii="Times New Roman" w:cs="Times New Roman" w:eastAsia="Times New Roman" w:hAnsi="Times New Roman"/>
          <w:sz w:val="19"/>
          <w:szCs w:val="19"/>
          <w:b w:val="1"/>
          <w:bCs w:val="1"/>
          <w:u w:val="single" w:color="auto"/>
          <w:color w:val="auto"/>
        </w:rPr>
        <w:t>Use of Proceeds; Margin Regulations</w:t>
      </w:r>
      <w:r>
        <w:rPr>
          <w:rFonts w:ascii="Times New Roman" w:cs="Times New Roman" w:eastAsia="Times New Roman" w:hAnsi="Times New Roman"/>
          <w:sz w:val="19"/>
          <w:szCs w:val="19"/>
          <w:color w:val="auto"/>
        </w:rPr>
        <w:t xml:space="preserve">. The Borrower shall use the proceeds of all Loans to fund capital expenditures of the Borrower and its Subsidiaries, for other general corporate purposes of the Borrower and its Subsidiaries and to pay fees and expenses related to the Loans. </w:t>
      </w:r>
      <w:r>
        <w:rPr>
          <w:rFonts w:ascii="Times New Roman" w:cs="Times New Roman" w:eastAsia="Times New Roman" w:hAnsi="Times New Roman"/>
          <w:sz w:val="19"/>
          <w:szCs w:val="19"/>
          <w:u w:val="single" w:color="auto"/>
          <w:color w:val="0000FF"/>
        </w:rPr>
        <w:t>The Borrower shall use the proceeds of the Second Amendment Term Loans as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u w:val="single" w:color="auto"/>
          <w:color w:val="0000FF"/>
        </w:rPr>
        <w:t>specified in the Second Amendment.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No part of the proceeds of any Loan shall be used, whether directly or indirectly, for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purpose that would violate any rule or regulation of the Board of Governors of the Federal Reserve System, including Regulation T, Regulation U or Regulation X.</w:t>
      </w:r>
    </w:p>
    <w:p>
      <w:pPr>
        <w:spacing w:after="0" w:line="199" w:lineRule="exact"/>
        <w:rPr>
          <w:sz w:val="20"/>
          <w:szCs w:val="20"/>
          <w:color w:val="auto"/>
        </w:rPr>
      </w:pPr>
    </w:p>
    <w:p>
      <w:pPr>
        <w:jc w:val="both"/>
        <w:ind w:right="120" w:firstLine="648"/>
        <w:spacing w:after="0" w:line="235"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b w:val="1"/>
          <w:bCs w:val="1"/>
          <w:u w:val="single" w:color="auto"/>
          <w:color w:val="auto"/>
        </w:rPr>
        <w:t>Casualty and Condemnation</w:t>
      </w:r>
      <w:r>
        <w:rPr>
          <w:rFonts w:ascii="Times New Roman" w:cs="Times New Roman" w:eastAsia="Times New Roman" w:hAnsi="Times New Roman"/>
          <w:sz w:val="20"/>
          <w:szCs w:val="20"/>
          <w:color w:val="auto"/>
        </w:rPr>
        <w:t>. The Borrower (a) shall furnish to the Administrative Agent prompt written notice of any casualty or other insured damage to any material portion of any Collateral or the commencement of any action or proceeding for the taking of any material portion of any Collateral or any part thereof or interest therein under power of eminent domain or by condemnation or similar proceeding and (b) shall ensure that the Net Cash Proceeds of any such event (whether in the form of insurance proceeds, condemnation awards or otherwise) are collected and applied in accordance with the applicable provisions of this Agreement and the Collateral Documents.</w:t>
      </w:r>
    </w:p>
    <w:p>
      <w:pPr>
        <w:spacing w:after="0" w:line="215" w:lineRule="exact"/>
        <w:rPr>
          <w:sz w:val="20"/>
          <w:szCs w:val="20"/>
          <w:color w:val="auto"/>
        </w:rPr>
      </w:pPr>
    </w:p>
    <w:p>
      <w:pPr>
        <w:jc w:val="both"/>
        <w:ind w:right="120" w:firstLine="648"/>
        <w:spacing w:after="0" w:line="259"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b w:val="1"/>
          <w:bCs w:val="1"/>
          <w:u w:val="single" w:color="auto"/>
          <w:color w:val="auto"/>
        </w:rPr>
        <w:t>Cash Management</w:t>
      </w:r>
      <w:r>
        <w:rPr>
          <w:rFonts w:ascii="Times New Roman" w:cs="Times New Roman" w:eastAsia="Times New Roman" w:hAnsi="Times New Roman"/>
          <w:sz w:val="20"/>
          <w:szCs w:val="20"/>
          <w:color w:val="auto"/>
        </w:rPr>
        <w:t>. Holdings and the Borrower shall, and shall cause each of its respective Subsidiaries that are Loan Parties to:</w:t>
      </w:r>
    </w:p>
    <w:p>
      <w:pPr>
        <w:spacing w:after="0" w:line="183" w:lineRule="exact"/>
        <w:rPr>
          <w:sz w:val="20"/>
          <w:szCs w:val="20"/>
          <w:color w:val="auto"/>
        </w:rPr>
      </w:pPr>
    </w:p>
    <w:p>
      <w:pPr>
        <w:jc w:val="both"/>
        <w:ind w:right="120" w:firstLine="1303"/>
        <w:spacing w:after="0" w:line="231" w:lineRule="auto"/>
        <w:tabs>
          <w:tab w:leader="none" w:pos="215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all cash management and treasury business with a Permitted Third Party Bank, including, without limitation, all deposit accounts, disbursement accounts, investment accounts and lockbox accounts (other than Excluded Accounts, which the Loan Parties may maintain without restriction) (each such non-excluded deposit account, disbursement account, investment account and lockbox account, a “</w:t>
      </w:r>
      <w:r>
        <w:rPr>
          <w:rFonts w:ascii="Times New Roman" w:cs="Times New Roman" w:eastAsia="Times New Roman" w:hAnsi="Times New Roman"/>
          <w:sz w:val="20"/>
          <w:szCs w:val="20"/>
          <w:u w:val="single" w:color="auto"/>
          <w:color w:val="auto"/>
        </w:rPr>
        <w:t>Controlled Account</w:t>
      </w:r>
      <w:r>
        <w:rPr>
          <w:rFonts w:ascii="Times New Roman" w:cs="Times New Roman" w:eastAsia="Times New Roman" w:hAnsi="Times New Roman"/>
          <w:sz w:val="20"/>
          <w:szCs w:val="20"/>
          <w:color w:val="auto"/>
        </w:rPr>
        <w:t xml:space="preserve">”); each Controlled Account shall be a cash collateral account, with all cash, checks and other similar items of payment in such account securing payment of the Obligations, and in which the Borrower and each of the other Loan Parties shall have granted a first priority Lien to the Administrative Agent, on behalf of the Secured Parties, perfected and subject to Control Account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Parties shall have 60 days (or such later date as may be agreed to in writing by the Administrative Agent) after the acquisition of a new Controlled Account (pursuant to any Investment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to obtain a Control Account Agreement over such acquired Controlled Accounts.</w:t>
      </w:r>
    </w:p>
    <w:p>
      <w:pPr>
        <w:spacing w:after="0" w:line="283" w:lineRule="exact"/>
        <w:rPr>
          <w:rFonts w:ascii="Times New Roman" w:cs="Times New Roman" w:eastAsia="Times New Roman" w:hAnsi="Times New Roman"/>
          <w:sz w:val="20"/>
          <w:szCs w:val="20"/>
          <w:color w:val="auto"/>
        </w:rPr>
      </w:pPr>
    </w:p>
    <w:p>
      <w:pPr>
        <w:jc w:val="both"/>
        <w:ind w:right="120" w:firstLine="1303"/>
        <w:spacing w:after="0" w:line="239" w:lineRule="auto"/>
        <w:tabs>
          <w:tab w:leader="none" w:pos="214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promptly, and in any event no later than ten (10) days after the date of receipt thereof, all cash, checks, drafts or other similar items of payment relating to or constituting payments made in respect of any and all accounts and other Collateral into Controlled Accounts, in each case, except for cash and Permitted Investments the aggregate value of which does not exceed $2,500,000 at any time; and</w:t>
      </w:r>
    </w:p>
    <w:p>
      <w:pPr>
        <w:spacing w:after="0" w:line="204" w:lineRule="exact"/>
        <w:rPr>
          <w:rFonts w:ascii="Times New Roman" w:cs="Times New Roman" w:eastAsia="Times New Roman" w:hAnsi="Times New Roman"/>
          <w:sz w:val="20"/>
          <w:szCs w:val="20"/>
          <w:color w:val="auto"/>
        </w:rPr>
      </w:pPr>
    </w:p>
    <w:p>
      <w:pPr>
        <w:jc w:val="both"/>
        <w:ind w:right="120" w:firstLine="1303"/>
        <w:spacing w:after="0" w:line="254" w:lineRule="auto"/>
        <w:tabs>
          <w:tab w:leader="none" w:pos="215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occurrence and during the continuance of an Event of Default, at the request of the Required Lenders, Holdings and the Borrower shall, and shall cause each other Loan Party to, cause all payments constituting proceeds of accounts or other Collateral to be</w:t>
      </w:r>
    </w:p>
    <w:p>
      <w:pPr>
        <w:sectPr>
          <w:pgSz w:w="11900" w:h="16838" w:orient="portrait"/>
          <w:cols w:equalWidth="0" w:num="1">
            <w:col w:w="10160"/>
          </w:cols>
          <w:pgMar w:left="1400" w:top="1332"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color w:val="auto"/>
        </w:rPr>
        <w:t>directed into lockbox accounts under agreements, in form and substance reasonably satisfactory to the Administrative Agent.</w:t>
      </w:r>
    </w:p>
    <w:p>
      <w:pPr>
        <w:spacing w:after="0" w:line="30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5.12.</w:t>
      </w:r>
      <w:r>
        <w:rPr>
          <w:sz w:val="20"/>
          <w:szCs w:val="20"/>
          <w:color w:val="auto"/>
        </w:rPr>
        <w:tab/>
      </w:r>
      <w:r>
        <w:rPr>
          <w:rFonts w:ascii="Times New Roman" w:cs="Times New Roman" w:eastAsia="Times New Roman" w:hAnsi="Times New Roman"/>
          <w:sz w:val="19"/>
          <w:szCs w:val="19"/>
          <w:b w:val="1"/>
          <w:bCs w:val="1"/>
          <w:u w:val="single" w:color="auto"/>
          <w:color w:val="auto"/>
        </w:rPr>
        <w:t>Additional Subsidiaries and Collateral</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3"/>
        <w:spacing w:after="0" w:line="250" w:lineRule="auto"/>
        <w:tabs>
          <w:tab w:leader="none" w:pos="1765"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subsequent to the Closing Date, any Person becomes a Subsidiary, whether pursuant to formation, acquisition or otherwise, (x) the Borrower shall promptly notify the Administrative Agent thereof and (y) within 30 days after such Person becomes a Subsidiary (other than (a) any Insurance Subsidiary, (b) any Subsidiary of an Insurance Subsidiary, (c) any other Subsidiary of the Borrower that has applied for an Insurance License and will become an Insurance Subsidiary or Subsidiary of an Insurance Subsidiary upon the approval of such Insurance License (or such later date as agreed to in writing by the Administrative Agent and the Required Lenders in their sole discretion) or (d) a Subsidiary with respect to which a guarantee by it would result in an adverse tax consequence (which 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the Borrower shall cause such Subsidiary (i) to become a new Guarantor and to grant Liens in favor of the Administrative Agent in all of its personal property (other than Excluded Property) by executing and delivering to the Administrative Agent a supplement to the Guaranty and Security Agreement, in substantially the form of Annex I attached to the Guaranty and Security Agreement, executing and delivering a Copyright Security Agreement, Patent Security Agreement and Trademark Security Agreement, as applicable, and authorizing and delivering, at the reasonable request of the Administrative Agent, such UCC financing statements or similar instruments required by the Administrative Agent to perfect the Liens in favor of the Administrative Agent and granted under any of the Loan Documents (it being understood and agreed that, with respect to any Subsidiary that is not organized under the laws of the United States, any state thereof or the District of Columbia, this </w:t>
      </w:r>
      <w:r>
        <w:rPr>
          <w:rFonts w:ascii="Times New Roman" w:cs="Times New Roman" w:eastAsia="Times New Roman" w:hAnsi="Times New Roman"/>
          <w:sz w:val="19"/>
          <w:szCs w:val="19"/>
          <w:u w:val="single" w:color="auto"/>
          <w:color w:val="auto"/>
        </w:rPr>
        <w:t>clause</w:t>
      </w:r>
    </w:p>
    <w:p>
      <w:pPr>
        <w:spacing w:after="0" w:line="14" w:lineRule="exact"/>
        <w:rPr>
          <w:rFonts w:ascii="Times New Roman" w:cs="Times New Roman" w:eastAsia="Times New Roman" w:hAnsi="Times New Roman"/>
          <w:sz w:val="19"/>
          <w:szCs w:val="19"/>
          <w:color w:val="auto"/>
        </w:rPr>
      </w:pPr>
    </w:p>
    <w:p>
      <w:pPr>
        <w:ind w:left="240" w:hanging="233"/>
        <w:spacing w:after="0"/>
        <w:tabs>
          <w:tab w:leader="none" w:pos="240" w:val="left"/>
        </w:tabs>
        <w:numPr>
          <w:ilvl w:val="0"/>
          <w:numId w:val="13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shall include the granting of Liens and taking of all perfection actions under the local laws of such Subsidiary’s jurisdiction</w:t>
      </w:r>
    </w:p>
    <w:p>
      <w:pPr>
        <w:spacing w:after="0" w:line="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of formation as may be reasonably required by the Administrative Agent and the Required Lenders), (ii) to grant Liens in favor of the Administrative Agent in all interests in Real Estate (other than Excluded Property) to the extent required by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by executing and delivering to the Administrative Agent such Real Estate Documents as the Administrative Agent and the Required Lenders shall reasonably require and (iii) to deliver all such other documentation (including, without limitation, certified organizational documents, resolutions, lien searches, title insurance policies, surveys, environmental reports and legal opinions) and to take all such other actions as such Subsidiary would have been required to deliver and take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if such Subsidiary had been a Loan Party on the Closing Date or that such Subsidiary would be required to deliver pursuant to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with respect to any Real Estate. In addition, within 30 days after the date any Person becomes a direct Subsidiary of a Loan Party (or such later date as agreed to in writing by the Administrative Agent and the Required Lenders in their sole discretion), the Borrower shall, or shall cause the applicable Loan Party to (i) pledge all of the Capital Stock of such Subsidiary directly owned by a Loan Party (other than Excluded Property) to the Administrative Agent as security for the Obligations, by executing and delivering a supplement to the Guaranty and Security Agreement, substantially in the form of Annex III attached to the Guaranty and Security Agreement, to the Administrative Agent and (ii) deliver the original certificates evidencing such pledged Capital Stock (other than Excluded Property) to the Administrative Agent, together with appropriate powers executed in blank;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if such Person that becomes a Subsidiary is an Insurance Subsidiary, a Subsidiary of an Insurance Subsidiary or any other Subsidiary of the Borrower that has applied for an Insurance License and will become an Insurance Subsidiary or Subsidiary of an Insurance Subsidiary upon the approval of such Insurance License, this requirement to pledge all of the Capital Stock of such Person shall not apply only to the extent the pledge thereof is (or would be) deemed a change of control of such Person or is (or would be) otherwise prohibited by applicable law or regulations, (2) in the case of any Subsidiary of the Borrower that has applied for an Insurance License and will become an Insurance Subsidiary or Subsidiary of an Insurance Subsidiary upon the approval of</w:t>
      </w:r>
    </w:p>
    <w:p>
      <w:pPr>
        <w:sectPr>
          <w:pgSz w:w="11900" w:h="16838" w:orient="portrait"/>
          <w:cols w:equalWidth="0" w:num="1">
            <w:col w:w="10040"/>
          </w:cols>
          <w:pgMar w:left="1400" w:top="1332" w:right="459" w:bottom="1440" w:gutter="0" w:footer="0" w:header="0"/>
        </w:sectPr>
      </w:pPr>
    </w:p>
    <w:bookmarkStart w:id="179" w:name="page180"/>
    <w:bookmarkEnd w:id="179"/>
    <w:p>
      <w:pPr>
        <w:jc w:val="both"/>
        <w:spacing w:after="0" w:line="239" w:lineRule="auto"/>
        <w:rPr>
          <w:sz w:val="20"/>
          <w:szCs w:val="20"/>
          <w:color w:val="auto"/>
        </w:rPr>
      </w:pPr>
      <w:r>
        <w:rPr>
          <w:rFonts w:ascii="Times New Roman" w:cs="Times New Roman" w:eastAsia="Times New Roman" w:hAnsi="Times New Roman"/>
          <w:sz w:val="20"/>
          <w:szCs w:val="20"/>
          <w:color w:val="auto"/>
        </w:rPr>
        <w:t xml:space="preserve">such Insurance License, it is understood and agreed that until such approval is obtained, such Subsidiary shall not transact business or hold any material assets and (3) to the extent and for so long as such Person that becomes a Subsidiary is a Subsidiary with respect to which a guarantee by it would result in an adverse tax consequence (which 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this requirement to pledge all of the Capital Stock of such Person shall not apply;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such pledge of such Capital Stock (or the pledge of any portion of such Capital Stock) would no longer result in an adverse Tax liability (which is not de minimis), such pledge (or the pledge of any portion of such Capital Stock, as applicable) shall be promptly given. For the avoidance of doubt, (x) in no event shall any Insurance Company, Subsidiary of an Insurance Company, any other Subsidiary of the Borrower that has applied for an Insurance License and will become an Insurance Subsidiary or Subsidiary of an Insurance Subsidiary upon the approval of such Insurance License or any Subsidiary with respect to which a guarantee by it would result in an adverse tax consequence (which 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be required to become a Subsidiary Loan Party, a Loan Party or a Guarantor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for the avoidance of doubt and notwithstanding anything to the contrary herein, in the case of the Persons described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immediately above, each such Person shall be subject to the applicable covenants contained herein and (y) as of the Closing Date and thereafter, the Capital Stock of RRC shall be pledged and perfected under the laws of the Cayman Islands and the Capital Stock of each other Insurance Subsidiary shall be pledged and perfected under the applicable laws of the United States.</w:t>
      </w:r>
    </w:p>
    <w:p>
      <w:pPr>
        <w:spacing w:after="0" w:line="226" w:lineRule="exact"/>
        <w:rPr>
          <w:sz w:val="20"/>
          <w:szCs w:val="20"/>
          <w:color w:val="auto"/>
        </w:rPr>
      </w:pPr>
    </w:p>
    <w:p>
      <w:pPr>
        <w:jc w:val="both"/>
        <w:ind w:firstLine="1303"/>
        <w:spacing w:after="0" w:line="242" w:lineRule="auto"/>
        <w:tabs>
          <w:tab w:leader="none" w:pos="214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hereby agrees that, following the delivery of any Collateral Documents required to be executed and delivered by this Section, the Administrative Agent shall have a valid and enforceable, first priority perfected Lien on the property required to be pledged pursuant to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of this Section (to the extent that such Lien can be perfected by the execution, delivery and/or recording of the Collateral Documents or UCC financing statements, or possession of such Collateral), free and clear of all Liens (other than Liens expressly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All actions to be taken pursuant to this Section shall be at the expense of the Borrower or the applicable Loan Party, and shall be taken to the reasonable satisfaction of the Administrative Agent.</w:t>
      </w:r>
    </w:p>
    <w:p>
      <w:pPr>
        <w:spacing w:after="0" w:line="20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5.13.</w:t>
      </w:r>
      <w:r>
        <w:rPr>
          <w:sz w:val="20"/>
          <w:szCs w:val="20"/>
          <w:color w:val="auto"/>
        </w:rPr>
        <w:tab/>
      </w:r>
      <w:r>
        <w:rPr>
          <w:rFonts w:ascii="Times New Roman" w:cs="Times New Roman" w:eastAsia="Times New Roman" w:hAnsi="Times New Roman"/>
          <w:sz w:val="19"/>
          <w:szCs w:val="19"/>
          <w:b w:val="1"/>
          <w:bCs w:val="1"/>
          <w:u w:val="single" w:color="auto"/>
          <w:color w:val="auto"/>
        </w:rPr>
        <w:t>Additional Real Estate; Leased Locations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3"/>
        <w:spacing w:after="0" w:line="247" w:lineRule="auto"/>
        <w:tabs>
          <w:tab w:leader="none" w:pos="215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otherwise permitted hereunder, if any Loan Party proposes to acquire a fee ownership interest in Real Estate with a fair market value in excess of $5,000,000 after the Closing Date, it shall at the time of such acquisition, provide to the Administrative Agent Real Estate Documents in regard to such Real Estate.</w:t>
      </w:r>
    </w:p>
    <w:p>
      <w:pPr>
        <w:spacing w:after="0" w:line="221" w:lineRule="exact"/>
        <w:rPr>
          <w:rFonts w:ascii="Times New Roman" w:cs="Times New Roman" w:eastAsia="Times New Roman" w:hAnsi="Times New Roman"/>
          <w:sz w:val="20"/>
          <w:szCs w:val="20"/>
          <w:color w:val="auto"/>
        </w:rPr>
      </w:pPr>
    </w:p>
    <w:p>
      <w:pPr>
        <w:jc w:val="both"/>
        <w:ind w:firstLine="1303"/>
        <w:spacing w:after="0" w:line="242" w:lineRule="auto"/>
        <w:tabs>
          <w:tab w:leader="none" w:pos="214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otherwise permitted hereunder, if any Loan Party enters into any lease with respect to any Real Estate, it shall promptly deliver to the Administrative Agent a copy of such lease and, to the extent such leased property constitutes the chief executive office of the Loan Parties, the Borrower shall deliver to the Administrative Agent a Collateral Access Agreement from the landlord of such leased property in form and substance reasonably acceptable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Loan Party is unable to deliver any such Collateral Access Agreement after using its commercially reasonable efforts to do so, the Administrative Agent may waive the foregoing requirement in its reasonable discretion.</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color w:val="auto"/>
        </w:rPr>
        <w:t>. Holdings shall, and shall cause each other Loan Party to, execute any and all further documents, financing statements, agreements and instruments, and take all such further actions (including the filing and recording of financing statements, fixture filings, Mortgages</w:t>
      </w:r>
    </w:p>
    <w:p>
      <w:pPr>
        <w:sectPr>
          <w:pgSz w:w="11900" w:h="16838" w:orient="portrait"/>
          <w:cols w:equalWidth="0" w:num="1">
            <w:col w:w="10040"/>
          </w:cols>
          <w:pgMar w:left="1400" w:top="1413" w:right="459" w:bottom="1440" w:gutter="0" w:footer="0" w:header="0"/>
        </w:sectPr>
      </w:pPr>
    </w:p>
    <w:bookmarkStart w:id="180" w:name="page181"/>
    <w:bookmarkEnd w:id="180"/>
    <w:p>
      <w:pPr>
        <w:jc w:val="both"/>
        <w:ind w:right="120"/>
        <w:spacing w:after="0" w:line="242" w:lineRule="auto"/>
        <w:rPr>
          <w:sz w:val="20"/>
          <w:szCs w:val="20"/>
          <w:color w:val="auto"/>
        </w:rPr>
      </w:pPr>
      <w:r>
        <w:rPr>
          <w:rFonts w:ascii="Times New Roman" w:cs="Times New Roman" w:eastAsia="Times New Roman" w:hAnsi="Times New Roman"/>
          <w:sz w:val="20"/>
          <w:szCs w:val="20"/>
          <w:color w:val="auto"/>
        </w:rPr>
        <w:t xml:space="preserve">and other documents), which may be required under any applicable law, or which the Administrative Agent or the Required Lenders may reasonably request, to effectuate the transactions contemplated by the Loan Documents or to grant, preserve, protect or perfect the Liens created by the Collateral Documents or the validity or priority of any such Lien, all at the expense of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Loan Parties be required to grant any Lien to secure the Obligations over any Excluded Property. The Borrower also agrees to provide to the Administrative Agent, from time to time upon request, evidence reasonably satisfactory to the Administrative Agent as to the perfection and priority of the Liens created or intended to be created by the Collateral Documents.</w:t>
      </w:r>
    </w:p>
    <w:p>
      <w:pPr>
        <w:spacing w:after="0" w:line="20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5.15.</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jc w:val="both"/>
        <w:ind w:right="120"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5.16. </w:t>
      </w:r>
      <w:r>
        <w:rPr>
          <w:rFonts w:ascii="Times New Roman" w:cs="Times New Roman" w:eastAsia="Times New Roman" w:hAnsi="Times New Roman"/>
          <w:sz w:val="20"/>
          <w:szCs w:val="20"/>
          <w:b w:val="1"/>
          <w:bCs w:val="1"/>
          <w:u w:val="single" w:color="auto"/>
          <w:color w:val="auto"/>
        </w:rPr>
        <w:t>Maintenance of Reinsurance Coverage</w:t>
      </w:r>
      <w:r>
        <w:rPr>
          <w:rFonts w:ascii="Times New Roman" w:cs="Times New Roman" w:eastAsia="Times New Roman" w:hAnsi="Times New Roman"/>
          <w:sz w:val="20"/>
          <w:szCs w:val="20"/>
          <w:color w:val="auto"/>
        </w:rPr>
        <w:t>. For so long as the Term Loans are outstanding, each Insurance Subsidiary shall purchase reinsurance only from reinsurers with a minimum financial strength rating (as of the effective date of the relevant reinsurance agreement) of “A-” by A.M. Best Company or a minimum credit rating of “A-” by S&amp;P, unless such reinsurance liabilities have been fully collateralized by such reinsurers.</w:t>
      </w:r>
    </w:p>
    <w:p>
      <w:pPr>
        <w:spacing w:after="0" w:line="21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9"/>
          <w:szCs w:val="19"/>
          <w:color w:val="auto"/>
        </w:rPr>
        <w:t xml:space="preserve">Section 5.17. </w:t>
      </w:r>
      <w:r>
        <w:rPr>
          <w:rFonts w:ascii="Times New Roman" w:cs="Times New Roman" w:eastAsia="Times New Roman" w:hAnsi="Times New Roman"/>
          <w:sz w:val="19"/>
          <w:szCs w:val="19"/>
          <w:b w:val="1"/>
          <w:bCs w:val="1"/>
          <w:u w:val="single" w:color="auto"/>
          <w:color w:val="auto"/>
        </w:rPr>
        <w:t>Board Observation Rights.</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color w:val="FF0000"/>
          <w:strike w:val="1"/>
        </w:rPr>
        <w:t>BlackRock GCO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Lenders party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8000"/>
        </w:rPr>
        <w:t>the Board Observation Side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8000"/>
        </w:rPr>
        <w:t>Letter</w:t>
      </w:r>
      <w:r>
        <w:rPr>
          <w:rFonts w:ascii="Times New Roman" w:cs="Times New Roman" w:eastAsia="Times New Roman" w:hAnsi="Times New Roman"/>
          <w:sz w:val="19"/>
          <w:szCs w:val="19"/>
          <w:color w:val="008000"/>
        </w:rPr>
        <w:t xml:space="preserve"> </w:t>
      </w:r>
      <w:r>
        <w:rPr>
          <w:rFonts w:ascii="Times New Roman" w:cs="Times New Roman" w:eastAsia="Times New Roman" w:hAnsi="Times New Roman"/>
          <w:sz w:val="19"/>
          <w:szCs w:val="19"/>
          <w:u w:val="single" w:color="auto"/>
          <w:color w:val="0000FF"/>
        </w:rPr>
        <w:t>as of the Second Amendment Effective Date</w:t>
      </w:r>
      <w:r>
        <w:rPr>
          <w:rFonts w:ascii="Times New Roman" w:cs="Times New Roman" w:eastAsia="Times New Roman" w:hAnsi="Times New Roman"/>
          <w:sz w:val="19"/>
          <w:szCs w:val="19"/>
          <w:color w:val="008000"/>
        </w:rPr>
        <w:t xml:space="preserve"> </w:t>
      </w:r>
      <w:r>
        <w:rPr>
          <w:rFonts w:ascii="Times New Roman" w:cs="Times New Roman" w:eastAsia="Times New Roman" w:hAnsi="Times New Roman"/>
          <w:sz w:val="19"/>
          <w:szCs w:val="19"/>
          <w:color w:val="000000"/>
        </w:rPr>
        <w:t>shall have the right to designate and appoint two (2) representatives (each,</w:t>
      </w:r>
      <w:r>
        <w:rPr>
          <w:rFonts w:ascii="Times New Roman" w:cs="Times New Roman" w:eastAsia="Times New Roman" w:hAnsi="Times New Roman"/>
          <w:sz w:val="19"/>
          <w:szCs w:val="19"/>
          <w:color w:val="008000"/>
        </w:rPr>
        <w:t xml:space="preserve"> </w:t>
      </w:r>
      <w:r>
        <w:rPr>
          <w:rFonts w:ascii="Times New Roman" w:cs="Times New Roman" w:eastAsia="Times New Roman" w:hAnsi="Times New Roman"/>
          <w:sz w:val="19"/>
          <w:szCs w:val="19"/>
          <w:color w:val="000000"/>
        </w:rPr>
        <w:t>an “</w:t>
      </w:r>
      <w:r>
        <w:rPr>
          <w:rFonts w:ascii="Times New Roman" w:cs="Times New Roman" w:eastAsia="Times New Roman" w:hAnsi="Times New Roman"/>
          <w:sz w:val="19"/>
          <w:szCs w:val="19"/>
          <w:u w:val="single" w:color="auto"/>
          <w:color w:val="000000"/>
        </w:rPr>
        <w:t>Observer</w:t>
      </w:r>
      <w:r>
        <w:rPr>
          <w:rFonts w:ascii="Times New Roman" w:cs="Times New Roman" w:eastAsia="Times New Roman" w:hAnsi="Times New Roman"/>
          <w:sz w:val="19"/>
          <w:szCs w:val="19"/>
          <w:color w:val="000000"/>
        </w:rPr>
        <w:t xml:space="preserve">”), and any one (1) Observer may attend special and regular meetings of the Board of Directors of Holdings, subject to the terms and provisions of the Board Observation Side Letter;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notwithstanding anything herein or in any other Loan Document to the contrary, (x) in no event shall the rights, powers or privileges granted pursuant to this </w:t>
      </w:r>
      <w:r>
        <w:rPr>
          <w:rFonts w:ascii="Times New Roman" w:cs="Times New Roman" w:eastAsia="Times New Roman" w:hAnsi="Times New Roman"/>
          <w:sz w:val="19"/>
          <w:szCs w:val="19"/>
          <w:u w:val="single" w:color="auto"/>
          <w:color w:val="000000"/>
        </w:rPr>
        <w:t>Section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5.17</w:t>
      </w:r>
      <w:r>
        <w:rPr>
          <w:rFonts w:ascii="Times New Roman" w:cs="Times New Roman" w:eastAsia="Times New Roman" w:hAnsi="Times New Roman"/>
          <w:sz w:val="19"/>
          <w:szCs w:val="19"/>
          <w:color w:val="000000"/>
        </w:rPr>
        <w:t xml:space="preserve"> or the Board Observation Side Letter, as applicable, inure to the benefit of any successors or assigns of (or, for the avoidance of doubt, Participants in), </w:t>
      </w:r>
      <w:r>
        <w:rPr>
          <w:rFonts w:ascii="Times New Roman" w:cs="Times New Roman" w:eastAsia="Times New Roman" w:hAnsi="Times New Roman"/>
          <w:sz w:val="19"/>
          <w:szCs w:val="19"/>
          <w:color w:val="FF0000"/>
          <w:strike w:val="1"/>
        </w:rPr>
        <w:t>the BlackRock GCO</w:t>
      </w:r>
      <w:r>
        <w:rPr>
          <w:rFonts w:ascii="Times New Roman" w:cs="Times New Roman" w:eastAsia="Times New Roman" w:hAnsi="Times New Roman"/>
          <w:sz w:val="19"/>
          <w:szCs w:val="19"/>
          <w:u w:val="single" w:color="auto"/>
          <w:color w:val="0000FF"/>
        </w:rPr>
        <w:t>such</w:t>
      </w:r>
      <w:r>
        <w:rPr>
          <w:rFonts w:ascii="Times New Roman" w:cs="Times New Roman" w:eastAsia="Times New Roman" w:hAnsi="Times New Roman"/>
          <w:sz w:val="19"/>
          <w:szCs w:val="19"/>
          <w:color w:val="000000"/>
        </w:rPr>
        <w:t xml:space="preserve"> Lender</w:t>
      </w:r>
      <w:r>
        <w:rPr>
          <w:rFonts w:ascii="Times New Roman" w:cs="Times New Roman" w:eastAsia="Times New Roman" w:hAnsi="Times New Roman"/>
          <w:sz w:val="19"/>
          <w:szCs w:val="19"/>
          <w:u w:val="single" w:color="auto"/>
          <w:color w:val="0000FF"/>
        </w:rPr>
        <w:t>s</w:t>
      </w:r>
      <w:r>
        <w:rPr>
          <w:rFonts w:ascii="Times New Roman" w:cs="Times New Roman" w:eastAsia="Times New Roman" w:hAnsi="Times New Roman"/>
          <w:sz w:val="19"/>
          <w:szCs w:val="19"/>
          <w:color w:val="000000"/>
        </w:rPr>
        <w:t xml:space="preserve"> or any of </w:t>
      </w:r>
      <w:r>
        <w:rPr>
          <w:rFonts w:ascii="Times New Roman" w:cs="Times New Roman" w:eastAsia="Times New Roman" w:hAnsi="Times New Roman"/>
          <w:sz w:val="19"/>
          <w:szCs w:val="19"/>
          <w:color w:val="FF0000"/>
          <w:strike w:val="1"/>
        </w:rPr>
        <w:t>its</w:t>
      </w:r>
      <w:r>
        <w:rPr>
          <w:rFonts w:ascii="Times New Roman" w:cs="Times New Roman" w:eastAsia="Times New Roman" w:hAnsi="Times New Roman"/>
          <w:sz w:val="19"/>
          <w:szCs w:val="19"/>
          <w:u w:val="single" w:color="auto"/>
          <w:color w:val="0000FF"/>
        </w:rPr>
        <w:t>their</w:t>
      </w:r>
      <w:r>
        <w:rPr>
          <w:rFonts w:ascii="Times New Roman" w:cs="Times New Roman" w:eastAsia="Times New Roman" w:hAnsi="Times New Roman"/>
          <w:sz w:val="19"/>
          <w:szCs w:val="19"/>
          <w:color w:val="000000"/>
        </w:rPr>
        <w:t xml:space="preserve"> rights and/or obligations under this Agreement or any other Loan Document (including, without limitation all or a portion of </w:t>
      </w:r>
      <w:r>
        <w:rPr>
          <w:rFonts w:ascii="Times New Roman" w:cs="Times New Roman" w:eastAsia="Times New Roman" w:hAnsi="Times New Roman"/>
          <w:sz w:val="19"/>
          <w:szCs w:val="19"/>
          <w:color w:val="FF0000"/>
          <w:strike w:val="1"/>
        </w:rPr>
        <w:t>its</w:t>
      </w:r>
      <w:r>
        <w:rPr>
          <w:rFonts w:ascii="Times New Roman" w:cs="Times New Roman" w:eastAsia="Times New Roman" w:hAnsi="Times New Roman"/>
          <w:sz w:val="19"/>
          <w:szCs w:val="19"/>
          <w:u w:val="single" w:color="auto"/>
          <w:color w:val="0000FF"/>
        </w:rPr>
        <w:t>their</w:t>
      </w:r>
      <w:r>
        <w:rPr>
          <w:rFonts w:ascii="Times New Roman" w:cs="Times New Roman" w:eastAsia="Times New Roman" w:hAnsi="Times New Roman"/>
          <w:sz w:val="19"/>
          <w:szCs w:val="19"/>
          <w:color w:val="000000"/>
        </w:rPr>
        <w:t xml:space="preserve"> applicable Term Loan Commitment and/or the Term Loan(s) owing to </w:t>
      </w:r>
      <w:r>
        <w:rPr>
          <w:rFonts w:ascii="Times New Roman" w:cs="Times New Roman" w:eastAsia="Times New Roman" w:hAnsi="Times New Roman"/>
          <w:sz w:val="19"/>
          <w:szCs w:val="19"/>
          <w:color w:val="FF0000"/>
          <w:strike w:val="1"/>
        </w:rPr>
        <w:t>it</w:t>
      </w:r>
      <w:r>
        <w:rPr>
          <w:rFonts w:ascii="Times New Roman" w:cs="Times New Roman" w:eastAsia="Times New Roman" w:hAnsi="Times New Roman"/>
          <w:sz w:val="19"/>
          <w:szCs w:val="19"/>
          <w:u w:val="single" w:color="auto"/>
          <w:color w:val="0000FF"/>
        </w:rPr>
        <w:t>any of them</w:t>
      </w:r>
      <w:r>
        <w:rPr>
          <w:rFonts w:ascii="Times New Roman" w:cs="Times New Roman" w:eastAsia="Times New Roman" w:hAnsi="Times New Roman"/>
          <w:sz w:val="19"/>
          <w:szCs w:val="19"/>
          <w:color w:val="000000"/>
        </w:rPr>
        <w:t xml:space="preserve">), as applicable (in each case, other than any Affiliate or Approved Funds of </w:t>
      </w:r>
      <w:r>
        <w:rPr>
          <w:rFonts w:ascii="Times New Roman" w:cs="Times New Roman" w:eastAsia="Times New Roman" w:hAnsi="Times New Roman"/>
          <w:sz w:val="19"/>
          <w:szCs w:val="19"/>
          <w:color w:val="FF0000"/>
          <w:strike w:val="1"/>
        </w:rPr>
        <w:t>the BlackRock GCO</w:t>
      </w:r>
      <w:r>
        <w:rPr>
          <w:rFonts w:ascii="Times New Roman" w:cs="Times New Roman" w:eastAsia="Times New Roman" w:hAnsi="Times New Roman"/>
          <w:sz w:val="19"/>
          <w:szCs w:val="19"/>
          <w:u w:val="single" w:color="auto"/>
          <w:color w:val="0000FF"/>
        </w:rPr>
        <w:t>such</w:t>
      </w:r>
      <w:r>
        <w:rPr>
          <w:rFonts w:ascii="Times New Roman" w:cs="Times New Roman" w:eastAsia="Times New Roman" w:hAnsi="Times New Roman"/>
          <w:sz w:val="19"/>
          <w:szCs w:val="19"/>
          <w:color w:val="000000"/>
        </w:rPr>
        <w:t xml:space="preserve"> Lender</w:t>
      </w:r>
      <w:r>
        <w:rPr>
          <w:rFonts w:ascii="Times New Roman" w:cs="Times New Roman" w:eastAsia="Times New Roman" w:hAnsi="Times New Roman"/>
          <w:sz w:val="19"/>
          <w:szCs w:val="19"/>
          <w:u w:val="single" w:color="auto"/>
          <w:color w:val="0000FF"/>
        </w:rPr>
        <w:t>s</w:t>
      </w:r>
      <w:r>
        <w:rPr>
          <w:rFonts w:ascii="Times New Roman" w:cs="Times New Roman" w:eastAsia="Times New Roman" w:hAnsi="Times New Roman"/>
          <w:sz w:val="19"/>
          <w:szCs w:val="19"/>
          <w:color w:val="000000"/>
        </w:rPr>
        <w:t xml:space="preserve">, but excluding, for the avoidance of doubt, the AIMCo Lender), and (y) if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BlackRock GCO</w:t>
      </w:r>
      <w:r>
        <w:rPr>
          <w:rFonts w:ascii="Times New Roman" w:cs="Times New Roman" w:eastAsia="Times New Roman" w:hAnsi="Times New Roman"/>
          <w:sz w:val="19"/>
          <w:szCs w:val="19"/>
          <w:u w:val="single" w:color="auto"/>
          <w:color w:val="0000FF"/>
        </w:rPr>
        <w:t>such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Lender</w:t>
      </w:r>
      <w:r>
        <w:rPr>
          <w:rFonts w:ascii="Times New Roman" w:cs="Times New Roman" w:eastAsia="Times New Roman" w:hAnsi="Times New Roman"/>
          <w:sz w:val="19"/>
          <w:szCs w:val="19"/>
          <w:u w:val="single" w:color="auto"/>
          <w:color w:val="0000FF"/>
        </w:rPr>
        <w: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(together with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its</w:t>
      </w:r>
      <w:r>
        <w:rPr>
          <w:rFonts w:ascii="Times New Roman" w:cs="Times New Roman" w:eastAsia="Times New Roman" w:hAnsi="Times New Roman"/>
          <w:sz w:val="19"/>
          <w:szCs w:val="19"/>
          <w:u w:val="single" w:color="auto"/>
          <w:color w:val="0000FF"/>
        </w:rPr>
        <w:t>their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Affiliates and Approved Funds, but excluding, for the avoidance of doubt,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AIMCo Lender), hold</w:t>
      </w:r>
      <w:r>
        <w:rPr>
          <w:rFonts w:ascii="Times New Roman" w:cs="Times New Roman" w:eastAsia="Times New Roman" w:hAnsi="Times New Roman"/>
          <w:sz w:val="19"/>
          <w:szCs w:val="19"/>
          <w:color w:val="FF0000"/>
          <w:strike w:val="1"/>
        </w:rPr>
        <w:t>s</w:t>
      </w:r>
      <w:r>
        <w:rPr>
          <w:rFonts w:ascii="Times New Roman" w:cs="Times New Roman" w:eastAsia="Times New Roman" w:hAnsi="Times New Roman"/>
          <w:sz w:val="19"/>
          <w:szCs w:val="19"/>
          <w:color w:val="000000"/>
        </w:rPr>
        <w:t xml:space="preserve"> less than fifty percent (50%) of the aggregate principal amount of the Term Loans outstanding </w:t>
      </w:r>
      <w:r>
        <w:rPr>
          <w:rFonts w:ascii="Times New Roman" w:cs="Times New Roman" w:eastAsia="Times New Roman" w:hAnsi="Times New Roman"/>
          <w:sz w:val="19"/>
          <w:szCs w:val="19"/>
          <w:color w:val="FF0000"/>
          <w:strike w:val="1"/>
        </w:rPr>
        <w:t>at any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time</w:t>
      </w:r>
      <w:r>
        <w:rPr>
          <w:rFonts w:ascii="Times New Roman" w:cs="Times New Roman" w:eastAsia="Times New Roman" w:hAnsi="Times New Roman"/>
          <w:sz w:val="19"/>
          <w:szCs w:val="19"/>
          <w:u w:val="single" w:color="auto"/>
          <w:color w:val="0000FF"/>
          <w:strike w:val="1"/>
        </w:rPr>
        <w:t>as of the Second Amendment Effective Date (as such Term Loans may be reduced by optional prepayments made pursuant</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00FF"/>
          <w:strike w:val="1"/>
        </w:rPr>
        <w:t>to Section 2.10)</w:t>
      </w:r>
      <w:r>
        <w:rPr>
          <w:rFonts w:ascii="Times New Roman" w:cs="Times New Roman" w:eastAsia="Times New Roman" w:hAnsi="Times New Roman"/>
          <w:sz w:val="19"/>
          <w:szCs w:val="19"/>
          <w:color w:val="000000"/>
          <w:strike w:val="1"/>
        </w:rPr>
        <w:t>, the rights, powers and privileges granted pursuant to this</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u w:val="single" w:color="auto"/>
          <w:color w:val="000000"/>
          <w:strike w:val="1"/>
        </w:rPr>
        <w:t>Section 5.17</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color w:val="000000"/>
          <w:strike w:val="1"/>
        </w:rPr>
        <w:t>and the Board Observation Side Letter,</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color w:val="000000"/>
          <w:strike w:val="1"/>
        </w:rPr>
        <w:t>as applicable, shall be automatically and immediately terminated and shall be of no further force and effect.</w:t>
      </w:r>
    </w:p>
    <w:p>
      <w:pPr>
        <w:spacing w:after="0" w:line="205" w:lineRule="exact"/>
        <w:rPr>
          <w:sz w:val="20"/>
          <w:szCs w:val="20"/>
          <w:color w:val="auto"/>
        </w:rPr>
      </w:pPr>
    </w:p>
    <w:p>
      <w:pPr>
        <w:jc w:val="both"/>
        <w:ind w:right="120"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5.18. </w:t>
      </w:r>
      <w:r>
        <w:rPr>
          <w:rFonts w:ascii="Times New Roman" w:cs="Times New Roman" w:eastAsia="Times New Roman" w:hAnsi="Times New Roman"/>
          <w:sz w:val="20"/>
          <w:szCs w:val="20"/>
          <w:b w:val="1"/>
          <w:bCs w:val="1"/>
          <w:u w:val="single" w:color="auto"/>
          <w:color w:val="EE2724"/>
          <w:strike w:val="1"/>
        </w:rPr>
        <w:t>Tranche 2 Warrant Issuance</w:t>
      </w:r>
      <w:r>
        <w:rPr>
          <w:rFonts w:ascii="Times New Roman" w:cs="Times New Roman" w:eastAsia="Times New Roman" w:hAnsi="Times New Roman"/>
          <w:sz w:val="20"/>
          <w:szCs w:val="20"/>
          <w:color w:val="EE2724"/>
          <w:strike w:val="1"/>
        </w:rPr>
        <w:t>. On the initial Minimum Liquidity Step-Down Date pursuant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EE2724"/>
          <w:strike w:val="1"/>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EE2724"/>
          <w:strike w:val="1"/>
        </w:rPr>
        <w:t>6.</w:t>
      </w:r>
      <w:r>
        <w:rPr>
          <w:rFonts w:ascii="Times New Roman" w:cs="Times New Roman" w:eastAsia="Times New Roman" w:hAnsi="Times New Roman"/>
          <w:sz w:val="20"/>
          <w:szCs w:val="20"/>
          <w:u w:val="single" w:color="auto"/>
          <w:color w:val="EE2724"/>
        </w:rPr>
        <w:t>4(b)</w:t>
      </w:r>
      <w:r>
        <w:rPr>
          <w:rFonts w:ascii="Times New Roman" w:cs="Times New Roman" w:eastAsia="Times New Roman" w:hAnsi="Times New Roman"/>
          <w:sz w:val="20"/>
          <w:szCs w:val="20"/>
          <w:color w:val="EE2724"/>
          <w:strike w:val="1"/>
        </w:rPr>
        <w:t>, (solely</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F7F40"/>
        </w:rPr>
        <w:t>to the extent that the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EE2724"/>
          <w:strike w:val="1"/>
        </w:rPr>
        <w:t>Borrower elects to reduce the Liquidity threshold as set forth in Section 6.4) Holdings</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EE2724"/>
          <w:strike w:val="1"/>
        </w:rPr>
        <w:t xml:space="preserve">shall issue and deliver the Tranche 2 Warrants to the Lenders, or one or more of such Lenders’ respective affiliates or designees designated thereby, in the form attached hereto as </w:t>
      </w:r>
      <w:r>
        <w:rPr>
          <w:rFonts w:ascii="Times New Roman" w:cs="Times New Roman" w:eastAsia="Times New Roman" w:hAnsi="Times New Roman"/>
          <w:sz w:val="20"/>
          <w:szCs w:val="20"/>
          <w:u w:val="single" w:color="auto"/>
          <w:color w:val="EE2724"/>
          <w:strike w:val="1"/>
        </w:rPr>
        <w:t>Exhibit 5.18</w:t>
      </w:r>
      <w:r>
        <w:rPr>
          <w:rFonts w:ascii="Times New Roman" w:cs="Times New Roman" w:eastAsia="Times New Roman" w:hAnsi="Times New Roman"/>
          <w:sz w:val="20"/>
          <w:szCs w:val="20"/>
          <w:color w:val="EE2724"/>
          <w:strike w:val="1"/>
        </w:rPr>
        <w:t>, with an aggregate number of initial Warrant Shares (as defined in the Tranche 2 Warrants) equal to 1.0% of all issued and outstanding shares of Common Stock (as defined in the Tranche 2 Warrant) on a Fully Diluted (as defined in the Tranche 2 Warrants) basis as of the Minimum Liquidity Step-Down Date.</w:t>
      </w:r>
      <w:r>
        <w:rPr>
          <w:rFonts w:ascii="Times New Roman" w:cs="Times New Roman" w:eastAsia="Times New Roman" w:hAnsi="Times New Roman"/>
          <w:sz w:val="20"/>
          <w:szCs w:val="20"/>
          <w:u w:val="single" w:color="auto"/>
          <w:color w:val="3051F2"/>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-798830</wp:posOffset>
            </wp:positionV>
            <wp:extent cx="11169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19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5.19.</w:t>
      </w:r>
      <w:r>
        <w:rPr>
          <w:sz w:val="20"/>
          <w:szCs w:val="20"/>
          <w:color w:val="auto"/>
        </w:rPr>
        <w:tab/>
      </w:r>
      <w:r>
        <w:rPr>
          <w:rFonts w:ascii="Times New Roman" w:cs="Times New Roman" w:eastAsia="Times New Roman" w:hAnsi="Times New Roman"/>
          <w:sz w:val="19"/>
          <w:szCs w:val="19"/>
          <w:b w:val="1"/>
          <w:bCs w:val="1"/>
          <w:u w:val="single" w:color="auto"/>
          <w:color w:val="auto"/>
        </w:rPr>
        <w:t>Post-Closing Covenants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right="120" w:firstLine="1303"/>
        <w:spacing w:after="0" w:line="244" w:lineRule="auto"/>
        <w:tabs>
          <w:tab w:leader="none" w:pos="214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within forty-five (45) days following the Closing Date (or such longer time period as agreed to by the Required Lenders in their sole discretion), deliver, or cause to be delivered, to the Administrative Agent, the insurance endorsements required under this Agreement, naming the Administrative Agent as lender’s loss payee or additional insured, as applicable, in form and substance reasonably acceptable to the Administrative Agent.</w:t>
      </w:r>
    </w:p>
    <w:p>
      <w:pPr>
        <w:sectPr>
          <w:pgSz w:w="11900" w:h="16838" w:orient="portrait"/>
          <w:cols w:equalWidth="0" w:num="1">
            <w:col w:w="10160"/>
          </w:cols>
          <w:pgMar w:left="1400" w:top="1332" w:right="339" w:bottom="1440" w:gutter="0" w:footer="0" w:header="0"/>
        </w:sectPr>
      </w:pPr>
    </w:p>
    <w:bookmarkStart w:id="181" w:name="page182"/>
    <w:bookmarkEnd w:id="181"/>
    <w:p>
      <w:pPr>
        <w:jc w:val="both"/>
        <w:ind w:left="20" w:right="120" w:firstLine="1303"/>
        <w:spacing w:after="0" w:line="268" w:lineRule="auto"/>
        <w:tabs>
          <w:tab w:leader="none" w:pos="216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within forty-five (45) days following the Closing Date (or such longer time period as agreed to by the Required Lenders in their sole discretion), deliver, or cause to be delivered, to the Administrative Agent, all certificates representing the Capital Stock of each of (a) the Borrower and (b) RIC, in each case, accompanied by undated stock powers, duly indorsed in blank</w:t>
      </w:r>
    </w:p>
    <w:p>
      <w:pPr>
        <w:spacing w:after="0" w:line="214" w:lineRule="exact"/>
        <w:rPr>
          <w:rFonts w:ascii="Times New Roman" w:cs="Times New Roman" w:eastAsia="Times New Roman" w:hAnsi="Times New Roman"/>
          <w:sz w:val="20"/>
          <w:szCs w:val="20"/>
          <w:color w:val="auto"/>
        </w:rPr>
      </w:pPr>
    </w:p>
    <w:p>
      <w:pPr>
        <w:jc w:val="both"/>
        <w:ind w:left="20" w:right="120" w:firstLine="1303"/>
        <w:spacing w:after="0" w:line="262" w:lineRule="auto"/>
        <w:tabs>
          <w:tab w:leader="none" w:pos="216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within fifteen (15) Business Days following the Closing Date (or such longer time period as agreed to by the Required Lenders in their sole discretion), deliver, or cause to be delivered, to the Administrative Agent, one or more Control Account Agreements with respect to the Borrower's Controlled Accounts numbered [redacted] and [redacted], in each case held with U.S. Bank National Association as of the Closing Date, or, for the avoidance doubt, Control Account Agreement(s) covering the funds or deposits therein (other than Excluded Accounts), in each case, in form and substance reasonably satisfactory to the Administrative Agent and the Required Lenders.</w:t>
      </w:r>
    </w:p>
    <w:p>
      <w:pPr>
        <w:spacing w:after="0" w:line="221" w:lineRule="exact"/>
        <w:rPr>
          <w:rFonts w:ascii="Times New Roman" w:cs="Times New Roman" w:eastAsia="Times New Roman" w:hAnsi="Times New Roman"/>
          <w:sz w:val="20"/>
          <w:szCs w:val="20"/>
          <w:color w:val="auto"/>
        </w:rPr>
      </w:pPr>
    </w:p>
    <w:p>
      <w:pPr>
        <w:jc w:val="both"/>
        <w:ind w:left="20" w:right="120" w:firstLine="1303"/>
        <w:spacing w:after="0" w:line="268" w:lineRule="auto"/>
        <w:tabs>
          <w:tab w:leader="none" w:pos="193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within ten (10) Business Days following the Closing Date (or such longer time period as agreed to by the Required Lenders in their sole discretion), deliver, or cause to be delivered, to the Administrative Agent, a copy of the signed and dated shareholder resolutions of RRC adopting the changes to the articles of association of RRC agreed with the Required Lenders in connection with the Cayman Law Share Pledge..</w:t>
      </w:r>
    </w:p>
    <w:p>
      <w:pPr>
        <w:spacing w:after="0" w:line="21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u w:val="single" w:color="auto"/>
          <w:color w:val="auto"/>
        </w:rPr>
        <w:t>ARTICLE VI</w:t>
      </w:r>
    </w:p>
    <w:p>
      <w:pPr>
        <w:spacing w:after="0" w:line="35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u w:val="single" w:color="auto"/>
          <w:color w:val="auto"/>
        </w:rPr>
        <w:t>FINANCIAL COVENANTS</w:t>
      </w:r>
    </w:p>
    <w:p>
      <w:pPr>
        <w:spacing w:after="0" w:line="355" w:lineRule="exact"/>
        <w:rPr>
          <w:sz w:val="20"/>
          <w:szCs w:val="20"/>
          <w:color w:val="auto"/>
        </w:rPr>
      </w:pPr>
    </w:p>
    <w:p>
      <w:pPr>
        <w:ind w:left="20" w:right="160" w:firstLine="648"/>
        <w:spacing w:after="0" w:line="283" w:lineRule="auto"/>
        <w:rPr>
          <w:sz w:val="20"/>
          <w:szCs w:val="20"/>
          <w:color w:val="auto"/>
        </w:rPr>
      </w:pPr>
      <w:r>
        <w:rPr>
          <w:rFonts w:ascii="Times New Roman" w:cs="Times New Roman" w:eastAsia="Times New Roman" w:hAnsi="Times New Roman"/>
          <w:sz w:val="20"/>
          <w:szCs w:val="20"/>
          <w:color w:val="auto"/>
        </w:rPr>
        <w:t>Until the Termination Date, Holdings and the Borrower hereby covenant and agree with the Administrative Agent and the Lenders to:</w:t>
      </w:r>
    </w:p>
    <w:p>
      <w:pPr>
        <w:spacing w:after="0" w:line="19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b w:val="1"/>
          <w:bCs w:val="1"/>
          <w:u w:val="single" w:color="auto"/>
          <w:color w:val="EE2724"/>
          <w:strike w:val="1"/>
        </w:rPr>
        <w:t>[Reserved]</w:t>
      </w:r>
      <w:r>
        <w:rPr>
          <w:rFonts w:ascii="Times New Roman" w:cs="Times New Roman" w:eastAsia="Times New Roman" w:hAnsi="Times New Roman"/>
          <w:sz w:val="20"/>
          <w:szCs w:val="20"/>
          <w:b w:val="1"/>
          <w:bCs w:val="1"/>
          <w:u w:val="single" w:color="auto"/>
          <w:color w:val="3051F2"/>
        </w:rPr>
        <w:t>Direct Contribution to Gross Earned Premium Ratio.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Not permit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F7F40"/>
        </w:rPr>
        <w:t>the Direct 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F7F40"/>
        </w:rPr>
        <w:t>to Gross Earned Premium Ratio</w:t>
      </w:r>
      <w:r>
        <w:rPr>
          <w:rFonts w:ascii="Times New Roman" w:cs="Times New Roman" w:eastAsia="Times New Roman" w:hAnsi="Times New Roman"/>
          <w:sz w:val="20"/>
          <w:szCs w:val="20"/>
          <w:color w:val="0F7F40"/>
        </w:rPr>
        <w:t xml:space="preserve"> </w:t>
      </w:r>
      <w:r>
        <w:rPr>
          <w:rFonts w:ascii="Times New Roman" w:cs="Times New Roman" w:eastAsia="Times New Roman" w:hAnsi="Times New Roman"/>
          <w:sz w:val="20"/>
          <w:szCs w:val="20"/>
          <w:color w:val="3051F2"/>
        </w:rPr>
        <w:t>as of the last day of each Fiscal Quarter to be less than 20%, commencing with the Fiscal</w:t>
      </w:r>
      <w:r>
        <w:rPr>
          <w:rFonts w:ascii="Times New Roman" w:cs="Times New Roman" w:eastAsia="Times New Roman" w:hAnsi="Times New Roman"/>
          <w:sz w:val="20"/>
          <w:szCs w:val="20"/>
          <w:color w:val="0F7F40"/>
        </w:rPr>
        <w:t xml:space="preserve"> </w:t>
      </w:r>
      <w:r>
        <w:rPr>
          <w:rFonts w:ascii="Times New Roman" w:cs="Times New Roman" w:eastAsia="Times New Roman" w:hAnsi="Times New Roman"/>
          <w:sz w:val="20"/>
          <w:szCs w:val="20"/>
          <w:u w:val="single" w:color="auto"/>
          <w:color w:val="3051F2"/>
        </w:rPr>
        <w:t>Quarter ending December 31, 2024.</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-205105</wp:posOffset>
            </wp:positionV>
            <wp:extent cx="47942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4794250" cy="8890"/>
                    </a:xfrm>
                    <a:prstGeom prst="rect">
                      <a:avLst/>
                    </a:prstGeom>
                    <a:noFill/>
                  </pic:spPr>
                </pic:pic>
              </a:graphicData>
            </a:graphic>
          </wp:anchor>
        </w:drawing>
      </w:r>
    </w:p>
    <w:p>
      <w:pPr>
        <w:spacing w:after="0" w:line="250" w:lineRule="exact"/>
        <w:rPr>
          <w:sz w:val="20"/>
          <w:szCs w:val="20"/>
          <w:color w:val="auto"/>
        </w:rPr>
      </w:pPr>
    </w:p>
    <w:p>
      <w:pPr>
        <w:ind w:left="68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6.2.</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51" w:lineRule="exact"/>
        <w:rPr>
          <w:sz w:val="20"/>
          <w:szCs w:val="20"/>
          <w:color w:val="auto"/>
        </w:rPr>
      </w:pPr>
    </w:p>
    <w:p>
      <w:pPr>
        <w:ind w:left="68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6.3.</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6.4. </w:t>
      </w:r>
      <w:r>
        <w:rPr>
          <w:rFonts w:ascii="Times New Roman" w:cs="Times New Roman" w:eastAsia="Times New Roman" w:hAnsi="Times New Roman"/>
          <w:sz w:val="20"/>
          <w:szCs w:val="20"/>
          <w:b w:val="1"/>
          <w:bCs w:val="1"/>
          <w:u w:val="single" w:color="auto"/>
          <w:color w:val="auto"/>
        </w:rPr>
        <w:t>Minimum Liquidity</w:t>
      </w:r>
      <w:r>
        <w:rPr>
          <w:rFonts w:ascii="Times New Roman" w:cs="Times New Roman" w:eastAsia="Times New Roman" w:hAnsi="Times New Roman"/>
          <w:sz w:val="20"/>
          <w:szCs w:val="20"/>
          <w:color w:val="auto"/>
        </w:rPr>
        <w:t>. Not permit Liquidity at any time to be less than $</w:t>
      </w:r>
      <w:r>
        <w:rPr>
          <w:rFonts w:ascii="Times New Roman" w:cs="Times New Roman" w:eastAsia="Times New Roman" w:hAnsi="Times New Roman"/>
          <w:sz w:val="20"/>
          <w:szCs w:val="20"/>
          <w:color w:val="EE2724"/>
          <w:strike w:val="1"/>
        </w:rPr>
        <w:t>20</w:t>
      </w:r>
      <w:r>
        <w:rPr>
          <w:rFonts w:ascii="Times New Roman" w:cs="Times New Roman" w:eastAsia="Times New Roman" w:hAnsi="Times New Roman"/>
          <w:sz w:val="20"/>
          <w:szCs w:val="20"/>
          <w:u w:val="single" w:color="auto"/>
          <w:color w:val="3051F2"/>
        </w:rPr>
        <w:t>5</w:t>
      </w:r>
      <w:r>
        <w:rPr>
          <w:rFonts w:ascii="Times New Roman" w:cs="Times New Roman" w:eastAsia="Times New Roman" w:hAnsi="Times New Roman"/>
          <w:sz w:val="20"/>
          <w:szCs w:val="20"/>
          <w:color w:val="auto"/>
        </w:rPr>
        <w:t>0,000,000</w:t>
      </w: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EE2724"/>
          <w:strike w:val="1"/>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E2724"/>
          <w:strike w:val="1"/>
        </w:rPr>
        <w:t>that, solely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E2724"/>
          <w:strike w:val="1"/>
        </w:rPr>
        <w:t xml:space="preserve">to the extent that, and for so long as, either </w:t>
      </w:r>
      <w:r>
        <w:rPr>
          <w:rFonts w:ascii="Times New Roman" w:cs="Times New Roman" w:eastAsia="Times New Roman" w:hAnsi="Times New Roman"/>
          <w:sz w:val="20"/>
          <w:szCs w:val="20"/>
          <w:u w:val="single" w:color="auto"/>
          <w:color w:val="EE2724"/>
          <w:strike w:val="1"/>
        </w:rPr>
        <w:t>clause (a)</w:t>
      </w:r>
      <w:r>
        <w:rPr>
          <w:rFonts w:ascii="Times New Roman" w:cs="Times New Roman" w:eastAsia="Times New Roman" w:hAnsi="Times New Roman"/>
          <w:sz w:val="20"/>
          <w:szCs w:val="20"/>
          <w:color w:val="EE2724"/>
          <w:strike w:val="1"/>
        </w:rPr>
        <w:t xml:space="preserve"> or </w:t>
      </w:r>
      <w:r>
        <w:rPr>
          <w:rFonts w:ascii="Times New Roman" w:cs="Times New Roman" w:eastAsia="Times New Roman" w:hAnsi="Times New Roman"/>
          <w:sz w:val="20"/>
          <w:szCs w:val="20"/>
          <w:u w:val="single" w:color="auto"/>
          <w:color w:val="EE2724"/>
          <w:strike w:val="1"/>
        </w:rPr>
        <w:t>clause (b)</w:t>
      </w:r>
      <w:r>
        <w:rPr>
          <w:rFonts w:ascii="Times New Roman" w:cs="Times New Roman" w:eastAsia="Times New Roman" w:hAnsi="Times New Roman"/>
          <w:sz w:val="20"/>
          <w:szCs w:val="20"/>
          <w:color w:val="EE2724"/>
          <w:strike w:val="1"/>
        </w:rPr>
        <w:t xml:space="preserve"> below is and remains satisfied (as evidenced in a Compliance Certificate or Liquidity Report, as applicable), Holdings and the Borrower shall not permit Liquidity during such period commencing on the Minimum Liquidity Step-Down Date to be less than </w:t>
      </w:r>
      <w:r>
        <w:rPr>
          <w:rFonts w:ascii="Times New Roman" w:cs="Times New Roman" w:eastAsia="Times New Roman" w:hAnsi="Times New Roman"/>
          <w:sz w:val="20"/>
          <w:szCs w:val="20"/>
          <w:u w:val="single" w:color="auto"/>
          <w:color w:val="3051F2"/>
          <w:strike w:val="1"/>
        </w:rPr>
        <w:t>which is equal to 25% of the outstanding principal</w:t>
      </w:r>
      <w:r>
        <w:rPr>
          <w:rFonts w:ascii="Times New Roman" w:cs="Times New Roman" w:eastAsia="Times New Roman" w:hAnsi="Times New Roman"/>
          <w:sz w:val="20"/>
          <w:szCs w:val="20"/>
          <w:color w:val="EE2724"/>
          <w:strike w:val="1"/>
        </w:rPr>
        <w:t xml:space="preserve"> </w:t>
      </w:r>
      <w:r>
        <w:rPr>
          <w:rFonts w:ascii="Times New Roman" w:cs="Times New Roman" w:eastAsia="Times New Roman" w:hAnsi="Times New Roman"/>
          <w:sz w:val="20"/>
          <w:szCs w:val="20"/>
          <w:u w:val="single" w:color="auto"/>
          <w:color w:val="3051F2"/>
          <w:strike w:val="1"/>
        </w:rPr>
        <w:t>amount of the Term Loans and Pari Lien Debt as of the Second Amendment Effective Date; provided that, after the Second Amendment Effective Date, (x) upon an optional prepayment pursuant to Section 2.10, the minimum Liquidity requirement pursuant to this Section 6.4 shall be automatically and immediately reduced to 25% of the outstanding principal amount of Term Loans and Pari Lien Debt after giving effect to such optional prepayment and (y) upon the incurrence or increase of any additional Term Loans or Pari Lien Debt, the minimum Liquidity requirement pursuant to this Section 6.4 shall be automatically and immediately increased to 25% of the outstanding principal amount of Term Loans and Pari Lien Debt after giving effect to such incurrence or increase; provided further, that in no case shall the minimum Liquidity requirement hereunder be reduced below $25,000,000 or increased above</w:t>
      </w:r>
      <w:r>
        <w:rPr>
          <w:rFonts w:ascii="Times New Roman" w:cs="Times New Roman" w:eastAsia="Times New Roman" w:hAnsi="Times New Roman"/>
          <w:sz w:val="20"/>
          <w:szCs w:val="20"/>
          <w:color w:val="3051F2"/>
          <w:strike w:val="1"/>
        </w:rPr>
        <w:t xml:space="preserve"> </w:t>
      </w:r>
      <w:r>
        <w:rPr>
          <w:rFonts w:ascii="Times New Roman" w:cs="Times New Roman" w:eastAsia="Times New Roman" w:hAnsi="Times New Roman"/>
          <w:sz w:val="20"/>
          <w:szCs w:val="20"/>
          <w:color w:val="000000"/>
          <w:strike w:val="1"/>
        </w:rPr>
        <w:t>$</w:t>
      </w:r>
      <w:r>
        <w:rPr>
          <w:rFonts w:ascii="Times New Roman" w:cs="Times New Roman" w:eastAsia="Times New Roman" w:hAnsi="Times New Roman"/>
          <w:sz w:val="20"/>
          <w:szCs w:val="20"/>
          <w:color w:val="EE2724"/>
          <w:strike w:val="1"/>
        </w:rPr>
        <w:t>1</w:t>
      </w:r>
      <w:r>
        <w:rPr>
          <w:rFonts w:ascii="Times New Roman" w:cs="Times New Roman" w:eastAsia="Times New Roman" w:hAnsi="Times New Roman"/>
          <w:sz w:val="20"/>
          <w:szCs w:val="20"/>
          <w:color w:val="000000"/>
          <w:strike w:val="1"/>
        </w:rPr>
        <w:t>50,000,000</w:t>
      </w: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3051F2"/>
          <w:strike w:val="1"/>
        </w:rPr>
        <w:t>.</w:t>
      </w:r>
    </w:p>
    <w:p>
      <w:pPr>
        <w:sectPr>
          <w:pgSz w:w="11900" w:h="16838" w:orient="portrait"/>
          <w:cols w:equalWidth="0" w:num="1">
            <w:col w:w="10180"/>
          </w:cols>
          <w:pgMar w:left="1380" w:top="1345" w:right="339" w:bottom="1440" w:gutter="0" w:footer="0" w:header="0"/>
        </w:sectPr>
      </w:pPr>
    </w:p>
    <w:bookmarkStart w:id="182" w:name="page183"/>
    <w:bookmarkEnd w:id="182"/>
    <w:p>
      <w:pPr>
        <w:jc w:val="both"/>
        <w:ind w:left="20" w:right="140" w:firstLine="1303"/>
        <w:spacing w:after="0" w:line="275" w:lineRule="auto"/>
        <w:tabs>
          <w:tab w:leader="none" w:pos="2170" w:val="left"/>
        </w:tabs>
        <w:numPr>
          <w:ilvl w:val="0"/>
          <w:numId w:val="137"/>
        </w:numPr>
        <w:rPr>
          <w:rFonts w:ascii="Times New Roman" w:cs="Times New Roman" w:eastAsia="Times New Roman" w:hAnsi="Times New Roman"/>
          <w:sz w:val="20"/>
          <w:szCs w:val="20"/>
          <w:color w:val="EE2724"/>
          <w:strike w:val="1"/>
        </w:rPr>
      </w:pPr>
      <w:r>
        <w:rPr>
          <w:rFonts w:ascii="Times New Roman" w:cs="Times New Roman" w:eastAsia="Times New Roman" w:hAnsi="Times New Roman"/>
          <w:sz w:val="20"/>
          <w:szCs w:val="20"/>
          <w:color w:val="EE2724"/>
          <w:strike w:val="1"/>
        </w:rPr>
        <w:t xml:space="preserve">(i) The Borrower and its Subsidiaries shall have issued, in the aggregate, at least 62,500 insurance policies utilizing the Embedded Insurance Platform (as defined in the Carvana Agreements) and (ii) </w:t>
      </w:r>
      <w:r>
        <w:rPr>
          <w:rFonts w:ascii="Times New Roman" w:cs="Times New Roman" w:eastAsia="Times New Roman" w:hAnsi="Times New Roman"/>
          <w:sz w:val="20"/>
          <w:szCs w:val="20"/>
          <w:color w:val="339900"/>
          <w:strike w:val="1"/>
        </w:rPr>
        <w:t>the Direct Contribution to</w:t>
      </w:r>
      <w:r>
        <w:rPr>
          <w:rFonts w:ascii="Times New Roman" w:cs="Times New Roman" w:eastAsia="Times New Roman" w:hAnsi="Times New Roman"/>
          <w:sz w:val="20"/>
          <w:szCs w:val="20"/>
          <w:color w:val="EE2724"/>
          <w:strike w:val="1"/>
        </w:rPr>
        <w:t xml:space="preserve"> </w:t>
      </w:r>
      <w:r>
        <w:rPr>
          <w:rFonts w:ascii="Times New Roman" w:cs="Times New Roman" w:eastAsia="Times New Roman" w:hAnsi="Times New Roman"/>
          <w:sz w:val="20"/>
          <w:szCs w:val="20"/>
          <w:color w:val="339900"/>
          <w:strike w:val="1"/>
        </w:rPr>
        <w:t>Gross Earned Premium Ratio</w:t>
      </w:r>
      <w:r>
        <w:rPr>
          <w:rFonts w:ascii="Times New Roman" w:cs="Times New Roman" w:eastAsia="Times New Roman" w:hAnsi="Times New Roman"/>
          <w:sz w:val="20"/>
          <w:szCs w:val="20"/>
          <w:color w:val="EE2724"/>
          <w:strike w:val="1"/>
        </w:rPr>
        <w:t>, as of the end of each Fiscal Quarter, is</w:t>
      </w:r>
      <w:r>
        <w:rPr>
          <w:rFonts w:ascii="Times New Roman" w:cs="Times New Roman" w:eastAsia="Times New Roman" w:hAnsi="Times New Roman"/>
          <w:sz w:val="20"/>
          <w:szCs w:val="20"/>
          <w:color w:val="339900"/>
          <w:strike w:val="1"/>
        </w:rPr>
        <w:t xml:space="preserve"> greater than or equal to </w:t>
      </w:r>
      <w:r>
        <w:rPr>
          <w:rFonts w:ascii="Times New Roman" w:cs="Times New Roman" w:eastAsia="Times New Roman" w:hAnsi="Times New Roman"/>
          <w:sz w:val="20"/>
          <w:szCs w:val="20"/>
          <w:color w:val="EE2724"/>
          <w:strike w:val="1"/>
        </w:rPr>
        <w:t>12%; or</w:t>
      </w:r>
    </w:p>
    <w:p>
      <w:pPr>
        <w:spacing w:after="0" w:line="208" w:lineRule="exact"/>
        <w:rPr>
          <w:rFonts w:ascii="Times New Roman" w:cs="Times New Roman" w:eastAsia="Times New Roman" w:hAnsi="Times New Roman"/>
          <w:sz w:val="20"/>
          <w:szCs w:val="20"/>
          <w:color w:val="EE2724"/>
          <w:strike w:val="1"/>
        </w:rPr>
      </w:pPr>
    </w:p>
    <w:p>
      <w:pPr>
        <w:jc w:val="both"/>
        <w:ind w:left="20" w:right="120" w:firstLine="1303"/>
        <w:spacing w:after="0" w:line="268" w:lineRule="auto"/>
        <w:tabs>
          <w:tab w:leader="none" w:pos="2167" w:val="left"/>
        </w:tabs>
        <w:numPr>
          <w:ilvl w:val="0"/>
          <w:numId w:val="137"/>
        </w:numPr>
        <w:rPr>
          <w:rFonts w:ascii="Times New Roman" w:cs="Times New Roman" w:eastAsia="Times New Roman" w:hAnsi="Times New Roman"/>
          <w:sz w:val="20"/>
          <w:szCs w:val="20"/>
          <w:color w:val="EE2724"/>
          <w:strike w:val="1"/>
        </w:rPr>
      </w:pPr>
      <w:r>
        <w:rPr>
          <w:rFonts w:ascii="Times New Roman" w:cs="Times New Roman" w:eastAsia="Times New Roman" w:hAnsi="Times New Roman"/>
          <w:sz w:val="20"/>
          <w:szCs w:val="20"/>
          <w:color w:val="EE2724"/>
          <w:strike w:val="1"/>
        </w:rPr>
        <w:t>(i) Holdings and its Subsidiaries shall have incurred no Acquisition Costs other than Acquisition Costs incurred in connection with the Carvana Agreements and (ii) as of the end of each Fiscal Month, the Cumulative Cash Burn shall be no greater than $12,000,000.</w:t>
      </w:r>
    </w:p>
    <w:p>
      <w:pPr>
        <w:spacing w:after="0" w:line="215"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9"/>
          <w:szCs w:val="19"/>
          <w:color w:val="EE2724"/>
          <w:strike w:val="1"/>
        </w:rPr>
        <w:t xml:space="preserve">For the avoidance of doubt, if, as of the end of any Fiscal Month or Fiscal Quarter, as applicable,(1) </w:t>
      </w:r>
      <w:r>
        <w:rPr>
          <w:rFonts w:ascii="Times New Roman" w:cs="Times New Roman" w:eastAsia="Times New Roman" w:hAnsi="Times New Roman"/>
          <w:sz w:val="19"/>
          <w:szCs w:val="19"/>
          <w:u w:val="single" w:color="auto"/>
          <w:color w:val="EE2724"/>
          <w:strike w:val="1"/>
        </w:rPr>
        <w:t>clause (a)</w:t>
      </w:r>
      <w:r>
        <w:rPr>
          <w:rFonts w:ascii="Times New Roman" w:cs="Times New Roman" w:eastAsia="Times New Roman" w:hAnsi="Times New Roman"/>
          <w:sz w:val="19"/>
          <w:szCs w:val="19"/>
          <w:color w:val="EE2724"/>
          <w:strike w:val="1"/>
        </w:rPr>
        <w:t xml:space="preserve"> or </w:t>
      </w:r>
      <w:r>
        <w:rPr>
          <w:rFonts w:ascii="Times New Roman" w:cs="Times New Roman" w:eastAsia="Times New Roman" w:hAnsi="Times New Roman"/>
          <w:sz w:val="19"/>
          <w:szCs w:val="19"/>
          <w:u w:val="single" w:color="auto"/>
          <w:color w:val="EE2724"/>
          <w:strike w:val="1"/>
        </w:rPr>
        <w:t>clause (b)</w:t>
      </w:r>
      <w:r>
        <w:rPr>
          <w:rFonts w:ascii="Times New Roman" w:cs="Times New Roman" w:eastAsia="Times New Roman" w:hAnsi="Times New Roman"/>
          <w:sz w:val="19"/>
          <w:szCs w:val="19"/>
          <w:color w:val="EE2724"/>
          <w:strike w:val="1"/>
        </w:rPr>
        <w:t xml:space="preserve"> above is satisfied, as evidenced in a Compliance Certificate or Liquidity Report, as applicable, delivered to the Administrative Agent, the minimum Liquidity threshold shall be reduced to $150,000,000 (i) in the case of </w:t>
      </w:r>
      <w:r>
        <w:rPr>
          <w:rFonts w:ascii="Times New Roman" w:cs="Times New Roman" w:eastAsia="Times New Roman" w:hAnsi="Times New Roman"/>
          <w:sz w:val="19"/>
          <w:szCs w:val="19"/>
          <w:u w:val="single" w:color="auto"/>
          <w:color w:val="EE2724"/>
          <w:strike w:val="1"/>
        </w:rPr>
        <w:t>clause (a)</w:t>
      </w:r>
      <w:r>
        <w:rPr>
          <w:rFonts w:ascii="Times New Roman" w:cs="Times New Roman" w:eastAsia="Times New Roman" w:hAnsi="Times New Roman"/>
          <w:sz w:val="19"/>
          <w:szCs w:val="19"/>
          <w:color w:val="EE2724"/>
          <w:strike w:val="1"/>
        </w:rPr>
        <w:t xml:space="preserve">, at the end of the then-current Fiscal Quarter and (ii) in the case of </w:t>
      </w:r>
      <w:r>
        <w:rPr>
          <w:rFonts w:ascii="Times New Roman" w:cs="Times New Roman" w:eastAsia="Times New Roman" w:hAnsi="Times New Roman"/>
          <w:sz w:val="19"/>
          <w:szCs w:val="19"/>
          <w:u w:val="single" w:color="auto"/>
          <w:color w:val="EE2724"/>
          <w:strike w:val="1"/>
        </w:rPr>
        <w:t>clause (b)</w:t>
      </w:r>
      <w:r>
        <w:rPr>
          <w:rFonts w:ascii="Times New Roman" w:cs="Times New Roman" w:eastAsia="Times New Roman" w:hAnsi="Times New Roman"/>
          <w:sz w:val="19"/>
          <w:szCs w:val="19"/>
          <w:color w:val="EE2724"/>
          <w:strike w:val="1"/>
        </w:rPr>
        <w:t>, at the end of the subsequent Fiscal Month (such applicable date, the “</w:t>
      </w:r>
      <w:r>
        <w:rPr>
          <w:rFonts w:ascii="Times New Roman" w:cs="Times New Roman" w:eastAsia="Times New Roman" w:hAnsi="Times New Roman"/>
          <w:sz w:val="19"/>
          <w:szCs w:val="19"/>
          <w:u w:val="single" w:color="auto"/>
          <w:color w:val="EE2724"/>
          <w:strike w:val="1"/>
        </w:rPr>
        <w:t>Minimum Liquidity Step-Down Date</w:t>
      </w:r>
      <w:r>
        <w:rPr>
          <w:rFonts w:ascii="Times New Roman" w:cs="Times New Roman" w:eastAsia="Times New Roman" w:hAnsi="Times New Roman"/>
          <w:sz w:val="19"/>
          <w:szCs w:val="19"/>
          <w:color w:val="EE2724"/>
          <w:strike w:val="1"/>
        </w:rPr>
        <w:t xml:space="preserve">”) and (2) following any Minimum Liquidity Step-Down Date, </w:t>
      </w:r>
      <w:r>
        <w:rPr>
          <w:rFonts w:ascii="Times New Roman" w:cs="Times New Roman" w:eastAsia="Times New Roman" w:hAnsi="Times New Roman"/>
          <w:sz w:val="19"/>
          <w:szCs w:val="19"/>
          <w:u w:val="single" w:color="auto"/>
          <w:color w:val="EE2724"/>
          <w:strike w:val="1"/>
        </w:rPr>
        <w:t>clause (a)</w:t>
      </w:r>
      <w:r>
        <w:rPr>
          <w:rFonts w:ascii="Times New Roman" w:cs="Times New Roman" w:eastAsia="Times New Roman" w:hAnsi="Times New Roman"/>
          <w:sz w:val="19"/>
          <w:szCs w:val="19"/>
          <w:color w:val="EE2724"/>
          <w:strike w:val="1"/>
        </w:rPr>
        <w:t xml:space="preserve"> or </w:t>
      </w:r>
      <w:r>
        <w:rPr>
          <w:rFonts w:ascii="Times New Roman" w:cs="Times New Roman" w:eastAsia="Times New Roman" w:hAnsi="Times New Roman"/>
          <w:sz w:val="19"/>
          <w:szCs w:val="19"/>
          <w:u w:val="single" w:color="auto"/>
          <w:color w:val="EE2724"/>
          <w:strike w:val="1"/>
        </w:rPr>
        <w:t>clause (b)</w:t>
      </w:r>
      <w:r>
        <w:rPr>
          <w:rFonts w:ascii="Times New Roman" w:cs="Times New Roman" w:eastAsia="Times New Roman" w:hAnsi="Times New Roman"/>
          <w:sz w:val="19"/>
          <w:szCs w:val="19"/>
          <w:color w:val="EE2724"/>
          <w:strike w:val="1"/>
        </w:rPr>
        <w:t xml:space="preserve"> above is not satisfied, as evidenced in a Compliance Certificate or Liquidity Report, as applicable, </w:t>
      </w:r>
      <w:r>
        <w:rPr>
          <w:rFonts w:ascii="Times New Roman" w:cs="Times New Roman" w:eastAsia="Times New Roman" w:hAnsi="Times New Roman"/>
          <w:sz w:val="19"/>
          <w:szCs w:val="19"/>
          <w:color w:val="339900"/>
          <w:strike w:val="1"/>
        </w:rPr>
        <w:t>delivered to the</w:t>
      </w:r>
      <w:r>
        <w:rPr>
          <w:rFonts w:ascii="Times New Roman" w:cs="Times New Roman" w:eastAsia="Times New Roman" w:hAnsi="Times New Roman"/>
          <w:sz w:val="19"/>
          <w:szCs w:val="19"/>
          <w:color w:val="EE2724"/>
          <w:strike w:val="1"/>
        </w:rPr>
        <w:t xml:space="preserve"> </w:t>
      </w:r>
      <w:r>
        <w:rPr>
          <w:rFonts w:ascii="Times New Roman" w:cs="Times New Roman" w:eastAsia="Times New Roman" w:hAnsi="Times New Roman"/>
          <w:sz w:val="19"/>
          <w:szCs w:val="19"/>
          <w:color w:val="339900"/>
          <w:strike w:val="1"/>
        </w:rPr>
        <w:t>Administrative Agent</w:t>
      </w:r>
      <w:r>
        <w:rPr>
          <w:rFonts w:ascii="Times New Roman" w:cs="Times New Roman" w:eastAsia="Times New Roman" w:hAnsi="Times New Roman"/>
          <w:sz w:val="19"/>
          <w:szCs w:val="19"/>
          <w:color w:val="EE2724"/>
          <w:strike w:val="1"/>
        </w:rPr>
        <w:t>, or the Borrower fails</w:t>
      </w:r>
      <w:r>
        <w:rPr>
          <w:rFonts w:ascii="Times New Roman" w:cs="Times New Roman" w:eastAsia="Times New Roman" w:hAnsi="Times New Roman"/>
          <w:sz w:val="19"/>
          <w:szCs w:val="19"/>
          <w:color w:val="339900"/>
          <w:strike w:val="1"/>
        </w:rPr>
        <w:t xml:space="preserve"> to deliver such Compliance Certificate </w:t>
      </w:r>
      <w:r>
        <w:rPr>
          <w:rFonts w:ascii="Times New Roman" w:cs="Times New Roman" w:eastAsia="Times New Roman" w:hAnsi="Times New Roman"/>
          <w:sz w:val="19"/>
          <w:szCs w:val="19"/>
          <w:color w:val="EE2724"/>
          <w:strike w:val="1"/>
        </w:rPr>
        <w:t>or Liquidity Report, as applicable, the</w:t>
      </w:r>
      <w:r>
        <w:rPr>
          <w:rFonts w:ascii="Times New Roman" w:cs="Times New Roman" w:eastAsia="Times New Roman" w:hAnsi="Times New Roman"/>
          <w:sz w:val="19"/>
          <w:szCs w:val="19"/>
          <w:color w:val="339900"/>
          <w:strike w:val="1"/>
        </w:rPr>
        <w:t xml:space="preserve"> </w:t>
      </w:r>
      <w:r>
        <w:rPr>
          <w:rFonts w:ascii="Times New Roman" w:cs="Times New Roman" w:eastAsia="Times New Roman" w:hAnsi="Times New Roman"/>
          <w:sz w:val="19"/>
          <w:szCs w:val="19"/>
          <w:color w:val="EE2724"/>
          <w:strike w:val="1"/>
        </w:rPr>
        <w:t xml:space="preserve">minimum Liquidity threshold shall be deemed increased to $200,000,000 (i) in the case of </w:t>
      </w:r>
      <w:r>
        <w:rPr>
          <w:rFonts w:ascii="Times New Roman" w:cs="Times New Roman" w:eastAsia="Times New Roman" w:hAnsi="Times New Roman"/>
          <w:sz w:val="19"/>
          <w:szCs w:val="19"/>
          <w:u w:val="single" w:color="auto"/>
          <w:color w:val="EE2724"/>
          <w:strike w:val="1"/>
        </w:rPr>
        <w:t>clause (a)</w:t>
      </w:r>
      <w:r>
        <w:rPr>
          <w:rFonts w:ascii="Times New Roman" w:cs="Times New Roman" w:eastAsia="Times New Roman" w:hAnsi="Times New Roman"/>
          <w:sz w:val="19"/>
          <w:szCs w:val="19"/>
          <w:color w:val="EE2724"/>
          <w:strike w:val="1"/>
        </w:rPr>
        <w:t xml:space="preserve">, as of the end of </w:t>
      </w:r>
      <w:r>
        <w:rPr>
          <w:rFonts w:ascii="Times New Roman" w:cs="Times New Roman" w:eastAsia="Times New Roman" w:hAnsi="Times New Roman"/>
          <w:sz w:val="19"/>
          <w:szCs w:val="19"/>
          <w:color w:val="339900"/>
          <w:strike w:val="1"/>
        </w:rPr>
        <w:t>the most</w:t>
      </w:r>
      <w:r>
        <w:rPr>
          <w:rFonts w:ascii="Times New Roman" w:cs="Times New Roman" w:eastAsia="Times New Roman" w:hAnsi="Times New Roman"/>
          <w:sz w:val="19"/>
          <w:szCs w:val="19"/>
          <w:color w:val="EE2724"/>
          <w:strike w:val="1"/>
        </w:rPr>
        <w:t xml:space="preserve"> </w:t>
      </w:r>
      <w:r>
        <w:rPr>
          <w:rFonts w:ascii="Times New Roman" w:cs="Times New Roman" w:eastAsia="Times New Roman" w:hAnsi="Times New Roman"/>
          <w:sz w:val="19"/>
          <w:szCs w:val="19"/>
          <w:color w:val="339900"/>
          <w:strike w:val="1"/>
        </w:rPr>
        <w:t xml:space="preserve">recently ended Fiscal Quarter </w:t>
      </w:r>
      <w:r>
        <w:rPr>
          <w:rFonts w:ascii="Times New Roman" w:cs="Times New Roman" w:eastAsia="Times New Roman" w:hAnsi="Times New Roman"/>
          <w:sz w:val="19"/>
          <w:szCs w:val="19"/>
          <w:color w:val="EE2724"/>
          <w:strike w:val="1"/>
        </w:rPr>
        <w:t>and (ii) in the case of</w:t>
      </w:r>
      <w:r>
        <w:rPr>
          <w:rFonts w:ascii="Times New Roman" w:cs="Times New Roman" w:eastAsia="Times New Roman" w:hAnsi="Times New Roman"/>
          <w:sz w:val="19"/>
          <w:szCs w:val="19"/>
          <w:color w:val="339900"/>
          <w:strike w:val="1"/>
        </w:rPr>
        <w:t xml:space="preserve"> </w:t>
      </w:r>
      <w:r>
        <w:rPr>
          <w:rFonts w:ascii="Times New Roman" w:cs="Times New Roman" w:eastAsia="Times New Roman" w:hAnsi="Times New Roman"/>
          <w:sz w:val="19"/>
          <w:szCs w:val="19"/>
          <w:u w:val="single" w:color="auto"/>
          <w:color w:val="EE2724"/>
          <w:strike w:val="1"/>
        </w:rPr>
        <w:t>clause (b)</w:t>
      </w:r>
      <w:r>
        <w:rPr>
          <w:rFonts w:ascii="Times New Roman" w:cs="Times New Roman" w:eastAsia="Times New Roman" w:hAnsi="Times New Roman"/>
          <w:sz w:val="19"/>
          <w:szCs w:val="19"/>
          <w:color w:val="EE2724"/>
          <w:strike w:val="1"/>
        </w:rPr>
        <w:t>, as of the end of the most recently ended Fiscal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-414655</wp:posOffset>
            </wp:positionV>
            <wp:extent cx="20770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2077085" cy="825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-97155</wp:posOffset>
            </wp:positionV>
            <wp:extent cx="44132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4413250" cy="8890"/>
                    </a:xfrm>
                    <a:prstGeom prst="rect">
                      <a:avLst/>
                    </a:prstGeom>
                    <a:noFill/>
                  </pic:spPr>
                </pic:pic>
              </a:graphicData>
            </a:graphic>
          </wp:anchor>
        </w:drawing>
      </w:r>
    </w:p>
    <w:p>
      <w:pPr>
        <w:spacing w:after="0" w:line="258" w:lineRule="exact"/>
        <w:rPr>
          <w:sz w:val="20"/>
          <w:szCs w:val="20"/>
          <w:color w:val="auto"/>
        </w:rPr>
      </w:pPr>
    </w:p>
    <w:p>
      <w:pPr>
        <w:ind w:left="20" w:right="320" w:firstLine="648"/>
        <w:spacing w:after="0" w:line="329" w:lineRule="auto"/>
        <w:rPr>
          <w:sz w:val="20"/>
          <w:szCs w:val="20"/>
          <w:color w:val="auto"/>
        </w:rPr>
      </w:pPr>
      <w:r>
        <w:rPr>
          <w:rFonts w:ascii="Times New Roman" w:cs="Times New Roman" w:eastAsia="Times New Roman" w:hAnsi="Times New Roman"/>
          <w:sz w:val="19"/>
          <w:szCs w:val="19"/>
          <w:color w:val="auto"/>
        </w:rPr>
        <w:t xml:space="preserve">Section 6.5. </w:t>
      </w:r>
      <w:r>
        <w:rPr>
          <w:rFonts w:ascii="Times New Roman" w:cs="Times New Roman" w:eastAsia="Times New Roman" w:hAnsi="Times New Roman"/>
          <w:sz w:val="19"/>
          <w:szCs w:val="19"/>
          <w:b w:val="1"/>
          <w:bCs w:val="1"/>
          <w:u w:val="single" w:color="auto"/>
          <w:color w:val="auto"/>
        </w:rPr>
        <w:t>Minimum Regulated Subsidiary Equity</w:t>
      </w:r>
      <w:r>
        <w:rPr>
          <w:rFonts w:ascii="Times New Roman" w:cs="Times New Roman" w:eastAsia="Times New Roman" w:hAnsi="Times New Roman"/>
          <w:sz w:val="19"/>
          <w:szCs w:val="19"/>
          <w:color w:val="auto"/>
        </w:rPr>
        <w:t>. Not permit the Regulated Subsidiary Equity as of the last day of each Fiscal Quarter to be less than $1</w:t>
      </w:r>
      <w:r>
        <w:rPr>
          <w:rFonts w:ascii="Times New Roman" w:cs="Times New Roman" w:eastAsia="Times New Roman" w:hAnsi="Times New Roman"/>
          <w:sz w:val="19"/>
          <w:szCs w:val="19"/>
          <w:color w:val="EE2724"/>
          <w:strike w:val="1"/>
        </w:rPr>
        <w:t>00</w:t>
      </w:r>
      <w:r>
        <w:rPr>
          <w:rFonts w:ascii="Times New Roman" w:cs="Times New Roman" w:eastAsia="Times New Roman" w:hAnsi="Times New Roman"/>
          <w:sz w:val="19"/>
          <w:szCs w:val="19"/>
          <w:u w:val="single" w:color="auto"/>
          <w:color w:val="3051F2"/>
        </w:rPr>
        <w:t>25</w:t>
      </w:r>
      <w:r>
        <w:rPr>
          <w:rFonts w:ascii="Times New Roman" w:cs="Times New Roman" w:eastAsia="Times New Roman" w:hAnsi="Times New Roman"/>
          <w:sz w:val="19"/>
          <w:szCs w:val="19"/>
          <w:color w:val="auto"/>
        </w:rPr>
        <w:t>,000,000</w:t>
      </w:r>
      <w:r>
        <w:rPr>
          <w:rFonts w:ascii="Times New Roman" w:cs="Times New Roman" w:eastAsia="Times New Roman" w:hAnsi="Times New Roman"/>
          <w:sz w:val="19"/>
          <w:szCs w:val="19"/>
          <w:u w:val="single" w:color="auto"/>
          <w:color w:val="3051F2"/>
        </w:rPr>
        <w:t>, commencing with the Fiscal Quarter ending December 31, 2024</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68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6.6.</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37" w:lineRule="exact"/>
        <w:rPr>
          <w:sz w:val="20"/>
          <w:szCs w:val="20"/>
          <w:color w:val="auto"/>
        </w:rPr>
      </w:pPr>
    </w:p>
    <w:p>
      <w:pPr>
        <w:ind w:left="68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6.7.</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b w:val="1"/>
          <w:bCs w:val="1"/>
          <w:color w:val="auto"/>
        </w:rPr>
        <w:t>.</w:t>
      </w:r>
    </w:p>
    <w:p>
      <w:pPr>
        <w:spacing w:after="0" w:line="35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w:t>
      </w:r>
    </w:p>
    <w:p>
      <w:pPr>
        <w:spacing w:after="0" w:line="35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355" w:lineRule="exact"/>
        <w:rPr>
          <w:sz w:val="20"/>
          <w:szCs w:val="20"/>
          <w:color w:val="auto"/>
        </w:rPr>
      </w:pPr>
    </w:p>
    <w:p>
      <w:pPr>
        <w:ind w:left="20" w:firstLine="648"/>
        <w:spacing w:after="0" w:line="283" w:lineRule="auto"/>
        <w:rPr>
          <w:sz w:val="20"/>
          <w:szCs w:val="20"/>
          <w:color w:val="auto"/>
        </w:rPr>
      </w:pPr>
      <w:r>
        <w:rPr>
          <w:rFonts w:ascii="Times New Roman" w:cs="Times New Roman" w:eastAsia="Times New Roman" w:hAnsi="Times New Roman"/>
          <w:sz w:val="20"/>
          <w:szCs w:val="20"/>
          <w:color w:val="auto"/>
        </w:rPr>
        <w:t>Until the Termination Date, Holdings and the Borrower hereby covenant and agree with the Administrative Agent and the Lenders that:</w:t>
      </w:r>
    </w:p>
    <w:p>
      <w:pPr>
        <w:spacing w:after="0" w:line="183" w:lineRule="exact"/>
        <w:rPr>
          <w:sz w:val="20"/>
          <w:szCs w:val="20"/>
          <w:color w:val="auto"/>
        </w:rPr>
      </w:pPr>
    </w:p>
    <w:p>
      <w:pPr>
        <w:ind w:left="68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20"/>
          <w:szCs w:val="20"/>
          <w:b w:val="1"/>
          <w:bCs w:val="1"/>
          <w:u w:val="single" w:color="auto"/>
          <w:color w:val="auto"/>
        </w:rPr>
        <w:t>Indebtedness</w:t>
      </w:r>
      <w:r>
        <w:rPr>
          <w:rFonts w:ascii="Times New Roman" w:cs="Times New Roman" w:eastAsia="Times New Roman" w:hAnsi="Times New Roman"/>
          <w:sz w:val="20"/>
          <w:szCs w:val="20"/>
          <w:color w:val="auto"/>
        </w:rPr>
        <w:t>. Holdings and the Borrower shall not, and shall not permit any of their respective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Subsidiaries to, create, incur, assume or suffer to exist any Indebtedness, except:</w:t>
      </w:r>
    </w:p>
    <w:p>
      <w:pPr>
        <w:spacing w:after="0" w:line="254" w:lineRule="exact"/>
        <w:rPr>
          <w:sz w:val="20"/>
          <w:szCs w:val="20"/>
          <w:color w:val="auto"/>
        </w:rPr>
      </w:pPr>
    </w:p>
    <w:p>
      <w:pPr>
        <w:ind w:left="1580" w:hanging="283"/>
        <w:spacing w:after="0"/>
        <w:tabs>
          <w:tab w:leader="none" w:pos="15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created pursuant to the Loan Documents;</w:t>
      </w:r>
    </w:p>
    <w:p>
      <w:pPr>
        <w:spacing w:after="0" w:line="269" w:lineRule="exact"/>
        <w:rPr>
          <w:rFonts w:ascii="Times New Roman" w:cs="Times New Roman" w:eastAsia="Times New Roman" w:hAnsi="Times New Roman"/>
          <w:sz w:val="20"/>
          <w:szCs w:val="20"/>
          <w:color w:val="auto"/>
        </w:rPr>
      </w:pPr>
    </w:p>
    <w:p>
      <w:pPr>
        <w:ind w:right="120" w:firstLine="1297"/>
        <w:spacing w:after="0" w:line="283" w:lineRule="auto"/>
        <w:tabs>
          <w:tab w:leader="none" w:pos="158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 its Subsidiaries existing on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Second Amendment Effective</w:t>
      </w:r>
      <w:r>
        <w:rPr>
          <w:rFonts w:ascii="Times New Roman" w:cs="Times New Roman" w:eastAsia="Times New Roman" w:hAnsi="Times New Roman"/>
          <w:sz w:val="20"/>
          <w:szCs w:val="20"/>
          <w:color w:val="auto"/>
        </w:rPr>
        <w:t xml:space="preserve"> Date and set forth on </w:t>
      </w:r>
      <w:r>
        <w:rPr>
          <w:rFonts w:ascii="Times New Roman" w:cs="Times New Roman" w:eastAsia="Times New Roman" w:hAnsi="Times New Roman"/>
          <w:sz w:val="20"/>
          <w:szCs w:val="20"/>
          <w:u w:val="single" w:color="auto"/>
          <w:color w:val="auto"/>
        </w:rPr>
        <w:t>Schedule 7.1(b)</w:t>
      </w:r>
      <w:r>
        <w:rPr>
          <w:rFonts w:ascii="Times New Roman" w:cs="Times New Roman" w:eastAsia="Times New Roman" w:hAnsi="Times New Roman"/>
          <w:sz w:val="20"/>
          <w:szCs w:val="20"/>
          <w:color w:val="auto"/>
        </w:rPr>
        <w:t xml:space="preserve"> attached hereto and Permitted Refinancings thereof;</w:t>
      </w:r>
    </w:p>
    <w:p>
      <w:pPr>
        <w:spacing w:after="0" w:line="281" w:lineRule="exact"/>
        <w:rPr>
          <w:rFonts w:ascii="Times New Roman" w:cs="Times New Roman" w:eastAsia="Times New Roman" w:hAnsi="Times New Roman"/>
          <w:sz w:val="20"/>
          <w:szCs w:val="20"/>
          <w:color w:val="auto"/>
        </w:rPr>
      </w:pPr>
    </w:p>
    <w:p>
      <w:pPr>
        <w:jc w:val="both"/>
        <w:ind w:right="120" w:firstLine="1297"/>
        <w:spacing w:after="0" w:line="268" w:lineRule="auto"/>
        <w:tabs>
          <w:tab w:leader="none" w:pos="157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of the Borrower or any of its Subsidiaries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w:t>
      </w:r>
    </w:p>
    <w:p>
      <w:pPr>
        <w:sectPr>
          <w:pgSz w:w="11900" w:h="16838" w:orient="portrait"/>
          <w:cols w:equalWidth="0" w:num="1">
            <w:col w:w="10180"/>
          </w:cols>
          <w:pgMar w:left="1380" w:top="1345" w:right="339" w:bottom="1440" w:gutter="0" w:footer="0" w:header="0"/>
        </w:sectPr>
      </w:pPr>
    </w:p>
    <w:bookmarkStart w:id="183" w:name="page184"/>
    <w:bookmarkEnd w:id="183"/>
    <w:p>
      <w:pPr>
        <w:jc w:val="both"/>
        <w:ind w:right="120"/>
        <w:spacing w:after="0" w:line="263" w:lineRule="auto"/>
        <w:rPr>
          <w:sz w:val="20"/>
          <w:szCs w:val="20"/>
          <w:color w:val="auto"/>
        </w:rPr>
      </w:pPr>
      <w:r>
        <w:rPr>
          <w:rFonts w:ascii="Times New Roman" w:cs="Times New Roman" w:eastAsia="Times New Roman" w:hAnsi="Times New Roman"/>
          <w:sz w:val="20"/>
          <w:szCs w:val="20"/>
          <w:color w:val="auto"/>
        </w:rPr>
        <w:t xml:space="preserve">incurred prior to or within ninety (90) days after such acquisition or the completion of such construction or improvements), and extensions, renewals or replacements of any such Indebtedness that do not increase the outstanding principal amount thereof (immediately prior to giving effect to such extension, renewal or replacement) or shorten the maturity or the weighted average life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such Indebtedness does not exceed $10,000,000 at any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principal amount of such Indebtedness incurred by any Insurance Subsidiary or Subsidiary of any Insurance Subsidiary shall not exceed $5,000,000 at any time outstanding and (ii) Permitted Refinancings thereof;</w:t>
      </w:r>
    </w:p>
    <w:p>
      <w:pPr>
        <w:spacing w:after="0" w:line="193" w:lineRule="exact"/>
        <w:rPr>
          <w:sz w:val="20"/>
          <w:szCs w:val="20"/>
          <w:color w:val="auto"/>
        </w:rPr>
      </w:pPr>
    </w:p>
    <w:p>
      <w:pPr>
        <w:jc w:val="both"/>
        <w:ind w:left="-80" w:right="120" w:firstLine="1377"/>
        <w:spacing w:after="0" w:line="230" w:lineRule="auto"/>
        <w:tabs>
          <w:tab w:leader="none" w:pos="16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owing to Holdings or any Subsidiary and of any Subsidiary owing to Holdings,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that is owed by or to a Subsidiary that is not a Subsidiary Loan Party shall only be permitted to be incurred in accordance with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70" w:lineRule="exact"/>
        <w:rPr>
          <w:rFonts w:ascii="Times New Roman" w:cs="Times New Roman" w:eastAsia="Times New Roman" w:hAnsi="Times New Roman"/>
          <w:sz w:val="20"/>
          <w:szCs w:val="20"/>
          <w:color w:val="auto"/>
        </w:rPr>
      </w:pPr>
    </w:p>
    <w:p>
      <w:pPr>
        <w:jc w:val="both"/>
        <w:ind w:left="20" w:right="120" w:firstLine="1303"/>
        <w:spacing w:after="0" w:line="222" w:lineRule="auto"/>
        <w:tabs>
          <w:tab w:leader="none" w:pos="217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Holdings, the Borrower or any Subsidiary of Indebtedness of Holdings, the Borrower or any other Subsidiary, in each case,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Guarantees by any Loan Party of Indebtedness of any Subsidiary that is not a Subsidiary Loan Party shall only be permitted to be incurred in accordance with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20" w:firstLine="1304"/>
        <w:spacing w:after="0" w:line="248" w:lineRule="auto"/>
        <w:tabs>
          <w:tab w:leader="none" w:pos="1873"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consent of the Required Lenders, Indebtedness that constitutes Pari Lien Debt and any Permitted Refinancing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u w:val="single" w:color="auto"/>
          <w:color w:val="3051F2"/>
        </w:rPr>
        <w:t>no consent of the Required Lenders shall be required in the case of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Indebtedness if the Debt to Capital Ratio shall be less than 35% immediately after giving effect to the incurrence of such Indebtedness, calculated on a pro forma basis as of</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339900"/>
        </w:rPr>
        <w:t>the most recently ended Fiscal Quarter</w:t>
      </w:r>
      <w:r>
        <w:rPr>
          <w:rFonts w:ascii="Times New Roman" w:cs="Times New Roman" w:eastAsia="Times New Roman" w:hAnsi="Times New Roman"/>
          <w:sz w:val="20"/>
          <w:szCs w:val="20"/>
          <w:color w:val="3051F2"/>
        </w:rPr>
        <w:t xml:space="preserve"> for which financial statements were </w:t>
      </w:r>
      <w:r>
        <w:rPr>
          <w:rFonts w:ascii="Times New Roman" w:cs="Times New Roman" w:eastAsia="Times New Roman" w:hAnsi="Times New Roman"/>
          <w:sz w:val="20"/>
          <w:szCs w:val="20"/>
          <w:u w:val="single" w:color="auto"/>
          <w:color w:val="3051F2"/>
        </w:rPr>
        <w:t xml:space="preserve">delivered or required to be delivered pursuant to Section 5.1(a) or (c); provided, however, that, the aggregate principal amount of Pari Lien Debt (including any Permitted Refinancing thereof) incurred shall not be permitted to exceed a principal amount that would cause the Debt to Capital Ratio to be </w:t>
      </w:r>
      <w:r>
        <w:rPr>
          <w:rFonts w:ascii="Times New Roman" w:cs="Times New Roman" w:eastAsia="Times New Roman" w:hAnsi="Times New Roman"/>
          <w:sz w:val="20"/>
          <w:szCs w:val="20"/>
          <w:u w:val="single" w:color="auto"/>
          <w:color w:val="339900"/>
        </w:rPr>
        <w:t>greater than or equal to</w:t>
      </w:r>
      <w:r>
        <w:rPr>
          <w:rFonts w:ascii="Times New Roman" w:cs="Times New Roman" w:eastAsia="Times New Roman" w:hAnsi="Times New Roman"/>
          <w:sz w:val="20"/>
          <w:szCs w:val="20"/>
          <w:u w:val="single" w:color="auto"/>
          <w:color w:val="3051F2"/>
        </w:rPr>
        <w:t xml:space="preserve"> 35% immediately after giving effect to the incurrence of such Indebtedness, calculated on a pro forma basis as of the most recently ended Fiscal Quarter for which financial statements were delivered or required to be delivered pursuant to Section 5.1(a) or (c) without the consent of the Required Lenders; provided further that</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such Indebtedness shall not be permitted under this</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000000"/>
        </w:rPr>
        <w:t>clause (f)</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unless (i) the Required Additional</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Debt Terms are satisfied and (ii) the Borrower shall give the existing Lenders, on a pro rata basis, the first opportunity to provide any requested additional Pari Lien Debt prior to offering such opportunity to any other Person and, if the existing Lenders have not agreed within fifteen (15) Business Days after receiving such offer in writing to provide such additional Pari Lien Debt, after being offered a bona fide opportunity to do so (or if, after such fifteen (15) Business Day-period, the Borrower declines to accept an offer from the existing Lenders (it being understood that the Borrower may not decline an offer from the existing Lenders if it is on substantially similar terms offered by any other Person)), so long as no Default or Event of Default has occurred or is continuing, the Borrower shall have the sole right to offer such opportunity to any other Person (on terms no less favorable to the Borrower</w:t>
      </w:r>
      <w:r>
        <w:rPr>
          <w:rFonts w:ascii="Times New Roman" w:cs="Times New Roman" w:eastAsia="Times New Roman" w:hAnsi="Times New Roman"/>
          <w:sz w:val="20"/>
          <w:szCs w:val="20"/>
          <w:color w:val="EE2724"/>
          <w:strike w:val="1"/>
        </w:rPr>
        <w:t>, including, without limitation, the terms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339900"/>
          <w:strike w:val="1"/>
        </w:rPr>
        <w:t>of such Pari Lien Debt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EE2724"/>
          <w:strike w:val="1"/>
        </w:rPr>
        <w:t>may not provide such Person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EE2724"/>
          <w:strike w:val="1"/>
        </w:rPr>
        <w:t>with an interest rate or effective yield greater than the existing Loan(s) and such Pari Lien Debt must otherwise satisfy the Required Additional Debt Terms);</w:t>
      </w:r>
      <w:r>
        <w:rPr>
          <w:rFonts w:ascii="Times New Roman" w:cs="Times New Roman" w:eastAsia="Times New Roman" w:hAnsi="Times New Roman"/>
          <w:sz w:val="20"/>
          <w:szCs w:val="20"/>
          <w:u w:val="single" w:color="auto"/>
          <w:color w:val="3051F2"/>
          <w:strike w:val="1"/>
        </w:rPr>
        <w:t>provided that if the all-in yield (including interest rate margins, any interest rate floors</w:t>
      </w:r>
      <w:r>
        <w:rPr>
          <w:rFonts w:ascii="Times New Roman" w:cs="Times New Roman" w:eastAsia="Times New Roman" w:hAnsi="Times New Roman"/>
          <w:sz w:val="20"/>
          <w:szCs w:val="20"/>
          <w:color w:val="EE2724"/>
          <w:strike w:val="1"/>
        </w:rPr>
        <w:t xml:space="preserve"> </w:t>
      </w:r>
      <w:r>
        <w:rPr>
          <w:rFonts w:ascii="Times New Roman" w:cs="Times New Roman" w:eastAsia="Times New Roman" w:hAnsi="Times New Roman"/>
          <w:sz w:val="20"/>
          <w:szCs w:val="20"/>
          <w:u w:val="single" w:color="auto"/>
          <w:color w:val="3051F2"/>
          <w:strike w:val="1"/>
        </w:rPr>
        <w:t>(giving effect to the higher of any such benchmark interest rate floor and the then-applicable benchmark interest rate), original issue discount and upfront fees (based on the lesser of a four-year average life to maturity and the remaining life to maturity at the time of incurrence of the relevant Indebtedness), but excluding arrangement fees, commitment fees, structuring fees, underwriting fees and any similar fees payable in connection with the commitment or syndication of such Indebtedness and not shared generally with the lenders providing such Indebtedness; provided that, for the avoidance of doubt, all fees paid or payable to funds and accounts managed by BlackRock Capital Investment Advisors, LLC or any of its Affiliates in connection with the Second Amendment Term Loans shall be deemed to have been shared generally with all lenders)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-3484880</wp:posOffset>
            </wp:positionV>
            <wp:extent cx="18503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ectPr>
          <w:pgSz w:w="11900" w:h="16838" w:orient="portrait"/>
          <w:cols w:equalWidth="0" w:num="1">
            <w:col w:w="10180"/>
          </w:cols>
          <w:pgMar w:left="1380" w:top="1426" w:right="339" w:bottom="1440" w:gutter="0" w:footer="0" w:header="0"/>
        </w:sectPr>
      </w:pPr>
    </w:p>
    <w:bookmarkStart w:id="184" w:name="page185"/>
    <w:bookmarkEnd w:id="184"/>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3051F2"/>
        </w:rPr>
        <w:t xml:space="preserve">to any Pari Lien Debt, as determined by the Borrower and Required Lenders, exceeds by more than 0.50% </w:t>
      </w:r>
      <w:r>
        <w:rPr>
          <w:rFonts w:ascii="Times New Roman" w:cs="Times New Roman" w:eastAsia="Times New Roman" w:hAnsi="Times New Roman"/>
          <w:sz w:val="20"/>
          <w:szCs w:val="20"/>
          <w:i w:val="1"/>
          <w:iCs w:val="1"/>
          <w:u w:val="single" w:color="auto"/>
          <w:color w:val="3051F2"/>
        </w:rPr>
        <w:t>per annum</w:t>
      </w:r>
      <w:r>
        <w:rPr>
          <w:rFonts w:ascii="Times New Roman" w:cs="Times New Roman" w:eastAsia="Times New Roman" w:hAnsi="Times New Roman"/>
          <w:sz w:val="20"/>
          <w:szCs w:val="20"/>
          <w:u w:val="single" w:color="auto"/>
          <w:color w:val="3051F2"/>
        </w:rPr>
        <w:t xml:space="preserve"> the corresponding all-in yield (determined on the same basis) applicable to the Term Loans (after giving effect to the Second Amendment and any further amendment from time to time to the Credit Agreement) (the “Existing Facility” and the amount of such excess above 0.50% being referred to herein as the “Yield Differential”), then the Applicable Margin with respect to the Existing Facility shall automatically be increased by the Yield Differential, effective upon the making</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339900"/>
        </w:rPr>
        <w:t>of such Pari Lien Debt</w:t>
      </w:r>
      <w:r>
        <w:rPr>
          <w:rFonts w:ascii="Times New Roman" w:cs="Times New Roman" w:eastAsia="Times New Roman" w:hAnsi="Times New Roman"/>
          <w:sz w:val="20"/>
          <w:szCs w:val="20"/>
          <w:color w:val="3051F2"/>
        </w:rPr>
        <w:t xml:space="preserve"> (it </w:t>
      </w:r>
      <w:r>
        <w:rPr>
          <w:rFonts w:ascii="Times New Roman" w:cs="Times New Roman" w:eastAsia="Times New Roman" w:hAnsi="Times New Roman"/>
          <w:sz w:val="20"/>
          <w:szCs w:val="20"/>
          <w:u w:val="single" w:color="auto"/>
          <w:color w:val="3051F2"/>
        </w:rPr>
        <w:t xml:space="preserve">being agreed that to the extent any such Pari Lien Debt includes a Term SOFR or other benchmark interest rate floor, (a) </w:t>
      </w:r>
      <w:r>
        <w:rPr>
          <w:rFonts w:ascii="Times New Roman" w:cs="Times New Roman" w:eastAsia="Times New Roman" w:hAnsi="Times New Roman"/>
          <w:sz w:val="20"/>
          <w:szCs w:val="20"/>
          <w:u w:val="single" w:color="auto"/>
          <w:color w:val="339900"/>
        </w:rPr>
        <w:t>to the</w:t>
      </w:r>
      <w:r>
        <w:rPr>
          <w:rFonts w:ascii="Times New Roman" w:cs="Times New Roman" w:eastAsia="Times New Roman" w:hAnsi="Times New Roman"/>
          <w:sz w:val="20"/>
          <w:szCs w:val="20"/>
          <w:u w:val="single" w:color="auto"/>
          <w:color w:val="3051F2"/>
        </w:rPr>
        <w:t xml:space="preserve"> </w:t>
      </w:r>
      <w:r>
        <w:rPr>
          <w:rFonts w:ascii="Times New Roman" w:cs="Times New Roman" w:eastAsia="Times New Roman" w:hAnsi="Times New Roman"/>
          <w:sz w:val="20"/>
          <w:szCs w:val="20"/>
          <w:u w:val="single" w:color="auto"/>
          <w:color w:val="339900"/>
        </w:rPr>
        <w:t xml:space="preserve">extent that the </w:t>
      </w:r>
      <w:r>
        <w:rPr>
          <w:rFonts w:ascii="Times New Roman" w:cs="Times New Roman" w:eastAsia="Times New Roman" w:hAnsi="Times New Roman"/>
          <w:sz w:val="20"/>
          <w:szCs w:val="20"/>
          <w:u w:val="single" w:color="auto"/>
          <w:color w:val="3051F2"/>
        </w:rPr>
        <w:t>floor hereunder, as applicable, is less than such floor, the amount of such difference shall be deemed added to the</w:t>
      </w:r>
      <w:r>
        <w:rPr>
          <w:rFonts w:ascii="Times New Roman" w:cs="Times New Roman" w:eastAsia="Times New Roman" w:hAnsi="Times New Roman"/>
          <w:sz w:val="20"/>
          <w:szCs w:val="20"/>
          <w:u w:val="single" w:color="auto"/>
          <w:color w:val="339900"/>
        </w:rPr>
        <w:t xml:space="preserve"> </w:t>
      </w:r>
      <w:r>
        <w:rPr>
          <w:rFonts w:ascii="Times New Roman" w:cs="Times New Roman" w:eastAsia="Times New Roman" w:hAnsi="Times New Roman"/>
          <w:sz w:val="20"/>
          <w:szCs w:val="20"/>
          <w:u w:val="single" w:color="auto"/>
          <w:color w:val="3051F2"/>
        </w:rPr>
        <w:t>interest rate margin for such Pari Lien Debt for the purpose of calculating the all-in-yield and (b) to the extent that the floor hereunder, as applicable, is greater than such floor, then the floor shall be disregarded in calculating the all-in-yield (this proviso, the “MFN Provision”). In the event that the Applicable Margin hereunder shall change pursuant to the MFN Provision, the Borrower shall promptly notify the Administrative Agent of such change; provided that such notice may be provided by email by counsel to the Borrower; provided further that failure by the Borrower to provide such notice shall not constitute a Default or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6301105</wp:posOffset>
            </wp:positionH>
            <wp:positionV relativeFrom="paragraph">
              <wp:posOffset>-1231265</wp:posOffset>
            </wp:positionV>
            <wp:extent cx="1428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4" w:lineRule="exact"/>
        <w:rPr>
          <w:sz w:val="20"/>
          <w:szCs w:val="20"/>
          <w:color w:val="auto"/>
        </w:rPr>
      </w:pPr>
    </w:p>
    <w:p>
      <w:pPr>
        <w:ind w:left="1940" w:hanging="637"/>
        <w:spacing w:after="0"/>
        <w:tabs>
          <w:tab w:leader="none" w:pos="1940"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Hedging Obligations permitted by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20" w:firstLine="1297"/>
        <w:spacing w:after="0" w:line="258" w:lineRule="auto"/>
        <w:tabs>
          <w:tab w:leader="none" w:pos="156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EE2724"/>
          <w:strike w:val="1"/>
        </w:rPr>
        <w:t>[reserved];</w:t>
      </w:r>
      <w:r>
        <w:rPr>
          <w:rFonts w:ascii="Times New Roman" w:cs="Times New Roman" w:eastAsia="Times New Roman" w:hAnsi="Times New Roman"/>
          <w:sz w:val="20"/>
          <w:szCs w:val="20"/>
          <w:u w:val="single" w:color="auto"/>
          <w:color w:val="3051F2"/>
          <w:strike w:val="1"/>
        </w:rPr>
        <w:t>Indebtedness of the Loan Parties or Insurance Subsidiaries (including Indebtedness on behalf of</w:t>
      </w:r>
      <w:r>
        <w:rPr>
          <w:rFonts w:ascii="Times New Roman" w:cs="Times New Roman" w:eastAsia="Times New Roman" w:hAnsi="Times New Roman"/>
          <w:sz w:val="20"/>
          <w:szCs w:val="20"/>
          <w:color w:val="EE2724"/>
          <w:strike w:val="1"/>
        </w:rPr>
        <w:t xml:space="preserve"> </w:t>
      </w:r>
      <w:r>
        <w:rPr>
          <w:rFonts w:ascii="Times New Roman" w:cs="Times New Roman" w:eastAsia="Times New Roman" w:hAnsi="Times New Roman"/>
          <w:sz w:val="20"/>
          <w:szCs w:val="20"/>
          <w:u w:val="single" w:color="auto"/>
          <w:color w:val="3051F2"/>
          <w:strike w:val="1"/>
        </w:rPr>
        <w:t>other Loan Parties or Insurance Subsidiaries) consisting of letters of credit for the benefit of either the U.S. Insurance Subsidiaries or Redpoint in order to satisfy any applicable collateral requirements in connection with Permitted Reinsurance Activities, in each case, in the ordinary course of business;</w:t>
      </w:r>
    </w:p>
    <w:p>
      <w:pPr>
        <w:spacing w:after="0" w:line="212" w:lineRule="exact"/>
        <w:rPr>
          <w:rFonts w:ascii="Times New Roman" w:cs="Times New Roman" w:eastAsia="Times New Roman" w:hAnsi="Times New Roman"/>
          <w:sz w:val="18"/>
          <w:szCs w:val="18"/>
          <w:color w:val="auto"/>
        </w:rPr>
      </w:pPr>
    </w:p>
    <w:p>
      <w:pPr>
        <w:jc w:val="both"/>
        <w:ind w:right="120" w:firstLine="1303"/>
        <w:spacing w:after="0" w:line="258" w:lineRule="auto"/>
        <w:tabs>
          <w:tab w:leader="none" w:pos="1572"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netting services, automatic clearinghouse arrangements, overdraft protections, treasury, depository, cash management, purchasing card, deposit, lock box, commercial credit card, stored value card, employee credit card program, controlled disbursement, ACH transactions, return items, cash pooling and similar arrangements, in each case, incurred in the ordinary course;</w:t>
      </w:r>
    </w:p>
    <w:p>
      <w:pPr>
        <w:spacing w:after="0" w:line="212" w:lineRule="exact"/>
        <w:rPr>
          <w:rFonts w:ascii="Times New Roman" w:cs="Times New Roman" w:eastAsia="Times New Roman" w:hAnsi="Times New Roman"/>
          <w:sz w:val="20"/>
          <w:szCs w:val="20"/>
          <w:color w:val="auto"/>
        </w:rPr>
      </w:pPr>
    </w:p>
    <w:p>
      <w:pPr>
        <w:jc w:val="both"/>
        <w:ind w:firstLine="1303"/>
        <w:spacing w:after="0" w:line="250" w:lineRule="auto"/>
        <w:tabs>
          <w:tab w:leader="none" w:pos="1559"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Indebtedness, </w:t>
      </w:r>
      <w:r>
        <w:rPr>
          <w:rFonts w:ascii="Times New Roman" w:cs="Times New Roman" w:eastAsia="Times New Roman" w:hAnsi="Times New Roman"/>
          <w:sz w:val="20"/>
          <w:szCs w:val="20"/>
          <w:u w:val="single" w:color="auto"/>
          <w:color w:val="3051F2"/>
        </w:rPr>
        <w:t>(i)</w:t>
      </w:r>
      <w:r>
        <w:rPr>
          <w:rFonts w:ascii="Times New Roman" w:cs="Times New Roman" w:eastAsia="Times New Roman" w:hAnsi="Times New Roman"/>
          <w:sz w:val="20"/>
          <w:szCs w:val="20"/>
          <w:color w:val="auto"/>
        </w:rPr>
        <w:t xml:space="preserve"> obligations owed by any Subsidiary of Holdings to a Loan Party under </w:t>
      </w:r>
      <w:r>
        <w:rPr>
          <w:rFonts w:ascii="Times New Roman" w:cs="Times New Roman" w:eastAsia="Times New Roman" w:hAnsi="Times New Roman"/>
          <w:sz w:val="20"/>
          <w:szCs w:val="20"/>
          <w:color w:val="EE2724"/>
          <w:strike w:val="1"/>
        </w:rPr>
        <w:t>(a) the RIC Authorized Producer Agreement, (b) the RPC Authorized Producer Agreement, (c) the RLSA Authorized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E2724"/>
          <w:strike w:val="1"/>
        </w:rPr>
        <w:t xml:space="preserve">Producer Agreement, (d) the RPC Administrative Services Agreement, (e) the RIC Administrative Services Agreement, (f) the RLSA Administrative Services Agreement, (g) the RRC Services Agreement, (h) the RIC Guaranty, (i) the RLSA Guaranty, (j) the Reinsurance Pooling Agreement, (k) the Multiple Line Quota Share Reinsurance Contract, (l) the Redpoint Automobile Quota Share Reinsurance Contract, (m) the Automobile Quota Share Reinsurance Contract or (n) the Tax Sharing Agreement </w:t>
      </w:r>
      <w:r>
        <w:rPr>
          <w:rFonts w:ascii="Times New Roman" w:cs="Times New Roman" w:eastAsia="Times New Roman" w:hAnsi="Times New Roman"/>
          <w:sz w:val="20"/>
          <w:szCs w:val="20"/>
          <w:u w:val="single" w:color="auto"/>
          <w:color w:val="3051F2"/>
          <w:strike w:val="1"/>
        </w:rPr>
        <w:t>any agreement listed on Schedule 7.1(j), (ii) obligations between Insurance Subsidiaries that are required to be filed with and approved by an Insurance Regulatory Authority, (iii) obligations between Holdings, Borrower or a Subsidiary and RRC, and</w:t>
      </w:r>
    </w:p>
    <w:p>
      <w:pPr>
        <w:spacing w:after="0" w:line="2" w:lineRule="exact"/>
        <w:rPr>
          <w:rFonts w:ascii="Times New Roman" w:cs="Times New Roman" w:eastAsia="Times New Roman" w:hAnsi="Times New Roman"/>
          <w:sz w:val="20"/>
          <w:szCs w:val="20"/>
          <w:color w:val="auto"/>
        </w:rPr>
      </w:pPr>
    </w:p>
    <w:p>
      <w:pPr>
        <w:jc w:val="both"/>
        <w:ind w:firstLine="7"/>
        <w:spacing w:after="0" w:line="253" w:lineRule="auto"/>
        <w:tabs>
          <w:tab w:leader="none" w:pos="341" w:val="left"/>
        </w:tabs>
        <w:numPr>
          <w:ilvl w:val="0"/>
          <w:numId w:val="142"/>
        </w:numPr>
        <w:rPr>
          <w:rFonts w:ascii="Times New Roman" w:cs="Times New Roman" w:eastAsia="Times New Roman" w:hAnsi="Times New Roman"/>
          <w:sz w:val="20"/>
          <w:szCs w:val="20"/>
          <w:u w:val="single" w:color="auto"/>
          <w:color w:val="3051F2"/>
        </w:rPr>
      </w:pPr>
      <w:r>
        <w:rPr>
          <w:rFonts w:ascii="Times New Roman" w:cs="Times New Roman" w:eastAsia="Times New Roman" w:hAnsi="Times New Roman"/>
          <w:sz w:val="20"/>
          <w:szCs w:val="20"/>
          <w:u w:val="single" w:color="auto"/>
          <w:color w:val="3051F2"/>
        </w:rPr>
        <w:t>obligations owed between a Subsidiary and Redpoint, in each case of this clause (j), in the ordinary course of business and excluding obligations or indebtedness of the type described in clauses (i), (ii) or (vi) (to the extent of unreimbursed amounts with respect to the items specified therein) of the definition of “Indebtedness”</w:t>
      </w:r>
      <w:r>
        <w:rPr>
          <w:rFonts w:ascii="Times New Roman" w:cs="Times New Roman" w:eastAsia="Times New Roman" w:hAnsi="Times New Roman"/>
          <w:sz w:val="20"/>
          <w:szCs w:val="20"/>
          <w:color w:val="000000"/>
        </w:rPr>
        <w:t>;</w:t>
      </w:r>
    </w:p>
    <w:p>
      <w:pPr>
        <w:spacing w:after="0" w:line="215" w:lineRule="exact"/>
        <w:rPr>
          <w:rFonts w:ascii="Times New Roman" w:cs="Times New Roman" w:eastAsia="Times New Roman" w:hAnsi="Times New Roman"/>
          <w:sz w:val="20"/>
          <w:szCs w:val="20"/>
          <w:u w:val="single" w:color="auto"/>
          <w:color w:val="3051F2"/>
        </w:rPr>
      </w:pPr>
    </w:p>
    <w:p>
      <w:pPr>
        <w:jc w:val="both"/>
        <w:ind w:right="120" w:firstLine="1303"/>
        <w:spacing w:after="0" w:line="242" w:lineRule="auto"/>
        <w:tabs>
          <w:tab w:leader="none" w:pos="2147"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unsecured Indebtedness of the Loan Parties in an aggregate principal amount not to exceed $50,000,000;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unsecured Indebtedness shall not be permitted hereunder unless such Indebtedness (A) is subordinated to the Obligations and all of the terms, conditions and provisions (including, without limitation, the subordination and intercreditor provisions) of the Subordinated Debt Documents are consented and agreed to in writing by each of the Borrower, the Administrative Agent and the Required Lenders (it being understood and agreed that such consent on the part of the Administrative Agent may be conditioned upon, among other things, amendments or other</w:t>
      </w:r>
    </w:p>
    <w:p>
      <w:pPr>
        <w:sectPr>
          <w:pgSz w:w="11900" w:h="16838" w:orient="portrait"/>
          <w:cols w:equalWidth="0" w:num="1">
            <w:col w:w="10160"/>
          </w:cols>
          <w:pgMar w:left="1400" w:top="1328" w:right="339" w:bottom="1440" w:gutter="0" w:footer="0" w:header="0"/>
        </w:sectPr>
      </w:pPr>
    </w:p>
    <w:bookmarkStart w:id="185" w:name="page186"/>
    <w:bookmarkEnd w:id="185"/>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modifications to the terms and provisions of this Agreement and the other Loan Documents) and (B) does not have a scheduled maturity date earlier than one hundred eighty (180) days after the Stated Maturity Date and (ii) Permitted Refinancings thereof;</w:t>
      </w:r>
    </w:p>
    <w:p>
      <w:pPr>
        <w:spacing w:after="0" w:line="201" w:lineRule="exact"/>
        <w:rPr>
          <w:sz w:val="20"/>
          <w:szCs w:val="20"/>
          <w:color w:val="auto"/>
        </w:rPr>
      </w:pPr>
    </w:p>
    <w:p>
      <w:pPr>
        <w:jc w:val="both"/>
        <w:ind w:right="120" w:firstLine="1303"/>
        <w:spacing w:after="0" w:line="254" w:lineRule="auto"/>
        <w:tabs>
          <w:tab w:leader="none" w:pos="1559"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in connection with endorsement of instruments for deposit in the ordinary course of business or arising from the honoring by a bank or other financial institution of a check, draft or other similar instrument drawn against insufficient funds in the ordinary course of business;</w:t>
      </w:r>
    </w:p>
    <w:p>
      <w:pPr>
        <w:spacing w:after="0" w:line="268" w:lineRule="exact"/>
        <w:rPr>
          <w:rFonts w:ascii="Times New Roman" w:cs="Times New Roman" w:eastAsia="Times New Roman" w:hAnsi="Times New Roman"/>
          <w:sz w:val="20"/>
          <w:szCs w:val="20"/>
          <w:color w:val="auto"/>
        </w:rPr>
      </w:pPr>
    </w:p>
    <w:p>
      <w:pPr>
        <w:jc w:val="both"/>
        <w:ind w:right="120" w:firstLine="1303"/>
        <w:spacing w:after="0" w:line="254" w:lineRule="auto"/>
        <w:tabs>
          <w:tab w:leader="none" w:pos="2149"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282" w:lineRule="exact"/>
        <w:rPr>
          <w:rFonts w:ascii="Times New Roman" w:cs="Times New Roman" w:eastAsia="Times New Roman" w:hAnsi="Times New Roman"/>
          <w:sz w:val="20"/>
          <w:szCs w:val="20"/>
          <w:color w:val="auto"/>
        </w:rPr>
      </w:pPr>
    </w:p>
    <w:p>
      <w:pPr>
        <w:ind w:left="1560" w:hanging="283"/>
        <w:spacing w:after="0"/>
        <w:tabs>
          <w:tab w:leader="none" w:pos="156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financing of insurance premiums in the ordinary course of business;</w:t>
      </w:r>
    </w:p>
    <w:p>
      <w:pPr>
        <w:spacing w:after="0" w:line="337" w:lineRule="exact"/>
        <w:rPr>
          <w:rFonts w:ascii="Times New Roman" w:cs="Times New Roman" w:eastAsia="Times New Roman" w:hAnsi="Times New Roman"/>
          <w:sz w:val="20"/>
          <w:szCs w:val="20"/>
          <w:color w:val="auto"/>
        </w:rPr>
      </w:pPr>
    </w:p>
    <w:p>
      <w:pPr>
        <w:ind w:left="1980" w:hanging="678"/>
        <w:spacing w:after="0"/>
        <w:tabs>
          <w:tab w:leader="none" w:pos="198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advances or deposits received in the ordinary course of business;</w:t>
      </w:r>
    </w:p>
    <w:p>
      <w:pPr>
        <w:spacing w:after="0" w:line="242" w:lineRule="exact"/>
        <w:rPr>
          <w:rFonts w:ascii="Times New Roman" w:cs="Times New Roman" w:eastAsia="Times New Roman" w:hAnsi="Times New Roman"/>
          <w:sz w:val="20"/>
          <w:szCs w:val="20"/>
          <w:color w:val="auto"/>
        </w:rPr>
      </w:pPr>
    </w:p>
    <w:p>
      <w:pPr>
        <w:jc w:val="both"/>
        <w:ind w:right="120" w:firstLine="1303"/>
        <w:spacing w:after="0" w:line="242" w:lineRule="auto"/>
        <w:tabs>
          <w:tab w:leader="none" w:pos="2147"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has occurred or is continuing or would result from the incurrence thereof, other unsecured Indebtedness of the Borrower or its Subsidiaries (excluding each Insurance Subsidiary and each Subsidiary of an Insurance Subsidiary) in an aggregate principal amount not to exceed $25,000,000 at any time outstanding (which may include, for the avoidance of doubt, unsecured Indebtedness consisting of contingent obligations, earnouts, seller notes and other deferred payment obligations incurred in connection with any acquisition or otherwise) and (ii) Permitted Refinancings thereof;</w:t>
      </w:r>
    </w:p>
    <w:p>
      <w:pPr>
        <w:spacing w:after="0" w:line="215" w:lineRule="exact"/>
        <w:rPr>
          <w:sz w:val="20"/>
          <w:szCs w:val="20"/>
          <w:color w:val="auto"/>
        </w:rPr>
      </w:pPr>
    </w:p>
    <w:p>
      <w:pPr>
        <w:ind w:left="-20" w:firstLine="1297"/>
        <w:spacing w:after="0" w:line="269" w:lineRule="auto"/>
        <w:tabs>
          <w:tab w:leader="none" w:pos="156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EE2724"/>
          <w:strike w:val="1"/>
        </w:rPr>
        <w:t>[reserved]</w:t>
      </w:r>
      <w:r>
        <w:rPr>
          <w:rFonts w:ascii="Times New Roman" w:cs="Times New Roman" w:eastAsia="Times New Roman" w:hAnsi="Times New Roman"/>
          <w:sz w:val="20"/>
          <w:szCs w:val="20"/>
          <w:u w:val="single" w:color="auto"/>
          <w:color w:val="3051F2"/>
          <w:strike w:val="1"/>
        </w:rPr>
        <w:t>Indebtedness of Insurance Subsidiaries with financial institutions in the Federal Home Loan Bank</w:t>
      </w:r>
      <w:r>
        <w:rPr>
          <w:rFonts w:ascii="Times New Roman" w:cs="Times New Roman" w:eastAsia="Times New Roman" w:hAnsi="Times New Roman"/>
          <w:sz w:val="20"/>
          <w:szCs w:val="20"/>
          <w:color w:val="EE2724"/>
          <w:strike w:val="1"/>
        </w:rPr>
        <w:t xml:space="preserve"> </w:t>
      </w:r>
      <w:r>
        <w:rPr>
          <w:rFonts w:ascii="Times New Roman" w:cs="Times New Roman" w:eastAsia="Times New Roman" w:hAnsi="Times New Roman"/>
          <w:sz w:val="20"/>
          <w:szCs w:val="20"/>
          <w:u w:val="single" w:color="auto"/>
          <w:color w:val="3051F2"/>
          <w:strike w:val="1"/>
        </w:rPr>
        <w:t>system in an aggregate principal amount not to exceed $25,000,000 at any time outstanding</w:t>
      </w:r>
      <w:r>
        <w:rPr>
          <w:rFonts w:ascii="Times New Roman" w:cs="Times New Roman" w:eastAsia="Times New Roman" w:hAnsi="Times New Roman"/>
          <w:sz w:val="20"/>
          <w:szCs w:val="20"/>
          <w:color w:val="000000"/>
          <w:strike w:val="1"/>
        </w:rPr>
        <w:t>; and</w:t>
      </w:r>
    </w:p>
    <w:p>
      <w:pPr>
        <w:spacing w:after="0" w:line="186" w:lineRule="exact"/>
        <w:rPr>
          <w:rFonts w:ascii="Times New Roman" w:cs="Times New Roman" w:eastAsia="Times New Roman" w:hAnsi="Times New Roman"/>
          <w:sz w:val="18"/>
          <w:szCs w:val="18"/>
          <w:color w:val="auto"/>
        </w:rPr>
      </w:pPr>
    </w:p>
    <w:p>
      <w:pPr>
        <w:jc w:val="both"/>
        <w:ind w:right="120" w:firstLine="1303"/>
        <w:spacing w:after="0" w:line="255" w:lineRule="auto"/>
        <w:tabs>
          <w:tab w:leader="none" w:pos="157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PIK Debt of any Loan Party, (ii) Indebtedness of any Loan Party consisting of a Contingent Line of Credit and (iii) Permitted Convertible Indebtedness of any Loan Party, in a maximum principal amount not to exceed, in the aggregate for all Indebtedness incurred under this </w:t>
      </w:r>
      <w:r>
        <w:rPr>
          <w:rFonts w:ascii="Times New Roman" w:cs="Times New Roman" w:eastAsia="Times New Roman" w:hAnsi="Times New Roman"/>
          <w:sz w:val="19"/>
          <w:szCs w:val="19"/>
          <w:u w:val="single" w:color="auto"/>
          <w:color w:val="auto"/>
        </w:rPr>
        <w:t>Section 7.1(r)</w:t>
      </w:r>
      <w:r>
        <w:rPr>
          <w:rFonts w:ascii="Times New Roman" w:cs="Times New Roman" w:eastAsia="Times New Roman" w:hAnsi="Times New Roman"/>
          <w:sz w:val="19"/>
          <w:szCs w:val="19"/>
          <w:color w:val="auto"/>
        </w:rPr>
        <w:t>, $200,000,000, so long as (A) no Event of Default has occurred and is continuing or would immediately result therefrom and (B) such Indebtedness shall (a) not require any scheduled amortization or otherwise require payment of principal prior to, or have a scheduled maturity date earlier than, one hundred eighty (180) days after the Stated Maturity Date, (b) be unsecured, (c) not be mandatorily prepayable, repurchaseable or redeemable (except for customary asset sale, fundamental change or change of control provisions, provisions requiring Holdings to repurchase or convert all or any portion of such Indebtedness and acceleration rights after an event of default) prior to one hundred eighty (180) days after the Stated Maturity Date and (d) be on terms and conditions customary for Indebtedness of such type, as determined in good faith by the Board of Directors of Holdings or a committee thereof.</w:t>
      </w:r>
    </w:p>
    <w:p>
      <w:pPr>
        <w:spacing w:after="0" w:line="199"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b w:val="1"/>
          <w:bCs w:val="1"/>
          <w:u w:val="single" w:color="auto"/>
          <w:color w:val="auto"/>
        </w:rPr>
        <w:t>Liens</w:t>
      </w:r>
      <w:r>
        <w:rPr>
          <w:rFonts w:ascii="Times New Roman" w:cs="Times New Roman" w:eastAsia="Times New Roman" w:hAnsi="Times New Roman"/>
          <w:sz w:val="20"/>
          <w:szCs w:val="20"/>
          <w:color w:val="auto"/>
        </w:rPr>
        <w:t>. Holdings and the Borrower shall not, and shall not permit any of their respective Subsidiaries to, create, incur, assume or suffer to exist any Lien on any of its assets or property now owned or hereafter acquired, except:</w:t>
      </w:r>
    </w:p>
    <w:p>
      <w:pPr>
        <w:spacing w:after="0" w:line="183" w:lineRule="exact"/>
        <w:rPr>
          <w:sz w:val="20"/>
          <w:szCs w:val="20"/>
          <w:color w:val="auto"/>
        </w:rPr>
      </w:pPr>
    </w:p>
    <w:p>
      <w:pPr>
        <w:ind w:left="1940" w:hanging="637"/>
        <w:spacing w:after="0"/>
        <w:tabs>
          <w:tab w:leader="none" w:pos="19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Obligations;</w:t>
      </w:r>
    </w:p>
    <w:p>
      <w:pPr>
        <w:spacing w:after="0" w:line="242" w:lineRule="exact"/>
        <w:rPr>
          <w:rFonts w:ascii="Times New Roman" w:cs="Times New Roman" w:eastAsia="Times New Roman" w:hAnsi="Times New Roman"/>
          <w:sz w:val="20"/>
          <w:szCs w:val="20"/>
          <w:color w:val="auto"/>
        </w:rPr>
      </w:pPr>
    </w:p>
    <w:p>
      <w:pPr>
        <w:ind w:left="1940" w:hanging="637"/>
        <w:spacing w:after="0"/>
        <w:tabs>
          <w:tab w:leader="none" w:pos="19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 and licenses permitted under this Agreement;</w:t>
      </w:r>
    </w:p>
    <w:p>
      <w:pPr>
        <w:sectPr>
          <w:pgSz w:w="11900" w:h="16838" w:orient="portrait"/>
          <w:cols w:equalWidth="0" w:num="1">
            <w:col w:w="10160"/>
          </w:cols>
          <w:pgMar w:left="1400" w:top="1332" w:right="339" w:bottom="1440" w:gutter="0" w:footer="0" w:header="0"/>
        </w:sectPr>
      </w:pPr>
    </w:p>
    <w:bookmarkStart w:id="186" w:name="page187"/>
    <w:bookmarkEnd w:id="186"/>
    <w:p>
      <w:pPr>
        <w:jc w:val="both"/>
        <w:ind w:left="20" w:right="120" w:firstLine="1303"/>
        <w:spacing w:after="0" w:line="254" w:lineRule="auto"/>
        <w:tabs>
          <w:tab w:leader="none" w:pos="217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any property or asset of the Borrower or any of its Subsidiaries existing on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Second Amendment Effective</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Date and set forth on</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000000"/>
        </w:rPr>
        <w:t>Schedule 7.2(c)</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attached hereto;</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that such Liens shall not apply</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to any other property or asset of Holdings or any Subsidiary;</w:t>
      </w:r>
    </w:p>
    <w:p>
      <w:pPr>
        <w:spacing w:after="0" w:line="187" w:lineRule="exact"/>
        <w:rPr>
          <w:rFonts w:ascii="Times New Roman" w:cs="Times New Roman" w:eastAsia="Times New Roman" w:hAnsi="Times New Roman"/>
          <w:sz w:val="20"/>
          <w:szCs w:val="20"/>
          <w:color w:val="auto"/>
        </w:rPr>
      </w:pPr>
    </w:p>
    <w:p>
      <w:pPr>
        <w:jc w:val="both"/>
        <w:ind w:left="20" w:right="120" w:firstLine="1303"/>
        <w:spacing w:after="0" w:line="215" w:lineRule="auto"/>
        <w:tabs>
          <w:tab w:leader="none" w:pos="216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secures Indebtedness permitted by </w:t>
      </w:r>
      <w:r>
        <w:rPr>
          <w:rFonts w:ascii="Times New Roman" w:cs="Times New Roman" w:eastAsia="Times New Roman" w:hAnsi="Times New Roman"/>
          <w:sz w:val="20"/>
          <w:szCs w:val="20"/>
          <w:u w:val="single" w:color="auto"/>
          <w:color w:val="auto"/>
        </w:rPr>
        <w:t>Section 7.1(c)</w:t>
      </w:r>
      <w:r>
        <w:rPr>
          <w:rFonts w:ascii="Times New Roman" w:cs="Times New Roman" w:eastAsia="Times New Roman" w:hAnsi="Times New Roman"/>
          <w:sz w:val="20"/>
          <w:szCs w:val="20"/>
          <w:color w:val="auto"/>
        </w:rPr>
        <w:t>, (ii) such Lien attaches to such asset concurrently or within ninety (90) days after the acquisition or the completion of the construction or improvements thereof, (iii) such Lien does not extend to any other asset other than accessions to such asset and reasonable extensions of such asset (and provided that such obligations owed to a single lender may be cross-collateralized) and (iv) the Indebtedness secured thereby does not exceed the cost of acquiring, constructing or improving such fixed or capital assets;</w:t>
      </w:r>
    </w:p>
    <w:p>
      <w:pPr>
        <w:spacing w:after="0" w:line="187" w:lineRule="exact"/>
        <w:rPr>
          <w:rFonts w:ascii="Times New Roman" w:cs="Times New Roman" w:eastAsia="Times New Roman" w:hAnsi="Times New Roman"/>
          <w:sz w:val="20"/>
          <w:szCs w:val="20"/>
          <w:color w:val="auto"/>
        </w:rPr>
      </w:pPr>
    </w:p>
    <w:p>
      <w:pPr>
        <w:jc w:val="both"/>
        <w:ind w:left="20" w:right="120" w:firstLine="1303"/>
        <w:spacing w:after="0" w:line="215" w:lineRule="auto"/>
        <w:tabs>
          <w:tab w:leader="none" w:pos="217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(x) existing on any asset of any Person at the time such Person becomes a Subsidiary of the Borrower, (y) existing on any asset of any Person at the time such Person is merged with or into the Borrower or any of its Subsidiaries or (z) existing on any asset prior to the acquisition thereof by the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Lien was not created in the contemplation of any of the foregoing, (ii) any such Lien secures only those obligations which it secures on the date that such Person becomes a Subsidiary or the date of such merger or the date of such acquisition, and (iii) no such Lien shall secure any Indebtedness of the type described in clauses (i), (ii) or (v) of the definition of Indebtedness;</w:t>
      </w:r>
    </w:p>
    <w:p>
      <w:pPr>
        <w:spacing w:after="0" w:line="191" w:lineRule="exact"/>
        <w:rPr>
          <w:rFonts w:ascii="Times New Roman" w:cs="Times New Roman" w:eastAsia="Times New Roman" w:hAnsi="Times New Roman"/>
          <w:sz w:val="20"/>
          <w:szCs w:val="20"/>
          <w:color w:val="auto"/>
        </w:rPr>
      </w:pPr>
    </w:p>
    <w:p>
      <w:pPr>
        <w:ind w:left="20" w:right="120" w:firstLine="1303"/>
        <w:spacing w:after="0"/>
        <w:tabs>
          <w:tab w:leader="none" w:pos="161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any Insurance Subsidiary securing obligations under transactions entered into in connection with Investments permitted by the terms hereof in an aggregate amount not to exceed, at any time, $20,000,000;</w:t>
      </w:r>
    </w:p>
    <w:p>
      <w:pPr>
        <w:spacing w:after="0" w:line="174" w:lineRule="exact"/>
        <w:rPr>
          <w:rFonts w:ascii="Times New Roman" w:cs="Times New Roman" w:eastAsia="Times New Roman" w:hAnsi="Times New Roman"/>
          <w:sz w:val="20"/>
          <w:szCs w:val="20"/>
          <w:color w:val="auto"/>
        </w:rPr>
      </w:pPr>
    </w:p>
    <w:p>
      <w:pPr>
        <w:ind w:left="20" w:right="140" w:firstLine="1303"/>
        <w:spacing w:after="0"/>
        <w:tabs>
          <w:tab w:leader="none" w:pos="222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deposit of cash or other assets of any Insurance Subsidiary and any Subsidiary of an Insurance Subsidiary as required by any Governmental Authority;</w:t>
      </w:r>
    </w:p>
    <w:p>
      <w:pPr>
        <w:spacing w:after="0" w:line="182" w:lineRule="exact"/>
        <w:rPr>
          <w:rFonts w:ascii="Times New Roman" w:cs="Times New Roman" w:eastAsia="Times New Roman" w:hAnsi="Times New Roman"/>
          <w:sz w:val="20"/>
          <w:szCs w:val="20"/>
          <w:color w:val="auto"/>
        </w:rPr>
      </w:pPr>
    </w:p>
    <w:p>
      <w:pPr>
        <w:ind w:left="2260" w:hanging="937"/>
        <w:spacing w:after="0"/>
        <w:tabs>
          <w:tab w:leader="none" w:pos="22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other obligations in an aggregate amount not to exceed $8,000,000 at any time</w:t>
      </w: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w:t>
      </w:r>
    </w:p>
    <w:p>
      <w:pPr>
        <w:spacing w:after="0" w:line="207" w:lineRule="exact"/>
        <w:rPr>
          <w:rFonts w:ascii="Times New Roman" w:cs="Times New Roman" w:eastAsia="Times New Roman" w:hAnsi="Times New Roman"/>
          <w:sz w:val="20"/>
          <w:szCs w:val="20"/>
          <w:color w:val="auto"/>
        </w:rPr>
      </w:pPr>
    </w:p>
    <w:p>
      <w:pPr>
        <w:ind w:left="20" w:right="120" w:firstLine="1303"/>
        <w:spacing w:after="0" w:line="269" w:lineRule="auto"/>
        <w:tabs>
          <w:tab w:leader="none" w:pos="159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any Pari Lien Debt so long as such Liens are governed by, and subject to, the Pari Lien Debt Documents; </w:t>
      </w:r>
      <w:r>
        <w:rPr>
          <w:rFonts w:ascii="Times New Roman" w:cs="Times New Roman" w:eastAsia="Times New Roman" w:hAnsi="Times New Roman"/>
          <w:sz w:val="20"/>
          <w:szCs w:val="20"/>
          <w:color w:val="EE2724"/>
          <w:strike w:val="1"/>
        </w:rPr>
        <w:t>and</w:t>
      </w:r>
    </w:p>
    <w:p>
      <w:pPr>
        <w:spacing w:after="0" w:line="186" w:lineRule="exact"/>
        <w:rPr>
          <w:rFonts w:ascii="Times New Roman" w:cs="Times New Roman" w:eastAsia="Times New Roman" w:hAnsi="Times New Roman"/>
          <w:sz w:val="20"/>
          <w:szCs w:val="20"/>
          <w:color w:val="auto"/>
        </w:rPr>
      </w:pPr>
    </w:p>
    <w:p>
      <w:pPr>
        <w:ind w:left="20" w:right="120" w:firstLine="1303"/>
        <w:spacing w:after="0" w:line="233" w:lineRule="auto"/>
        <w:tabs>
          <w:tab w:leader="none" w:pos="1605" w:val="left"/>
        </w:tabs>
        <w:numPr>
          <w:ilvl w:val="0"/>
          <w:numId w:val="147"/>
        </w:numPr>
        <w:rPr>
          <w:rFonts w:ascii="Times New Roman" w:cs="Times New Roman" w:eastAsia="Times New Roman" w:hAnsi="Times New Roman"/>
          <w:sz w:val="20"/>
          <w:szCs w:val="20"/>
          <w:u w:val="single" w:color="auto"/>
          <w:color w:val="3051F2"/>
        </w:rPr>
      </w:pPr>
      <w:r>
        <w:rPr>
          <w:rFonts w:ascii="Times New Roman" w:cs="Times New Roman" w:eastAsia="Times New Roman" w:hAnsi="Times New Roman"/>
          <w:sz w:val="20"/>
          <w:szCs w:val="20"/>
          <w:color w:val="3051F2"/>
        </w:rPr>
        <w:t>c</w:t>
      </w:r>
      <w:r>
        <w:rPr>
          <w:rFonts w:ascii="Times New Roman" w:cs="Times New Roman" w:eastAsia="Times New Roman" w:hAnsi="Times New Roman"/>
          <w:sz w:val="20"/>
          <w:szCs w:val="20"/>
          <w:u w:val="single" w:color="auto"/>
          <w:color w:val="3051F2"/>
        </w:rPr>
        <w:t>ustomary Liens on cash, cash equivalents, or securities of a Loan Party or an Insurance Subsidiary</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3051F2"/>
        </w:rPr>
        <w:t>securing Indebtedness permitted by Section 7.1(h);</w:t>
      </w:r>
    </w:p>
    <w:p>
      <w:pPr>
        <w:spacing w:after="0" w:line="187" w:lineRule="exact"/>
        <w:rPr>
          <w:rFonts w:ascii="Times New Roman" w:cs="Times New Roman" w:eastAsia="Times New Roman" w:hAnsi="Times New Roman"/>
          <w:sz w:val="20"/>
          <w:szCs w:val="20"/>
          <w:u w:val="single" w:color="auto"/>
          <w:color w:val="3051F2"/>
        </w:rPr>
      </w:pPr>
    </w:p>
    <w:p>
      <w:pPr>
        <w:ind w:left="20" w:firstLine="1303"/>
        <w:spacing w:after="0"/>
        <w:tabs>
          <w:tab w:leader="none" w:pos="2166" w:val="left"/>
        </w:tabs>
        <w:numPr>
          <w:ilvl w:val="0"/>
          <w:numId w:val="147"/>
        </w:numPr>
        <w:rPr>
          <w:rFonts w:ascii="Times New Roman" w:cs="Times New Roman" w:eastAsia="Times New Roman" w:hAnsi="Times New Roman"/>
          <w:sz w:val="20"/>
          <w:szCs w:val="20"/>
          <w:u w:val="single" w:color="auto"/>
          <w:color w:val="3051F2"/>
        </w:rPr>
      </w:pPr>
      <w:r>
        <w:rPr>
          <w:rFonts w:ascii="Times New Roman" w:cs="Times New Roman" w:eastAsia="Times New Roman" w:hAnsi="Times New Roman"/>
          <w:sz w:val="20"/>
          <w:szCs w:val="20"/>
          <w:u w:val="single" w:color="auto"/>
          <w:color w:val="3051F2"/>
        </w:rPr>
        <w:t>customary Liens on securities held by the applicable Insurance Subsidiary securing Indebtedness of such Subsidiary permitted by Section 7.1(q); and</w:t>
      </w:r>
    </w:p>
    <w:p>
      <w:pPr>
        <w:spacing w:after="0" w:line="174" w:lineRule="exact"/>
        <w:rPr>
          <w:rFonts w:ascii="Times New Roman" w:cs="Times New Roman" w:eastAsia="Times New Roman" w:hAnsi="Times New Roman"/>
          <w:sz w:val="20"/>
          <w:szCs w:val="20"/>
          <w:u w:val="single" w:color="auto"/>
          <w:color w:val="3051F2"/>
        </w:rPr>
      </w:pPr>
    </w:p>
    <w:p>
      <w:pPr>
        <w:jc w:val="both"/>
        <w:ind w:left="20" w:right="140" w:firstLine="1303"/>
        <w:spacing w:after="0" w:line="230" w:lineRule="auto"/>
        <w:tabs>
          <w:tab w:leader="none" w:pos="1529" w:val="left"/>
        </w:tabs>
        <w:numPr>
          <w:ilvl w:val="0"/>
          <w:numId w:val="147"/>
        </w:numPr>
        <w:rPr>
          <w:rFonts w:ascii="Times New Roman" w:cs="Times New Roman" w:eastAsia="Times New Roman" w:hAnsi="Times New Roman"/>
          <w:sz w:val="20"/>
          <w:szCs w:val="20"/>
          <w:u w:val="single" w:color="auto"/>
          <w:color w:val="3051F2"/>
        </w:rPr>
      </w:pPr>
      <w:r>
        <w:rPr>
          <w:rFonts w:ascii="Times New Roman" w:cs="Times New Roman" w:eastAsia="Times New Roman" w:hAnsi="Times New Roman"/>
          <w:sz w:val="20"/>
          <w:szCs w:val="20"/>
          <w:color w:val="EE2724"/>
          <w:strike w:val="1"/>
        </w:rPr>
        <w:t>(j)</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extensions, renewals, or replacements of any Lien referred to in</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00"/>
        </w:rPr>
        <w:t>subsections (b)</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through (</w:t>
      </w:r>
      <w:r>
        <w:rPr>
          <w:rFonts w:ascii="Times New Roman" w:cs="Times New Roman" w:eastAsia="Times New Roman" w:hAnsi="Times New Roman"/>
          <w:sz w:val="20"/>
          <w:szCs w:val="20"/>
          <w:color w:val="EE2724"/>
          <w:strike w:val="1"/>
        </w:rPr>
        <w:t>i</w:t>
      </w:r>
      <w:r>
        <w:rPr>
          <w:rFonts w:ascii="Times New Roman" w:cs="Times New Roman" w:eastAsia="Times New Roman" w:hAnsi="Times New Roman"/>
          <w:sz w:val="20"/>
          <w:szCs w:val="20"/>
          <w:u w:val="single" w:color="auto"/>
          <w:color w:val="3051F2"/>
        </w:rPr>
        <w:t>k</w:t>
      </w:r>
      <w:r>
        <w:rPr>
          <w:rFonts w:ascii="Times New Roman" w:cs="Times New Roman" w:eastAsia="Times New Roman" w:hAnsi="Times New Roman"/>
          <w:sz w:val="20"/>
          <w:szCs w:val="20"/>
          <w:color w:val="000000"/>
        </w:rPr>
        <w:t>) of this</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 xml:space="preserve">Section;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principal amount of the Indebtedness secured thereby is not increased and that any such extension, renewal or replacement is limited to the assets originally encumbered thereby.</w:t>
      </w:r>
    </w:p>
    <w:p>
      <w:pPr>
        <w:spacing w:after="0" w:line="17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Notwithstanding anything to the contrary herein, each Insurance Subsidiary agrees that it shall not, and each of Holdings and the Borrower shall not permit any Insurance Subsidiary to, create, incur, assume or suffer to exist any Lien that supports debt for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borrowed money on any of its or their assets or property now owned or hereafter acquired, to any person, except to the Administrative Agent for the benefit of the Secured Parties.</w:t>
      </w:r>
    </w:p>
    <w:p>
      <w:pPr>
        <w:sectPr>
          <w:pgSz w:w="11900" w:h="16838" w:orient="portrait"/>
          <w:cols w:equalWidth="0" w:num="1">
            <w:col w:w="10180"/>
          </w:cols>
          <w:pgMar w:left="1380" w:top="1332" w:right="339" w:bottom="1440" w:gutter="0" w:footer="0" w:header="0"/>
        </w:sectPr>
      </w:pPr>
    </w:p>
    <w:bookmarkStart w:id="187" w:name="page188"/>
    <w:bookmarkEnd w:id="187"/>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7.3.</w:t>
      </w:r>
      <w:r>
        <w:rPr>
          <w:sz w:val="20"/>
          <w:szCs w:val="20"/>
          <w:color w:val="auto"/>
        </w:rPr>
        <w:tab/>
      </w:r>
      <w:r>
        <w:rPr>
          <w:rFonts w:ascii="Times New Roman" w:cs="Times New Roman" w:eastAsia="Times New Roman" w:hAnsi="Times New Roman"/>
          <w:sz w:val="19"/>
          <w:szCs w:val="19"/>
          <w:b w:val="1"/>
          <w:bCs w:val="1"/>
          <w:u w:val="single" w:color="auto"/>
          <w:color w:val="auto"/>
        </w:rPr>
        <w:t>Fundamental Changes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4"/>
        <w:spacing w:after="0" w:line="263" w:lineRule="auto"/>
        <w:tabs>
          <w:tab w:leader="none" w:pos="2150"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Holdings and the Borrower shall not, and shall not permit any of their respective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Capital Stock of any of its Subsidiaries (in each case, whether now owned or hereafter acquired) or liquidate or dissolve;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the time thereof, and immediately after giving effect thereto, no Default or Event of Default shall have occurred and be continuing, (i) the Borrower or any Subsidiary may merge with a Person if the Borrower (or such Subsidiary if the Borrower is not a party to such merger) is the surviving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Subsidiary Loan Party shall be the surviving Person in a merger between a Subsidiary Loan Party and a Subsidiary that is not a Subsidiary Loan Party, (ii) any Subsidiary may merge into another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party to such merger is a Subsidiary Loan Party, the Subsidiary Loan Party shall be the surviving Person,</w:t>
      </w:r>
    </w:p>
    <w:p>
      <w:pPr>
        <w:spacing w:after="0" w:line="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sell, transfer, lease, dissolve into or otherwise dispose of all or substantially all of its assets to the</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Borrower or to a Subsidiary Loan Party and (iv) any Subsidiary (other than a Subsidiary Loan Party)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merger involving a Person that is not a wholly owned Subsidiary immediately prior to such merger shall not be permitted unless also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41" w:lineRule="exact"/>
        <w:rPr>
          <w:sz w:val="20"/>
          <w:szCs w:val="20"/>
          <w:color w:val="auto"/>
        </w:rPr>
      </w:pPr>
    </w:p>
    <w:p>
      <w:pPr>
        <w:jc w:val="both"/>
        <w:ind w:firstLine="1303"/>
        <w:spacing w:after="0" w:line="261" w:lineRule="auto"/>
        <w:tabs>
          <w:tab w:leader="none" w:pos="2147"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any of its Subsidiaries to, engage in any business other than businesses of the type conducted by the Borrower and its Subsidiaries on the Closing Date and businesses reasonably related or ancillary thereto and reasonable extensions thereof.</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b w:val="1"/>
          <w:bCs w:val="1"/>
          <w:u w:val="single" w:color="auto"/>
          <w:color w:val="auto"/>
        </w:rPr>
        <w:t>Investments, Loans</w:t>
      </w:r>
      <w:r>
        <w:rPr>
          <w:rFonts w:ascii="Times New Roman" w:cs="Times New Roman" w:eastAsia="Times New Roman" w:hAnsi="Times New Roman"/>
          <w:sz w:val="20"/>
          <w:szCs w:val="20"/>
          <w:color w:val="auto"/>
        </w:rPr>
        <w:t>. Holdings and the Borrower shall not, and shall not permit any of their respective Subsidiaries to, directly or indirectly, purchase or acquire (including pursuant to any merger with any Person or entity) any Capital Stock, loan or other securities (including any option, warrant, or other right to acquire any of the foregoing) of, make or permit to exist any loans or advances to, Guarantee any obligations of, or make or permit to exist any investment or any other interest in or make any other investment in (including capital contributions in or to), any other Person, or purchase or otherwise acquire (in one transaction or a series of transactions) all or substantially all of the assets of a Person, or any assets of any other Person that constitute a business unit or division of any other Person, or create or form any Subsidiary, or enter into any other arrangement pursuant to which any Loan Party conveys, sells, leases, assigns, transfers or otherwise disposes of any of its assets, business or property to any Subsidiary that is not a Loan Party (all of the foregoing being collectively called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(provided that, for the avoidance of doubt, in no event shall guarantees of risk based capital that are customary in the insurance business be deemed to be “Investments”), except:</w:t>
      </w:r>
    </w:p>
    <w:p>
      <w:pPr>
        <w:spacing w:after="0" w:line="220" w:lineRule="exact"/>
        <w:rPr>
          <w:sz w:val="20"/>
          <w:szCs w:val="20"/>
          <w:color w:val="auto"/>
        </w:rPr>
      </w:pPr>
    </w:p>
    <w:p>
      <w:pPr>
        <w:ind w:firstLine="1303"/>
        <w:spacing w:after="0" w:line="283" w:lineRule="auto"/>
        <w:tabs>
          <w:tab w:leader="none" w:pos="215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(other than Permitted Investments) existing on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Second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Effective</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Date and set forth on</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000000"/>
        </w:rPr>
        <w:t>Schedule 7.4(a)</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attached hereto (including, without limitation, Investments in Subsidiaries);</w:t>
      </w:r>
    </w:p>
    <w:p>
      <w:pPr>
        <w:spacing w:after="0" w:line="254" w:lineRule="exact"/>
        <w:rPr>
          <w:rFonts w:ascii="Times New Roman" w:cs="Times New Roman" w:eastAsia="Times New Roman" w:hAnsi="Times New Roman"/>
          <w:sz w:val="20"/>
          <w:szCs w:val="20"/>
          <w:color w:val="auto"/>
        </w:rPr>
      </w:pPr>
    </w:p>
    <w:p>
      <w:pPr>
        <w:ind w:left="1980" w:hanging="677"/>
        <w:spacing w:after="0"/>
        <w:tabs>
          <w:tab w:leader="none" w:pos="19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w:t>
      </w:r>
    </w:p>
    <w:p>
      <w:pPr>
        <w:spacing w:after="0" w:line="256" w:lineRule="exact"/>
        <w:rPr>
          <w:rFonts w:ascii="Times New Roman" w:cs="Times New Roman" w:eastAsia="Times New Roman" w:hAnsi="Times New Roman"/>
          <w:sz w:val="20"/>
          <w:szCs w:val="20"/>
          <w:color w:val="auto"/>
        </w:rPr>
      </w:pPr>
    </w:p>
    <w:p>
      <w:pPr>
        <w:jc w:val="both"/>
        <w:ind w:firstLine="1303"/>
        <w:spacing w:after="0" w:line="268" w:lineRule="auto"/>
        <w:tabs>
          <w:tab w:leader="none" w:pos="214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Holdings of any Indebtedness of the Borrower or guarantees by Holdings or the Borrower of any Indebtedness of any Subsidiary Loan Party or guarantees by any Subsidiary Loan Party of any Indebtedness of the Borrower or any other Subsidiary Loan Party;</w:t>
      </w:r>
    </w:p>
    <w:p>
      <w:pPr>
        <w:sectPr>
          <w:pgSz w:w="11900" w:h="16838" w:orient="portrait"/>
          <w:cols w:equalWidth="0" w:num="1">
            <w:col w:w="10040"/>
          </w:cols>
          <w:pgMar w:left="1400" w:top="1328" w:right="459" w:bottom="1440" w:gutter="0" w:footer="0" w:header="0"/>
        </w:sectPr>
      </w:pPr>
    </w:p>
    <w:bookmarkStart w:id="188" w:name="page189"/>
    <w:bookmarkEnd w:id="188"/>
    <w:p>
      <w:pPr>
        <w:ind w:left="-40" w:right="140" w:firstLine="1303"/>
        <w:spacing w:after="0" w:line="269" w:lineRule="auto"/>
        <w:tabs>
          <w:tab w:leader="none" w:pos="2107" w:val="left"/>
        </w:tabs>
        <w:numPr>
          <w:ilvl w:val="2"/>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by Holdings in or to the Borrower or by Holdings or the Borrower in or to any Subsidiary Loan Party and by any Subsidiary Loan Party in or to the Borrower or in or to another Subsidiary Loan Party;</w:t>
      </w:r>
    </w:p>
    <w:p>
      <w:pPr>
        <w:spacing w:after="0" w:line="186" w:lineRule="exact"/>
        <w:rPr>
          <w:rFonts w:ascii="Times New Roman" w:cs="Times New Roman" w:eastAsia="Times New Roman" w:hAnsi="Times New Roman"/>
          <w:sz w:val="20"/>
          <w:szCs w:val="20"/>
          <w:color w:val="auto"/>
        </w:rPr>
      </w:pPr>
    </w:p>
    <w:p>
      <w:pPr>
        <w:ind w:left="1520" w:hanging="283"/>
        <w:spacing w:after="0"/>
        <w:tabs>
          <w:tab w:leader="none" w:pos="152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EE2724"/>
          <w:strike w:val="1"/>
        </w:rPr>
        <w:t>[reserved]</w:t>
      </w:r>
      <w:r>
        <w:rPr>
          <w:rFonts w:ascii="Times New Roman" w:cs="Times New Roman" w:eastAsia="Times New Roman" w:hAnsi="Times New Roman"/>
          <w:sz w:val="20"/>
          <w:szCs w:val="20"/>
          <w:u w:val="single" w:color="auto"/>
          <w:color w:val="3051F2"/>
        </w:rPr>
        <w:t>to the extent constituting Investments, arrangements permitted by Section 7.1(j)</w:t>
      </w:r>
      <w:r>
        <w:rPr>
          <w:rFonts w:ascii="Times New Roman" w:cs="Times New Roman" w:eastAsia="Times New Roman" w:hAnsi="Times New Roman"/>
          <w:sz w:val="20"/>
          <w:szCs w:val="20"/>
          <w:color w:val="000000"/>
        </w:rPr>
        <w:t>;</w:t>
      </w:r>
    </w:p>
    <w:p>
      <w:pPr>
        <w:spacing w:after="0" w:line="215" w:lineRule="exact"/>
        <w:rPr>
          <w:rFonts w:ascii="Times New Roman" w:cs="Times New Roman" w:eastAsia="Times New Roman" w:hAnsi="Times New Roman"/>
          <w:sz w:val="20"/>
          <w:szCs w:val="20"/>
          <w:color w:val="auto"/>
        </w:rPr>
      </w:pPr>
    </w:p>
    <w:p>
      <w:pPr>
        <w:ind w:left="1960" w:hanging="697"/>
        <w:spacing w:after="0"/>
        <w:tabs>
          <w:tab w:leader="none" w:pos="196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Hedging Transactions permitted by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w:t>
      </w:r>
    </w:p>
    <w:p>
      <w:pPr>
        <w:spacing w:after="0" w:line="310" w:lineRule="exact"/>
        <w:rPr>
          <w:rFonts w:ascii="Times New Roman" w:cs="Times New Roman" w:eastAsia="Times New Roman" w:hAnsi="Times New Roman"/>
          <w:sz w:val="20"/>
          <w:szCs w:val="20"/>
          <w:color w:val="auto"/>
        </w:rPr>
      </w:pPr>
    </w:p>
    <w:p>
      <w:pPr>
        <w:jc w:val="both"/>
        <w:ind w:left="-60" w:firstLine="1297"/>
        <w:spacing w:after="0" w:line="243" w:lineRule="auto"/>
        <w:tabs>
          <w:tab w:leader="none" w:pos="1556"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made by any Loan Party or any U.S. Insurance Subsidiary in any U.S. Insurance Subsidiary so long as (i) no Default or Event of Default has occurred and is continuing or would result therefrom and (ii) the Borrower is in pro forma compliance with each of the financial covenants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at the time of, and immediately after giving effect to, such Investment, in each case, calculated on a pro forma basis as of the most recently ended Fiscal Month-end, in the case of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and Fiscal Quarter-end, in the case of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as applicable;</w:t>
      </w:r>
    </w:p>
    <w:p>
      <w:pPr>
        <w:spacing w:after="0" w:line="280" w:lineRule="exact"/>
        <w:rPr>
          <w:rFonts w:ascii="Times New Roman" w:cs="Times New Roman" w:eastAsia="Times New Roman" w:hAnsi="Times New Roman"/>
          <w:sz w:val="20"/>
          <w:szCs w:val="20"/>
          <w:color w:val="auto"/>
        </w:rPr>
      </w:pPr>
    </w:p>
    <w:p>
      <w:pPr>
        <w:ind w:left="1940" w:hanging="677"/>
        <w:spacing w:after="0"/>
        <w:tabs>
          <w:tab w:leader="none" w:pos="1940"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40" w:right="120" w:firstLine="1303"/>
        <w:spacing w:after="0" w:line="222" w:lineRule="auto"/>
        <w:tabs>
          <w:tab w:leader="none" w:pos="1573"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(i) pledges, advance deposits and prepaid expenses or royalties and (ii) extensions of credit to the customers of the Borrower or of any of its Subsidiaries in the nature of accounts receivable, prepaid royalties or notes receivable, arising from the grant of trade credit or business of the Borrower or such Subsidiary, in each case, in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in the ordinary course of business;</w:t>
      </w:r>
    </w:p>
    <w:p>
      <w:pPr>
        <w:spacing w:after="0" w:line="26" w:lineRule="exact"/>
        <w:rPr>
          <w:rFonts w:ascii="Times New Roman" w:cs="Times New Roman" w:eastAsia="Times New Roman" w:hAnsi="Times New Roman"/>
          <w:sz w:val="20"/>
          <w:szCs w:val="20"/>
          <w:color w:val="auto"/>
        </w:rPr>
      </w:pPr>
    </w:p>
    <w:p>
      <w:pPr>
        <w:jc w:val="both"/>
        <w:ind w:left="-40" w:right="120" w:firstLine="1303"/>
        <w:spacing w:after="0" w:line="261" w:lineRule="auto"/>
        <w:tabs>
          <w:tab w:leader="none" w:pos="1532"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endorsement of negotiable instruments for deposit or collection or similar transactions (including, without limitation, lease, utility, workers’ compensation and other similar deposits) in the ordinary course of business;</w:t>
      </w:r>
    </w:p>
    <w:p>
      <w:pPr>
        <w:spacing w:after="0" w:line="181" w:lineRule="exact"/>
        <w:rPr>
          <w:rFonts w:ascii="Times New Roman" w:cs="Times New Roman" w:eastAsia="Times New Roman" w:hAnsi="Times New Roman"/>
          <w:sz w:val="20"/>
          <w:szCs w:val="20"/>
          <w:color w:val="auto"/>
        </w:rPr>
      </w:pPr>
    </w:p>
    <w:p>
      <w:pPr>
        <w:jc w:val="both"/>
        <w:ind w:left="-40" w:right="120" w:firstLine="1304"/>
        <w:spacing w:after="0" w:line="226" w:lineRule="auto"/>
        <w:tabs>
          <w:tab w:leader="none" w:pos="2108"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200" w:lineRule="exact"/>
        <w:rPr>
          <w:rFonts w:ascii="Times New Roman" w:cs="Times New Roman" w:eastAsia="Times New Roman" w:hAnsi="Times New Roman"/>
          <w:sz w:val="20"/>
          <w:szCs w:val="20"/>
          <w:color w:val="auto"/>
        </w:rPr>
      </w:pPr>
    </w:p>
    <w:p>
      <w:pPr>
        <w:ind w:left="-40" w:right="140" w:firstLine="1304"/>
        <w:spacing w:after="0" w:line="283" w:lineRule="auto"/>
        <w:tabs>
          <w:tab w:leader="none" w:pos="1847"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or indebtedness arising from cash management, tax and/or accounting operations made in the ordinary course of business;</w:t>
      </w:r>
    </w:p>
    <w:p>
      <w:pPr>
        <w:spacing w:after="0" w:line="159" w:lineRule="exact"/>
        <w:rPr>
          <w:rFonts w:ascii="Times New Roman" w:cs="Times New Roman" w:eastAsia="Times New Roman" w:hAnsi="Times New Roman"/>
          <w:sz w:val="20"/>
          <w:szCs w:val="20"/>
          <w:color w:val="auto"/>
        </w:rPr>
      </w:pPr>
    </w:p>
    <w:p>
      <w:pPr>
        <w:ind w:left="1940" w:hanging="677"/>
        <w:spacing w:after="0"/>
        <w:tabs>
          <w:tab w:leader="none" w:pos="1940"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40" w:right="120" w:firstLine="1303"/>
        <w:spacing w:after="0" w:line="218" w:lineRule="auto"/>
        <w:tabs>
          <w:tab w:leader="none" w:pos="2107"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made by a Loan Party to RRC so long as (i) no Default or Event of Default has occurred and is continuing or would result therefrom and (ii) the Borrower is in pro forma compliance with each of the financial covenants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at the time of, and immediately after giving effect to, such Investment, in each case, calculated on a pro forma basis as of the most recently ended Fiscal Month-end, in the case of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and Fiscal Quarter-end, in the case of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amount of all such Investments shall not exceed $150,000,000 at any time outstanding;</w:t>
      </w:r>
    </w:p>
    <w:p>
      <w:pPr>
        <w:spacing w:after="0" w:line="191" w:lineRule="exact"/>
        <w:rPr>
          <w:rFonts w:ascii="Times New Roman" w:cs="Times New Roman" w:eastAsia="Times New Roman" w:hAnsi="Times New Roman"/>
          <w:sz w:val="20"/>
          <w:szCs w:val="20"/>
          <w:color w:val="auto"/>
        </w:rPr>
      </w:pPr>
    </w:p>
    <w:p>
      <w:pPr>
        <w:ind w:left="1900" w:hanging="637"/>
        <w:spacing w:after="0"/>
        <w:tabs>
          <w:tab w:leader="none" w:pos="1900"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40" w:right="120" w:firstLine="1303"/>
        <w:spacing w:after="0" w:line="269" w:lineRule="auto"/>
        <w:tabs>
          <w:tab w:leader="none" w:pos="2107"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has occurred or is continuing or would result from the making thereof, other Investments which in the aggregate do not exceed $50,000,000 during the term of this Agreement;</w:t>
      </w:r>
    </w:p>
    <w:p>
      <w:pPr>
        <w:sectPr>
          <w:pgSz w:w="11900" w:h="16838" w:orient="portrait"/>
          <w:cols w:equalWidth="0" w:num="1">
            <w:col w:w="10120"/>
          </w:cols>
          <w:pgMar w:left="1440" w:top="1332" w:right="339" w:bottom="1440" w:gutter="0" w:footer="0" w:header="0"/>
        </w:sectPr>
      </w:pPr>
    </w:p>
    <w:bookmarkStart w:id="189" w:name="page190"/>
    <w:bookmarkEnd w:id="189"/>
    <w:p>
      <w:pPr>
        <w:jc w:val="both"/>
        <w:ind w:left="20" w:right="120" w:firstLine="1303"/>
        <w:spacing w:after="0" w:line="212" w:lineRule="auto"/>
        <w:tabs>
          <w:tab w:leader="none" w:pos="2167"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to purchase or acquire the Capital Stock of any Insurance Subsidiary, in each case, solely to the extent made substantially concurrently with, and from, the net proceeds actually received by Holdings from any capital contributions to, or the sale or issuance of Qualified Capital Stock of Holdings (other than (A) Disqualified Capital Stock and (B) Capital Stock issued or sold to a Subsidiary or an employee stock ownership plan or similar trust to the extent such sale to an employee stock ownership plan or similar trust is financed by loans from, or Guaranteed by, the Borrower or any Subsidiary, unless such loans have been repaid with cash on or prior to the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Investment shall only be permitted to the extent that (i) no Default or Event of Default has occurred and is continuing or would result therefrom and (ii) the Borrower is in pro forma compliance with each of the financial covenants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at the time of and immediately after giving effect to such Investment, in each case, calculated on a pro forma basis as of the most recently ended Fiscal Month-end, in the case of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and Fiscal Quarter-end, in the case of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as applicable; and</w:t>
      </w:r>
    </w:p>
    <w:p>
      <w:pPr>
        <w:spacing w:after="0" w:line="208" w:lineRule="exact"/>
        <w:rPr>
          <w:rFonts w:ascii="Times New Roman" w:cs="Times New Roman" w:eastAsia="Times New Roman" w:hAnsi="Times New Roman"/>
          <w:sz w:val="20"/>
          <w:szCs w:val="20"/>
          <w:color w:val="auto"/>
        </w:rPr>
      </w:pPr>
    </w:p>
    <w:p>
      <w:pPr>
        <w:ind w:left="20" w:right="120" w:firstLine="1303"/>
        <w:spacing w:after="0" w:line="269" w:lineRule="auto"/>
        <w:tabs>
          <w:tab w:leader="none" w:pos="1603"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Insurance Subsidiary in connection with Permitted Reinsurance Activities that are customary in the industry; and</w:t>
      </w:r>
    </w:p>
    <w:p>
      <w:pPr>
        <w:spacing w:after="0" w:line="167" w:lineRule="exact"/>
        <w:rPr>
          <w:rFonts w:ascii="Times New Roman" w:cs="Times New Roman" w:eastAsia="Times New Roman" w:hAnsi="Times New Roman"/>
          <w:sz w:val="20"/>
          <w:szCs w:val="20"/>
          <w:color w:val="auto"/>
        </w:rPr>
      </w:pPr>
    </w:p>
    <w:p>
      <w:pPr>
        <w:ind w:left="1580" w:hanging="257"/>
        <w:spacing w:after="0"/>
        <w:tabs>
          <w:tab w:leader="none" w:pos="158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(i) no Default or Event of Default has occurred and is continuing or would result therefrom and</w:t>
      </w:r>
    </w:p>
    <w:p>
      <w:pPr>
        <w:ind w:left="340" w:hanging="313"/>
        <w:spacing w:after="0" w:line="211" w:lineRule="auto"/>
        <w:tabs>
          <w:tab w:leader="none" w:pos="3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is in pro forma compliance with each of the financial covenants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at the time of, and</w:t>
      </w:r>
    </w:p>
    <w:p>
      <w:pPr>
        <w:ind w:left="20"/>
        <w:spacing w:after="0" w:line="211" w:lineRule="auto"/>
        <w:rPr>
          <w:sz w:val="20"/>
          <w:szCs w:val="20"/>
          <w:color w:val="auto"/>
        </w:rPr>
      </w:pPr>
      <w:r>
        <w:rPr>
          <w:rFonts w:ascii="Times New Roman" w:cs="Times New Roman" w:eastAsia="Times New Roman" w:hAnsi="Times New Roman"/>
          <w:sz w:val="20"/>
          <w:szCs w:val="20"/>
          <w:color w:val="auto"/>
        </w:rPr>
        <w:t>immediately after giving effect to, such Investment, in each case, calculated on a pro forma basis as of the most recently ended</w:t>
      </w:r>
    </w:p>
    <w:p>
      <w:pPr>
        <w:spacing w:after="0" w:line="1" w:lineRule="exact"/>
        <w:rPr>
          <w:sz w:val="20"/>
          <w:szCs w:val="20"/>
          <w:color w:val="auto"/>
        </w:rPr>
      </w:pPr>
    </w:p>
    <w:p>
      <w:pPr>
        <w:jc w:val="both"/>
        <w:ind w:left="20" w:right="120"/>
        <w:spacing w:after="0" w:line="204" w:lineRule="auto"/>
        <w:rPr>
          <w:sz w:val="20"/>
          <w:szCs w:val="20"/>
          <w:color w:val="auto"/>
        </w:rPr>
      </w:pPr>
      <w:r>
        <w:rPr>
          <w:rFonts w:ascii="Times New Roman" w:cs="Times New Roman" w:eastAsia="Times New Roman" w:hAnsi="Times New Roman"/>
          <w:sz w:val="20"/>
          <w:szCs w:val="20"/>
          <w:color w:val="auto"/>
        </w:rPr>
        <w:t xml:space="preserve">Fiscal Month-end, in the case of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and Fiscal Quarter-end, in the case of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as applicable, Investments in, or in connection with, any structured tax credit equity and/or opportunity zone fund(s) (or similar tax investment vehicle)</w:t>
      </w:r>
    </w:p>
    <w:p>
      <w:pPr>
        <w:ind w:left="20"/>
        <w:spacing w:after="0" w:line="211" w:lineRule="auto"/>
        <w:rPr>
          <w:sz w:val="20"/>
          <w:szCs w:val="20"/>
          <w:color w:val="auto"/>
        </w:rPr>
      </w:pPr>
      <w:r>
        <w:rPr>
          <w:rFonts w:ascii="Times New Roman" w:cs="Times New Roman" w:eastAsia="Times New Roman" w:hAnsi="Times New Roman"/>
          <w:sz w:val="20"/>
          <w:szCs w:val="20"/>
          <w:color w:val="auto"/>
        </w:rPr>
        <w:t>(including, for the avoidance of doubt, Investments under the Cabretta Agreement</w:t>
      </w:r>
      <w:r>
        <w:rPr>
          <w:rFonts w:ascii="Times New Roman" w:cs="Times New Roman" w:eastAsia="Times New Roman" w:hAnsi="Times New Roman"/>
          <w:sz w:val="20"/>
          <w:szCs w:val="20"/>
          <w:u w:val="single" w:color="auto"/>
          <w:color w:val="3051F2"/>
        </w:rPr>
        <w:t>s</w:t>
      </w:r>
      <w:r>
        <w:rPr>
          <w:rFonts w:ascii="Times New Roman" w:cs="Times New Roman" w:eastAsia="Times New Roman" w:hAnsi="Times New Roman"/>
          <w:sz w:val="20"/>
          <w:szCs w:val="20"/>
          <w:color w:val="auto"/>
        </w:rPr>
        <w:t xml:space="preserve"> on and after the Closing Date and the</w:t>
      </w:r>
    </w:p>
    <w:p>
      <w:pPr>
        <w:spacing w:after="0" w:line="1" w:lineRule="exact"/>
        <w:rPr>
          <w:sz w:val="20"/>
          <w:szCs w:val="20"/>
          <w:color w:val="auto"/>
        </w:rPr>
      </w:pPr>
    </w:p>
    <w:p>
      <w:pPr>
        <w:jc w:val="both"/>
        <w:ind w:left="20" w:right="120"/>
        <w:spacing w:after="0" w:line="221" w:lineRule="auto"/>
        <w:rPr>
          <w:sz w:val="20"/>
          <w:szCs w:val="20"/>
          <w:color w:val="auto"/>
        </w:rPr>
      </w:pPr>
      <w:r>
        <w:rPr>
          <w:rFonts w:ascii="Times New Roman" w:cs="Times New Roman" w:eastAsia="Times New Roman" w:hAnsi="Times New Roman"/>
          <w:sz w:val="20"/>
          <w:szCs w:val="20"/>
          <w:color w:val="auto"/>
        </w:rPr>
        <w:t xml:space="preserve">purchase or acquisition of any net operating loss), which Investments under this clause (s) in the aggregate do not exceed $10,000,000 </w:t>
      </w:r>
      <w:r>
        <w:rPr>
          <w:rFonts w:ascii="Times New Roman" w:cs="Times New Roman" w:eastAsia="Times New Roman" w:hAnsi="Times New Roman"/>
          <w:sz w:val="20"/>
          <w:szCs w:val="20"/>
          <w:color w:val="EE2724"/>
          <w:strike w:val="1"/>
        </w:rPr>
        <w:t>during the term of this Agreement</w:t>
      </w:r>
      <w:r>
        <w:rPr>
          <w:rFonts w:ascii="Times New Roman" w:cs="Times New Roman" w:eastAsia="Times New Roman" w:hAnsi="Times New Roman"/>
          <w:sz w:val="20"/>
          <w:szCs w:val="20"/>
          <w:u w:val="single" w:color="auto"/>
          <w:color w:val="3051F2"/>
        </w:rPr>
        <w:t>at any time outstanding</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determining the amount of any Investment outstanding for purposes of this Section 7.4, such amount shall be</w:t>
      </w:r>
    </w:p>
    <w:p>
      <w:pPr>
        <w:spacing w:after="0" w:line="221" w:lineRule="auto"/>
        <w:rPr>
          <w:sz w:val="20"/>
          <w:szCs w:val="20"/>
          <w:color w:val="auto"/>
        </w:rPr>
      </w:pPr>
      <w:r>
        <w:rPr>
          <w:rFonts w:ascii="Times New Roman" w:cs="Times New Roman" w:eastAsia="Times New Roman" w:hAnsi="Times New Roman"/>
          <w:sz w:val="20"/>
          <w:szCs w:val="20"/>
          <w:color w:val="auto"/>
        </w:rPr>
        <w:t>deemed to be the amount of such Investment when made, purchased or acquired less any amount realized in respect of such Investment upon the sale, collection or return of capital (not to exceed the original amount invested).</w:t>
      </w:r>
    </w:p>
    <w:p>
      <w:pPr>
        <w:spacing w:after="0" w:line="202" w:lineRule="exact"/>
        <w:rPr>
          <w:sz w:val="20"/>
          <w:szCs w:val="20"/>
          <w:color w:val="auto"/>
        </w:rPr>
      </w:pPr>
    </w:p>
    <w:p>
      <w:pPr>
        <w:jc w:val="both"/>
        <w:ind w:left="20" w:right="120"/>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in the foregoing, no Loan Party shall, directly or indirectly, sell, assign, lease, convey, transfer or otherwise dispose of (whether in one or a series of transactions) to any Subsidiary that is not a Loan Party any Intellectual Property that is material to the business of the Loan Parties, individually or in the aggregate.</w:t>
      </w:r>
    </w:p>
    <w:p>
      <w:pPr>
        <w:spacing w:after="0" w:line="1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b w:val="1"/>
          <w:bCs w:val="1"/>
          <w:u w:val="single" w:color="auto"/>
          <w:color w:val="auto"/>
        </w:rPr>
        <w:t>Restricted Payments</w:t>
      </w:r>
      <w:r>
        <w:rPr>
          <w:rFonts w:ascii="Times New Roman" w:cs="Times New Roman" w:eastAsia="Times New Roman" w:hAnsi="Times New Roman"/>
          <w:sz w:val="20"/>
          <w:szCs w:val="20"/>
          <w:color w:val="auto"/>
        </w:rPr>
        <w:t>. Holdings and the Borrower shall not, and shall not permit any of their respective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Subsidiaries to, declare or make, directly or indirectly, any Restricted Payment, except:</w:t>
      </w:r>
    </w:p>
    <w:p>
      <w:pPr>
        <w:spacing w:after="0" w:line="221" w:lineRule="exact"/>
        <w:rPr>
          <w:sz w:val="20"/>
          <w:szCs w:val="20"/>
          <w:color w:val="auto"/>
        </w:rPr>
      </w:pPr>
    </w:p>
    <w:p>
      <w:pPr>
        <w:ind w:left="20" w:right="120" w:firstLine="1303"/>
        <w:spacing w:after="0" w:line="283" w:lineRule="auto"/>
        <w:tabs>
          <w:tab w:leader="none" w:pos="217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made by any Subsidiary to the Borrower or to any other Subsidiary (including, for the avoidance of doubt, from any Insurance Subsidiary to the Borrower);</w:t>
      </w:r>
    </w:p>
    <w:p>
      <w:pPr>
        <w:spacing w:after="0" w:line="159" w:lineRule="exact"/>
        <w:rPr>
          <w:rFonts w:ascii="Times New Roman" w:cs="Times New Roman" w:eastAsia="Times New Roman" w:hAnsi="Times New Roman"/>
          <w:sz w:val="20"/>
          <w:szCs w:val="20"/>
          <w:color w:val="auto"/>
        </w:rPr>
      </w:pPr>
    </w:p>
    <w:p>
      <w:pPr>
        <w:jc w:val="both"/>
        <w:ind w:left="20" w:right="120" w:firstLine="1303"/>
        <w:spacing w:after="0" w:line="216" w:lineRule="auto"/>
        <w:tabs>
          <w:tab w:leader="none" w:pos="216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made by the Borrower and its Subsidiaries to Holdings, and by Holdings to its direct or indirect parents, in an aggregate amount not to exceed $10,000,000 in any Fiscal Year, in each case, to the extent necessary to permit Holdings and/or its direct or indirect parents to pay general administrative costs and expenses (including, without limitation, administrative, legal, accounting and similar costs and expenses provided by third parties, customary salary, commissions, bonus and other benefits payable to officers and employees of Holdings (or any direct or indirect parent of Holdings) and directors</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fees and director and officer indemnification obligations) incurred in the ordinary course of business and then due and payable (solely as such costs and expenses relate to the business of the Borrower and its Subsidiaries or Holdings</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ownership thereof). For the avoidance of doubt, the Borrower and its Subsidiaries may also pay any such amounts directly (in lieu of a Restricted Payment);</w:t>
      </w:r>
    </w:p>
    <w:p>
      <w:pPr>
        <w:sectPr>
          <w:pgSz w:w="11900" w:h="16838" w:orient="portrait"/>
          <w:cols w:equalWidth="0" w:num="1">
            <w:col w:w="10180"/>
          </w:cols>
          <w:pgMar w:left="1380" w:top="1318" w:right="339" w:bottom="1440" w:gutter="0" w:footer="0" w:header="0"/>
        </w:sectPr>
      </w:pPr>
    </w:p>
    <w:bookmarkStart w:id="190" w:name="page191"/>
    <w:bookmarkEnd w:id="190"/>
    <w:p>
      <w:pPr>
        <w:jc w:val="both"/>
        <w:ind w:left="-40" w:firstLine="1303"/>
        <w:spacing w:after="0" w:line="218" w:lineRule="auto"/>
        <w:tabs>
          <w:tab w:leader="none" w:pos="154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3051F2"/>
        </w:rPr>
        <w:t>(x)</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Holdings and the Borrower may repurchase the stock of former employees, directors, officers or</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 xml:space="preserve">consultants pursuant to stock repurchase agreements in the ordinary course of business and in accordance with Holdings’ stock purchase plan, so long as (A) no Default or Event of Default exists at the time of such repurchase and would not exist after giving effect to such repurchase and (B) the aggregate amount repurchased during the term of this Agreement does not exceed $5,000,000 </w:t>
      </w:r>
      <w:r>
        <w:rPr>
          <w:rFonts w:ascii="Times New Roman" w:cs="Times New Roman" w:eastAsia="Times New Roman" w:hAnsi="Times New Roman"/>
          <w:sz w:val="20"/>
          <w:szCs w:val="20"/>
          <w:color w:val="3051F2"/>
        </w:rPr>
        <w:t>or the Required Lenders have consented to the repurchase of an amount in excess of $5,000,000 and (y)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3051F2"/>
        </w:rPr>
        <w:t>Holdings may make repurchases of Capital Stock with the consent of the Required Lenders</w:t>
      </w:r>
      <w:r>
        <w:rPr>
          <w:rFonts w:ascii="Times New Roman" w:cs="Times New Roman" w:eastAsia="Times New Roman" w:hAnsi="Times New Roman"/>
          <w:sz w:val="20"/>
          <w:szCs w:val="20"/>
          <w:color w:val="000000"/>
        </w:rPr>
        <w:t>;</w:t>
      </w:r>
    </w:p>
    <w:p>
      <w:pPr>
        <w:spacing w:after="0" w:line="177" w:lineRule="exact"/>
        <w:rPr>
          <w:rFonts w:ascii="Times New Roman" w:cs="Times New Roman" w:eastAsia="Times New Roman" w:hAnsi="Times New Roman"/>
          <w:sz w:val="18"/>
          <w:szCs w:val="18"/>
          <w:color w:val="auto"/>
        </w:rPr>
      </w:pPr>
    </w:p>
    <w:p>
      <w:pPr>
        <w:ind w:left="1940" w:hanging="678"/>
        <w:spacing w:after="0"/>
        <w:tabs>
          <w:tab w:leader="none" w:pos="194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made under or in connection with the Warrants;</w:t>
      </w:r>
    </w:p>
    <w:p>
      <w:pPr>
        <w:spacing w:after="0" w:line="229" w:lineRule="exact"/>
        <w:rPr>
          <w:rFonts w:ascii="Times New Roman" w:cs="Times New Roman" w:eastAsia="Times New Roman" w:hAnsi="Times New Roman"/>
          <w:sz w:val="20"/>
          <w:szCs w:val="20"/>
          <w:color w:val="auto"/>
        </w:rPr>
      </w:pPr>
    </w:p>
    <w:p>
      <w:pPr>
        <w:jc w:val="both"/>
        <w:ind w:left="-40" w:firstLine="1303"/>
        <w:spacing w:after="0" w:line="210" w:lineRule="auto"/>
        <w:tabs>
          <w:tab w:leader="none" w:pos="211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taxable period, the Borrower is a member of a group filing a consolidated, unitary or combined tax return of which Holdings is the common parent (a “</w:t>
      </w:r>
      <w:r>
        <w:rPr>
          <w:rFonts w:ascii="Times New Roman" w:cs="Times New Roman" w:eastAsia="Times New Roman" w:hAnsi="Times New Roman"/>
          <w:sz w:val="20"/>
          <w:szCs w:val="20"/>
          <w:u w:val="single" w:color="auto"/>
          <w:color w:val="auto"/>
        </w:rPr>
        <w:t>Tax Group</w:t>
      </w:r>
      <w:r>
        <w:rPr>
          <w:rFonts w:ascii="Times New Roman" w:cs="Times New Roman" w:eastAsia="Times New Roman" w:hAnsi="Times New Roman"/>
          <w:sz w:val="20"/>
          <w:szCs w:val="20"/>
          <w:color w:val="auto"/>
        </w:rPr>
        <w:t>”), an amount equal to income Taxes for such taxable period then due and payable pursuant to such returns and attributable to the taxable income of the Borrower and the Subsidiary Loan Parties that are members of such group and, to the extent of the cash amount actually received by the Borrower or any Subsidiary Loan Party from any Subsidiary that is not a Subsidiary Loan Party (a “</w:t>
      </w:r>
      <w:r>
        <w:rPr>
          <w:rFonts w:ascii="Times New Roman" w:cs="Times New Roman" w:eastAsia="Times New Roman" w:hAnsi="Times New Roman"/>
          <w:sz w:val="20"/>
          <w:szCs w:val="20"/>
          <w:u w:val="single" w:color="auto"/>
          <w:color w:val="auto"/>
        </w:rPr>
        <w:t>Non-Guarantor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for the payment of income taxes, an amount equal to the income Taxes for such taxable period then due and payable and attributable to the taxable income of such Non-Guarantor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each taxable period, payment for such amounts shall not exceed the lesser of (A) the amount of any such Taxes that the Borrower and the Subsidiary Loan Parties (and, subject to the limitation described above, any applicable Non-Guarantor Subsidiaries) that are members of such group would have been required to pay for such taxable period on a separate group basis if the Borrower and the Subsidiary Loan Parties (and, subject to the limitation described above, any applicable Non-Guarantor Subsidiaries) had paid Tax on a consolidated, combined group, affiliated or unitary basis on behalf of an affiliated group consisting only of the Borrower and the Subsidiary Loan Parties (and, subject to the limitation described above, any applicable Non-Guarantor Subsidiaries) or (B) the actual tax liability of the Tax Group for such taxable period;</w:t>
      </w:r>
    </w:p>
    <w:p>
      <w:pPr>
        <w:spacing w:after="0" w:line="193" w:lineRule="exact"/>
        <w:rPr>
          <w:rFonts w:ascii="Times New Roman" w:cs="Times New Roman" w:eastAsia="Times New Roman" w:hAnsi="Times New Roman"/>
          <w:sz w:val="20"/>
          <w:szCs w:val="20"/>
          <w:color w:val="auto"/>
        </w:rPr>
      </w:pPr>
    </w:p>
    <w:p>
      <w:pPr>
        <w:ind w:left="-40" w:firstLine="1303"/>
        <w:spacing w:after="0"/>
        <w:tabs>
          <w:tab w:leader="none" w:pos="151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has occurred or is continuing or would result from the making thereof, Restricted Payments to Carvana to the extent required to be made pursuant to the terms of the Carvana Agreements;</w:t>
      </w:r>
    </w:p>
    <w:p>
      <w:pPr>
        <w:spacing w:after="0" w:line="188" w:lineRule="exact"/>
        <w:rPr>
          <w:rFonts w:ascii="Times New Roman" w:cs="Times New Roman" w:eastAsia="Times New Roman" w:hAnsi="Times New Roman"/>
          <w:sz w:val="20"/>
          <w:szCs w:val="20"/>
          <w:color w:val="auto"/>
        </w:rPr>
      </w:pPr>
    </w:p>
    <w:p>
      <w:pPr>
        <w:jc w:val="both"/>
        <w:ind w:left="-40" w:firstLine="1303"/>
        <w:spacing w:after="0" w:line="261" w:lineRule="auto"/>
        <w:tabs>
          <w:tab w:leader="none" w:pos="2107"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has occurred or is continuing or would result from the making thereof, other Restricted Payments which in the aggregate do not exceed $5,000,000 during the term of this Agreement;</w:t>
      </w:r>
    </w:p>
    <w:p>
      <w:pPr>
        <w:spacing w:after="0" w:line="181" w:lineRule="exact"/>
        <w:rPr>
          <w:rFonts w:ascii="Times New Roman" w:cs="Times New Roman" w:eastAsia="Times New Roman" w:hAnsi="Times New Roman"/>
          <w:sz w:val="20"/>
          <w:szCs w:val="20"/>
          <w:color w:val="auto"/>
        </w:rPr>
      </w:pPr>
    </w:p>
    <w:p>
      <w:pPr>
        <w:ind w:left="-40" w:right="20" w:firstLine="1303"/>
        <w:spacing w:after="0" w:line="233" w:lineRule="auto"/>
        <w:tabs>
          <w:tab w:leader="none" w:pos="2107"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 in lieu of issuance of fractional shares in connection with the exercise of warrants, options or other securities convertible into, or exchangeable for, the Capital Stock of Holdings and its Subsidiaries;</w:t>
      </w:r>
    </w:p>
    <w:p>
      <w:pPr>
        <w:spacing w:after="0" w:line="201" w:lineRule="exact"/>
        <w:rPr>
          <w:rFonts w:ascii="Times New Roman" w:cs="Times New Roman" w:eastAsia="Times New Roman" w:hAnsi="Times New Roman"/>
          <w:sz w:val="20"/>
          <w:szCs w:val="20"/>
          <w:color w:val="auto"/>
        </w:rPr>
      </w:pPr>
    </w:p>
    <w:p>
      <w:pPr>
        <w:jc w:val="both"/>
        <w:ind w:left="-40" w:firstLine="1302"/>
        <w:spacing w:after="0" w:line="217" w:lineRule="auto"/>
        <w:tabs>
          <w:tab w:leader="none" w:pos="151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repurchase of Capital Stock deemed to occur upon the exercise of stock options, warrants or other convertible or exchangeable securities if such Capital Stock represents a portion of the exercise, conversion or exchange price thereof and repurchases of Capital Stock deemed to occur upon the withholding of a portion of the Capital Stock granted or awarded to a current or former officer, director, employee or consultant to pay for the Taxes payable by such Person upon such grant or award (or upon vesting thereof);</w:t>
      </w:r>
    </w:p>
    <w:p>
      <w:pPr>
        <w:spacing w:after="0" w:line="202" w:lineRule="exact"/>
        <w:rPr>
          <w:rFonts w:ascii="Times New Roman" w:cs="Times New Roman" w:eastAsia="Times New Roman" w:hAnsi="Times New Roman"/>
          <w:sz w:val="20"/>
          <w:szCs w:val="20"/>
          <w:color w:val="auto"/>
        </w:rPr>
      </w:pPr>
    </w:p>
    <w:p>
      <w:pPr>
        <w:jc w:val="both"/>
        <w:ind w:left="-40" w:firstLine="1303"/>
        <w:spacing w:after="0" w:line="254" w:lineRule="auto"/>
        <w:tabs>
          <w:tab w:leader="none" w:pos="1519"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may repurchase, retire or otherwise acquire the Capital Stock of Holdings solely, (i) with respect to Class B Common Stock in exchange for Class A Common Stock or (ii) with respect to Class A Common Stock in exchange for Preferred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-5137785</wp:posOffset>
            </wp:positionV>
            <wp:extent cx="54102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5410200" cy="8890"/>
                    </a:xfrm>
                    <a:prstGeom prst="rect">
                      <a:avLst/>
                    </a:prstGeom>
                    <a:noFill/>
                  </pic:spPr>
                </pic:pic>
              </a:graphicData>
            </a:graphic>
          </wp:anchor>
        </w:drawing>
      </w:r>
    </w:p>
    <w:p>
      <w:pPr>
        <w:sectPr>
          <w:pgSz w:w="11900" w:h="16838" w:orient="portrait"/>
          <w:cols w:equalWidth="0" w:num="1">
            <w:col w:w="10000"/>
          </w:cols>
          <w:pgMar w:left="1440" w:top="1318" w:right="459" w:bottom="1440" w:gutter="0" w:footer="0" w:header="0"/>
        </w:sectPr>
      </w:pPr>
    </w:p>
    <w:bookmarkStart w:id="191" w:name="page192"/>
    <w:bookmarkEnd w:id="191"/>
    <w:p>
      <w:pPr>
        <w:jc w:val="both"/>
        <w:ind w:firstLine="1303"/>
        <w:spacing w:after="0" w:line="222" w:lineRule="auto"/>
        <w:tabs>
          <w:tab w:leader="none" w:pos="2147"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from the Borrower or any Subsidiary to Holdings in connection with allocated costs or any stock option or other equity-based compensation plan in the ordinary course of business, in each case, to the extent that such Restricted Payment is off-set by intercompany settlement and/or contribution(s) from Holdings to the Borrower in the Fiscal Year in which such Restricted Payment was made.</w:t>
      </w:r>
    </w:p>
    <w:p>
      <w:pPr>
        <w:spacing w:after="0" w:line="19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Section 7.6. </w:t>
      </w:r>
      <w:r>
        <w:rPr>
          <w:rFonts w:ascii="Times New Roman" w:cs="Times New Roman" w:eastAsia="Times New Roman" w:hAnsi="Times New Roman"/>
          <w:sz w:val="20"/>
          <w:szCs w:val="20"/>
          <w:b w:val="1"/>
          <w:bCs w:val="1"/>
          <w:u w:val="single" w:color="auto"/>
          <w:color w:val="auto"/>
        </w:rPr>
        <w:t>Sale of Assets</w:t>
      </w:r>
      <w:r>
        <w:rPr>
          <w:rFonts w:ascii="Times New Roman" w:cs="Times New Roman" w:eastAsia="Times New Roman" w:hAnsi="Times New Roman"/>
          <w:sz w:val="20"/>
          <w:szCs w:val="20"/>
          <w:color w:val="auto"/>
        </w:rPr>
        <w:t>. Holdings and the Borrower shall not, and shall not permit any of their respective Subsidiaries to, directly or indirectly, convey, sell, lease, assign, transfer or otherwise dispose of any of its assets, business or</w:t>
      </w:r>
    </w:p>
    <w:p>
      <w:pPr>
        <w:spacing w:after="0" w:line="224" w:lineRule="auto"/>
        <w:rPr>
          <w:sz w:val="20"/>
          <w:szCs w:val="20"/>
          <w:color w:val="auto"/>
        </w:rPr>
      </w:pPr>
      <w:r>
        <w:rPr>
          <w:rFonts w:ascii="Times New Roman" w:cs="Times New Roman" w:eastAsia="Times New Roman" w:hAnsi="Times New Roman"/>
          <w:sz w:val="19"/>
          <w:szCs w:val="19"/>
          <w:color w:val="auto"/>
        </w:rPr>
        <w:t>property or, in the case of any Subsidiary, any shares of such Subsidiary’s Capital Stock, in each case, whether now owned or</w:t>
      </w:r>
    </w:p>
    <w:p>
      <w:pPr>
        <w:spacing w:after="0" w:line="221" w:lineRule="auto"/>
        <w:rPr>
          <w:sz w:val="20"/>
          <w:szCs w:val="20"/>
          <w:color w:val="auto"/>
        </w:rPr>
      </w:pPr>
      <w:r>
        <w:rPr>
          <w:rFonts w:ascii="Times New Roman" w:cs="Times New Roman" w:eastAsia="Times New Roman" w:hAnsi="Times New Roman"/>
          <w:sz w:val="20"/>
          <w:szCs w:val="20"/>
          <w:color w:val="auto"/>
        </w:rPr>
        <w:t>hereafter acquired, to any Person other than the Borrower or a Subsidiary Loan Party (or to qualify directors if required by applicable law), except:</w:t>
      </w:r>
    </w:p>
    <w:p>
      <w:pPr>
        <w:spacing w:after="0" w:line="216" w:lineRule="exact"/>
        <w:rPr>
          <w:sz w:val="20"/>
          <w:szCs w:val="20"/>
          <w:color w:val="auto"/>
        </w:rPr>
      </w:pPr>
    </w:p>
    <w:p>
      <w:pPr>
        <w:ind w:firstLine="1303"/>
        <w:spacing w:after="0" w:line="269" w:lineRule="auto"/>
        <w:tabs>
          <w:tab w:leader="none" w:pos="2150" w:val="left"/>
        </w:tabs>
        <w:numPr>
          <w:ilvl w:val="2"/>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obsolete or worn out property or other property not necessary for operations disposed of in the ordinary course of business;</w:t>
      </w:r>
    </w:p>
    <w:p>
      <w:pPr>
        <w:spacing w:after="0" w:line="172" w:lineRule="exact"/>
        <w:rPr>
          <w:rFonts w:ascii="Times New Roman" w:cs="Times New Roman" w:eastAsia="Times New Roman" w:hAnsi="Times New Roman"/>
          <w:sz w:val="20"/>
          <w:szCs w:val="20"/>
          <w:color w:val="auto"/>
        </w:rPr>
      </w:pPr>
    </w:p>
    <w:p>
      <w:pPr>
        <w:ind w:left="1560" w:hanging="283"/>
        <w:spacing w:after="0"/>
        <w:tabs>
          <w:tab w:leader="none" w:pos="156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inventory and Permitted Investments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1304"/>
        <w:spacing w:after="0" w:line="213" w:lineRule="auto"/>
        <w:tabs>
          <w:tab w:leader="none" w:pos="2150"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or other disposition of Investments (i) by Insurance Subsidiaries and their Subsidiaries (other than the Capital Stock of Insurance Subsidiaries and their Subsidiaries) and (ii) by the Borrower and its Subsidiaries (other than the Capital Stock of Subsidiaries of Holdings) permitted under this Agreement (in each case, excluding Investments permitted by </w:t>
      </w:r>
      <w:r>
        <w:rPr>
          <w:rFonts w:ascii="Times New Roman" w:cs="Times New Roman" w:eastAsia="Times New Roman" w:hAnsi="Times New Roman"/>
          <w:sz w:val="20"/>
          <w:szCs w:val="20"/>
          <w:u w:val="single" w:color="auto"/>
          <w:color w:val="auto"/>
        </w:rPr>
        <w:t>Section 7.4(s))</w:t>
      </w:r>
      <w:r>
        <w:rPr>
          <w:rFonts w:ascii="Times New Roman" w:cs="Times New Roman" w:eastAsia="Times New Roman" w:hAnsi="Times New Roman"/>
          <w:sz w:val="20"/>
          <w:szCs w:val="20"/>
          <w:color w:val="auto"/>
        </w:rPr>
        <w:t>, in each case, (A) in the ordinary course of business and consistent with the investment policy approved by the Board of Directors of Holdings, the Borrower or such Subsidiary, as the case may be, or</w:t>
      </w:r>
    </w:p>
    <w:p>
      <w:pPr>
        <w:ind w:left="320" w:hanging="312"/>
        <w:spacing w:after="0"/>
        <w:tabs>
          <w:tab w:leader="none" w:pos="32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by Insurance Regulatory Authorities;</w:t>
      </w:r>
    </w:p>
    <w:p>
      <w:pPr>
        <w:spacing w:after="0" w:line="6" w:lineRule="exact"/>
        <w:rPr>
          <w:rFonts w:ascii="Times New Roman" w:cs="Times New Roman" w:eastAsia="Times New Roman" w:hAnsi="Times New Roman"/>
          <w:sz w:val="20"/>
          <w:szCs w:val="20"/>
          <w:color w:val="auto"/>
        </w:rPr>
      </w:pPr>
    </w:p>
    <w:p>
      <w:pPr>
        <w:jc w:val="both"/>
        <w:ind w:firstLine="1303"/>
        <w:spacing w:after="0" w:line="221" w:lineRule="auto"/>
        <w:tabs>
          <w:tab w:leader="none" w:pos="2147" w:val="left"/>
        </w:tabs>
        <w:numPr>
          <w:ilvl w:val="2"/>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other disposition pursuant to (x) a reinsurance agreement so long as such disposition or other disposition is entered into in the ordinary course of business for the purpose of managing insurance risk consistent with industry practice and (y) Permitted Reinsurance Activities in the ordinary course of business and consistent with industry practice (including the “InsureTech” industry);</w:t>
      </w:r>
    </w:p>
    <w:p>
      <w:pPr>
        <w:spacing w:after="0" w:line="204" w:lineRule="exact"/>
        <w:rPr>
          <w:rFonts w:ascii="Times New Roman" w:cs="Times New Roman" w:eastAsia="Times New Roman" w:hAnsi="Times New Roman"/>
          <w:sz w:val="20"/>
          <w:szCs w:val="20"/>
          <w:color w:val="auto"/>
        </w:rPr>
      </w:pPr>
    </w:p>
    <w:p>
      <w:pPr>
        <w:jc w:val="both"/>
        <w:ind w:firstLine="1303"/>
        <w:spacing w:after="0" w:line="217" w:lineRule="auto"/>
        <w:tabs>
          <w:tab w:leader="none" w:pos="2150" w:val="left"/>
        </w:tabs>
        <w:numPr>
          <w:ilvl w:val="2"/>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of Intellectual Property in the ordinary course of business consistent with past practices, including, without limitation, any licenses that could not result in legal transfer of title that may be exclusive in respects other than territory and that may be exclusive as to territory only as to discreet geographical areas outside of the U.S. not interfering, individually or in the aggregate, in any material respect with the business of Holdings or any of its Subsidiaries;</w:t>
      </w:r>
    </w:p>
    <w:p>
      <w:pPr>
        <w:spacing w:after="0" w:line="202" w:lineRule="exact"/>
        <w:rPr>
          <w:rFonts w:ascii="Times New Roman" w:cs="Times New Roman" w:eastAsia="Times New Roman" w:hAnsi="Times New Roman"/>
          <w:sz w:val="20"/>
          <w:szCs w:val="20"/>
          <w:color w:val="auto"/>
        </w:rPr>
      </w:pPr>
    </w:p>
    <w:p>
      <w:pPr>
        <w:jc w:val="both"/>
        <w:ind w:firstLine="1303"/>
        <w:spacing w:after="0" w:line="226" w:lineRule="auto"/>
        <w:tabs>
          <w:tab w:leader="none" w:pos="1583" w:val="left"/>
        </w:tabs>
        <w:numPr>
          <w:ilvl w:val="2"/>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or sublicenses of real or personal property (other than Intellectual Property) granted by the Borrower or any of its Subsidiaries to others, in each case, in the ordinary course of business not interfering, individually or in the aggregate, in any material respect with the business of Holdings or any of its Subsidiaries;</w:t>
      </w:r>
    </w:p>
    <w:p>
      <w:pPr>
        <w:spacing w:after="0" w:line="187" w:lineRule="exact"/>
        <w:rPr>
          <w:rFonts w:ascii="Times New Roman" w:cs="Times New Roman" w:eastAsia="Times New Roman" w:hAnsi="Times New Roman"/>
          <w:sz w:val="20"/>
          <w:szCs w:val="20"/>
          <w:color w:val="auto"/>
        </w:rPr>
      </w:pPr>
    </w:p>
    <w:p>
      <w:pPr>
        <w:jc w:val="both"/>
        <w:ind w:firstLine="1304"/>
        <w:spacing w:after="0" w:line="218" w:lineRule="auto"/>
        <w:tabs>
          <w:tab w:leader="none" w:pos="2148" w:val="left"/>
        </w:tabs>
        <w:numPr>
          <w:ilvl w:val="2"/>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surrender or waiver of contractual rights or the settlement or waiver of contractual or litigation claims in the ordinary course of business, in each case, as may be approved by the Board of Directors of Holdings or the Borrower or the applicable Subsidiary in good faith; and (ii) the sale, license or other transfer of Intellectual Property in connection with the settlement or waiver of contractual or litigation claims in respect of the Intellectual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sale, license or transfer does not materially interfere with the business of the Borrower and its Subsidiaries, taken as a whole;</w:t>
      </w:r>
    </w:p>
    <w:p>
      <w:pPr>
        <w:sectPr>
          <w:pgSz w:w="11900" w:h="16838" w:orient="portrait"/>
          <w:cols w:equalWidth="0" w:num="1">
            <w:col w:w="10040"/>
          </w:cols>
          <w:pgMar w:left="1400" w:top="1318" w:right="459" w:bottom="1440" w:gutter="0" w:footer="0" w:header="0"/>
        </w:sectPr>
      </w:pPr>
    </w:p>
    <w:bookmarkStart w:id="192" w:name="page193"/>
    <w:bookmarkEnd w:id="192"/>
    <w:p>
      <w:pPr>
        <w:spacing w:after="0" w:line="149" w:lineRule="exact"/>
        <w:rPr>
          <w:sz w:val="20"/>
          <w:szCs w:val="20"/>
          <w:color w:val="auto"/>
        </w:rPr>
      </w:pPr>
    </w:p>
    <w:p>
      <w:pPr>
        <w:jc w:val="both"/>
        <w:ind w:left="20" w:firstLine="1303"/>
        <w:spacing w:after="0" w:line="254" w:lineRule="auto"/>
        <w:tabs>
          <w:tab w:leader="none" w:pos="2167"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licenses, leases and other contractual rights in the ordinary course of business, which does not materially interfere with the conduct of business of the Borrower and its Subsidiaries and is not disadvantageous to the rights or remedies of the Lenders;</w:t>
      </w:r>
    </w:p>
    <w:p>
      <w:pPr>
        <w:spacing w:after="0" w:line="214" w:lineRule="exact"/>
        <w:rPr>
          <w:rFonts w:ascii="Times New Roman" w:cs="Times New Roman" w:eastAsia="Times New Roman" w:hAnsi="Times New Roman"/>
          <w:sz w:val="20"/>
          <w:szCs w:val="20"/>
          <w:color w:val="auto"/>
        </w:rPr>
      </w:pPr>
    </w:p>
    <w:p>
      <w:pPr>
        <w:ind w:left="20" w:firstLine="1303"/>
        <w:spacing w:after="0" w:line="269" w:lineRule="auto"/>
        <w:tabs>
          <w:tab w:leader="none" w:pos="161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leases, assignments, dispositions and transfers constituting Liens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Investments permitted under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or Restricted Payments permitted under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253" w:lineRule="exact"/>
        <w:rPr>
          <w:rFonts w:ascii="Times New Roman" w:cs="Times New Roman" w:eastAsia="Times New Roman" w:hAnsi="Times New Roman"/>
          <w:sz w:val="20"/>
          <w:szCs w:val="20"/>
          <w:color w:val="auto"/>
        </w:rPr>
      </w:pPr>
    </w:p>
    <w:p>
      <w:pPr>
        <w:ind w:left="2020" w:hanging="697"/>
        <w:spacing w:after="0"/>
        <w:tabs>
          <w:tab w:leader="none" w:pos="202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Warrants;</w:t>
      </w:r>
    </w:p>
    <w:p>
      <w:pPr>
        <w:spacing w:after="0" w:line="229" w:lineRule="exact"/>
        <w:rPr>
          <w:rFonts w:ascii="Times New Roman" w:cs="Times New Roman" w:eastAsia="Times New Roman" w:hAnsi="Times New Roman"/>
          <w:sz w:val="20"/>
          <w:szCs w:val="20"/>
          <w:color w:val="auto"/>
        </w:rPr>
      </w:pPr>
    </w:p>
    <w:p>
      <w:pPr>
        <w:jc w:val="both"/>
        <w:ind w:left="20" w:firstLine="1303"/>
        <w:spacing w:after="0" w:line="226" w:lineRule="auto"/>
        <w:tabs>
          <w:tab w:leader="none" w:pos="2167"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such assets in an aggregate amount (based on the fair market value of such assets) not to exceed $2,000,000 in any Fiscal Year (but excluding the sale of any Capital Stock of any Subsidiary of Holdings); and</w:t>
      </w:r>
    </w:p>
    <w:p>
      <w:pPr>
        <w:spacing w:after="0" w:line="187" w:lineRule="exact"/>
        <w:rPr>
          <w:rFonts w:ascii="Times New Roman" w:cs="Times New Roman" w:eastAsia="Times New Roman" w:hAnsi="Times New Roman"/>
          <w:sz w:val="20"/>
          <w:szCs w:val="20"/>
          <w:color w:val="auto"/>
        </w:rPr>
      </w:pPr>
    </w:p>
    <w:p>
      <w:pPr>
        <w:jc w:val="both"/>
        <w:ind w:left="20" w:firstLine="1303"/>
        <w:spacing w:after="0" w:line="226" w:lineRule="auto"/>
        <w:tabs>
          <w:tab w:leader="none" w:pos="163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or other disposition of any minority-owned Investments existing on the </w:t>
      </w:r>
      <w:r>
        <w:rPr>
          <w:rFonts w:ascii="Times New Roman" w:cs="Times New Roman" w:eastAsia="Times New Roman" w:hAnsi="Times New Roman"/>
          <w:sz w:val="20"/>
          <w:szCs w:val="20"/>
          <w:color w:val="EE2724"/>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Second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Amendment</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Date and set forth on</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000000"/>
        </w:rPr>
        <w:t>Schedule 7.6(l)</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attached hereto in an aggregate amount not to exceed $5,000,000 during the</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term of this Agreement.</w:t>
      </w:r>
    </w:p>
    <w:p>
      <w:pPr>
        <w:spacing w:after="0" w:line="187" w:lineRule="exact"/>
        <w:rPr>
          <w:sz w:val="20"/>
          <w:szCs w:val="20"/>
          <w:color w:val="auto"/>
        </w:rPr>
      </w:pPr>
    </w:p>
    <w:p>
      <w:pPr>
        <w:jc w:val="both"/>
        <w:ind w:left="20"/>
        <w:spacing w:after="0" w:line="230" w:lineRule="auto"/>
        <w:rPr>
          <w:sz w:val="20"/>
          <w:szCs w:val="20"/>
          <w:color w:val="auto"/>
        </w:rPr>
      </w:pPr>
      <w:r>
        <w:rPr>
          <w:rFonts w:ascii="Times New Roman" w:cs="Times New Roman" w:eastAsia="Times New Roman" w:hAnsi="Times New Roman"/>
          <w:sz w:val="20"/>
          <w:szCs w:val="20"/>
          <w:color w:val="auto"/>
        </w:rPr>
        <w:t>Notwithstanding anything to the contrary in the foregoing, no Loan Party shall, directly or indirectly, sell, assign, lease, convey, transfer or otherwise dispose of (whether in one or a series of transactions) to any Subsidiary that is not a Loan Party any Intellectual Property that is material to the business of the Loan Parties, individually or in the aggregate.</w:t>
      </w:r>
    </w:p>
    <w:p>
      <w:pPr>
        <w:spacing w:after="0" w:line="172" w:lineRule="exact"/>
        <w:rPr>
          <w:sz w:val="20"/>
          <w:szCs w:val="20"/>
          <w:color w:val="auto"/>
        </w:rPr>
      </w:pPr>
    </w:p>
    <w:p>
      <w:pPr>
        <w:jc w:val="both"/>
        <w:ind w:firstLine="567"/>
        <w:spacing w:after="0" w:line="246" w:lineRule="auto"/>
        <w:rPr>
          <w:sz w:val="20"/>
          <w:szCs w:val="20"/>
          <w:color w:val="auto"/>
        </w:rPr>
      </w:pPr>
      <w:r>
        <w:rPr>
          <w:rFonts w:ascii="Times New Roman" w:cs="Times New Roman" w:eastAsia="Times New Roman" w:hAnsi="Times New Roman"/>
          <w:sz w:val="19"/>
          <w:szCs w:val="19"/>
          <w:color w:val="auto"/>
        </w:rPr>
        <w:t xml:space="preserve">Section 7.7. </w:t>
      </w:r>
      <w:r>
        <w:rPr>
          <w:rFonts w:ascii="Times New Roman" w:cs="Times New Roman" w:eastAsia="Times New Roman" w:hAnsi="Times New Roman"/>
          <w:sz w:val="19"/>
          <w:szCs w:val="19"/>
          <w:b w:val="1"/>
          <w:bCs w:val="1"/>
          <w:u w:val="single" w:color="auto"/>
          <w:color w:val="auto"/>
        </w:rPr>
        <w:t>Transactions with Affiliates</w:t>
      </w:r>
      <w:r>
        <w:rPr>
          <w:rFonts w:ascii="Times New Roman" w:cs="Times New Roman" w:eastAsia="Times New Roman" w:hAnsi="Times New Roman"/>
          <w:sz w:val="19"/>
          <w:szCs w:val="19"/>
          <w:color w:val="auto"/>
        </w:rPr>
        <w:t>. Holdings and the Borrower shall not, and shall not permit any of their respective Subsidiaries to, directly or indirectly, sell, lease or otherwise transfer any property or assets to, or purchase, lease or otherwise acquire any property or assets from, or otherwise engage in any other transaction with, any of its Affiliates, except:</w:t>
      </w:r>
    </w:p>
    <w:p>
      <w:pPr>
        <w:spacing w:after="0" w:line="183" w:lineRule="exact"/>
        <w:rPr>
          <w:sz w:val="20"/>
          <w:szCs w:val="20"/>
          <w:color w:val="auto"/>
        </w:rPr>
      </w:pPr>
    </w:p>
    <w:p>
      <w:pPr>
        <w:ind w:left="20" w:firstLine="1304"/>
        <w:spacing w:after="0"/>
        <w:tabs>
          <w:tab w:leader="none" w:pos="217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prices and on terms and conditions, taken as a whole, not less favorable to Holdings or such Subsidiary than would be obtained on an arm’s-length basis from unrelated third parties;</w:t>
      </w:r>
    </w:p>
    <w:p>
      <w:pPr>
        <w:spacing w:after="0" w:line="188" w:lineRule="exact"/>
        <w:rPr>
          <w:rFonts w:ascii="Times New Roman" w:cs="Times New Roman" w:eastAsia="Times New Roman" w:hAnsi="Times New Roman"/>
          <w:sz w:val="20"/>
          <w:szCs w:val="20"/>
          <w:color w:val="auto"/>
        </w:rPr>
      </w:pPr>
    </w:p>
    <w:p>
      <w:pPr>
        <w:jc w:val="both"/>
        <w:ind w:left="20" w:firstLine="1303"/>
        <w:spacing w:after="0" w:line="222" w:lineRule="auto"/>
        <w:tabs>
          <w:tab w:leader="none" w:pos="2167"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and severance arrangements between Holdings or any of its Subsidiaries and their respective officers, directors and employees in the ordinary course of business and transactions pursuant to equity incentive plans and employee benefit plans and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be deemed to permit any Restricted Payments of the type set forth in </w:t>
      </w:r>
      <w:r>
        <w:rPr>
          <w:rFonts w:ascii="Times New Roman" w:cs="Times New Roman" w:eastAsia="Times New Roman" w:hAnsi="Times New Roman"/>
          <w:sz w:val="20"/>
          <w:szCs w:val="20"/>
          <w:u w:val="single" w:color="auto"/>
          <w:color w:val="auto"/>
        </w:rPr>
        <w:t>Section 7.5(c)</w:t>
      </w:r>
      <w:r>
        <w:rPr>
          <w:rFonts w:ascii="Times New Roman" w:cs="Times New Roman" w:eastAsia="Times New Roman" w:hAnsi="Times New Roman"/>
          <w:sz w:val="20"/>
          <w:szCs w:val="20"/>
          <w:color w:val="auto"/>
        </w:rPr>
        <w:t xml:space="preserve"> to the extent not permitted thereunder);</w:t>
      </w:r>
    </w:p>
    <w:p>
      <w:pPr>
        <w:spacing w:after="0" w:line="188" w:lineRule="exact"/>
        <w:rPr>
          <w:rFonts w:ascii="Times New Roman" w:cs="Times New Roman" w:eastAsia="Times New Roman" w:hAnsi="Times New Roman"/>
          <w:sz w:val="20"/>
          <w:szCs w:val="20"/>
          <w:color w:val="auto"/>
        </w:rPr>
      </w:pPr>
    </w:p>
    <w:p>
      <w:pPr>
        <w:ind w:left="20" w:firstLine="1303"/>
        <w:spacing w:after="0"/>
        <w:tabs>
          <w:tab w:leader="none" w:pos="217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solely between or among the Loan Parties (and between the Loan Parties and other Subsidiaries of Holdings to the extent permitted by the Administrative Agent in writing in its reasonable discretion);</w:t>
      </w:r>
    </w:p>
    <w:p>
      <w:pPr>
        <w:spacing w:after="0" w:line="269" w:lineRule="exact"/>
        <w:rPr>
          <w:rFonts w:ascii="Times New Roman" w:cs="Times New Roman" w:eastAsia="Times New Roman" w:hAnsi="Times New Roman"/>
          <w:sz w:val="20"/>
          <w:szCs w:val="20"/>
          <w:color w:val="auto"/>
        </w:rPr>
      </w:pPr>
    </w:p>
    <w:p>
      <w:pPr>
        <w:ind w:left="1580" w:hanging="283"/>
        <w:spacing w:after="0"/>
        <w:tabs>
          <w:tab w:leader="none" w:pos="15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Payment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and any Investment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jc w:val="both"/>
        <w:ind w:left="20" w:firstLine="1303"/>
        <w:spacing w:after="0" w:line="216" w:lineRule="auto"/>
        <w:tabs>
          <w:tab w:leader="none" w:pos="217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performing under </w:t>
      </w:r>
      <w:r>
        <w:rPr>
          <w:rFonts w:ascii="Times New Roman" w:cs="Times New Roman" w:eastAsia="Times New Roman" w:hAnsi="Times New Roman"/>
          <w:sz w:val="20"/>
          <w:szCs w:val="20"/>
          <w:color w:val="EE2724"/>
          <w:strike w:val="1"/>
        </w:rPr>
        <w:t>(a) the RIC Authorized Producer Agreement, (b) the RPC Authorized Producer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E2724"/>
          <w:strike w:val="1"/>
        </w:rPr>
        <w:t>Agreement, (c) the RLSA Authorized Producer Agreement, (d) the RPC Administrative Services Agreement, (e) the RIC Administrative Services Agreement, (f) the RLSA Administrative Services Agreement, (g) the RRC Services Agreement, (h) the RIC Guaranty, (i) the RLSA Guaranty, (j) the Reinsurance Pooling Agreement, (k) the Multiple Line Quota Share Reinsurance Contract, (l) the Redpoint Automobile Quota Share Reinsurance Contract, (m) the Automobile Quota Share Reinsurance Contract or (n) the Tax Sharing Agreement, as applicable; and</w:t>
      </w:r>
      <w:r>
        <w:rPr>
          <w:rFonts w:ascii="Times New Roman" w:cs="Times New Roman" w:eastAsia="Times New Roman" w:hAnsi="Times New Roman"/>
          <w:sz w:val="20"/>
          <w:szCs w:val="20"/>
          <w:u w:val="single" w:color="auto"/>
          <w:color w:val="3051F2"/>
          <w:strike w:val="1"/>
        </w:rPr>
        <w:t>any agreement permitted by Section 7.1(j); and</w:t>
      </w:r>
    </w:p>
    <w:p>
      <w:pPr>
        <w:sectPr>
          <w:pgSz w:w="11900" w:h="16838" w:orient="portrait"/>
          <w:cols w:equalWidth="0" w:num="1">
            <w:col w:w="10060"/>
          </w:cols>
          <w:pgMar w:left="1380" w:top="1440" w:right="459" w:bottom="1440" w:gutter="0" w:footer="0" w:header="0"/>
        </w:sectPr>
      </w:pPr>
    </w:p>
    <w:bookmarkStart w:id="193" w:name="page194"/>
    <w:bookmarkEnd w:id="193"/>
    <w:p>
      <w:pPr>
        <w:ind w:left="1300"/>
        <w:spacing w:after="0"/>
        <w:rPr>
          <w:sz w:val="20"/>
          <w:szCs w:val="20"/>
          <w:color w:val="auto"/>
        </w:rPr>
      </w:pPr>
      <w:r>
        <w:rPr>
          <w:rFonts w:ascii="Times New Roman" w:cs="Times New Roman" w:eastAsia="Times New Roman" w:hAnsi="Times New Roman"/>
          <w:sz w:val="20"/>
          <w:szCs w:val="20"/>
          <w:color w:val="auto"/>
        </w:rPr>
        <w:t>(f) Guarantees of risk-based capital that are customary in the insurance industry.</w:t>
      </w:r>
    </w:p>
    <w:p>
      <w:pPr>
        <w:spacing w:after="0" w:line="22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 xml:space="preserve">Section 7.8. </w:t>
      </w:r>
      <w:r>
        <w:rPr>
          <w:rFonts w:ascii="Times New Roman" w:cs="Times New Roman" w:eastAsia="Times New Roman" w:hAnsi="Times New Roman"/>
          <w:sz w:val="19"/>
          <w:szCs w:val="19"/>
          <w:b w:val="1"/>
          <w:bCs w:val="1"/>
          <w:u w:val="single" w:color="auto"/>
          <w:color w:val="auto"/>
        </w:rPr>
        <w:t>Restrictive Agreements</w:t>
      </w:r>
      <w:r>
        <w:rPr>
          <w:rFonts w:ascii="Times New Roman" w:cs="Times New Roman" w:eastAsia="Times New Roman" w:hAnsi="Times New Roman"/>
          <w:sz w:val="19"/>
          <w:szCs w:val="19"/>
          <w:color w:val="auto"/>
        </w:rPr>
        <w:t xml:space="preserve">. Holdings and the Borrower shall not, and shall not permit any of their respective Subsidiaries to, directly or indirectly, enter into, incur or permit to exist any agreement that prohibits, restricts or imposes any condition upon (a) the ability of Holdings or any of its Subsidiaries to create, incur or permit any Lien to secure the Obligations upon any of its assets or properties, whether now owned or hereafter acquired or (b) the ability of any Subsidiary of the Borrower to pay dividends or other distributions with respect to its Capital Stock, to make or repay loans or advances to the Borrower, to Guarantee the Obligations or to transfer any of its property or assets to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not apply to restrictions or conditions imposed by law, this Agreement or any other Loan Document, (ii) the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not apply to restrictions or conditions imposed by any Subordinated Debt Document or Pari Lien Debt Document (or any document governing any Permitted Refinancing thereof), (iii)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not apply to customary restrictions and conditions contained in agreements relating to the sale of a Subsidiary (or any assets thereof) pending such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apply only to the Subsidiary (or any assets thereof) that is sold and such sale is permitted hereunder, (iv)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(but, with respect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only to the extent that any imposed transfer restrictions or conditions apply only to property or assets that are subject to Capital Lease Obligations or obligations incurred in connection with purchase money Indebtedness) shall not apply to restrictions or conditions imposed by any agreement relating to secured Indebtedness permitted by this Agreement if such restrictions and conditions apply only to the property or assets securing such Indebtedness and the obligors of such Indebtedness, (v)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not apply to customary provisions in leases, licenses and contracts restricting the assignment of any such lease, license and/or contract </w:t>
      </w:r>
      <w:r>
        <w:rPr>
          <w:rFonts w:ascii="Times New Roman" w:cs="Times New Roman" w:eastAsia="Times New Roman" w:hAnsi="Times New Roman"/>
          <w:sz w:val="19"/>
          <w:szCs w:val="19"/>
          <w:color w:val="EE2724"/>
          <w:strike w:val="1"/>
        </w:rPr>
        <w:t>and</w:t>
      </w:r>
      <w:r>
        <w:rPr>
          <w:rFonts w:ascii="Times New Roman" w:cs="Times New Roman" w:eastAsia="Times New Roman" w:hAnsi="Times New Roman"/>
          <w:sz w:val="19"/>
          <w:szCs w:val="19"/>
          <w:u w:val="single" w:color="auto"/>
          <w:color w:val="3051F2"/>
          <w:strike w:val="1"/>
        </w:rPr>
        <w:t>,</w:t>
      </w:r>
      <w:r>
        <w:rPr>
          <w:rFonts w:ascii="Times New Roman" w:cs="Times New Roman" w:eastAsia="Times New Roman" w:hAnsi="Times New Roman"/>
          <w:sz w:val="19"/>
          <w:szCs w:val="19"/>
          <w:color w:val="auto"/>
        </w:rPr>
        <w:t xml:space="preserve"> (vi) the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not apply to customary restrictions on transfers of Capital Stock in a joint venture to the extent expressly permitted by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of the definition of “Permitted Encumbrance” (but, for the avoidance of doubt, there shall be no restriction on the ability of Holdings or any of its Subsidiary Loan Parties to pledge Capital Stock in a joint venture to secure the Obligations)</w:t>
      </w:r>
      <w:r>
        <w:rPr>
          <w:rFonts w:ascii="Times New Roman" w:cs="Times New Roman" w:eastAsia="Times New Roman" w:hAnsi="Times New Roman"/>
          <w:sz w:val="19"/>
          <w:szCs w:val="19"/>
          <w:color w:val="EE2724"/>
          <w:strike w:val="1"/>
        </w:rPr>
        <w:t>.</w:t>
      </w:r>
      <w:r>
        <w:rPr>
          <w:rFonts w:ascii="Times New Roman" w:cs="Times New Roman" w:eastAsia="Times New Roman" w:hAnsi="Times New Roman"/>
          <w:sz w:val="19"/>
          <w:szCs w:val="19"/>
          <w:u w:val="single" w:color="auto"/>
          <w:color w:val="3051F2"/>
        </w:rPr>
        <w:t>and (vii) the foregoing</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u w:val="single" w:color="auto"/>
          <w:color w:val="3051F2"/>
        </w:rPr>
        <w:t>clauses (a) and (b) shall not apply to restrictions or conditions imposed by any documentation related to Indebtedness that is permitted pursuant to Section 7.1(h) or Section 7.1(q), and Liens that are permitted pursuant to Section 7.2(j) or Section 7.2(k</w:t>
      </w:r>
      <w:r>
        <w:rPr>
          <w:rFonts w:ascii="Times New Roman" w:cs="Times New Roman" w:eastAsia="Times New Roman" w:hAnsi="Times New Roman"/>
          <w:sz w:val="19"/>
          <w:szCs w:val="19"/>
          <w:u w:val="single" w:color="auto"/>
          <w:color w:val="000000"/>
        </w:rPr>
        <w:t>)</w:t>
      </w:r>
      <w:r>
        <w:rPr>
          <w:rFonts w:ascii="Times New Roman" w:cs="Times New Roman" w:eastAsia="Times New Roman" w:hAnsi="Times New Roman"/>
          <w:sz w:val="19"/>
          <w:szCs w:val="19"/>
          <w:color w:val="000000"/>
        </w:rPr>
        <w:t>.</w:t>
      </w:r>
    </w:p>
    <w:p>
      <w:pPr>
        <w:spacing w:after="0" w:line="156" w:lineRule="exact"/>
        <w:rPr>
          <w:sz w:val="20"/>
          <w:szCs w:val="20"/>
          <w:color w:val="auto"/>
        </w:rPr>
      </w:pPr>
    </w:p>
    <w:p>
      <w:pPr>
        <w:jc w:val="both"/>
        <w:ind w:right="120" w:firstLine="648"/>
        <w:spacing w:after="0" w:line="236" w:lineRule="auto"/>
        <w:rPr>
          <w:sz w:val="20"/>
          <w:szCs w:val="20"/>
          <w:color w:val="auto"/>
        </w:rPr>
      </w:pPr>
      <w:r>
        <w:rPr>
          <w:rFonts w:ascii="Times New Roman" w:cs="Times New Roman" w:eastAsia="Times New Roman" w:hAnsi="Times New Roman"/>
          <w:sz w:val="19"/>
          <w:szCs w:val="19"/>
          <w:color w:val="auto"/>
        </w:rPr>
        <w:t xml:space="preserve">Section 7.9. </w:t>
      </w:r>
      <w:r>
        <w:rPr>
          <w:rFonts w:ascii="Times New Roman" w:cs="Times New Roman" w:eastAsia="Times New Roman" w:hAnsi="Times New Roman"/>
          <w:sz w:val="19"/>
          <w:szCs w:val="19"/>
          <w:b w:val="1"/>
          <w:bCs w:val="1"/>
          <w:u w:val="single" w:color="auto"/>
          <w:color w:val="auto"/>
        </w:rPr>
        <w:t>Sale and Leaseback Transactions</w:t>
      </w:r>
      <w:r>
        <w:rPr>
          <w:rFonts w:ascii="Times New Roman" w:cs="Times New Roman" w:eastAsia="Times New Roman" w:hAnsi="Times New Roman"/>
          <w:sz w:val="19"/>
          <w:szCs w:val="19"/>
          <w:color w:val="auto"/>
        </w:rPr>
        <w:t>. Holdings and the Borrower shall not, and shall not permit any of their respective Subsidiaries to, enter into any arrangement, directly or indirectly, whereby it shall sell or transfer any property,</w:t>
      </w:r>
    </w:p>
    <w:p>
      <w:pPr>
        <w:spacing w:after="0" w:line="1"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0"/>
          <w:szCs w:val="20"/>
          <w:color w:val="auto"/>
        </w:rPr>
        <w:t>real or personal, used or useful in its business, whether now owned or hereinafter acquired, and thereafter rent or lease such property or other property that it intends to use for substantially the same purpose or purposes as the property sold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transferred (each, a “</w:t>
      </w:r>
      <w:r>
        <w:rPr>
          <w:rFonts w:ascii="Times New Roman" w:cs="Times New Roman" w:eastAsia="Times New Roman" w:hAnsi="Times New Roman"/>
          <w:sz w:val="20"/>
          <w:szCs w:val="20"/>
          <w:u w:val="single" w:color="auto"/>
          <w:color w:val="auto"/>
        </w:rPr>
        <w:t>Sale/Leaseback Transaction</w:t>
      </w:r>
      <w:r>
        <w:rPr>
          <w:rFonts w:ascii="Times New Roman" w:cs="Times New Roman" w:eastAsia="Times New Roman" w:hAnsi="Times New Roman"/>
          <w:sz w:val="20"/>
          <w:szCs w:val="20"/>
          <w:color w:val="auto"/>
        </w:rPr>
        <w:t>”).</w:t>
      </w:r>
    </w:p>
    <w:p>
      <w:pPr>
        <w:spacing w:after="0" w:line="271"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0"/>
          <w:szCs w:val="20"/>
          <w:color w:val="auto"/>
        </w:rPr>
        <w:t xml:space="preserve">Section 7.10. </w:t>
      </w:r>
      <w:r>
        <w:rPr>
          <w:rFonts w:ascii="Times New Roman" w:cs="Times New Roman" w:eastAsia="Times New Roman" w:hAnsi="Times New Roman"/>
          <w:sz w:val="20"/>
          <w:szCs w:val="20"/>
          <w:b w:val="1"/>
          <w:bCs w:val="1"/>
          <w:u w:val="single" w:color="auto"/>
          <w:color w:val="auto"/>
        </w:rPr>
        <w:t>Hedging Transactions</w:t>
      </w:r>
      <w:r>
        <w:rPr>
          <w:rFonts w:ascii="Times New Roman" w:cs="Times New Roman" w:eastAsia="Times New Roman" w:hAnsi="Times New Roman"/>
          <w:sz w:val="20"/>
          <w:szCs w:val="20"/>
          <w:color w:val="auto"/>
        </w:rPr>
        <w:t>. Holdings and the Borrower shall not, and shall not permit any of their respective Subsidiaries to, enter into any Hedging Transaction, other than Hedging Transactions entered into in the ordinary</w:t>
      </w:r>
    </w:p>
    <w:p>
      <w:pPr>
        <w:spacing w:after="0" w:line="213" w:lineRule="auto"/>
        <w:rPr>
          <w:sz w:val="20"/>
          <w:szCs w:val="20"/>
          <w:color w:val="auto"/>
        </w:rPr>
      </w:pPr>
      <w:r>
        <w:rPr>
          <w:rFonts w:ascii="Times New Roman" w:cs="Times New Roman" w:eastAsia="Times New Roman" w:hAnsi="Times New Roman"/>
          <w:sz w:val="20"/>
          <w:szCs w:val="20"/>
          <w:color w:val="auto"/>
        </w:rPr>
        <w:t>course of business to hedge or mitigate risks to which Holdings, the Borrower or any of their respective Subsidiaries is</w:t>
      </w:r>
    </w:p>
    <w:p>
      <w:pPr>
        <w:ind w:right="120"/>
        <w:spacing w:after="0" w:line="215" w:lineRule="auto"/>
        <w:rPr>
          <w:sz w:val="20"/>
          <w:szCs w:val="20"/>
          <w:color w:val="auto"/>
        </w:rPr>
      </w:pPr>
      <w:r>
        <w:rPr>
          <w:rFonts w:ascii="Times New Roman" w:cs="Times New Roman" w:eastAsia="Times New Roman" w:hAnsi="Times New Roman"/>
          <w:sz w:val="19"/>
          <w:szCs w:val="19"/>
          <w:color w:val="auto"/>
        </w:rPr>
        <w:t>exposed in the conduct of its business or the management of its liabilities. Solely for the avoidance of doubt, Holdings and the Borrower hereby acknowledge that a Hedging Transaction entered into for speculative purposes or of a speculative nature</w:t>
      </w:r>
    </w:p>
    <w:p>
      <w:pPr>
        <w:spacing w:after="0" w:line="211" w:lineRule="auto"/>
        <w:rPr>
          <w:sz w:val="20"/>
          <w:szCs w:val="20"/>
          <w:color w:val="auto"/>
        </w:rPr>
      </w:pPr>
      <w:r>
        <w:rPr>
          <w:rFonts w:ascii="Times New Roman" w:cs="Times New Roman" w:eastAsia="Times New Roman" w:hAnsi="Times New Roman"/>
          <w:sz w:val="20"/>
          <w:szCs w:val="20"/>
          <w:color w:val="auto"/>
        </w:rPr>
        <w:t>(which shall be deemed to include any Hedging Transaction under which Holdings, the Borrower or any of their respective</w:t>
      </w:r>
    </w:p>
    <w:p>
      <w:pPr>
        <w:jc w:val="both"/>
        <w:ind w:right="120"/>
        <w:spacing w:after="0" w:line="204" w:lineRule="auto"/>
        <w:rPr>
          <w:sz w:val="20"/>
          <w:szCs w:val="20"/>
          <w:color w:val="auto"/>
        </w:rPr>
      </w:pPr>
      <w:r>
        <w:rPr>
          <w:rFonts w:ascii="Times New Roman" w:cs="Times New Roman" w:eastAsia="Times New Roman" w:hAnsi="Times New Roman"/>
          <w:sz w:val="20"/>
          <w:szCs w:val="20"/>
          <w:color w:val="auto"/>
        </w:rPr>
        <w:t>Subsidiaries is, or may become, obliged to make any payment (i) in connection with the purchase by any third party of any Capital Stock or any Indebtedness or (ii) as a result of changes in the market value of any Capital Stock or any Indebtedness)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 not a Hedging Transaction entered into in the ordinary course of business to hedge or mitigate risks.</w:t>
      </w:r>
    </w:p>
    <w:p>
      <w:pPr>
        <w:sectPr>
          <w:pgSz w:w="11900" w:h="16838" w:orient="portrait"/>
          <w:cols w:equalWidth="0" w:num="1">
            <w:col w:w="10160"/>
          </w:cols>
          <w:pgMar w:left="1400" w:top="1318" w:right="339" w:bottom="1440" w:gutter="0" w:footer="0" w:header="0"/>
        </w:sectPr>
      </w:pPr>
    </w:p>
    <w:bookmarkStart w:id="194" w:name="page195"/>
    <w:bookmarkEnd w:id="194"/>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Section 7.11. </w:t>
      </w:r>
      <w:r>
        <w:rPr>
          <w:rFonts w:ascii="Times New Roman" w:cs="Times New Roman" w:eastAsia="Times New Roman" w:hAnsi="Times New Roman"/>
          <w:sz w:val="20"/>
          <w:szCs w:val="20"/>
          <w:b w:val="1"/>
          <w:bCs w:val="1"/>
          <w:u w:val="single" w:color="auto"/>
          <w:color w:val="auto"/>
        </w:rPr>
        <w:t>Amendment to Material Documents</w:t>
      </w:r>
      <w:r>
        <w:rPr>
          <w:rFonts w:ascii="Times New Roman" w:cs="Times New Roman" w:eastAsia="Times New Roman" w:hAnsi="Times New Roman"/>
          <w:sz w:val="20"/>
          <w:szCs w:val="20"/>
          <w:color w:val="auto"/>
        </w:rPr>
        <w:t>. Other than to the extent expressly required by any Insurance Regulatory Authority with respect to any Insurance Subsidiary or Subsidiary thereof, Holdings and the Borrower shall not,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shall not permit any of their respective Subsidiaries to, amend, modify or waive any of its rights under (a) its certificate of incorporation, bylaws or other organizational documents or (b) any Material Agreements, except in any manner that would not</w:t>
      </w:r>
    </w:p>
    <w:p>
      <w:pPr>
        <w:spacing w:after="0" w:line="211" w:lineRule="auto"/>
        <w:rPr>
          <w:sz w:val="20"/>
          <w:szCs w:val="20"/>
          <w:color w:val="auto"/>
        </w:rPr>
      </w:pPr>
      <w:r>
        <w:rPr>
          <w:rFonts w:ascii="Times New Roman" w:cs="Times New Roman" w:eastAsia="Times New Roman" w:hAnsi="Times New Roman"/>
          <w:sz w:val="20"/>
          <w:szCs w:val="20"/>
          <w:color w:val="auto"/>
        </w:rPr>
        <w:t>have an adverse effect on the Lenders or the Administrative Agent in any material respect (or, in the case of any Pari Lien</w:t>
      </w:r>
    </w:p>
    <w:p>
      <w:pPr>
        <w:spacing w:after="0" w:line="204" w:lineRule="auto"/>
        <w:rPr>
          <w:sz w:val="20"/>
          <w:szCs w:val="20"/>
          <w:color w:val="auto"/>
        </w:rPr>
      </w:pPr>
      <w:r>
        <w:rPr>
          <w:rFonts w:ascii="Times New Roman" w:cs="Times New Roman" w:eastAsia="Times New Roman" w:hAnsi="Times New Roman"/>
          <w:sz w:val="20"/>
          <w:szCs w:val="20"/>
          <w:color w:val="auto"/>
        </w:rPr>
        <w:t>Debt Document (or any document governing any Permitted Refinancing thereof), as permitted by any Market Intercreditor Agreement)</w:t>
      </w: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3051F2"/>
        </w:rPr>
        <w:t>; provided, that any amendment or modification to a Pari Lien Debt Document that would result in any Pari Lien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3051F2"/>
        </w:rPr>
        <w:t>Debt not complying with the Required Additional Debt Terms as of the date of such amendment or modification shall require the consent of the Required Lenders</w:t>
      </w:r>
      <w:r>
        <w:rPr>
          <w:rFonts w:ascii="Times New Roman" w:cs="Times New Roman" w:eastAsia="Times New Roman" w:hAnsi="Times New Roman"/>
          <w:sz w:val="20"/>
          <w:szCs w:val="20"/>
          <w:color w:val="000000"/>
        </w:rPr>
        <w:t>.</w:t>
      </w:r>
    </w:p>
    <w:p>
      <w:pPr>
        <w:spacing w:after="0" w:line="19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Section 7.12. </w:t>
      </w:r>
      <w:r>
        <w:rPr>
          <w:rFonts w:ascii="Times New Roman" w:cs="Times New Roman" w:eastAsia="Times New Roman" w:hAnsi="Times New Roman"/>
          <w:sz w:val="19"/>
          <w:szCs w:val="19"/>
          <w:b w:val="1"/>
          <w:bCs w:val="1"/>
          <w:u w:val="single" w:color="auto"/>
          <w:color w:val="auto"/>
        </w:rPr>
        <w:t>Activities of Holdings</w:t>
      </w:r>
      <w:r>
        <w:rPr>
          <w:rFonts w:ascii="Times New Roman" w:cs="Times New Roman" w:eastAsia="Times New Roman" w:hAnsi="Times New Roman"/>
          <w:sz w:val="19"/>
          <w:szCs w:val="19"/>
          <w:color w:val="auto"/>
        </w:rPr>
        <w:t>. Notwithstanding anything to the contrary contained herein, Holdings shall not engage in any business or other activity other than (a) maintaining its existence, including, without limitation, (i) participating</w:t>
      </w:r>
    </w:p>
    <w:p>
      <w:pPr>
        <w:spacing w:after="0" w:line="211" w:lineRule="auto"/>
        <w:rPr>
          <w:sz w:val="20"/>
          <w:szCs w:val="20"/>
          <w:color w:val="auto"/>
        </w:rPr>
      </w:pPr>
      <w:r>
        <w:rPr>
          <w:rFonts w:ascii="Times New Roman" w:cs="Times New Roman" w:eastAsia="Times New Roman" w:hAnsi="Times New Roman"/>
          <w:sz w:val="20"/>
          <w:szCs w:val="20"/>
          <w:color w:val="auto"/>
        </w:rPr>
        <w:t>in tax, accounting and other administrative matters, (ii) filing Tax returns and reports and paying Taxes and other customary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related thereto in the ordinary course (and contesting any Taxes in good faith, if applicable), (iii) holding director and member meetings, preparing organizational records and other organizational activities required to maintain its separate</w:t>
      </w:r>
    </w:p>
    <w:p>
      <w:pPr>
        <w:spacing w:after="0" w:line="223" w:lineRule="auto"/>
        <w:rPr>
          <w:sz w:val="20"/>
          <w:szCs w:val="20"/>
          <w:color w:val="auto"/>
        </w:rPr>
      </w:pPr>
      <w:r>
        <w:rPr>
          <w:rFonts w:ascii="Times New Roman" w:cs="Times New Roman" w:eastAsia="Times New Roman" w:hAnsi="Times New Roman"/>
          <w:sz w:val="19"/>
          <w:szCs w:val="19"/>
          <w:color w:val="auto"/>
        </w:rPr>
        <w:t>organizational structure and (iv) complying with any applicable law, and activities incidental to the foregoing, (b) holding and</w:t>
      </w:r>
    </w:p>
    <w:p>
      <w:pPr>
        <w:spacing w:after="0" w:line="204" w:lineRule="auto"/>
        <w:rPr>
          <w:sz w:val="20"/>
          <w:szCs w:val="20"/>
          <w:color w:val="auto"/>
        </w:rPr>
      </w:pPr>
      <w:r>
        <w:rPr>
          <w:rFonts w:ascii="Times New Roman" w:cs="Times New Roman" w:eastAsia="Times New Roman" w:hAnsi="Times New Roman"/>
          <w:sz w:val="20"/>
          <w:szCs w:val="20"/>
          <w:color w:val="auto"/>
        </w:rPr>
        <w:t>maintaining its interest in the Capital Stock of, and making Investments in, the Borrower, (c) performing its Obligations under this Agreement and the other Loan Documents and other Affiliate transactions, Indebtedness and Guarantees permitted</w:t>
      </w:r>
    </w:p>
    <w:p>
      <w:pPr>
        <w:spacing w:after="0" w:line="211" w:lineRule="auto"/>
        <w:rPr>
          <w:sz w:val="20"/>
          <w:szCs w:val="20"/>
          <w:color w:val="auto"/>
        </w:rPr>
      </w:pPr>
      <w:r>
        <w:rPr>
          <w:rFonts w:ascii="Times New Roman" w:cs="Times New Roman" w:eastAsia="Times New Roman" w:hAnsi="Times New Roman"/>
          <w:sz w:val="20"/>
          <w:szCs w:val="20"/>
          <w:color w:val="auto"/>
        </w:rPr>
        <w:t>hereunder (including, without limitation, Guarantees of the Subordinated Debt and obligations under any Pari Lien Debt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 (if any) and any Permitted Refinancing thereof and any actions in connection with the issuance of Permitted Convertible Indebtedness), and actions incidental thereto, including, without limitation, the granting of Liens permitted</w:t>
      </w:r>
    </w:p>
    <w:p>
      <w:pPr>
        <w:spacing w:after="0" w:line="211" w:lineRule="auto"/>
        <w:rPr>
          <w:sz w:val="20"/>
          <w:szCs w:val="20"/>
          <w:color w:val="auto"/>
        </w:rPr>
      </w:pPr>
      <w:r>
        <w:rPr>
          <w:rFonts w:ascii="Times New Roman" w:cs="Times New Roman" w:eastAsia="Times New Roman" w:hAnsi="Times New Roman"/>
          <w:sz w:val="20"/>
          <w:szCs w:val="20"/>
          <w:color w:val="auto"/>
        </w:rPr>
        <w:t>hereby, (d) issuing, selling, purchasing, re-purchasing or registering its own Qualified Capital Stock, (e) preparing reports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Governmental Authorities and/or to its shareholders, (f) holding cash and Permitted Investments and other assets received in connection with Restricted Payments received from, or Investments made by, the Borrower, in each case, to the extent</w:t>
      </w:r>
    </w:p>
    <w:p>
      <w:pPr>
        <w:spacing w:after="0" w:line="211" w:lineRule="auto"/>
        <w:rPr>
          <w:sz w:val="20"/>
          <w:szCs w:val="20"/>
          <w:color w:val="auto"/>
        </w:rPr>
      </w:pPr>
      <w:r>
        <w:rPr>
          <w:rFonts w:ascii="Times New Roman" w:cs="Times New Roman" w:eastAsia="Times New Roman" w:hAnsi="Times New Roman"/>
          <w:sz w:val="20"/>
          <w:szCs w:val="20"/>
          <w:color w:val="auto"/>
        </w:rPr>
        <w:t>permitted hereby, (g) providing indemnification for its current or former officers, directors, members of management,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managers, employees and advisors or consultants, (h) performing its obligations under the transactions with respect to Holdings that are otherwise specifically permitted or expressly contemplated by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 the maintenance and</w:t>
      </w:r>
    </w:p>
    <w:p>
      <w:pPr>
        <w:spacing w:after="0" w:line="211" w:lineRule="auto"/>
        <w:rPr>
          <w:sz w:val="20"/>
          <w:szCs w:val="20"/>
          <w:color w:val="auto"/>
        </w:rPr>
      </w:pPr>
      <w:r>
        <w:rPr>
          <w:rFonts w:ascii="Times New Roman" w:cs="Times New Roman" w:eastAsia="Times New Roman" w:hAnsi="Times New Roman"/>
          <w:sz w:val="20"/>
          <w:szCs w:val="20"/>
          <w:color w:val="auto"/>
        </w:rPr>
        <w:t>administration of equity option and equity ownership plans and activities incidental thereto, (j) making any payments,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dividends, distributions, issuances or other activities permitted pursuant to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as applicable, (k) any activities incidental to, required by or deemed appropriate under applicable state and federal securities laws, stock exchange</w:t>
      </w:r>
    </w:p>
    <w:p>
      <w:pPr>
        <w:spacing w:after="0" w:line="211" w:lineRule="auto"/>
        <w:rPr>
          <w:sz w:val="20"/>
          <w:szCs w:val="20"/>
          <w:color w:val="auto"/>
        </w:rPr>
      </w:pPr>
      <w:r>
        <w:rPr>
          <w:rFonts w:ascii="Times New Roman" w:cs="Times New Roman" w:eastAsia="Times New Roman" w:hAnsi="Times New Roman"/>
          <w:sz w:val="20"/>
          <w:szCs w:val="20"/>
          <w:color w:val="auto"/>
        </w:rPr>
        <w:t>rules and/or other regulations or otherwise in connection with being a publicly traded company required to file reports with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SEC under the Exchange Act, including, without limitation, investor and shareholder relations activities and (l) performing activities incidental to any of the foregoing.</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Section 7.13. </w:t>
      </w:r>
      <w:r>
        <w:rPr>
          <w:rFonts w:ascii="Times New Roman" w:cs="Times New Roman" w:eastAsia="Times New Roman" w:hAnsi="Times New Roman"/>
          <w:sz w:val="19"/>
          <w:szCs w:val="19"/>
          <w:b w:val="1"/>
          <w:bCs w:val="1"/>
          <w:u w:val="single" w:color="auto"/>
          <w:color w:val="auto"/>
        </w:rPr>
        <w:t>Accounting Changes</w:t>
      </w:r>
      <w:r>
        <w:rPr>
          <w:rFonts w:ascii="Times New Roman" w:cs="Times New Roman" w:eastAsia="Times New Roman" w:hAnsi="Times New Roman"/>
          <w:sz w:val="19"/>
          <w:szCs w:val="19"/>
          <w:color w:val="auto"/>
        </w:rPr>
        <w:t xml:space="preserve">. Holdings and the Borrower shall not, and shall not permit any of their respective Subsidiaries to, make any significant change in accounting treatment or reporting practices, except as </w:t>
      </w:r>
      <w:r>
        <w:rPr>
          <w:rFonts w:ascii="Times New Roman" w:cs="Times New Roman" w:eastAsia="Times New Roman" w:hAnsi="Times New Roman"/>
          <w:sz w:val="19"/>
          <w:szCs w:val="19"/>
          <w:color w:val="EE2724"/>
          <w:strike w:val="1"/>
        </w:rPr>
        <w:t>required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permitted</w:t>
      </w:r>
      <w:r>
        <w:rPr>
          <w:rFonts w:ascii="Times New Roman" w:cs="Times New Roman" w:eastAsia="Times New Roman" w:hAnsi="Times New Roman"/>
          <w:sz w:val="19"/>
          <w:szCs w:val="19"/>
          <w:color w:val="auto"/>
        </w:rPr>
        <w:t xml:space="preserve"> by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GAAP (or SAP) </w:t>
      </w:r>
      <w:r>
        <w:rPr>
          <w:rFonts w:ascii="Times New Roman" w:cs="Times New Roman" w:eastAsia="Times New Roman" w:hAnsi="Times New Roman"/>
          <w:sz w:val="20"/>
          <w:szCs w:val="20"/>
          <w:color w:val="3051F2"/>
        </w:rPr>
        <w:t>or SEC regulations</w:t>
      </w:r>
      <w:r>
        <w:rPr>
          <w:rFonts w:ascii="Times New Roman" w:cs="Times New Roman" w:eastAsia="Times New Roman" w:hAnsi="Times New Roman"/>
          <w:sz w:val="20"/>
          <w:szCs w:val="20"/>
          <w:color w:val="auto"/>
        </w:rPr>
        <w:t>, or change the Fiscal Year of Holdings or the fiscal year of any of its Subsidiaries, except to change the fiscal year of a Subsidiary to conform its fiscal year to that 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-147955</wp:posOffset>
            </wp:positionV>
            <wp:extent cx="9874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17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Section 7.14. </w:t>
      </w:r>
      <w:r>
        <w:rPr>
          <w:rFonts w:ascii="Times New Roman" w:cs="Times New Roman" w:eastAsia="Times New Roman" w:hAnsi="Times New Roman"/>
          <w:sz w:val="20"/>
          <w:szCs w:val="20"/>
          <w:b w:val="1"/>
          <w:bCs w:val="1"/>
          <w:u w:val="single" w:color="auto"/>
          <w:color w:val="auto"/>
        </w:rPr>
        <w:t>Underwriting Risks</w:t>
      </w:r>
      <w:r>
        <w:rPr>
          <w:rFonts w:ascii="Times New Roman" w:cs="Times New Roman" w:eastAsia="Times New Roman" w:hAnsi="Times New Roman"/>
          <w:sz w:val="20"/>
          <w:szCs w:val="20"/>
          <w:color w:val="auto"/>
        </w:rPr>
        <w:t>. Holdings and the Borrower shall not, and shall not permit any of their respective Subsidiaries to, undertake any underwriting risk inconsistent with their historical and customary practices in the ordinary</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course of business (it being understood and agreed that this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shall not prohibit Holdings and its Subsidiaries from</w:t>
      </w:r>
    </w:p>
    <w:p>
      <w:pPr>
        <w:spacing w:after="0" w:line="221" w:lineRule="auto"/>
        <w:rPr>
          <w:sz w:val="20"/>
          <w:szCs w:val="20"/>
          <w:color w:val="auto"/>
        </w:rPr>
      </w:pPr>
      <w:r>
        <w:rPr>
          <w:rFonts w:ascii="Times New Roman" w:cs="Times New Roman" w:eastAsia="Times New Roman" w:hAnsi="Times New Roman"/>
          <w:sz w:val="20"/>
          <w:szCs w:val="20"/>
          <w:color w:val="auto"/>
        </w:rPr>
        <w:t>entering into additional lines of property and casualty insurance business</w:t>
      </w:r>
      <w:r>
        <w:rPr>
          <w:rFonts w:ascii="Times New Roman" w:cs="Times New Roman" w:eastAsia="Times New Roman" w:hAnsi="Times New Roman"/>
          <w:sz w:val="20"/>
          <w:szCs w:val="20"/>
          <w:u w:val="single" w:color="auto"/>
          <w:color w:val="3051F2"/>
        </w:rPr>
        <w:t>, performing as a managing general agency or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special purpose vehicle, or other activities incidental to the property and casualty insurance business</w:t>
      </w:r>
      <w:r>
        <w:rPr>
          <w:rFonts w:ascii="Times New Roman" w:cs="Times New Roman" w:eastAsia="Times New Roman" w:hAnsi="Times New Roman"/>
          <w:sz w:val="20"/>
          <w:szCs w:val="20"/>
          <w:u w:val="single" w:color="auto"/>
          <w:color w:val="000000"/>
        </w:rPr>
        <w:t>)</w:t>
      </w:r>
      <w:r>
        <w:rPr>
          <w:rFonts w:ascii="Times New Roman" w:cs="Times New Roman" w:eastAsia="Times New Roman" w:hAnsi="Times New Roman"/>
          <w:sz w:val="20"/>
          <w:szCs w:val="20"/>
          <w:color w:val="000000"/>
        </w:rPr>
        <w:t>.</w:t>
      </w:r>
    </w:p>
    <w:p>
      <w:pPr>
        <w:sectPr>
          <w:pgSz w:w="11900" w:h="16838" w:orient="portrait"/>
          <w:cols w:equalWidth="0" w:num="1">
            <w:col w:w="10040"/>
          </w:cols>
          <w:pgMar w:left="1400" w:top="1314" w:right="459" w:bottom="1440" w:gutter="0" w:footer="0" w:header="0"/>
        </w:sectPr>
      </w:pPr>
    </w:p>
    <w:bookmarkStart w:id="195" w:name="page196"/>
    <w:bookmarkEnd w:id="195"/>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Section 7.15. </w:t>
      </w:r>
      <w:r>
        <w:rPr>
          <w:rFonts w:ascii="Times New Roman" w:cs="Times New Roman" w:eastAsia="Times New Roman" w:hAnsi="Times New Roman"/>
          <w:sz w:val="20"/>
          <w:szCs w:val="20"/>
          <w:b w:val="1"/>
          <w:bCs w:val="1"/>
          <w:u w:val="single" w:color="auto"/>
          <w:color w:val="auto"/>
        </w:rPr>
        <w:t>Insurance Subsidiaries</w:t>
      </w:r>
      <w:r>
        <w:rPr>
          <w:rFonts w:ascii="Times New Roman" w:cs="Times New Roman" w:eastAsia="Times New Roman" w:hAnsi="Times New Roman"/>
          <w:sz w:val="20"/>
          <w:szCs w:val="20"/>
          <w:color w:val="auto"/>
        </w:rPr>
        <w:t>. Notwithstanding anything herein to the contrary, without the prior written consent of the Required Lenders, Holdings and the Borrower shall not, and shall not permit any of their respective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Subsidiaries (including, for the avoidance of doubt, Insurance Subsidiaries) to permit: (a) a material change in the nature of the businesses that RIC conducts or is otherwise engaged in as of the Closing Date; (b) the discounting (except for prompt</w:t>
      </w:r>
    </w:p>
    <w:p>
      <w:pPr>
        <w:spacing w:after="0" w:line="211" w:lineRule="auto"/>
        <w:rPr>
          <w:sz w:val="20"/>
          <w:szCs w:val="20"/>
          <w:color w:val="auto"/>
        </w:rPr>
      </w:pPr>
      <w:r>
        <w:rPr>
          <w:rFonts w:ascii="Times New Roman" w:cs="Times New Roman" w:eastAsia="Times New Roman" w:hAnsi="Times New Roman"/>
          <w:sz w:val="20"/>
          <w:szCs w:val="20"/>
          <w:color w:val="auto"/>
        </w:rPr>
        <w:t>payment discounts) or sale by any of the Insurance Subsidiaries of any of their notes or accounts receivable, other than in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connection with the collection, settlement or compromise thereof in the ordinary course of business; (c) any one or more material Insurance Licenses of any of the Insurance Subsidiaries to be suspended, limited or terminated or not be renewed;</w:t>
      </w:r>
    </w:p>
    <w:p>
      <w:pPr>
        <w:spacing w:after="0" w:line="223" w:lineRule="auto"/>
        <w:rPr>
          <w:sz w:val="20"/>
          <w:szCs w:val="20"/>
          <w:color w:val="auto"/>
        </w:rPr>
      </w:pPr>
      <w:r>
        <w:rPr>
          <w:rFonts w:ascii="Times New Roman" w:cs="Times New Roman" w:eastAsia="Times New Roman" w:hAnsi="Times New Roman"/>
          <w:sz w:val="19"/>
          <w:szCs w:val="19"/>
          <w:color w:val="auto"/>
        </w:rPr>
        <w:t>and (d) the Borrower or its Subsidiaries (including, for the avoidance of doubt, all Insurance Subsidiaries and any reinsurance</w:t>
      </w:r>
    </w:p>
    <w:p>
      <w:pPr>
        <w:spacing w:after="0" w:line="204" w:lineRule="auto"/>
        <w:rPr>
          <w:sz w:val="20"/>
          <w:szCs w:val="20"/>
          <w:color w:val="auto"/>
        </w:rPr>
      </w:pPr>
      <w:r>
        <w:rPr>
          <w:rFonts w:ascii="Times New Roman" w:cs="Times New Roman" w:eastAsia="Times New Roman" w:hAnsi="Times New Roman"/>
          <w:sz w:val="20"/>
          <w:szCs w:val="20"/>
          <w:color w:val="auto"/>
        </w:rPr>
        <w:t>Subsidiaries) to fail to maintain, (i) excess of loss reinsurance with a maximum limit in an amount no less than $500,000 per policy (or per occurrence) and (ii) catastrophe reinsurance that permits the ability to cede losses in excess of a retention no</w:t>
      </w:r>
    </w:p>
    <w:p>
      <w:pPr>
        <w:spacing w:after="0" w:line="211" w:lineRule="auto"/>
        <w:rPr>
          <w:sz w:val="20"/>
          <w:szCs w:val="20"/>
          <w:color w:val="auto"/>
        </w:rPr>
      </w:pPr>
      <w:r>
        <w:rPr>
          <w:rFonts w:ascii="Times New Roman" w:cs="Times New Roman" w:eastAsia="Times New Roman" w:hAnsi="Times New Roman"/>
          <w:sz w:val="20"/>
          <w:szCs w:val="20"/>
          <w:color w:val="auto"/>
        </w:rPr>
        <w:t>greater than 1.65% of trailing twelve months Gross Earned Premium as of the most recent Fiscal Month-end, in the case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and Fiscal Quarter-end, in the case of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as applicable (but at no time shall such amount exceed $40,000,000);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reinsurance company Subsidiary, such reinsurance company Subsidiary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 permitted to maintain its own reinsurance arrangements or otherwise limit such exposure by virtue of its relationship with other Insurance Subsidiaries’ other reinsurance contracts, in each case, so long as such reinsurance arrangements or other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limitation on exposure </w:t>
      </w:r>
      <w:r>
        <w:rPr>
          <w:rFonts w:ascii="Times New Roman" w:cs="Times New Roman" w:eastAsia="Times New Roman" w:hAnsi="Times New Roman"/>
          <w:sz w:val="20"/>
          <w:szCs w:val="20"/>
          <w:u w:val="single" w:color="auto"/>
          <w:color w:val="3051F2"/>
        </w:rPr>
        <w:t>(x)</w:t>
      </w:r>
      <w:r>
        <w:rPr>
          <w:rFonts w:ascii="Times New Roman" w:cs="Times New Roman" w:eastAsia="Times New Roman" w:hAnsi="Times New Roman"/>
          <w:sz w:val="20"/>
          <w:szCs w:val="20"/>
          <w:color w:val="auto"/>
        </w:rPr>
        <w:t xml:space="preserve"> is in form and substance reasonably acceptable to the Administrative Agent</w:t>
      </w:r>
      <w:r>
        <w:rPr>
          <w:rFonts w:ascii="Times New Roman" w:cs="Times New Roman" w:eastAsia="Times New Roman" w:hAnsi="Times New Roman"/>
          <w:sz w:val="20"/>
          <w:szCs w:val="20"/>
          <w:u w:val="single" w:color="auto"/>
          <w:color w:val="3051F2"/>
        </w:rPr>
        <w:t>, (y) is in connection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with reinsurance provided by RRC or (z) complies with Section 5.16</w:t>
      </w:r>
      <w:r>
        <w:rPr>
          <w:rFonts w:ascii="Times New Roman" w:cs="Times New Roman" w:eastAsia="Times New Roman" w:hAnsi="Times New Roman"/>
          <w:sz w:val="20"/>
          <w:szCs w:val="20"/>
          <w:color w:val="000000"/>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7.16. </w:t>
      </w:r>
      <w:r>
        <w:rPr>
          <w:rFonts w:ascii="Times New Roman" w:cs="Times New Roman" w:eastAsia="Times New Roman" w:hAnsi="Times New Roman"/>
          <w:sz w:val="20"/>
          <w:szCs w:val="20"/>
          <w:b w:val="1"/>
          <w:bCs w:val="1"/>
          <w:u w:val="single" w:color="auto"/>
          <w:color w:val="auto"/>
        </w:rPr>
        <w:t>Sanctions and Anti-Corruption Laws</w:t>
      </w:r>
      <w:r>
        <w:rPr>
          <w:rFonts w:ascii="Times New Roman" w:cs="Times New Roman" w:eastAsia="Times New Roman" w:hAnsi="Times New Roman"/>
          <w:sz w:val="20"/>
          <w:szCs w:val="20"/>
          <w:color w:val="auto"/>
        </w:rPr>
        <w:t>. Holdings and the Borrower shall not, and shall not permit any</w:t>
      </w:r>
    </w:p>
    <w:p>
      <w:pPr>
        <w:spacing w:after="0" w:line="204" w:lineRule="auto"/>
        <w:rPr>
          <w:sz w:val="20"/>
          <w:szCs w:val="20"/>
          <w:color w:val="auto"/>
        </w:rPr>
      </w:pPr>
      <w:r>
        <w:rPr>
          <w:rFonts w:ascii="Times New Roman" w:cs="Times New Roman" w:eastAsia="Times New Roman" w:hAnsi="Times New Roman"/>
          <w:sz w:val="20"/>
          <w:szCs w:val="20"/>
          <w:color w:val="auto"/>
        </w:rPr>
        <w:t>Subsidiary to, request any Loan, directly or indirectly, (x) use the proceeds of any Loan or (y) knowingly lend, contribute or otherwise make available such proceeds to any subsidiary, joint venture partner or other Person (i) to fund any activities or</w:t>
      </w:r>
    </w:p>
    <w:p>
      <w:pPr>
        <w:spacing w:after="0" w:line="223" w:lineRule="auto"/>
        <w:rPr>
          <w:sz w:val="20"/>
          <w:szCs w:val="20"/>
          <w:color w:val="auto"/>
        </w:rPr>
      </w:pPr>
      <w:r>
        <w:rPr>
          <w:rFonts w:ascii="Times New Roman" w:cs="Times New Roman" w:eastAsia="Times New Roman" w:hAnsi="Times New Roman"/>
          <w:sz w:val="19"/>
          <w:szCs w:val="19"/>
          <w:color w:val="auto"/>
        </w:rPr>
        <w:t>business of, or with, any Sanctioned Country or Sanctioned Person, (ii) in any other manner that would result in a violation of</w:t>
      </w:r>
    </w:p>
    <w:p>
      <w:pPr>
        <w:spacing w:after="0" w:line="215" w:lineRule="auto"/>
        <w:rPr>
          <w:sz w:val="20"/>
          <w:szCs w:val="20"/>
          <w:color w:val="auto"/>
        </w:rPr>
      </w:pPr>
      <w:r>
        <w:rPr>
          <w:rFonts w:ascii="Times New Roman" w:cs="Times New Roman" w:eastAsia="Times New Roman" w:hAnsi="Times New Roman"/>
          <w:sz w:val="19"/>
          <w:szCs w:val="19"/>
          <w:color w:val="auto"/>
        </w:rPr>
        <w:t>Sanctions by any Person (including any Person participating in the Loans) or (iii) in furtherance of an offer, payment, promise to pay or authorization of the payment or giving of money or anything else of value to any Person in violation of applicable</w:t>
      </w:r>
    </w:p>
    <w:p>
      <w:pPr>
        <w:spacing w:after="0"/>
        <w:rPr>
          <w:sz w:val="20"/>
          <w:szCs w:val="20"/>
          <w:color w:val="auto"/>
        </w:rPr>
      </w:pPr>
      <w:r>
        <w:rPr>
          <w:rFonts w:ascii="Times New Roman" w:cs="Times New Roman" w:eastAsia="Times New Roman" w:hAnsi="Times New Roman"/>
          <w:sz w:val="20"/>
          <w:szCs w:val="20"/>
          <w:color w:val="auto"/>
        </w:rPr>
        <w:t>Anti-Corruption Laws.</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Section 7.17. </w:t>
      </w:r>
      <w:r>
        <w:rPr>
          <w:rFonts w:ascii="Times New Roman" w:cs="Times New Roman" w:eastAsia="Times New Roman" w:hAnsi="Times New Roman"/>
          <w:sz w:val="19"/>
          <w:szCs w:val="19"/>
          <w:b w:val="1"/>
          <w:bCs w:val="1"/>
          <w:u w:val="single" w:color="auto"/>
          <w:color w:val="auto"/>
        </w:rPr>
        <w:t>Reinsurance Companies</w:t>
      </w:r>
      <w:r>
        <w:rPr>
          <w:rFonts w:ascii="Times New Roman" w:cs="Times New Roman" w:eastAsia="Times New Roman" w:hAnsi="Times New Roman"/>
          <w:sz w:val="19"/>
          <w:szCs w:val="19"/>
          <w:color w:val="auto"/>
        </w:rPr>
        <w:t>. Holdings and the Borrower shall not, and shall not permit any Subsidiary to,</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own or hold any Investment in, nor create or acquire any reinsurance company, in each case, excluding RRC</w:t>
      </w:r>
      <w:r>
        <w:rPr>
          <w:rFonts w:ascii="Times New Roman" w:cs="Times New Roman" w:eastAsia="Times New Roman" w:hAnsi="Times New Roman"/>
          <w:sz w:val="19"/>
          <w:szCs w:val="19"/>
          <w:u w:val="single" w:color="auto"/>
          <w:color w:val="3051F2"/>
        </w:rPr>
        <w:t>, any reinsurance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company that solely reinsures the risks of one or more Insurance Subsidiaries,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and any Investments in RRC</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or such</w:t>
      </w:r>
    </w:p>
    <w:p>
      <w:pPr>
        <w:spacing w:after="0"/>
        <w:rPr>
          <w:sz w:val="20"/>
          <w:szCs w:val="20"/>
          <w:color w:val="auto"/>
        </w:rPr>
      </w:pPr>
      <w:r>
        <w:rPr>
          <w:rFonts w:ascii="Times New Roman" w:cs="Times New Roman" w:eastAsia="Times New Roman" w:hAnsi="Times New Roman"/>
          <w:sz w:val="20"/>
          <w:szCs w:val="20"/>
          <w:u w:val="single" w:color="auto"/>
          <w:color w:val="3051F2"/>
        </w:rPr>
        <w:t>reinsurance company that are</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expressly permitted under</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u w:val="single" w:color="auto"/>
          <w:color w:val="000000"/>
        </w:rPr>
        <w:t>Section 7.4</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of this Agreement.</w:t>
      </w:r>
    </w:p>
    <w:p>
      <w:pPr>
        <w:spacing w:after="0" w:line="19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Section 7.18. </w:t>
      </w:r>
      <w:r>
        <w:rPr>
          <w:rFonts w:ascii="Times New Roman" w:cs="Times New Roman" w:eastAsia="Times New Roman" w:hAnsi="Times New Roman"/>
          <w:sz w:val="19"/>
          <w:szCs w:val="19"/>
          <w:b w:val="1"/>
          <w:bCs w:val="1"/>
          <w:u w:val="single" w:color="auto"/>
          <w:color w:val="auto"/>
        </w:rPr>
        <w:t>Other Liens and Guarantees</w:t>
      </w:r>
      <w:r>
        <w:rPr>
          <w:rFonts w:ascii="Times New Roman" w:cs="Times New Roman" w:eastAsia="Times New Roman" w:hAnsi="Times New Roman"/>
          <w:sz w:val="19"/>
          <w:szCs w:val="19"/>
          <w:color w:val="auto"/>
        </w:rPr>
        <w:t>. Notwithstanding anything to the contrary in this Agreement or any other Loan Document, Holdings and the Borrower shall not, and shall not permit any of their respective Subsidiaries to, (i) create,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incur, assume or suffer to exist any Lien on any of its assets or property now owned or hereafter acquired, in each case, securing any Pari Lien Debt, unless the Loans are secured by a valid and enforceable, first priority perfected Lien on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assets or property or (ii) Guarantee any Pari Lien Debt unless the Loans are Guaranteed on a pari passu basis with such Guarantee.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7.19. </w:t>
      </w:r>
      <w:r>
        <w:rPr>
          <w:rFonts w:ascii="Times New Roman" w:cs="Times New Roman" w:eastAsia="Times New Roman" w:hAnsi="Times New Roman"/>
          <w:sz w:val="20"/>
          <w:szCs w:val="20"/>
          <w:b w:val="1"/>
          <w:bCs w:val="1"/>
          <w:u w:val="single" w:color="auto"/>
          <w:color w:val="auto"/>
        </w:rPr>
        <w:t>Restricted Debt Payments</w:t>
      </w:r>
      <w:r>
        <w:rPr>
          <w:rFonts w:ascii="Times New Roman" w:cs="Times New Roman" w:eastAsia="Times New Roman" w:hAnsi="Times New Roman"/>
          <w:sz w:val="20"/>
          <w:szCs w:val="20"/>
          <w:color w:val="auto"/>
        </w:rPr>
        <w:t>. Holdings and the Borrower shall not, and shall not permit any of their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respective Subsidiaries to, make any payment or prepayment in cash, securities or other property on, or in respect of, principal of, or interest on, any (i) Subordinated Debt, (ii) Indebtedness permitted pursuant to </w:t>
      </w:r>
      <w:r>
        <w:rPr>
          <w:rFonts w:ascii="Times New Roman" w:cs="Times New Roman" w:eastAsia="Times New Roman" w:hAnsi="Times New Roman"/>
          <w:sz w:val="19"/>
          <w:szCs w:val="19"/>
          <w:u w:val="single" w:color="auto"/>
          <w:color w:val="auto"/>
        </w:rPr>
        <w:t>Section 7.1(p)</w:t>
      </w:r>
      <w:r>
        <w:rPr>
          <w:rFonts w:ascii="Times New Roman" w:cs="Times New Roman" w:eastAsia="Times New Roman" w:hAnsi="Times New Roman"/>
          <w:sz w:val="19"/>
          <w:szCs w:val="19"/>
          <w:color w:val="auto"/>
        </w:rPr>
        <w:t>, (iii) Indebtedness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permitted pursuant to </w:t>
      </w:r>
      <w:r>
        <w:rPr>
          <w:rFonts w:ascii="Times New Roman" w:cs="Times New Roman" w:eastAsia="Times New Roman" w:hAnsi="Times New Roman"/>
          <w:sz w:val="20"/>
          <w:szCs w:val="20"/>
          <w:u w:val="single" w:color="auto"/>
          <w:color w:val="auto"/>
        </w:rPr>
        <w:t>Section 7.1(r)</w:t>
      </w:r>
      <w:r>
        <w:rPr>
          <w:rFonts w:ascii="Times New Roman" w:cs="Times New Roman" w:eastAsia="Times New Roman" w:hAnsi="Times New Roman"/>
          <w:sz w:val="20"/>
          <w:szCs w:val="20"/>
          <w:color w:val="auto"/>
        </w:rPr>
        <w:t xml:space="preserve"> (including, for the avoidance of doubt, PIK Debt) and (iv) Pari Lien Debt (all such</w:t>
      </w:r>
    </w:p>
    <w:p>
      <w:pPr>
        <w:spacing w:after="0" w:line="221" w:lineRule="auto"/>
        <w:rPr>
          <w:sz w:val="20"/>
          <w:szCs w:val="20"/>
          <w:color w:val="auto"/>
        </w:rPr>
      </w:pPr>
      <w:r>
        <w:rPr>
          <w:rFonts w:ascii="Times New Roman" w:cs="Times New Roman" w:eastAsia="Times New Roman" w:hAnsi="Times New Roman"/>
          <w:sz w:val="20"/>
          <w:szCs w:val="20"/>
          <w:color w:val="auto"/>
        </w:rPr>
        <w:t>Indebtedness, collectively, the “</w:t>
      </w:r>
      <w:r>
        <w:rPr>
          <w:rFonts w:ascii="Times New Roman" w:cs="Times New Roman" w:eastAsia="Times New Roman" w:hAnsi="Times New Roman"/>
          <w:sz w:val="20"/>
          <w:szCs w:val="20"/>
          <w:u w:val="single" w:color="auto"/>
          <w:color w:val="auto"/>
        </w:rPr>
        <w:t>Restricted Debt</w:t>
      </w:r>
      <w:r>
        <w:rPr>
          <w:rFonts w:ascii="Times New Roman" w:cs="Times New Roman" w:eastAsia="Times New Roman" w:hAnsi="Times New Roman"/>
          <w:sz w:val="20"/>
          <w:szCs w:val="20"/>
          <w:color w:val="auto"/>
        </w:rPr>
        <w:t>”), including any sinking fund or similar deposit, on account of the purchase, redemption,</w:t>
      </w:r>
    </w:p>
    <w:p>
      <w:pPr>
        <w:sectPr>
          <w:pgSz w:w="11900" w:h="16838" w:orient="portrait"/>
          <w:cols w:equalWidth="0" w:num="1">
            <w:col w:w="10040"/>
          </w:cols>
          <w:pgMar w:left="1400" w:top="1314"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color w:val="auto"/>
        </w:rPr>
        <w:t>retirement, defeasance, acquisition, cancellation or termination of any Restricted Debt (collectively, “</w:t>
      </w:r>
      <w:r>
        <w:rPr>
          <w:rFonts w:ascii="Times New Roman" w:cs="Times New Roman" w:eastAsia="Times New Roman" w:hAnsi="Times New Roman"/>
          <w:sz w:val="20"/>
          <w:szCs w:val="20"/>
          <w:u w:val="single" w:color="auto"/>
          <w:color w:val="auto"/>
        </w:rPr>
        <w:t>Restricted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except:</w:t>
      </w:r>
    </w:p>
    <w:p>
      <w:pPr>
        <w:spacing w:after="0" w:line="264" w:lineRule="exact"/>
        <w:rPr>
          <w:sz w:val="20"/>
          <w:szCs w:val="20"/>
          <w:color w:val="auto"/>
        </w:rPr>
      </w:pPr>
    </w:p>
    <w:p>
      <w:pPr>
        <w:ind w:left="2160" w:hanging="857"/>
        <w:spacing w:after="0"/>
        <w:tabs>
          <w:tab w:leader="none" w:pos="21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Debt Payments (other than payments with respect to (x) the Contingent Line of Credit,</w:t>
      </w:r>
    </w:p>
    <w:p>
      <w:pPr>
        <w:jc w:val="both"/>
        <w:ind w:firstLine="7"/>
        <w:spacing w:after="0" w:line="215" w:lineRule="auto"/>
        <w:tabs>
          <w:tab w:leader="none" w:pos="29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Subordinated Debt to the extent prohibited by the subordination provisions thereof and (z) any Pari Lien Debt to the extent prohibited by the applicable Market Intercreditor Agreement) consisting of (i) regularly scheduled interest payments as and when due in respect of any Restricted Debt and (ii) dividends in respect of Permitted Convertible Indebtedness permitted pursuant to </w:t>
      </w:r>
      <w:r>
        <w:rPr>
          <w:rFonts w:ascii="Times New Roman" w:cs="Times New Roman" w:eastAsia="Times New Roman" w:hAnsi="Times New Roman"/>
          <w:sz w:val="20"/>
          <w:szCs w:val="20"/>
          <w:u w:val="single" w:color="auto"/>
          <w:color w:val="auto"/>
        </w:rPr>
        <w:t>Sections 7.1(r)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7.1(p)</w:t>
      </w:r>
      <w:r>
        <w:rPr>
          <w:rFonts w:ascii="Times New Roman" w:cs="Times New Roman" w:eastAsia="Times New Roman" w:hAnsi="Times New Roman"/>
          <w:sz w:val="20"/>
          <w:szCs w:val="20"/>
          <w:color w:val="auto"/>
        </w:rPr>
        <w:t>, in each case, solely to the extent such dividends are regularly scheduled and in a fixed amount (or fixed percentage);</w:t>
      </w:r>
    </w:p>
    <w:p>
      <w:pPr>
        <w:spacing w:after="0" w:line="189" w:lineRule="exact"/>
        <w:rPr>
          <w:rFonts w:ascii="Times New Roman" w:cs="Times New Roman" w:eastAsia="Times New Roman" w:hAnsi="Times New Roman"/>
          <w:sz w:val="20"/>
          <w:szCs w:val="20"/>
          <w:color w:val="auto"/>
        </w:rPr>
      </w:pPr>
    </w:p>
    <w:p>
      <w:pPr>
        <w:jc w:val="both"/>
        <w:ind w:firstLine="1303"/>
        <w:spacing w:after="0" w:line="226" w:lineRule="auto"/>
        <w:tabs>
          <w:tab w:leader="none" w:pos="2147"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Debt Payments (x) as a result of the conversion or exchange of all or any portion of Permitted Convertible Indebtedness into or for Qualified Capital Stock of Holdings as well as cash payment, in lieu of issuance of fractional shares, in connection therewith or (y) in the form of payment in kind;</w:t>
      </w:r>
    </w:p>
    <w:p>
      <w:pPr>
        <w:spacing w:after="0" w:line="200" w:lineRule="exact"/>
        <w:rPr>
          <w:rFonts w:ascii="Times New Roman" w:cs="Times New Roman" w:eastAsia="Times New Roman" w:hAnsi="Times New Roman"/>
          <w:sz w:val="20"/>
          <w:szCs w:val="20"/>
          <w:color w:val="auto"/>
        </w:rPr>
      </w:pPr>
    </w:p>
    <w:p>
      <w:pPr>
        <w:jc w:val="both"/>
        <w:ind w:firstLine="1304"/>
        <w:spacing w:after="0" w:line="222" w:lineRule="auto"/>
        <w:tabs>
          <w:tab w:leader="none" w:pos="2150"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prohibited by the intercreditor or subordination provisions applicable to the relevant Restricted Debt, repayments of principal and interest of any Indebtedness permitted hereunder with the proceeds of a Permitted Refinancing thereof or by exchange or conversion to Qualified Capital Stock of Holdings as well as cash payment, in lieu of issuance of fractional shares in connection therewith;</w:t>
      </w:r>
    </w:p>
    <w:p>
      <w:pPr>
        <w:spacing w:after="0" w:line="202" w:lineRule="exact"/>
        <w:rPr>
          <w:rFonts w:ascii="Times New Roman" w:cs="Times New Roman" w:eastAsia="Times New Roman" w:hAnsi="Times New Roman"/>
          <w:sz w:val="20"/>
          <w:szCs w:val="20"/>
          <w:color w:val="auto"/>
        </w:rPr>
      </w:pPr>
    </w:p>
    <w:p>
      <w:pPr>
        <w:ind w:right="20" w:firstLine="1304"/>
        <w:spacing w:after="0" w:line="269" w:lineRule="auto"/>
        <w:tabs>
          <w:tab w:leader="none" w:pos="214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exists or would result therefrom, payments under any Pari Lien Debt to the extent permitted under the applicable Market Intercreditor Agreement; and</w:t>
      </w:r>
    </w:p>
    <w:p>
      <w:pPr>
        <w:spacing w:after="0" w:line="167" w:lineRule="exact"/>
        <w:rPr>
          <w:rFonts w:ascii="Times New Roman" w:cs="Times New Roman" w:eastAsia="Times New Roman" w:hAnsi="Times New Roman"/>
          <w:sz w:val="20"/>
          <w:szCs w:val="20"/>
          <w:color w:val="auto"/>
        </w:rPr>
      </w:pPr>
    </w:p>
    <w:p>
      <w:pPr>
        <w:ind w:left="2160" w:hanging="857"/>
        <w:spacing w:after="0"/>
        <w:tabs>
          <w:tab w:leader="none" w:pos="2160"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Debt Payments (to the extent applicable) with respect to any Indebtedness under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Carvana Agreements.</w:t>
      </w:r>
    </w:p>
    <w:p>
      <w:pPr>
        <w:spacing w:after="0" w:line="25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VIII</w:t>
      </w:r>
    </w:p>
    <w:p>
      <w:pPr>
        <w:spacing w:after="0" w:line="29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w:t>
      </w:r>
    </w:p>
    <w:p>
      <w:pPr>
        <w:spacing w:after="0" w:line="31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b w:val="1"/>
          <w:bCs w:val="1"/>
          <w:u w:val="single" w:color="auto"/>
          <w:color w:val="auto"/>
        </w:rPr>
        <w:t>Events of Default</w:t>
      </w:r>
      <w:r>
        <w:rPr>
          <w:rFonts w:ascii="Times New Roman" w:cs="Times New Roman" w:eastAsia="Times New Roman" w:hAnsi="Times New Roman"/>
          <w:sz w:val="19"/>
          <w:szCs w:val="19"/>
          <w:color w:val="auto"/>
        </w:rPr>
        <w:t>. If any of the following events (each,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shall occur:</w:t>
      </w:r>
    </w:p>
    <w:p>
      <w:pPr>
        <w:spacing w:after="0" w:line="247" w:lineRule="exact"/>
        <w:rPr>
          <w:sz w:val="20"/>
          <w:szCs w:val="20"/>
          <w:color w:val="auto"/>
        </w:rPr>
      </w:pPr>
    </w:p>
    <w:p>
      <w:pPr>
        <w:ind w:firstLine="1303"/>
        <w:spacing w:after="0" w:line="283" w:lineRule="auto"/>
        <w:tabs>
          <w:tab w:leader="none" w:pos="215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when and as the same shall become due and payable, whether at the due date thereof or at a date fixed for prepayment or otherwise; or</w:t>
      </w:r>
    </w:p>
    <w:p>
      <w:pPr>
        <w:spacing w:after="0" w:line="159" w:lineRule="exact"/>
        <w:rPr>
          <w:rFonts w:ascii="Times New Roman" w:cs="Times New Roman" w:eastAsia="Times New Roman" w:hAnsi="Times New Roman"/>
          <w:sz w:val="20"/>
          <w:szCs w:val="20"/>
          <w:color w:val="auto"/>
        </w:rPr>
      </w:pPr>
    </w:p>
    <w:p>
      <w:pPr>
        <w:jc w:val="both"/>
        <w:ind w:firstLine="1303"/>
        <w:spacing w:after="0" w:line="222" w:lineRule="auto"/>
        <w:tabs>
          <w:tab w:leader="none" w:pos="214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pay any interest on any Loan or any fee or any other amount (other than an amount payable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of this Section) payable under this Agreement or any other Loan Document, when and as the same shall become due and payable, and such failure shall continue unremedied for a period of three (3) continuous Business Days; or</w:t>
      </w:r>
    </w:p>
    <w:p>
      <w:pPr>
        <w:spacing w:after="0" w:line="188" w:lineRule="exact"/>
        <w:rPr>
          <w:rFonts w:ascii="Times New Roman" w:cs="Times New Roman" w:eastAsia="Times New Roman" w:hAnsi="Times New Roman"/>
          <w:sz w:val="20"/>
          <w:szCs w:val="20"/>
          <w:color w:val="auto"/>
        </w:rPr>
      </w:pPr>
    </w:p>
    <w:p>
      <w:pPr>
        <w:jc w:val="both"/>
        <w:ind w:firstLine="1303"/>
        <w:spacing w:after="0" w:line="215" w:lineRule="auto"/>
        <w:tabs>
          <w:tab w:leader="none" w:pos="215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Holdings, the Borrower or any of their Subsidiaries in, or in connection with, this Agreement or any other Loan Document (including the Schedules attached hereto and thereto), or in any amendment or modification hereof or waiver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sectPr>
          <w:pgSz w:w="11900" w:h="16838" w:orient="portrait"/>
          <w:cols w:equalWidth="0" w:num="1">
            <w:col w:w="10040"/>
          </w:cols>
          <w:pgMar w:left="1400" w:top="1318" w:right="459" w:bottom="1440" w:gutter="0" w:footer="0" w:header="0"/>
        </w:sectPr>
      </w:pPr>
    </w:p>
    <w:bookmarkStart w:id="197" w:name="page198"/>
    <w:bookmarkEnd w:id="197"/>
    <w:p>
      <w:pPr>
        <w:jc w:val="both"/>
        <w:ind w:left="-7" w:firstLine="1303"/>
        <w:spacing w:after="0" w:line="245" w:lineRule="auto"/>
        <w:tabs>
          <w:tab w:leader="none" w:pos="214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Holdings or the Borrower shall fail to observe or perform any covenant or agreement contained in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(with respect to legal existence), </w:t>
      </w:r>
      <w:r>
        <w:rPr>
          <w:rFonts w:ascii="Times New Roman" w:cs="Times New Roman" w:eastAsia="Times New Roman" w:hAnsi="Times New Roman"/>
          <w:sz w:val="20"/>
          <w:szCs w:val="20"/>
          <w:u w:val="single" w:color="auto"/>
          <w:color w:val="auto"/>
        </w:rPr>
        <w:t>5.8(b)(iii)(B)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(ii) Holdings or the Borrower shall fail to observe or perform the covenant contained in </w:t>
      </w:r>
      <w:r>
        <w:rPr>
          <w:rFonts w:ascii="Times New Roman" w:cs="Times New Roman" w:eastAsia="Times New Roman" w:hAnsi="Times New Roman"/>
          <w:sz w:val="20"/>
          <w:szCs w:val="20"/>
          <w:u w:val="single" w:color="auto"/>
          <w:color w:val="auto"/>
        </w:rPr>
        <w:t>Section 5.2(a)(v)</w:t>
      </w:r>
      <w:r>
        <w:rPr>
          <w:rFonts w:ascii="Times New Roman" w:cs="Times New Roman" w:eastAsia="Times New Roman" w:hAnsi="Times New Roman"/>
          <w:sz w:val="20"/>
          <w:szCs w:val="20"/>
          <w:color w:val="auto"/>
        </w:rPr>
        <w:t xml:space="preserve">, and such failure shall remain unremedied for ten (10) continuous Business Days after any officer of the Borrower becomes aware of such failure or (iii) Holdings or the Borrower shall fail to satisfy the covenant contained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for </w:t>
      </w:r>
      <w:r>
        <w:rPr>
          <w:rFonts w:ascii="Times New Roman" w:cs="Times New Roman" w:eastAsia="Times New Roman" w:hAnsi="Times New Roman"/>
          <w:sz w:val="20"/>
          <w:szCs w:val="20"/>
          <w:color w:val="EE2724"/>
          <w:strike w:val="1"/>
        </w:rPr>
        <w:t>ten</w:t>
      </w:r>
      <w:r>
        <w:rPr>
          <w:rFonts w:ascii="Times New Roman" w:cs="Times New Roman" w:eastAsia="Times New Roman" w:hAnsi="Times New Roman"/>
          <w:sz w:val="20"/>
          <w:szCs w:val="20"/>
          <w:u w:val="single" w:color="auto"/>
          <w:color w:val="3051F2"/>
        </w:rPr>
        <w:t>five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E2724"/>
          <w:strike w:val="1"/>
        </w:rPr>
        <w:t>10</w:t>
      </w:r>
      <w:r>
        <w:rPr>
          <w:rFonts w:ascii="Times New Roman" w:cs="Times New Roman" w:eastAsia="Times New Roman" w:hAnsi="Times New Roman"/>
          <w:sz w:val="20"/>
          <w:szCs w:val="20"/>
          <w:u w:val="single" w:color="auto"/>
          <w:color w:val="3051F2"/>
        </w:rPr>
        <w:t>5</w:t>
      </w:r>
      <w:r>
        <w:rPr>
          <w:rFonts w:ascii="Times New Roman" w:cs="Times New Roman" w:eastAsia="Times New Roman" w:hAnsi="Times New Roman"/>
          <w:sz w:val="20"/>
          <w:szCs w:val="20"/>
          <w:color w:val="auto"/>
        </w:rPr>
        <w:t>) consecutive Business Days; or</w:t>
      </w:r>
    </w:p>
    <w:p>
      <w:pPr>
        <w:spacing w:after="0" w:line="211" w:lineRule="exact"/>
        <w:rPr>
          <w:rFonts w:ascii="Times New Roman" w:cs="Times New Roman" w:eastAsia="Times New Roman" w:hAnsi="Times New Roman"/>
          <w:sz w:val="20"/>
          <w:szCs w:val="20"/>
          <w:color w:val="auto"/>
        </w:rPr>
      </w:pPr>
    </w:p>
    <w:p>
      <w:pPr>
        <w:jc w:val="both"/>
        <w:ind w:left="-7" w:firstLine="1303"/>
        <w:spacing w:after="0" w:line="247" w:lineRule="auto"/>
        <w:tabs>
          <w:tab w:leader="none" w:pos="2143"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or agreement contained in this Agreement (other than those referred to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Section) or any other Loan Document, and such failure shall remain unremedied for thirty (30) days after the earlier of</w:t>
      </w:r>
    </w:p>
    <w:p>
      <w:pPr>
        <w:ind w:left="-7" w:firstLine="7"/>
        <w:spacing w:after="0" w:line="246" w:lineRule="auto"/>
        <w:tabs>
          <w:tab w:leader="none" w:pos="20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officer of the Borrower becoming aware of such failure or (ii) notice thereof shall have been given to the Borrower by the Administrative Agent or any Lender; or</w:t>
      </w:r>
    </w:p>
    <w:p>
      <w:pPr>
        <w:spacing w:after="0" w:line="208" w:lineRule="exact"/>
        <w:rPr>
          <w:rFonts w:ascii="Times New Roman" w:cs="Times New Roman" w:eastAsia="Times New Roman" w:hAnsi="Times New Roman"/>
          <w:sz w:val="20"/>
          <w:szCs w:val="20"/>
          <w:color w:val="auto"/>
        </w:rPr>
      </w:pPr>
    </w:p>
    <w:p>
      <w:pPr>
        <w:jc w:val="both"/>
        <w:ind w:left="-7" w:firstLine="1303"/>
        <w:spacing w:after="0" w:line="252" w:lineRule="auto"/>
        <w:tabs>
          <w:tab w:leader="none" w:pos="1563"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(i)(A) Holdings, the Borrower or any of their respective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(B) any other event shall occur or condition shall exist under the Pari Lien Debt Documents (if any), if the effect of such event or condition is to accelerate, or permit the acceleration of, the maturity of the Indebtedness thereunder; or (C)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or (D)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in each case, excluding any prepayment or redemption requirements in connection with an asset sale or disposition permitted under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of assets that secure Material Indebtedness (to the extent that the Material Indebtedness being required to be prepaid or redeemed secures only the assets that were sold); </w:t>
      </w:r>
      <w:r>
        <w:rPr>
          <w:rFonts w:ascii="Times New Roman" w:cs="Times New Roman" w:eastAsia="Times New Roman" w:hAnsi="Times New Roman"/>
          <w:sz w:val="19"/>
          <w:szCs w:val="19"/>
          <w:u w:val="single" w:color="auto"/>
          <w:color w:val="auto"/>
        </w:rPr>
        <w:t>provide</w:t>
      </w:r>
      <w:r>
        <w:rPr>
          <w:rFonts w:ascii="Times New Roman" w:cs="Times New Roman" w:eastAsia="Times New Roman" w:hAnsi="Times New Roman"/>
          <w:sz w:val="19"/>
          <w:szCs w:val="19"/>
          <w:color w:val="auto"/>
        </w:rPr>
        <w:t xml:space="preserve">d that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not apply to any conversion or exchange of any Permitted Convertible Indebtedness or satisfaction of any condition giving rise to or permitting a conversion or exchange of any Permitted Convertible Indebtedness, in either case, into cash, Qualified Capital Stock of Holdings (and nominal cash payments in respect of fractional shares) or any combination thereof in accordance with the express terms or conditions thereof or (ii) there occurs under any Hedging Transaction an Early Termination Date (as defined in such Hedging Transaction) resulting from (x) any event of default under such Hedging Transaction as to which Holdings or any of its Subsidiaries is the Defaulting Party (as defined in such Hedging Transaction) and the Hedge Termination Value owed by Holdings or such Subsidiary as a result thereof is greater than the Threshold Amount or (y) any Termination Event (as so defined) under such Hedging Transaction as to which Holdings or any Subsidiary is an Affected Party (as so defined) and the Hedge Termination Value owed by Holdings or such Subsidiary as a result thereof is greater than the Threshold Amount and is not paid; or</w:t>
      </w:r>
    </w:p>
    <w:p>
      <w:pPr>
        <w:spacing w:after="0" w:line="200" w:lineRule="exact"/>
        <w:rPr>
          <w:rFonts w:ascii="Times New Roman" w:cs="Times New Roman" w:eastAsia="Times New Roman" w:hAnsi="Times New Roman"/>
          <w:sz w:val="19"/>
          <w:szCs w:val="19"/>
          <w:color w:val="auto"/>
        </w:rPr>
      </w:pPr>
    </w:p>
    <w:p>
      <w:pPr>
        <w:spacing w:after="0" w:line="234" w:lineRule="exact"/>
        <w:rPr>
          <w:rFonts w:ascii="Times New Roman" w:cs="Times New Roman" w:eastAsia="Times New Roman" w:hAnsi="Times New Roman"/>
          <w:sz w:val="19"/>
          <w:szCs w:val="19"/>
          <w:color w:val="auto"/>
        </w:rPr>
      </w:pPr>
    </w:p>
    <w:p>
      <w:pPr>
        <w:jc w:val="both"/>
        <w:ind w:left="-7" w:firstLine="1303"/>
        <w:spacing w:after="0" w:line="263" w:lineRule="auto"/>
        <w:tabs>
          <w:tab w:leader="none" w:pos="2140"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Holdings, the Borrower or any of their respective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w:t>
      </w:r>
      <w:r>
        <w:rPr>
          <w:rFonts w:ascii="Times New Roman" w:cs="Times New Roman" w:eastAsia="Times New Roman" w:hAnsi="Times New Roman"/>
          <w:sz w:val="19"/>
          <w:szCs w:val="19"/>
          <w:u w:val="single" w:color="auto"/>
          <w:color w:val="auto"/>
        </w:rPr>
        <w:t>subsection (i)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w:t>
      </w:r>
    </w:p>
    <w:p>
      <w:pPr>
        <w:sectPr>
          <w:pgSz w:w="11900" w:h="16838" w:orient="portrait"/>
          <w:cols w:equalWidth="0" w:num="1">
            <w:col w:w="10033"/>
          </w:cols>
          <w:pgMar w:left="1407" w:top="1332" w:right="459" w:bottom="1440" w:gutter="0" w:footer="0" w:header="0"/>
        </w:sectPr>
      </w:pPr>
    </w:p>
    <w:bookmarkStart w:id="198" w:name="page199"/>
    <w:bookmarkEnd w:id="198"/>
    <w:p>
      <w:pPr>
        <w:jc w:val="both"/>
        <w:ind w:left="-7" w:firstLine="7"/>
        <w:spacing w:after="0" w:line="249" w:lineRule="auto"/>
        <w:tabs>
          <w:tab w:leader="none" w:pos="34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for, or consent to, the appointment of a custodian, trustee, receiver, liquidator or other similar official for Holdings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93" w:lineRule="exact"/>
        <w:rPr>
          <w:rFonts w:ascii="Times New Roman" w:cs="Times New Roman" w:eastAsia="Times New Roman" w:hAnsi="Times New Roman"/>
          <w:sz w:val="20"/>
          <w:szCs w:val="20"/>
          <w:color w:val="auto"/>
        </w:rPr>
      </w:pPr>
    </w:p>
    <w:p>
      <w:pPr>
        <w:jc w:val="both"/>
        <w:ind w:left="-7" w:firstLine="1303"/>
        <w:spacing w:after="0" w:line="218" w:lineRule="auto"/>
        <w:tabs>
          <w:tab w:leader="none" w:pos="21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Holdings or any of its Subsidiaries or its debts, or any substantial part of its assets, under any federal, state or foreign bankruptcy, insolvency or other similar law now or hereafter in effect or (ii) the appointment of a custodian, trustee, receiver, liquidator or other similar official for Holdings or any of its Subsidiaries or for a substantial part of its assets and, in any such case, such proceeding or petition shall remain undismissed for a period of sixty (60) days or an order or decree approving or ordering any of the foregoing shall be entered; or</w:t>
      </w:r>
    </w:p>
    <w:p>
      <w:pPr>
        <w:spacing w:after="0" w:line="191" w:lineRule="exact"/>
        <w:rPr>
          <w:rFonts w:ascii="Times New Roman" w:cs="Times New Roman" w:eastAsia="Times New Roman" w:hAnsi="Times New Roman"/>
          <w:sz w:val="20"/>
          <w:szCs w:val="20"/>
          <w:color w:val="auto"/>
        </w:rPr>
      </w:pPr>
    </w:p>
    <w:p>
      <w:pPr>
        <w:jc w:val="both"/>
        <w:ind w:left="-7" w:right="20" w:firstLine="1303"/>
        <w:spacing w:after="0" w:line="226" w:lineRule="auto"/>
        <w:tabs>
          <w:tab w:leader="none" w:pos="155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effectiveness thereof, the provisions of any Market Intercreditor Agreement or any subordination agreement between the Administrative Agent and the agent for the Subordinated Debt ceases to be effective or ceases to be legally valid, binding and enforceable against the Persons party thereto, except in accordance with its terms; or</w:t>
      </w:r>
    </w:p>
    <w:p>
      <w:pPr>
        <w:spacing w:after="0" w:line="200" w:lineRule="exact"/>
        <w:rPr>
          <w:rFonts w:ascii="Times New Roman" w:cs="Times New Roman" w:eastAsia="Times New Roman" w:hAnsi="Times New Roman"/>
          <w:sz w:val="20"/>
          <w:szCs w:val="20"/>
          <w:color w:val="auto"/>
        </w:rPr>
      </w:pPr>
    </w:p>
    <w:p>
      <w:pPr>
        <w:ind w:left="-7" w:right="20" w:firstLine="1303"/>
        <w:spacing w:after="0" w:line="233" w:lineRule="auto"/>
        <w:tabs>
          <w:tab w:leader="none" w:pos="155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Borrower or any of their respective Subsidiaries shall become unable to pay, shall admit in writing its inability to pay, or shall fail to pay, its debts as they become due; or</w:t>
      </w:r>
    </w:p>
    <w:p>
      <w:pPr>
        <w:spacing w:after="0" w:line="201" w:lineRule="exact"/>
        <w:rPr>
          <w:rFonts w:ascii="Times New Roman" w:cs="Times New Roman" w:eastAsia="Times New Roman" w:hAnsi="Times New Roman"/>
          <w:sz w:val="20"/>
          <w:szCs w:val="20"/>
          <w:color w:val="auto"/>
        </w:rPr>
      </w:pPr>
    </w:p>
    <w:p>
      <w:pPr>
        <w:jc w:val="both"/>
        <w:ind w:left="-7" w:firstLine="1303"/>
        <w:spacing w:after="0" w:line="217" w:lineRule="auto"/>
        <w:tabs>
          <w:tab w:leader="none" w:pos="21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 ERISA Event shall have occurred that, when taken together with other ERISA Events that have occurred, would reasonably be expected to result in liability to Holdings, the Borrower or any of their respective Subsidiaries in an aggregate amount exceeding $10,000,000, (ii) the aggregate amount of Unfunded Pension Liabilities (not taking into account Plans with negative Unfunded Pension Liability) exceeds $10,000,000, or (iii) there is or arises any incurred Withdrawal Liability in an aggregate amount exceeding $10,000,000; or</w:t>
      </w:r>
    </w:p>
    <w:p>
      <w:pPr>
        <w:spacing w:after="0" w:line="188" w:lineRule="exact"/>
        <w:rPr>
          <w:rFonts w:ascii="Times New Roman" w:cs="Times New Roman" w:eastAsia="Times New Roman" w:hAnsi="Times New Roman"/>
          <w:sz w:val="20"/>
          <w:szCs w:val="20"/>
          <w:color w:val="auto"/>
        </w:rPr>
      </w:pPr>
    </w:p>
    <w:p>
      <w:pPr>
        <w:jc w:val="both"/>
        <w:ind w:left="-7" w:firstLine="1303"/>
        <w:spacing w:after="0" w:line="216" w:lineRule="auto"/>
        <w:tabs>
          <w:tab w:leader="none" w:pos="155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judgment, order for the payment of money, writ, warrant of attachment or similar process involving an amount (to the extent not paid or covered by insurance as to which the relevant insurance company has not denied coverage) in excess of $10,000,000 in the aggregate shall be rendered against Holdings or any of its Subsidiaries and, either (i) enforcement proceedings shall have been commenced by any creditor upon such judgment or order or (ii) there shall be a period of thirty (30) consecutive days during which a stay of enforcement of such judgment or order, by reason of a pending appeal or otherwise, shall not be in effect; or</w:t>
      </w:r>
    </w:p>
    <w:p>
      <w:pPr>
        <w:spacing w:after="0" w:line="185" w:lineRule="exact"/>
        <w:rPr>
          <w:rFonts w:ascii="Times New Roman" w:cs="Times New Roman" w:eastAsia="Times New Roman" w:hAnsi="Times New Roman"/>
          <w:sz w:val="20"/>
          <w:szCs w:val="20"/>
          <w:color w:val="auto"/>
        </w:rPr>
      </w:pPr>
    </w:p>
    <w:p>
      <w:pPr>
        <w:jc w:val="both"/>
        <w:ind w:left="-7" w:firstLine="1302"/>
        <w:spacing w:after="0" w:line="223" w:lineRule="auto"/>
        <w:tabs>
          <w:tab w:leader="none" w:pos="21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monetary judgment or order shall be rendered against Holdings or any of its Subsidiaries that would reasonably be expected, either individually or in the aggregate, to have a Material Adverse Effect, and there shall be a period of thirty (30) consecutive days during which a stay of enforcement of such judgment or order, by reason of a pending appeal or otherwise, shall not be in effect; or</w:t>
      </w:r>
    </w:p>
    <w:p>
      <w:pPr>
        <w:spacing w:after="0" w:line="202" w:lineRule="exact"/>
        <w:rPr>
          <w:rFonts w:ascii="Times New Roman" w:cs="Times New Roman" w:eastAsia="Times New Roman" w:hAnsi="Times New Roman"/>
          <w:sz w:val="20"/>
          <w:szCs w:val="20"/>
          <w:color w:val="auto"/>
        </w:rPr>
      </w:pPr>
    </w:p>
    <w:p>
      <w:pPr>
        <w:jc w:val="both"/>
        <w:ind w:left="-7" w:firstLine="1303"/>
        <w:spacing w:after="0" w:line="215" w:lineRule="auto"/>
        <w:tabs>
          <w:tab w:leader="none" w:pos="21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termination (without a substantially similar replacement as reasonably determined by the Required Lenders) of the RIC Authorized Producer Agreement or the RPC Authorized Producer Agreement, (ii) a decrease in rates charged under the RIC Authorized Producer Agreement of more than 5.0% in any Fiscal Quarter or more than 7.5% in the aggregate during the term of this Agreement, (iii) a decrease in rates charged under the RPC Authorized Producer Agreement of more than 5.0% in any Fiscal Quarter or more than 7.5% in the aggregate during the term of this Agreement or (iv) any other change to the RIC Authorized Producer Agreement or the RPC Authorized Producer Agreement that is adverse to the interests of the Lenders;</w:t>
      </w:r>
    </w:p>
    <w:p>
      <w:pPr>
        <w:sectPr>
          <w:pgSz w:w="11900" w:h="16838" w:orient="portrait"/>
          <w:cols w:equalWidth="0" w:num="1">
            <w:col w:w="10033"/>
          </w:cols>
          <w:pgMar w:left="1407" w:top="1332" w:right="459" w:bottom="1440" w:gutter="0" w:footer="0" w:header="0"/>
        </w:sectPr>
      </w:pPr>
    </w:p>
    <w:bookmarkStart w:id="199" w:name="page200"/>
    <w:bookmarkEnd w:id="199"/>
    <w:p>
      <w:pPr>
        <w:jc w:val="both"/>
        <w:ind w:firstLine="1303"/>
        <w:spacing w:after="0" w:line="215" w:lineRule="auto"/>
        <w:tabs>
          <w:tab w:leader="none" w:pos="214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court, Governmental Authority, including any Insurance Regulatory Authority, shall condemn, seize or otherwise appropriate, or take custody or control of, all or any portion of the property of Holdings, the Borrower or any of their respective Subsidiaries which, when taken together with all other property of Holdings, the Borrower and their respective Subsidiaries so condemned, seized, appropriated or taken custody or control of, during the twelve-month period ending with the month in which any such action occurs, exceeds $10,000,000, in each case, except to the extent Holdings, the Borrower or any of their respective Subsidiaries receive fair compensation in respect of such condemnation, seizure or appropriation and the net cash proceeds thereof are applied in accordance with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or</w:t>
      </w:r>
    </w:p>
    <w:p>
      <w:pPr>
        <w:spacing w:after="0" w:line="285" w:lineRule="exact"/>
        <w:rPr>
          <w:rFonts w:ascii="Times New Roman" w:cs="Times New Roman" w:eastAsia="Times New Roman" w:hAnsi="Times New Roman"/>
          <w:sz w:val="20"/>
          <w:szCs w:val="20"/>
          <w:color w:val="auto"/>
        </w:rPr>
      </w:pPr>
    </w:p>
    <w:p>
      <w:pPr>
        <w:jc w:val="both"/>
        <w:ind w:firstLine="1303"/>
        <w:spacing w:after="0" w:line="215" w:lineRule="auto"/>
        <w:tabs>
          <w:tab w:leader="none" w:pos="214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one or more licenses, permits, accreditations or authorizations of Holdings, the Borrower or any of their respective Subsidiaries, including any Insurance License with respect to any Insurance Subsidiary, shall be suspended, limited, modified or terminated or shall not be renewed, and such suspension, limitation, modification, termination or non-renewal would reasonably be expected to result in a Material Adverse Effect, or any other action shall be taken, by any Governmental Authority in response to any alleged failure by Holdings, the Borrower or any of their respective Subsidiaries to be in compliance with applicable law, and such action, individually or in the aggregate, has or would reasonably be expected to have a Material Adverse Effect;</w:t>
      </w:r>
    </w:p>
    <w:p>
      <w:pPr>
        <w:spacing w:after="0" w:line="177" w:lineRule="exact"/>
        <w:rPr>
          <w:rFonts w:ascii="Times New Roman" w:cs="Times New Roman" w:eastAsia="Times New Roman" w:hAnsi="Times New Roman"/>
          <w:sz w:val="20"/>
          <w:szCs w:val="20"/>
          <w:color w:val="auto"/>
        </w:rPr>
      </w:pPr>
    </w:p>
    <w:p>
      <w:pPr>
        <w:ind w:left="1940" w:hanging="637"/>
        <w:spacing w:after="0"/>
        <w:tabs>
          <w:tab w:leader="none" w:pos="194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shall occur or exist; or</w:t>
      </w:r>
    </w:p>
    <w:p>
      <w:pPr>
        <w:spacing w:after="0" w:line="229" w:lineRule="exact"/>
        <w:rPr>
          <w:rFonts w:ascii="Times New Roman" w:cs="Times New Roman" w:eastAsia="Times New Roman" w:hAnsi="Times New Roman"/>
          <w:sz w:val="20"/>
          <w:szCs w:val="20"/>
          <w:color w:val="auto"/>
        </w:rPr>
      </w:pPr>
    </w:p>
    <w:p>
      <w:pPr>
        <w:jc w:val="both"/>
        <w:ind w:firstLine="1303"/>
        <w:spacing w:after="0" w:line="218" w:lineRule="auto"/>
        <w:tabs>
          <w:tab w:leader="none" w:pos="157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provision of the Guaranty and Security Agreement or any other Collateral Document shall for any reason cease to be valid and binding on, or enforceable against, any Loan Party, or any Loan Party shall so state in writing, or any Loan Party shall seek to terminate its obligations under the Guaranty and Security Agreement or any other Collateral Document (other than the release of any guaranty or collateral to the extent permitted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or</w:t>
      </w:r>
    </w:p>
    <w:p>
      <w:pPr>
        <w:spacing w:after="0" w:line="28" w:lineRule="exact"/>
        <w:rPr>
          <w:rFonts w:ascii="Times New Roman" w:cs="Times New Roman" w:eastAsia="Times New Roman" w:hAnsi="Times New Roman"/>
          <w:sz w:val="20"/>
          <w:szCs w:val="20"/>
          <w:color w:val="auto"/>
        </w:rPr>
      </w:pPr>
    </w:p>
    <w:p>
      <w:pPr>
        <w:jc w:val="both"/>
        <w:ind w:firstLine="1303"/>
        <w:spacing w:after="0" w:line="261" w:lineRule="auto"/>
        <w:tabs>
          <w:tab w:leader="none" w:pos="158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purported to be created under any Collateral Document shall fail or cease to be, or shall be asserted by any Loan Party not to be, a valid and perfected Lien on any Collateral, with the priority required by the applicable Collateral Documents;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then, and in every such event (other than an event described in </w:t>
      </w:r>
      <w:r>
        <w:rPr>
          <w:rFonts w:ascii="Times New Roman" w:cs="Times New Roman" w:eastAsia="Times New Roman" w:hAnsi="Times New Roman"/>
          <w:sz w:val="19"/>
          <w:szCs w:val="19"/>
          <w:u w:val="single" w:color="auto"/>
          <w:color w:val="auto"/>
        </w:rPr>
        <w:t>subsection (g)</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of this Section) and at any time thereafter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during the continuance of such event, the Administrative Agent may, and upon the written request of the Required Lenders shall, by notice to the Borrower, take any or all of the following actions, at the same or different times: (i) terminate the</w:t>
      </w:r>
    </w:p>
    <w:p>
      <w:pPr>
        <w:spacing w:after="0" w:line="211" w:lineRule="auto"/>
        <w:rPr>
          <w:sz w:val="20"/>
          <w:szCs w:val="20"/>
          <w:color w:val="auto"/>
        </w:rPr>
      </w:pPr>
      <w:r>
        <w:rPr>
          <w:rFonts w:ascii="Times New Roman" w:cs="Times New Roman" w:eastAsia="Times New Roman" w:hAnsi="Times New Roman"/>
          <w:sz w:val="20"/>
          <w:szCs w:val="20"/>
          <w:color w:val="auto"/>
        </w:rPr>
        <w:t>Commitments, whereupon the Commitment of each Lender shall terminate immediately, (ii) declare the principal of and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accrued interest and Prepayment Premium on the Loans, and all other Obligations owing hereunder, to be, whereupon the same shall become, due and payable immediately, without presentment, demand, protest or other notice of any kind, all of</w:t>
      </w:r>
    </w:p>
    <w:p>
      <w:pPr>
        <w:spacing w:after="0" w:line="223" w:lineRule="auto"/>
        <w:rPr>
          <w:sz w:val="20"/>
          <w:szCs w:val="20"/>
          <w:color w:val="auto"/>
        </w:rPr>
      </w:pPr>
      <w:r>
        <w:rPr>
          <w:rFonts w:ascii="Times New Roman" w:cs="Times New Roman" w:eastAsia="Times New Roman" w:hAnsi="Times New Roman"/>
          <w:sz w:val="19"/>
          <w:szCs w:val="19"/>
          <w:color w:val="auto"/>
        </w:rPr>
        <w:t>which are hereby waived by the Borrower, (iii) exercise all remedies contained in any other Loan Document and (iv) exercise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other remedies available at law or in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 Event of Default specified in either </w:t>
      </w:r>
      <w:r>
        <w:rPr>
          <w:rFonts w:ascii="Times New Roman" w:cs="Times New Roman" w:eastAsia="Times New Roman" w:hAnsi="Times New Roman"/>
          <w:sz w:val="20"/>
          <w:szCs w:val="20"/>
          <w:u w:val="single" w:color="auto"/>
          <w:color w:val="auto"/>
        </w:rPr>
        <w:t>subsection (g)</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shall occur, the Commitments shall automatically terminate and the principal of the Loans then outstanding, together with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accrued interest thereon, and all fees and all other Obligations shall automatically become due and payable, without presentment, demand, protest or other notice of any kind, all of which are hereby waived by the Loan Parties.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b w:val="1"/>
          <w:bCs w:val="1"/>
          <w:u w:val="single" w:color="auto"/>
          <w:color w:val="auto"/>
        </w:rPr>
        <w:t>Application of Proceeds</w:t>
      </w:r>
      <w:r>
        <w:rPr>
          <w:rFonts w:ascii="Times New Roman" w:cs="Times New Roman" w:eastAsia="Times New Roman" w:hAnsi="Times New Roman"/>
          <w:sz w:val="20"/>
          <w:szCs w:val="20"/>
          <w:color w:val="auto"/>
        </w:rPr>
        <w:t>. All payments received by the Administrative Agent under any Loan</w:t>
      </w:r>
    </w:p>
    <w:p>
      <w:pPr>
        <w:jc w:val="both"/>
        <w:spacing w:after="0" w:line="233" w:lineRule="auto"/>
        <w:rPr>
          <w:sz w:val="20"/>
          <w:szCs w:val="20"/>
          <w:color w:val="auto"/>
        </w:rPr>
      </w:pPr>
      <w:r>
        <w:rPr>
          <w:rFonts w:ascii="Times New Roman" w:cs="Times New Roman" w:eastAsia="Times New Roman" w:hAnsi="Times New Roman"/>
          <w:sz w:val="19"/>
          <w:szCs w:val="19"/>
          <w:color w:val="auto"/>
        </w:rPr>
        <w:t>Document, including all proceeds from each sale of, or other realization upon, all or any part of the Collateral by any Secured Party after an Event of Default arises shall, subject to the terms of any Market Intercreditor Agreement, be applied as follows:</w:t>
      </w:r>
    </w:p>
    <w:p>
      <w:pPr>
        <w:sectPr>
          <w:pgSz w:w="11900" w:h="16838" w:orient="portrait"/>
          <w:cols w:equalWidth="0" w:num="1">
            <w:col w:w="10040"/>
          </w:cols>
          <w:pgMar w:left="1400" w:top="1318" w:right="459" w:bottom="1440" w:gutter="0" w:footer="0" w:header="0"/>
        </w:sectPr>
      </w:pPr>
    </w:p>
    <w:bookmarkStart w:id="200" w:name="page201"/>
    <w:bookmarkEnd w:id="200"/>
    <w:p>
      <w:pPr>
        <w:ind w:right="20" w:firstLine="1304"/>
        <w:spacing w:after="0"/>
        <w:tabs>
          <w:tab w:leader="none" w:pos="215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the reimbursable expenses of the Administrative Agent and the Lenders incurred in connection with such sale or other realization upon the Collateral, until the same shall have been paid in full;</w:t>
      </w:r>
    </w:p>
    <w:p>
      <w:pPr>
        <w:spacing w:after="0" w:line="188" w:lineRule="exact"/>
        <w:rPr>
          <w:rFonts w:ascii="Times New Roman" w:cs="Times New Roman" w:eastAsia="Times New Roman" w:hAnsi="Times New Roman"/>
          <w:sz w:val="20"/>
          <w:szCs w:val="20"/>
          <w:color w:val="auto"/>
        </w:rPr>
      </w:pPr>
    </w:p>
    <w:p>
      <w:pPr>
        <w:ind w:right="20" w:firstLine="1304"/>
        <w:spacing w:after="0"/>
        <w:tabs>
          <w:tab w:leader="none" w:pos="21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the fees, indemnitees and other reimbursable expenses of the Administrative Agent and the Lenders then due and payable pursuant to any of the Loan Documents, until the same shall have been paid in full;</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215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fees, interest and premium (including any Prepayment Premium) then due and payable under the terms of this Agreement, until the same shall have been paid in full;</w:t>
      </w:r>
    </w:p>
    <w:p>
      <w:pPr>
        <w:spacing w:after="0" w:line="187" w:lineRule="exact"/>
        <w:rPr>
          <w:rFonts w:ascii="Times New Roman" w:cs="Times New Roman" w:eastAsia="Times New Roman" w:hAnsi="Times New Roman"/>
          <w:sz w:val="20"/>
          <w:szCs w:val="20"/>
          <w:color w:val="auto"/>
        </w:rPr>
      </w:pPr>
    </w:p>
    <w:p>
      <w:pPr>
        <w:jc w:val="both"/>
        <w:ind w:firstLine="1304"/>
        <w:spacing w:after="0" w:line="230" w:lineRule="auto"/>
        <w:tabs>
          <w:tab w:leader="none" w:pos="21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aggregate outstanding principal amount of the Term Loans until the same shall have been paid in full, allocated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among the Secured Parties based on their respective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shares of the aggregate amount of such Term Loans; and</w:t>
      </w:r>
    </w:p>
    <w:p>
      <w:pPr>
        <w:spacing w:after="0" w:line="170" w:lineRule="exact"/>
        <w:rPr>
          <w:rFonts w:ascii="Times New Roman" w:cs="Times New Roman" w:eastAsia="Times New Roman" w:hAnsi="Times New Roman"/>
          <w:sz w:val="20"/>
          <w:szCs w:val="20"/>
          <w:color w:val="auto"/>
        </w:rPr>
      </w:pPr>
    </w:p>
    <w:p>
      <w:pPr>
        <w:ind w:left="2160" w:hanging="856"/>
        <w:spacing w:after="0"/>
        <w:tabs>
          <w:tab w:leader="none" w:pos="21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extent any proceeds remain, to the Borrower or as otherwise provided by a court of</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competent jurisdiction.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All amounts allocated pursuant to the foregoing clauses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Lenders as a result of amounts owed to the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Lenders under the Loan Documents shall be allocated among, and distributed to,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based on their respective Pro Rata Shares.</w:t>
      </w:r>
    </w:p>
    <w:p>
      <w:pPr>
        <w:spacing w:after="0" w:line="2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u w:val="single" w:color="auto"/>
          <w:color w:val="auto"/>
        </w:rPr>
        <w:t>ARTICLE IX</w:t>
      </w:r>
    </w:p>
    <w:p>
      <w:pPr>
        <w:spacing w:after="0" w:line="29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u w:val="single" w:color="auto"/>
          <w:color w:val="auto"/>
        </w:rPr>
        <w:t>THE ADMINISTRATIVE AGENT</w:t>
      </w:r>
    </w:p>
    <w:p>
      <w:pPr>
        <w:spacing w:after="0" w:line="31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9.1.</w:t>
      </w:r>
      <w:r>
        <w:rPr>
          <w:sz w:val="20"/>
          <w:szCs w:val="20"/>
          <w:color w:val="auto"/>
        </w:rPr>
        <w:tab/>
      </w:r>
      <w:r>
        <w:rPr>
          <w:rFonts w:ascii="Times New Roman" w:cs="Times New Roman" w:eastAsia="Times New Roman" w:hAnsi="Times New Roman"/>
          <w:sz w:val="19"/>
          <w:szCs w:val="19"/>
          <w:b w:val="1"/>
          <w:bCs w:val="1"/>
          <w:u w:val="single" w:color="auto"/>
          <w:color w:val="auto"/>
        </w:rPr>
        <w:t>Appointment of the Administrative Agent</w:t>
      </w:r>
      <w:r>
        <w:rPr>
          <w:rFonts w:ascii="Times New Roman" w:cs="Times New Roman" w:eastAsia="Times New Roman" w:hAnsi="Times New Roman"/>
          <w:sz w:val="19"/>
          <w:szCs w:val="19"/>
          <w:color w:val="auto"/>
        </w:rPr>
        <w:t>.</w:t>
      </w:r>
    </w:p>
    <w:p>
      <w:pPr>
        <w:spacing w:after="0" w:line="301" w:lineRule="exact"/>
        <w:rPr>
          <w:sz w:val="20"/>
          <w:szCs w:val="20"/>
          <w:color w:val="auto"/>
        </w:rPr>
      </w:pPr>
    </w:p>
    <w:p>
      <w:pPr>
        <w:jc w:val="both"/>
        <w:ind w:firstLine="1303"/>
        <w:spacing w:after="0" w:line="213" w:lineRule="auto"/>
        <w:tabs>
          <w:tab w:leader="none" w:pos="215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irrevocably appoints Acquiom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(other than financing sources). The exculpatory provisions set forth in this Article shall apply to any such sub-agent, attorney-in-fact or Related Party (other than any financing sources) and shall apply to their respective activities in connection with the syndication of the credit facilities provided for herein as well as activities as the Administrative Agent.</w:t>
      </w:r>
    </w:p>
    <w:p>
      <w:pPr>
        <w:spacing w:after="0" w:line="201" w:lineRule="exact"/>
        <w:rPr>
          <w:rFonts w:ascii="Times New Roman" w:cs="Times New Roman" w:eastAsia="Times New Roman" w:hAnsi="Times New Roman"/>
          <w:sz w:val="20"/>
          <w:szCs w:val="20"/>
          <w:color w:val="auto"/>
        </w:rPr>
      </w:pPr>
    </w:p>
    <w:p>
      <w:pPr>
        <w:ind w:left="1940" w:hanging="638"/>
        <w:spacing w:after="0"/>
        <w:tabs>
          <w:tab w:leader="none" w:pos="19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2"/>
        <w:spacing w:after="0" w:line="222" w:lineRule="auto"/>
        <w:tabs>
          <w:tab w:leader="none" w:pos="214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ectPr>
          <w:pgSz w:w="11900" w:h="16838" w:orient="portrait"/>
          <w:cols w:equalWidth="0" w:num="1">
            <w:col w:w="10040"/>
          </w:cols>
          <w:pgMar w:left="1400" w:top="1318" w:right="459" w:bottom="1440" w:gutter="0" w:footer="0" w:header="0"/>
        </w:sectPr>
      </w:pPr>
    </w:p>
    <w:bookmarkStart w:id="201" w:name="page202"/>
    <w:bookmarkEnd w:id="201"/>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b w:val="1"/>
          <w:bCs w:val="1"/>
          <w:u w:val="single" w:color="auto"/>
          <w:color w:val="auto"/>
        </w:rPr>
        <w:t>Nature of Duties of the Administrative Agent</w:t>
      </w:r>
      <w:r>
        <w:rPr>
          <w:rFonts w:ascii="Times New Roman" w:cs="Times New Roman" w:eastAsia="Times New Roman" w:hAnsi="Times New Roman"/>
          <w:sz w:val="20"/>
          <w:szCs w:val="20"/>
          <w:color w:val="auto"/>
        </w:rPr>
        <w:t>. The Administrative Agent shall not have any duties or obligations except those expressly set forth in this Agreement and the other Loan Documents. Without limiting the generality</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of the foregoing, (a) the Administrative Agent shall not be subject to any fiduciary or other implied duties, regardless of whether a Default or an Event of Default has occurred and is continuing, (b) the Administrative Agent shall not have any duty</w:t>
      </w:r>
    </w:p>
    <w:p>
      <w:pPr>
        <w:spacing w:after="0" w:line="211" w:lineRule="auto"/>
        <w:rPr>
          <w:sz w:val="20"/>
          <w:szCs w:val="20"/>
          <w:color w:val="auto"/>
        </w:rPr>
      </w:pPr>
      <w:r>
        <w:rPr>
          <w:rFonts w:ascii="Times New Roman" w:cs="Times New Roman" w:eastAsia="Times New Roman" w:hAnsi="Times New Roman"/>
          <w:sz w:val="20"/>
          <w:szCs w:val="20"/>
          <w:color w:val="auto"/>
        </w:rPr>
        <w:t>to take any discretionary action or exercise any discretionary powers, except those discretionary rights and powers expressly</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contemplated by the Loan Documents that the Administrative Agent is required to exercise in writing by the Required Lenders (or such other number or percentage of the Lenders as shall be necessary under the circumstances as provided in </w:t>
      </w:r>
      <w:r>
        <w:rPr>
          <w:rFonts w:ascii="Times New Roman" w:cs="Times New Roman" w:eastAsia="Times New Roman" w:hAnsi="Times New Roman"/>
          <w:sz w:val="19"/>
          <w:szCs w:val="19"/>
          <w:u w:val="single" w:color="auto"/>
          <w:color w:val="auto"/>
        </w:rPr>
        <w:t>Section</w:t>
      </w: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(i) if it shall not have received satisfactory written direction, advice or concurrence, together with any reasonable indemnity, security or pre-funding</w:t>
      </w:r>
    </w:p>
    <w:p>
      <w:pPr>
        <w:spacing w:after="0" w:line="211" w:lineRule="auto"/>
        <w:rPr>
          <w:sz w:val="20"/>
          <w:szCs w:val="20"/>
          <w:color w:val="auto"/>
        </w:rPr>
      </w:pPr>
      <w:r>
        <w:rPr>
          <w:rFonts w:ascii="Times New Roman" w:cs="Times New Roman" w:eastAsia="Times New Roman" w:hAnsi="Times New Roman"/>
          <w:sz w:val="20"/>
          <w:szCs w:val="20"/>
          <w:color w:val="auto"/>
        </w:rPr>
        <w:t>reasonably requested in the sole discretion of the Administrative Agent from the Required Lenders (or such other number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percentage of the Lenders as shall be necessary under the circumstances as provided in Section 10.2) in respect of such action or (ii) that, in its opinion or the opinion of its counsel, may expose the Administrative Agent to liability or that is contrary to</w:t>
      </w:r>
    </w:p>
    <w:p>
      <w:pPr>
        <w:spacing w:after="0" w:line="211" w:lineRule="auto"/>
        <w:rPr>
          <w:sz w:val="20"/>
          <w:szCs w:val="20"/>
          <w:color w:val="auto"/>
        </w:rPr>
      </w:pPr>
      <w:r>
        <w:rPr>
          <w:rFonts w:ascii="Times New Roman" w:cs="Times New Roman" w:eastAsia="Times New Roman" w:hAnsi="Times New Roman"/>
          <w:sz w:val="20"/>
          <w:szCs w:val="20"/>
          <w:color w:val="auto"/>
        </w:rPr>
        <w:t>any Loan Document or applicable law, including, for the avoidance of doubt, any action that may be in violation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automatic stay under any Debtor Relief Law; and (c) except as expressly set forth in the Loan Documents, the Administrative Agent shall not have any duty to disclose, and shall not be liable for the failure to disclose, any information relating to</w:t>
      </w:r>
    </w:p>
    <w:p>
      <w:pPr>
        <w:spacing w:after="0" w:line="222" w:lineRule="auto"/>
        <w:rPr>
          <w:sz w:val="20"/>
          <w:szCs w:val="20"/>
          <w:color w:val="auto"/>
        </w:rPr>
      </w:pPr>
      <w:r>
        <w:rPr>
          <w:rFonts w:ascii="Times New Roman" w:cs="Times New Roman" w:eastAsia="Times New Roman" w:hAnsi="Times New Roman"/>
          <w:sz w:val="19"/>
          <w:szCs w:val="19"/>
          <w:color w:val="auto"/>
        </w:rPr>
        <w:t>Holdings or any of its Subsidiaries that is communicated to or obtained by the Administrative Agent or any of its Affiliates in</w:t>
      </w:r>
    </w:p>
    <w:p>
      <w:pPr>
        <w:jc w:val="both"/>
        <w:spacing w:after="0" w:line="204" w:lineRule="auto"/>
        <w:rPr>
          <w:sz w:val="20"/>
          <w:szCs w:val="20"/>
          <w:color w:val="auto"/>
        </w:rPr>
      </w:pPr>
      <w:r>
        <w:rPr>
          <w:rFonts w:ascii="Times New Roman" w:cs="Times New Roman" w:eastAsia="Times New Roman" w:hAnsi="Times New Roman"/>
          <w:sz w:val="20"/>
          <w:szCs w:val="20"/>
          <w:color w:val="auto"/>
        </w:rPr>
        <w:t>any capacity. The Administrative Agent shall not be liable for any action taken or not taken by it, its sub-agents or its attorneys-in-fact with the consent or at the request of the Required Lenders (or such other number or percentage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Lenders as shall be necessary under the circumstances as provided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or in the absence of its own gross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negligence or willful misconduct, as determined by a court of competent jurisdiction in a final non-appealable judgment. The Administrative Agent shall not be responsible for the negligence or misconduct of any sub-agents or attorneys -in-fact, except</w:t>
      </w:r>
    </w:p>
    <w:p>
      <w:pPr>
        <w:spacing w:after="0" w:line="211" w:lineRule="auto"/>
        <w:rPr>
          <w:sz w:val="20"/>
          <w:szCs w:val="20"/>
          <w:color w:val="auto"/>
        </w:rPr>
      </w:pPr>
      <w:r>
        <w:rPr>
          <w:rFonts w:ascii="Times New Roman" w:cs="Times New Roman" w:eastAsia="Times New Roman" w:hAnsi="Times New Roman"/>
          <w:sz w:val="20"/>
          <w:szCs w:val="20"/>
          <w:color w:val="auto"/>
        </w:rPr>
        <w:t>to the extent that a court of competent jurisdiction determines in a final and nonappealable judgment that the Administrative</w:t>
      </w:r>
    </w:p>
    <w:p>
      <w:pPr>
        <w:jc w:val="both"/>
        <w:spacing w:after="0" w:line="204" w:lineRule="auto"/>
        <w:rPr>
          <w:sz w:val="20"/>
          <w:szCs w:val="20"/>
          <w:color w:val="auto"/>
        </w:rPr>
      </w:pPr>
      <w:r>
        <w:rPr>
          <w:rFonts w:ascii="Times New Roman" w:cs="Times New Roman" w:eastAsia="Times New Roman" w:hAnsi="Times New Roman"/>
          <w:sz w:val="20"/>
          <w:szCs w:val="20"/>
          <w:color w:val="auto"/>
        </w:rPr>
        <w:t>Agent acted with gross negligence or willful misconduct in the selection of such sub-agents. The Administrative Agent shall not be deemed to have knowledge of any Default or Event of Default unless and until written notice thereof (which notice</w:t>
      </w:r>
    </w:p>
    <w:p>
      <w:pPr>
        <w:spacing w:after="0" w:line="211" w:lineRule="auto"/>
        <w:rPr>
          <w:sz w:val="20"/>
          <w:szCs w:val="20"/>
          <w:color w:val="auto"/>
        </w:rPr>
      </w:pPr>
      <w:r>
        <w:rPr>
          <w:rFonts w:ascii="Times New Roman" w:cs="Times New Roman" w:eastAsia="Times New Roman" w:hAnsi="Times New Roman"/>
          <w:sz w:val="20"/>
          <w:szCs w:val="20"/>
          <w:color w:val="auto"/>
        </w:rPr>
        <w:t>shall include an express reference to such event being a “Default” or “Event of Default” hereunder) is given to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by the Borrower or any Lender, and the Administrative Agent shall not be responsible for, or have any duty to, ascertain or inquire into (i) any statement, warranty or representation made in or in connection with any Loan</w:t>
      </w:r>
    </w:p>
    <w:p>
      <w:pPr>
        <w:spacing w:after="0" w:line="211" w:lineRule="auto"/>
        <w:rPr>
          <w:sz w:val="20"/>
          <w:szCs w:val="20"/>
          <w:color w:val="auto"/>
        </w:rPr>
      </w:pPr>
      <w:r>
        <w:rPr>
          <w:rFonts w:ascii="Times New Roman" w:cs="Times New Roman" w:eastAsia="Times New Roman" w:hAnsi="Times New Roman"/>
          <w:sz w:val="20"/>
          <w:szCs w:val="20"/>
          <w:color w:val="auto"/>
        </w:rPr>
        <w:t>Document, (ii) the contents of any certificate, report or other document delivered hereunder or thereunder or in connection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herewith or therewith, (iii) the performance or observance of any of the covenants, agreements or other terms and conditions set forth in any Loan Document, (iv) the validity, enforceability, effectiveness or genuineness of any Loan Document or any</w:t>
      </w:r>
    </w:p>
    <w:p>
      <w:pPr>
        <w:spacing w:after="0" w:line="211" w:lineRule="auto"/>
        <w:rPr>
          <w:sz w:val="20"/>
          <w:szCs w:val="20"/>
          <w:color w:val="auto"/>
        </w:rPr>
      </w:pPr>
      <w:r>
        <w:rPr>
          <w:rFonts w:ascii="Times New Roman" w:cs="Times New Roman" w:eastAsia="Times New Roman" w:hAnsi="Times New Roman"/>
          <w:sz w:val="20"/>
          <w:szCs w:val="20"/>
          <w:color w:val="auto"/>
        </w:rPr>
        <w:t>other agreement, instrument or document or the creation, perfection or priority of any Lien purported to be created by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Security Documents, (v) the value or the sufficiency of any Collateral or (vi) the satisfaction of any condition set forth in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or elsewhere in any Loan Document, other than to confirm receipt of items expressly required to be delivered to the</w:t>
      </w:r>
    </w:p>
    <w:p>
      <w:pPr>
        <w:jc w:val="both"/>
        <w:spacing w:after="0" w:line="228" w:lineRule="auto"/>
        <w:rPr>
          <w:sz w:val="20"/>
          <w:szCs w:val="20"/>
          <w:color w:val="auto"/>
        </w:rPr>
      </w:pPr>
      <w:r>
        <w:rPr>
          <w:rFonts w:ascii="Times New Roman" w:cs="Times New Roman" w:eastAsia="Times New Roman" w:hAnsi="Times New Roman"/>
          <w:sz w:val="20"/>
          <w:szCs w:val="20"/>
          <w:color w:val="auto"/>
        </w:rPr>
        <w:t>Administrative Agent. The Administrative Agent may consult with legal counsel (including counsel for the Borrower) concerning all matters pertaining to such duties.</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9.3. </w:t>
      </w:r>
      <w:r>
        <w:rPr>
          <w:rFonts w:ascii="Times New Roman" w:cs="Times New Roman" w:eastAsia="Times New Roman" w:hAnsi="Times New Roman"/>
          <w:sz w:val="20"/>
          <w:szCs w:val="20"/>
          <w:b w:val="1"/>
          <w:bCs w:val="1"/>
          <w:u w:val="single" w:color="auto"/>
          <w:color w:val="auto"/>
        </w:rPr>
        <w:t>Lack of Reliance on the Administrative Agent</w:t>
      </w:r>
      <w:r>
        <w:rPr>
          <w:rFonts w:ascii="Times New Roman" w:cs="Times New Roman" w:eastAsia="Times New Roman" w:hAnsi="Times New Roman"/>
          <w:sz w:val="20"/>
          <w:szCs w:val="20"/>
          <w:color w:val="auto"/>
        </w:rPr>
        <w:t>. Each Lender hereby acknowledges that it has, independently and without reliance upon the Administrative Agent or any other Lender, and based on such documents and information as it has deemed appropriate, made its own credit analysis and decision to enter into this Agreement. Each Lender also hereby acknowledges that it will, independently and without reliance upon the Administrative Agent or any other Lender, and based on such documents and information as it has deemed appropriate, continue to make its own decisions in taking or not taking any action under, or based 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hereby represents and warrants to the Administrative Agent that (i) the Loan Documents set forth the terms of a commercial lending facility and (ii) it is engaged in making, acquiring or holding commercial loans in the ordinary course and is entering into this Agreement as a Lender for the purposes of making, acquiring or holding commercial loans and providing other facilities set forth herein as may be applicable to such Lender, and not for the purpose of purchasing, acquiring or holding any</w:t>
      </w:r>
    </w:p>
    <w:p>
      <w:pPr>
        <w:sectPr>
          <w:pgSz w:w="11900" w:h="16838" w:orient="portrait"/>
          <w:cols w:equalWidth="0" w:num="1">
            <w:col w:w="10040"/>
          </w:cols>
          <w:pgMar w:left="1400" w:top="1314" w:right="459" w:bottom="1440" w:gutter="0" w:footer="0" w:header="0"/>
        </w:sectPr>
      </w:pPr>
    </w:p>
    <w:bookmarkStart w:id="202" w:name="page203"/>
    <w:bookmarkEnd w:id="202"/>
    <w:p>
      <w:pPr>
        <w:jc w:val="both"/>
        <w:ind w:left="20"/>
        <w:spacing w:after="0" w:line="261" w:lineRule="auto"/>
        <w:rPr>
          <w:sz w:val="20"/>
          <w:szCs w:val="20"/>
          <w:color w:val="auto"/>
        </w:rPr>
      </w:pPr>
      <w:r>
        <w:rPr>
          <w:rFonts w:ascii="Times New Roman" w:cs="Times New Roman" w:eastAsia="Times New Roman" w:hAnsi="Times New Roman"/>
          <w:sz w:val="20"/>
          <w:szCs w:val="20"/>
          <w:color w:val="auto"/>
        </w:rPr>
        <w:t>other type of financial instrument, and each Lender hereby agrees not to assert a claim in contravention of the foregoing. Each Lender hereby represents and warrants to the Administrative Agent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hereby acknowledges and agrees that outside legal counsel to the Administrative Agent in connection with the preparation, negotiation, execution, delivery and administration (including any amendments, waivers and consents) of this Agreement and the other Loan Documents is acting solely as counsel to the Administrative Agent and is not acting as counsel to any Lender (other than the Administrative Agent and its Affiliates) in connection with this Agreement, the other Loan Documents or any of the transactions contemplated hereby or thereby.</w:t>
      </w:r>
    </w:p>
    <w:p>
      <w:pPr>
        <w:spacing w:after="0" w:line="222" w:lineRule="exact"/>
        <w:rPr>
          <w:sz w:val="20"/>
          <w:szCs w:val="20"/>
          <w:color w:val="auto"/>
        </w:rPr>
      </w:pPr>
    </w:p>
    <w:p>
      <w:pPr>
        <w:jc w:val="both"/>
        <w:ind w:left="20" w:firstLine="648"/>
        <w:spacing w:after="0" w:line="263" w:lineRule="auto"/>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b w:val="1"/>
          <w:bCs w:val="1"/>
          <w:u w:val="single" w:color="auto"/>
          <w:color w:val="auto"/>
        </w:rPr>
        <w:t>Certain Rights of the Administrative Agent</w:t>
      </w:r>
      <w:r>
        <w:rPr>
          <w:rFonts w:ascii="Times New Roman" w:cs="Times New Roman" w:eastAsia="Times New Roman" w:hAnsi="Times New Roman"/>
          <w:sz w:val="20"/>
          <w:szCs w:val="20"/>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20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 xml:space="preserve">Section 9.5. </w:t>
      </w:r>
      <w:r>
        <w:rPr>
          <w:rFonts w:ascii="Times New Roman" w:cs="Times New Roman" w:eastAsia="Times New Roman" w:hAnsi="Times New Roman"/>
          <w:sz w:val="20"/>
          <w:szCs w:val="20"/>
          <w:b w:val="1"/>
          <w:bCs w:val="1"/>
          <w:u w:val="single" w:color="auto"/>
          <w:color w:val="auto"/>
        </w:rPr>
        <w:t>Reliance by the Administrative Agent</w:t>
      </w:r>
      <w:r>
        <w:rPr>
          <w:rFonts w:ascii="Times New Roman" w:cs="Times New Roman" w:eastAsia="Times New Roman" w:hAnsi="Times New Roman"/>
          <w:sz w:val="20"/>
          <w:szCs w:val="20"/>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217" w:lineRule="exact"/>
        <w:rPr>
          <w:sz w:val="20"/>
          <w:szCs w:val="20"/>
          <w:color w:val="auto"/>
        </w:rPr>
      </w:pPr>
    </w:p>
    <w:p>
      <w:pPr>
        <w:jc w:val="both"/>
        <w:ind w:left="20" w:firstLine="648"/>
        <w:spacing w:after="0" w:line="263" w:lineRule="auto"/>
        <w:rPr>
          <w:sz w:val="20"/>
          <w:szCs w:val="20"/>
          <w:color w:val="auto"/>
        </w:rPr>
      </w:pPr>
      <w:r>
        <w:rPr>
          <w:rFonts w:ascii="Times New Roman" w:cs="Times New Roman" w:eastAsia="Times New Roman" w:hAnsi="Times New Roman"/>
          <w:sz w:val="20"/>
          <w:szCs w:val="20"/>
          <w:color w:val="auto"/>
        </w:rPr>
        <w:t xml:space="preserve">Section 9.6. </w:t>
      </w:r>
      <w:r>
        <w:rPr>
          <w:rFonts w:ascii="Times New Roman" w:cs="Times New Roman" w:eastAsia="Times New Roman" w:hAnsi="Times New Roman"/>
          <w:sz w:val="20"/>
          <w:szCs w:val="20"/>
          <w:b w:val="1"/>
          <w:bCs w:val="1"/>
          <w:u w:val="single" w:color="auto"/>
          <w:color w:val="auto"/>
        </w:rPr>
        <w:t>The Administrative Agent in its Individual Capacity</w:t>
      </w:r>
      <w:r>
        <w:rPr>
          <w:rFonts w:ascii="Times New Roman" w:cs="Times New Roman" w:eastAsia="Times New Roman" w:hAnsi="Times New Roman"/>
          <w:sz w:val="20"/>
          <w:szCs w:val="20"/>
          <w:color w:val="auto"/>
        </w:rPr>
        <w:t>. Any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Any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207" w:lineRule="exact"/>
        <w:rPr>
          <w:sz w:val="20"/>
          <w:szCs w:val="20"/>
          <w:color w:val="auto"/>
        </w:rPr>
      </w:pPr>
    </w:p>
    <w:p>
      <w:pPr>
        <w:ind w:left="68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9.7.</w:t>
      </w:r>
      <w:r>
        <w:rPr>
          <w:sz w:val="20"/>
          <w:szCs w:val="20"/>
          <w:color w:val="auto"/>
        </w:rPr>
        <w:tab/>
      </w:r>
      <w:r>
        <w:rPr>
          <w:rFonts w:ascii="Times New Roman" w:cs="Times New Roman" w:eastAsia="Times New Roman" w:hAnsi="Times New Roman"/>
          <w:sz w:val="19"/>
          <w:szCs w:val="19"/>
          <w:b w:val="1"/>
          <w:bCs w:val="1"/>
          <w:u w:val="single" w:color="auto"/>
          <w:color w:val="auto"/>
        </w:rPr>
        <w:t>Successor Administrative Agent</w:t>
      </w:r>
      <w:r>
        <w:rPr>
          <w:rFonts w:ascii="Times New Roman" w:cs="Times New Roman" w:eastAsia="Times New Roman" w:hAnsi="Times New Roman"/>
          <w:sz w:val="19"/>
          <w:szCs w:val="19"/>
          <w:color w:val="auto"/>
        </w:rPr>
        <w:t>.</w:t>
      </w:r>
    </w:p>
    <w:p>
      <w:pPr>
        <w:spacing w:after="0" w:line="355" w:lineRule="exact"/>
        <w:rPr>
          <w:sz w:val="20"/>
          <w:szCs w:val="20"/>
          <w:color w:val="auto"/>
        </w:rPr>
      </w:pPr>
    </w:p>
    <w:p>
      <w:pPr>
        <w:jc w:val="both"/>
        <w:ind w:left="20" w:firstLine="1303"/>
        <w:spacing w:after="0" w:line="268" w:lineRule="auto"/>
        <w:tabs>
          <w:tab w:leader="none" w:pos="217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resign at any time by giving written notice thereof to the Lenders and the Borrower or, the Required Lenders may, by notice in writing to the Borrower and the Person then-serving as the Administrative Agent, remove such Person as the Administrative Agent. Upon notice of any such resignation or removal, as applicable, the Required Lenders shall have the right to appoint a successor Administrative Agent, subject to approval by the</w:t>
      </w:r>
    </w:p>
    <w:p>
      <w:pPr>
        <w:sectPr>
          <w:pgSz w:w="11900" w:h="16838" w:orient="portrait"/>
          <w:cols w:equalWidth="0" w:num="1">
            <w:col w:w="10060"/>
          </w:cols>
          <w:pgMar w:left="1380" w:top="1345" w:right="459" w:bottom="1440" w:gutter="0" w:footer="0" w:header="0"/>
        </w:sectPr>
      </w:pPr>
    </w:p>
    <w:bookmarkStart w:id="203" w:name="page204"/>
    <w:bookmarkEnd w:id="203"/>
    <w:p>
      <w:pPr>
        <w:jc w:val="both"/>
        <w:ind w:left="20"/>
        <w:spacing w:after="0" w:line="260" w:lineRule="auto"/>
        <w:rPr>
          <w:sz w:val="20"/>
          <w:szCs w:val="20"/>
          <w:color w:val="auto"/>
        </w:rPr>
      </w:pPr>
      <w:r>
        <w:rPr>
          <w:rFonts w:ascii="Times New Roman" w:cs="Times New Roman" w:eastAsia="Times New Roman" w:hAnsi="Times New Roman"/>
          <w:sz w:val="20"/>
          <w:szCs w:val="20"/>
          <w:color w:val="auto"/>
        </w:rPr>
        <w:t>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Specified Event of Default shall exist at such time). If no successor Administrative Agent shall have been so appointed, and shall have accepted such appointment within thirty (30) days after the retiring Administrative Agent gives written notice of its resignation or any notice of removal is provided, as applicable, then the Required Lenders may, on behalf of all of the Lenders, appoint a successor Administrative Agent which shall be a commercial bank organized under the laws of the United States or any state thereof, a bank which maintains an office in the United States or an independent debt administration services agency. If, within 45 days after written notice is given of the retiring Administrative Agent’s resignation or any notice of removal is provided, as applicable, under this Section, no successor Administrative Agent shall have been appointed and shall have accepted such appointment, then on such 45th day (i) the retiring Administrative Agent’s resignation or removal, as applicable, shall become effective, (ii) the retiring or removed Administrative Agent shall thereupon be discharged from its duties and obligations under the Loan Documents and (iii) the Required Lenders shall thereafter perform all of the duties of the retiring or removed Administrative Agent under the Loan Documents until such time as the Required Lenders appoint (and if the Borrower’s approval would be required, the Borrower approves) a successor Administrative Agent as provided above</w:t>
      </w:r>
    </w:p>
    <w:p>
      <w:pPr>
        <w:spacing w:after="0" w:line="217" w:lineRule="exact"/>
        <w:rPr>
          <w:sz w:val="20"/>
          <w:szCs w:val="20"/>
          <w:color w:val="auto"/>
        </w:rPr>
      </w:pPr>
    </w:p>
    <w:p>
      <w:pPr>
        <w:jc w:val="both"/>
        <w:ind w:left="20" w:firstLine="1303"/>
        <w:spacing w:after="0" w:line="253" w:lineRule="auto"/>
        <w:tabs>
          <w:tab w:leader="none" w:pos="216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acceptance of its appointment as the Administrative Agent hereunder by a successor, such successor Administrative Agent shall thereupon succeed to, and become vested with, all of the rights, powers, privileges and duties of the retiring or removed Administrative Agent, and the retiring or removed Administrative Agent shall be discharged from its duties and obligations under this Agreement and the other Loan Documents. After any retiring or removed Administrative Agent’s resignation or removal hereunder, as applicable,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9.8. </w:t>
      </w:r>
      <w:r>
        <w:rPr>
          <w:rFonts w:ascii="Times New Roman" w:cs="Times New Roman" w:eastAsia="Times New Roman" w:hAnsi="Times New Roman"/>
          <w:sz w:val="20"/>
          <w:szCs w:val="20"/>
          <w:b w:val="1"/>
          <w:bCs w:val="1"/>
          <w:u w:val="single" w:color="auto"/>
          <w:color w:val="auto"/>
        </w:rPr>
        <w:t>Withholding Tax</w:t>
      </w:r>
      <w:r>
        <w:rPr>
          <w:rFonts w:ascii="Times New Roman" w:cs="Times New Roman" w:eastAsia="Times New Roman" w:hAnsi="Times New Roman"/>
          <w:sz w:val="20"/>
          <w:szCs w:val="20"/>
          <w:color w:val="auto"/>
        </w:rPr>
        <w:t>. To the extent required by any applicable law, the Administrative Agent may withhold from any interest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out-of-pocket expenses.</w:t>
      </w:r>
    </w:p>
    <w:p>
      <w:pPr>
        <w:spacing w:after="0" w:line="204"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9.9.</w:t>
      </w:r>
      <w:r>
        <w:rPr>
          <w:sz w:val="20"/>
          <w:szCs w:val="20"/>
          <w:color w:val="auto"/>
        </w:rPr>
        <w:tab/>
      </w:r>
      <w:r>
        <w:rPr>
          <w:rFonts w:ascii="Times New Roman" w:cs="Times New Roman" w:eastAsia="Times New Roman" w:hAnsi="Times New Roman"/>
          <w:sz w:val="19"/>
          <w:szCs w:val="19"/>
          <w:b w:val="1"/>
          <w:bCs w:val="1"/>
          <w:u w:val="single" w:color="auto"/>
          <w:color w:val="auto"/>
        </w:rPr>
        <w:t>The Administrative Agent May File Proofs of Claim</w:t>
      </w:r>
      <w:r>
        <w:rPr>
          <w:rFonts w:ascii="Times New Roman" w:cs="Times New Roman" w:eastAsia="Times New Roman" w:hAnsi="Times New Roman"/>
          <w:sz w:val="19"/>
          <w:szCs w:val="19"/>
          <w:color w:val="auto"/>
        </w:rPr>
        <w:t>.</w:t>
      </w:r>
    </w:p>
    <w:p>
      <w:pPr>
        <w:spacing w:after="0" w:line="355" w:lineRule="exact"/>
        <w:rPr>
          <w:sz w:val="20"/>
          <w:szCs w:val="20"/>
          <w:color w:val="auto"/>
        </w:rPr>
      </w:pPr>
    </w:p>
    <w:p>
      <w:pPr>
        <w:jc w:val="both"/>
        <w:ind w:left="20" w:firstLine="1303"/>
        <w:spacing w:after="0" w:line="253" w:lineRule="auto"/>
        <w:tabs>
          <w:tab w:leader="none" w:pos="217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receivership, insolvency, liquidation, bankruptcy, reorganization, arrangement, adjustment, composition or other judicial proceeding relative to any Loan Party, the Administrative Agent (irrespective of whether the principal of any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5" w:lineRule="exact"/>
        <w:rPr>
          <w:rFonts w:ascii="Times New Roman" w:cs="Times New Roman" w:eastAsia="Times New Roman" w:hAnsi="Times New Roman"/>
          <w:sz w:val="20"/>
          <w:szCs w:val="20"/>
          <w:color w:val="auto"/>
        </w:rPr>
      </w:pPr>
    </w:p>
    <w:p>
      <w:pPr>
        <w:jc w:val="both"/>
        <w:ind w:left="20" w:firstLine="1627"/>
        <w:spacing w:after="0" w:line="226" w:lineRule="auto"/>
        <w:tabs>
          <w:tab w:leader="none" w:pos="1903"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w:t>
      </w:r>
    </w:p>
    <w:p>
      <w:pPr>
        <w:sectPr>
          <w:pgSz w:w="11900" w:h="16838" w:orient="portrait"/>
          <w:cols w:equalWidth="0" w:num="1">
            <w:col w:w="10060"/>
          </w:cols>
          <w:pgMar w:left="1380" w:top="1426" w:right="459" w:bottom="1440" w:gutter="0" w:footer="0" w:header="0"/>
        </w:sectPr>
      </w:pPr>
    </w:p>
    <w:bookmarkStart w:id="204" w:name="page205"/>
    <w:bookmarkEnd w:id="204"/>
    <w:p>
      <w:pPr>
        <w:jc w:val="both"/>
        <w:ind w:left="20"/>
        <w:spacing w:after="0" w:line="230" w:lineRule="auto"/>
        <w:rPr>
          <w:sz w:val="20"/>
          <w:szCs w:val="20"/>
          <w:color w:val="auto"/>
        </w:rPr>
      </w:pPr>
      <w:r>
        <w:rPr>
          <w:rFonts w:ascii="Times New Roman" w:cs="Times New Roman" w:eastAsia="Times New Roman" w:hAnsi="Times New Roman"/>
          <w:sz w:val="20"/>
          <w:szCs w:val="20"/>
          <w:color w:val="auto"/>
        </w:rPr>
        <w:t xml:space="preserve">the Administrative Agent (including any claim for the reasonable compensation, expenses, disbursements and advances of the Lenders and the Administrative Agent and its agents and counsel and all other amounts due to the Lenders and the Administrative Agent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allowed in such judicial proceeding; and</w:t>
      </w:r>
    </w:p>
    <w:p>
      <w:pPr>
        <w:spacing w:after="0" w:line="28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9"/>
          <w:szCs w:val="19"/>
          <w:color w:val="auto"/>
        </w:rPr>
        <w:t>(ii) to collect and receive any monies or other property payable or deliverable on any such claim(s) and to</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distribute the same.</w:t>
      </w:r>
    </w:p>
    <w:p>
      <w:pPr>
        <w:spacing w:after="0" w:line="207" w:lineRule="exact"/>
        <w:rPr>
          <w:sz w:val="20"/>
          <w:szCs w:val="20"/>
          <w:color w:val="auto"/>
        </w:rPr>
      </w:pPr>
    </w:p>
    <w:p>
      <w:pPr>
        <w:jc w:val="both"/>
        <w:ind w:left="20" w:firstLine="1303"/>
        <w:spacing w:after="0" w:line="220" w:lineRule="auto"/>
        <w:tabs>
          <w:tab w:leader="none" w:pos="2167"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268" w:lineRule="exact"/>
        <w:rPr>
          <w:rFonts w:ascii="Times New Roman" w:cs="Times New Roman" w:eastAsia="Times New Roman" w:hAnsi="Times New Roman"/>
          <w:sz w:val="20"/>
          <w:szCs w:val="20"/>
          <w:color w:val="auto"/>
        </w:rPr>
      </w:pPr>
    </w:p>
    <w:p>
      <w:pPr>
        <w:jc w:val="both"/>
        <w:ind w:left="20" w:right="20" w:firstLine="1303"/>
        <w:spacing w:after="0" w:line="222" w:lineRule="auto"/>
        <w:tabs>
          <w:tab w:leader="none" w:pos="217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 xml:space="preserve">Section 9.10. </w:t>
      </w:r>
      <w:r>
        <w:rPr>
          <w:rFonts w:ascii="Times New Roman" w:cs="Times New Roman" w:eastAsia="Times New Roman" w:hAnsi="Times New Roman"/>
          <w:sz w:val="19"/>
          <w:szCs w:val="19"/>
          <w:b w:val="1"/>
          <w:bCs w:val="1"/>
          <w:u w:val="single" w:color="auto"/>
          <w:color w:val="auto"/>
        </w:rPr>
        <w:t>Authorization to Execute Other Loan Documents</w:t>
      </w:r>
      <w:r>
        <w:rPr>
          <w:rFonts w:ascii="Times New Roman" w:cs="Times New Roman" w:eastAsia="Times New Roman" w:hAnsi="Times New Roman"/>
          <w:sz w:val="19"/>
          <w:szCs w:val="19"/>
          <w:color w:val="auto"/>
        </w:rPr>
        <w:t>. Each Lender hereby authorizes the Administrative</w:t>
      </w:r>
    </w:p>
    <w:p>
      <w:pPr>
        <w:spacing w:after="0" w:line="10" w:lineRule="exact"/>
        <w:rPr>
          <w:sz w:val="20"/>
          <w:szCs w:val="20"/>
          <w:color w:val="auto"/>
        </w:rPr>
      </w:pPr>
    </w:p>
    <w:p>
      <w:pPr>
        <w:ind w:left="20"/>
        <w:spacing w:after="0" w:line="204" w:lineRule="auto"/>
        <w:rPr>
          <w:sz w:val="20"/>
          <w:szCs w:val="20"/>
          <w:color w:val="auto"/>
        </w:rPr>
      </w:pPr>
      <w:r>
        <w:rPr>
          <w:rFonts w:ascii="Times New Roman" w:cs="Times New Roman" w:eastAsia="Times New Roman" w:hAnsi="Times New Roman"/>
          <w:sz w:val="20"/>
          <w:szCs w:val="20"/>
          <w:color w:val="auto"/>
        </w:rPr>
        <w:t>Agent to execute on behalf of all of the Lenders all of the Loan Documents (including the Collateral Documents and, in respect of any Indebtedness and Liens permitted to be incurred hereunder, any Market Intercreditor Agreement and any other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intercreditor or subordination agreements (including with the agent for the Subordinated Debt)) other than this Agreement.</w:t>
      </w:r>
    </w:p>
    <w:p>
      <w:pPr>
        <w:spacing w:after="0" w:line="171"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9.11.</w:t>
      </w:r>
      <w:r>
        <w:rPr>
          <w:sz w:val="20"/>
          <w:szCs w:val="20"/>
          <w:color w:val="auto"/>
        </w:rPr>
        <w:tab/>
      </w:r>
      <w:r>
        <w:rPr>
          <w:rFonts w:ascii="Times New Roman" w:cs="Times New Roman" w:eastAsia="Times New Roman" w:hAnsi="Times New Roman"/>
          <w:sz w:val="20"/>
          <w:szCs w:val="20"/>
          <w:b w:val="1"/>
          <w:bCs w:val="1"/>
          <w:u w:val="single" w:color="auto"/>
          <w:color w:val="auto"/>
        </w:rPr>
        <w:t>Collateral and Guaranty Matters</w:t>
      </w:r>
      <w:r>
        <w:rPr>
          <w:rFonts w:ascii="Times New Roman" w:cs="Times New Roman" w:eastAsia="Times New Roman" w:hAnsi="Times New Roman"/>
          <w:sz w:val="20"/>
          <w:szCs w:val="20"/>
          <w:color w:val="auto"/>
        </w:rPr>
        <w:t>. Each Lender hereby irrevocably authorizes the Administrative</w:t>
      </w: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207" w:lineRule="exact"/>
        <w:rPr>
          <w:sz w:val="20"/>
          <w:szCs w:val="20"/>
          <w:color w:val="auto"/>
        </w:rPr>
      </w:pPr>
    </w:p>
    <w:p>
      <w:pPr>
        <w:jc w:val="both"/>
        <w:ind w:left="20" w:firstLine="1303"/>
        <w:spacing w:after="0" w:line="222" w:lineRule="auto"/>
        <w:tabs>
          <w:tab w:leader="none" w:pos="217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(i) upon the Termination Date; (ii) that is sold or to be sold as part of, or in connection with, any sale permitted hereunder or under any other Loan Document and (iii) if approved, authorized or ratified in writing in accordance with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20" w:right="300" w:firstLine="1303"/>
        <w:spacing w:after="0" w:line="269" w:lineRule="auto"/>
        <w:tabs>
          <w:tab w:leader="none" w:pos="216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collateral granted to, or held by, the Administrative Agent under any Loan Document to the holder of any Lien permitted by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 and</w:t>
      </w:r>
    </w:p>
    <w:p>
      <w:pPr>
        <w:spacing w:after="0" w:line="267" w:lineRule="exact"/>
        <w:rPr>
          <w:rFonts w:ascii="Times New Roman" w:cs="Times New Roman" w:eastAsia="Times New Roman" w:hAnsi="Times New Roman"/>
          <w:sz w:val="20"/>
          <w:szCs w:val="20"/>
          <w:color w:val="auto"/>
        </w:rPr>
      </w:pPr>
    </w:p>
    <w:p>
      <w:pPr>
        <w:ind w:left="20" w:right="260" w:firstLine="1303"/>
        <w:spacing w:after="0" w:line="233" w:lineRule="auto"/>
        <w:tabs>
          <w:tab w:leader="none" w:pos="217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Loan Party from its obligations under the applicable Collateral Documents if such Person ceases to be a Subsidiary as a result of a transaction permitted hereunder.</w:t>
      </w:r>
    </w:p>
    <w:p>
      <w:pPr>
        <w:spacing w:after="0" w:line="201" w:lineRule="exact"/>
        <w:rPr>
          <w:sz w:val="20"/>
          <w:szCs w:val="20"/>
          <w:color w:val="auto"/>
        </w:rPr>
      </w:pPr>
    </w:p>
    <w:p>
      <w:pPr>
        <w:ind w:left="20"/>
        <w:spacing w:after="0" w:line="215" w:lineRule="auto"/>
        <w:rPr>
          <w:sz w:val="20"/>
          <w:szCs w:val="20"/>
          <w:color w:val="auto"/>
        </w:rPr>
      </w:pPr>
      <w:r>
        <w:rPr>
          <w:rFonts w:ascii="Times New Roman" w:cs="Times New Roman" w:eastAsia="Times New Roman" w:hAnsi="Times New Roman"/>
          <w:sz w:val="20"/>
          <w:szCs w:val="20"/>
          <w:color w:val="auto"/>
        </w:rPr>
        <w:t>Upon request by the Administrative Agent at any time, the Required Lenders shall confirm in writing the Administrative Agent’s authority to release its interest in particular types or items of property, or to release any Loan Party from its</w:t>
      </w:r>
    </w:p>
    <w:p>
      <w:pPr>
        <w:ind w:left="20"/>
        <w:spacing w:after="0" w:line="212" w:lineRule="auto"/>
        <w:rPr>
          <w:sz w:val="20"/>
          <w:szCs w:val="20"/>
          <w:color w:val="auto"/>
        </w:rPr>
      </w:pPr>
      <w:r>
        <w:rPr>
          <w:rFonts w:ascii="Times New Roman" w:cs="Times New Roman" w:eastAsia="Times New Roman" w:hAnsi="Times New Roman"/>
          <w:sz w:val="20"/>
          <w:szCs w:val="20"/>
          <w:color w:val="auto"/>
        </w:rPr>
        <w:t>obligations under the applicable Collateral Documents pursuant to this Section. In each case as specified in this Section, the</w:t>
      </w:r>
    </w:p>
    <w:p>
      <w:pPr>
        <w:spacing w:after="0" w:line="1" w:lineRule="exact"/>
        <w:rPr>
          <w:sz w:val="20"/>
          <w:szCs w:val="20"/>
          <w:color w:val="auto"/>
        </w:rPr>
      </w:pPr>
    </w:p>
    <w:p>
      <w:pPr>
        <w:ind w:left="20"/>
        <w:spacing w:after="0" w:line="204" w:lineRule="auto"/>
        <w:rPr>
          <w:sz w:val="20"/>
          <w:szCs w:val="20"/>
          <w:color w:val="auto"/>
        </w:rPr>
      </w:pPr>
      <w:r>
        <w:rPr>
          <w:rFonts w:ascii="Times New Roman" w:cs="Times New Roman" w:eastAsia="Times New Roman" w:hAnsi="Times New Roman"/>
          <w:sz w:val="20"/>
          <w:szCs w:val="20"/>
          <w:color w:val="auto"/>
        </w:rPr>
        <w:t>Administrative Agent is authorized, at the Borrower’s expense, to execute and deliver to the applicable Loan Party such documents as such Loan Party may reasonably request to evidence the release of such item of Collateral from the Liens</w:t>
      </w:r>
    </w:p>
    <w:p>
      <w:pPr>
        <w:ind w:left="20"/>
        <w:spacing w:after="0" w:line="211" w:lineRule="auto"/>
        <w:rPr>
          <w:sz w:val="20"/>
          <w:szCs w:val="20"/>
          <w:color w:val="auto"/>
        </w:rPr>
      </w:pPr>
      <w:r>
        <w:rPr>
          <w:rFonts w:ascii="Times New Roman" w:cs="Times New Roman" w:eastAsia="Times New Roman" w:hAnsi="Times New Roman"/>
          <w:sz w:val="20"/>
          <w:szCs w:val="20"/>
          <w:color w:val="auto"/>
        </w:rPr>
        <w:t>granted under the applicable Collateral Documents, or to release such Loan Party from its obligations under the applicable</w:t>
      </w:r>
    </w:p>
    <w:p>
      <w:pPr>
        <w:spacing w:after="0" w:line="1" w:lineRule="exact"/>
        <w:rPr>
          <w:sz w:val="20"/>
          <w:szCs w:val="20"/>
          <w:color w:val="auto"/>
        </w:rPr>
      </w:pPr>
    </w:p>
    <w:p>
      <w:pPr>
        <w:ind w:left="20"/>
        <w:spacing w:after="0" w:line="204" w:lineRule="auto"/>
        <w:rPr>
          <w:sz w:val="20"/>
          <w:szCs w:val="20"/>
          <w:color w:val="auto"/>
        </w:rPr>
      </w:pPr>
      <w:r>
        <w:rPr>
          <w:rFonts w:ascii="Times New Roman" w:cs="Times New Roman" w:eastAsia="Times New Roman" w:hAnsi="Times New Roman"/>
          <w:sz w:val="20"/>
          <w:szCs w:val="20"/>
          <w:color w:val="auto"/>
        </w:rPr>
        <w:t>Collateral Documents, in each case, in accordance with the terms of the Loan Documents and this Section. In the case of any such sale, transfer or disposal of any property constituting Collateral in a transaction constituting a disposition expressly</w:t>
      </w:r>
    </w:p>
    <w:p>
      <w:pPr>
        <w:spacing w:after="0" w:line="1"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20"/>
          <w:szCs w:val="20"/>
          <w:color w:val="auto"/>
        </w:rPr>
        <w:t xml:space="preserve">permitted pursuant to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the Liens created by any of the Loan Documents on such property shall be automatically released without need for further action by any person.</w:t>
      </w:r>
    </w:p>
    <w:p>
      <w:pPr>
        <w:sectPr>
          <w:pgSz w:w="11900" w:h="16838" w:orient="portrait"/>
          <w:cols w:equalWidth="0" w:num="1">
            <w:col w:w="10060"/>
          </w:cols>
          <w:pgMar w:left="1380" w:top="1318" w:right="459" w:bottom="1440" w:gutter="0" w:footer="0" w:header="0"/>
        </w:sectPr>
      </w:pPr>
    </w:p>
    <w:bookmarkStart w:id="205" w:name="page206"/>
    <w:bookmarkEnd w:id="205"/>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9.12.</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3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b w:val="1"/>
          <w:bCs w:val="1"/>
          <w:u w:val="single" w:color="auto"/>
          <w:color w:val="auto"/>
        </w:rPr>
        <w:t>Right to Realize on Collateral and Enforce Guarantee</w:t>
      </w:r>
      <w:r>
        <w:rPr>
          <w:rFonts w:ascii="Times New Roman" w:cs="Times New Roman" w:eastAsia="Times New Roman" w:hAnsi="Times New Roman"/>
          <w:sz w:val="20"/>
          <w:szCs w:val="20"/>
          <w:color w:val="auto"/>
        </w:rPr>
        <w:t>. Anything contained in any of the Loan Documents to the contrary notwithstanding, the Borrower, the Administrative Agent and each Lender hereby agree that (i) unless otherwise agreed to by the Required Lenders,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217"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0"/>
          <w:szCs w:val="20"/>
          <w:color w:val="auto"/>
        </w:rPr>
        <w:t>Section 9.14.</w:t>
      </w:r>
      <w:r>
        <w:rPr>
          <w:sz w:val="20"/>
          <w:szCs w:val="20"/>
          <w:color w:val="auto"/>
        </w:rPr>
        <w:tab/>
      </w:r>
      <w:r>
        <w:rPr>
          <w:rFonts w:ascii="Times New Roman" w:cs="Times New Roman" w:eastAsia="Times New Roman" w:hAnsi="Times New Roman"/>
          <w:sz w:val="19"/>
          <w:szCs w:val="19"/>
          <w:b w:val="1"/>
          <w:bCs w:val="1"/>
          <w:u w:val="single" w:color="auto"/>
          <w:color w:val="auto"/>
        </w:rPr>
        <w:t>Erroneous Payments</w:t>
      </w:r>
      <w:r>
        <w:rPr>
          <w:rFonts w:ascii="Times New Roman" w:cs="Times New Roman" w:eastAsia="Times New Roman" w:hAnsi="Times New Roman"/>
          <w:sz w:val="19"/>
          <w:szCs w:val="19"/>
          <w:color w:val="auto"/>
        </w:rPr>
        <w:t>.</w:t>
      </w:r>
    </w:p>
    <w:p>
      <w:pPr>
        <w:spacing w:after="0" w:line="341" w:lineRule="exact"/>
        <w:rPr>
          <w:sz w:val="20"/>
          <w:szCs w:val="20"/>
          <w:color w:val="auto"/>
        </w:rPr>
      </w:pPr>
    </w:p>
    <w:p>
      <w:pPr>
        <w:jc w:val="both"/>
        <w:ind w:firstLine="1303"/>
        <w:spacing w:after="0" w:line="264" w:lineRule="auto"/>
        <w:tabs>
          <w:tab w:leader="none" w:pos="215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agrees that if the Administrative Agent notifies such Lender (any such Lender or other recipient, but, in any event, excluding any Loan Party,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in writing that the Administrative Agent has determined in its reasonable discretion that the Administrative Agent or its Affiliates erroneously or mistakenly transmitted funds to such Payment Recipient (whether or not known to such Lender or other Payment Recipient) or funds were otherwise erroneously or mistakenly received by such Payment Recipient (whether or not known to such Lender or other Payment Recipient) (any such funds, whether transmitted or received as a payment, prepayment or repayment of principal, interest, fees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and demands in writing the return of such Erroneous Payment (or a portion thereof), such Payment Recipient shall make commercially reasonable efforts to promptly return to the Administrative Agent the amount of any such Erroneous Payment (or portion thereof) as to which such a written demand was made, in same day funds (in the currency so received). A notice of the Administrative Agent to any Payment Recipient under this </w:t>
      </w:r>
      <w:r>
        <w:rPr>
          <w:rFonts w:ascii="Times New Roman" w:cs="Times New Roman" w:eastAsia="Times New Roman" w:hAnsi="Times New Roman"/>
          <w:sz w:val="19"/>
          <w:szCs w:val="19"/>
          <w:u w:val="single" w:color="auto"/>
          <w:color w:val="auto"/>
        </w:rPr>
        <w:t>Section 9.14(a)</w:t>
      </w:r>
      <w:r>
        <w:rPr>
          <w:rFonts w:ascii="Times New Roman" w:cs="Times New Roman" w:eastAsia="Times New Roman" w:hAnsi="Times New Roman"/>
          <w:sz w:val="19"/>
          <w:szCs w:val="19"/>
          <w:color w:val="auto"/>
        </w:rPr>
        <w:t xml:space="preserve"> shall set forth the facts and circumstances resulting in such Erroneous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not make any demand under this </w:t>
      </w:r>
      <w:r>
        <w:rPr>
          <w:rFonts w:ascii="Times New Roman" w:cs="Times New Roman" w:eastAsia="Times New Roman" w:hAnsi="Times New Roman"/>
          <w:sz w:val="19"/>
          <w:szCs w:val="19"/>
          <w:u w:val="single" w:color="auto"/>
          <w:color w:val="auto"/>
        </w:rPr>
        <w:t>Section 9.14(a)</w:t>
      </w:r>
      <w:r>
        <w:rPr>
          <w:rFonts w:ascii="Times New Roman" w:cs="Times New Roman" w:eastAsia="Times New Roman" w:hAnsi="Times New Roman"/>
          <w:sz w:val="19"/>
          <w:szCs w:val="19"/>
          <w:color w:val="auto"/>
        </w:rPr>
        <w:t xml:space="preserve"> unless the notice described herein is delivered within thirty (30) days after the making of the applicable Erroneous Payment. A notice of the Administrative Agent to any Payment Recipient under this clause (a) shall be conclusive, absent manifest error.</w:t>
      </w:r>
    </w:p>
    <w:p>
      <w:pPr>
        <w:spacing w:after="0" w:line="212" w:lineRule="exact"/>
        <w:rPr>
          <w:rFonts w:ascii="Times New Roman" w:cs="Times New Roman" w:eastAsia="Times New Roman" w:hAnsi="Times New Roman"/>
          <w:sz w:val="19"/>
          <w:szCs w:val="19"/>
          <w:color w:val="auto"/>
        </w:rPr>
      </w:pPr>
    </w:p>
    <w:p>
      <w:pPr>
        <w:jc w:val="both"/>
        <w:ind w:firstLine="1303"/>
        <w:spacing w:after="0" w:line="253" w:lineRule="auto"/>
        <w:tabs>
          <w:tab w:leader="none" w:pos="214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Payment Recipient hereby authorizes the Administrative Agent to set-off, net and apply any and all amounts at any time owing to such Payment Recipient (general or special, time or demand, provisional or final) at any time held by, or on behalf of, or otherwise payable or distributable by, the Administrative Agent (or its Affiliates, including by branches and agencies of the Administrative Agent, wherever located), against any amount that the Administrative Agent has demanded to be returned under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The Administrative Agent hereby agrees to promptly notify the applicable Payment Recipient after any such setoff and application made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300"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215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hereto hereby agree that (x) in the event that an Erroneous Payment (or portion thereof) is not recovered from any Payment Recipient (and without limiting the Administrative Agent’s rights and remedies under this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 the Administrative Agent shall be</w:t>
      </w:r>
    </w:p>
    <w:p>
      <w:pPr>
        <w:sectPr>
          <w:pgSz w:w="11900" w:h="16838" w:orient="portrait"/>
          <w:cols w:equalWidth="0" w:num="1">
            <w:col w:w="10040"/>
          </w:cols>
          <w:pgMar w:left="1400" w:top="1328" w:right="459" w:bottom="1440" w:gutter="0" w:footer="0" w:header="0"/>
        </w:sectPr>
      </w:pPr>
    </w:p>
    <w:bookmarkStart w:id="206" w:name="page207"/>
    <w:bookmarkEnd w:id="206"/>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subrogated to all of the rights of such Payment Recipient with respect to such amount and (y) an Erroneous Payment shall not pay, prepay, repay, discharge or otherwise satisfy any Obligations owed by the Borrower or any other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not be interpreted to increase (or accelerate the due date for), or have the effect of increasing (or accelerating the due date for), any Obligations of the Borrower or any other Loan Party relative to the amount (and/or timing for payment) of any Obligations that would have been payable had such Erroneous Payment not been made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the avoidance of doubt, the immediately preceding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shall not apply to the extent that any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203" w:lineRule="exact"/>
        <w:rPr>
          <w:sz w:val="20"/>
          <w:szCs w:val="20"/>
          <w:color w:val="auto"/>
        </w:rPr>
      </w:pPr>
    </w:p>
    <w:p>
      <w:pPr>
        <w:jc w:val="both"/>
        <w:ind w:firstLine="1304"/>
        <w:spacing w:after="0" w:line="230" w:lineRule="auto"/>
        <w:tabs>
          <w:tab w:leader="none" w:pos="214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survive the resignation or replacement of the Administrative Agent, the termination of the Commitments or the repayment, satisfaction or discharge of all of the Obligations (or any portion thereof) under any Loan Document.</w:t>
      </w:r>
    </w:p>
    <w:p>
      <w:pPr>
        <w:spacing w:after="0" w:line="189" w:lineRule="exact"/>
        <w:rPr>
          <w:rFonts w:ascii="Times New Roman" w:cs="Times New Roman" w:eastAsia="Times New Roman" w:hAnsi="Times New Roman"/>
          <w:sz w:val="20"/>
          <w:szCs w:val="20"/>
          <w:color w:val="auto"/>
        </w:rPr>
      </w:pPr>
    </w:p>
    <w:p>
      <w:pPr>
        <w:jc w:val="both"/>
        <w:ind w:firstLine="1303"/>
        <w:spacing w:after="0" w:line="226" w:lineRule="auto"/>
        <w:tabs>
          <w:tab w:leader="none" w:pos="215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set forth herein, neither any Loan Party, nor any of its respective Affiliates, shall have any obligations or liabilities, directly and/or indirectly, arising out of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in respect of any Erroneous Payment.</w:t>
      </w:r>
    </w:p>
    <w:p>
      <w:pPr>
        <w:spacing w:after="0" w:line="25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ARTICLE X</w:t>
      </w:r>
    </w:p>
    <w:p>
      <w:pPr>
        <w:spacing w:after="0" w:line="29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97"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w:t>
      </w:r>
    </w:p>
    <w:p>
      <w:pPr>
        <w:spacing w:after="0" w:line="301" w:lineRule="exact"/>
        <w:rPr>
          <w:sz w:val="20"/>
          <w:szCs w:val="20"/>
          <w:color w:val="auto"/>
        </w:rPr>
      </w:pPr>
    </w:p>
    <w:p>
      <w:pPr>
        <w:ind w:left="1940" w:hanging="637"/>
        <w:spacing w:after="0"/>
        <w:tabs>
          <w:tab w:leader="none" w:pos="194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Written Notices</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jc w:val="both"/>
        <w:ind w:left="660" w:firstLine="1291"/>
        <w:spacing w:after="0" w:line="222" w:lineRule="auto"/>
        <w:tabs>
          <w:tab w:leader="none" w:pos="2259"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facsimile or electronic mail, as follows:</w:t>
      </w:r>
    </w:p>
    <w:p>
      <w:pPr>
        <w:spacing w:after="0" w:line="216"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20"/>
          <w:szCs w:val="20"/>
          <w:color w:val="auto"/>
        </w:rPr>
        <w:t>To the Borrower:</w:t>
      </w:r>
      <w:r>
        <w:rPr>
          <w:sz w:val="20"/>
          <w:szCs w:val="20"/>
          <w:color w:val="auto"/>
        </w:rPr>
        <w:tab/>
      </w:r>
      <w:r>
        <w:rPr>
          <w:rFonts w:ascii="Times New Roman" w:cs="Times New Roman" w:eastAsia="Times New Roman" w:hAnsi="Times New Roman"/>
          <w:sz w:val="19"/>
          <w:szCs w:val="19"/>
          <w:color w:val="auto"/>
        </w:rPr>
        <w:t>Caret Holdings, Inc.</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80 E. Rich Street, Suite 500</w:t>
      </w:r>
    </w:p>
    <w:p>
      <w:pPr>
        <w:ind w:left="3240"/>
        <w:spacing w:after="0" w:line="225" w:lineRule="auto"/>
        <w:rPr>
          <w:sz w:val="20"/>
          <w:szCs w:val="20"/>
          <w:color w:val="auto"/>
        </w:rPr>
      </w:pPr>
      <w:r>
        <w:rPr>
          <w:rFonts w:ascii="Times New Roman" w:cs="Times New Roman" w:eastAsia="Times New Roman" w:hAnsi="Times New Roman"/>
          <w:sz w:val="20"/>
          <w:szCs w:val="20"/>
          <w:color w:val="auto"/>
        </w:rPr>
        <w:t>Columbus, OH 43215</w:t>
      </w:r>
    </w:p>
    <w:p>
      <w:pPr>
        <w:ind w:left="3240"/>
        <w:spacing w:after="0" w:line="211" w:lineRule="auto"/>
        <w:rPr>
          <w:sz w:val="20"/>
          <w:szCs w:val="20"/>
          <w:color w:val="auto"/>
        </w:rPr>
      </w:pPr>
      <w:r>
        <w:rPr>
          <w:rFonts w:ascii="Times New Roman" w:cs="Times New Roman" w:eastAsia="Times New Roman" w:hAnsi="Times New Roman"/>
          <w:sz w:val="20"/>
          <w:szCs w:val="20"/>
          <w:color w:val="auto"/>
        </w:rPr>
        <w:t>Attention: Megan Binkley, Chief Financial Officer Email:</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megan.binkley@joinroot.com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copies to (for</w:t>
      </w:r>
    </w:p>
    <w:p>
      <w:pPr>
        <w:spacing w:after="0" w:line="8" w:lineRule="exact"/>
        <w:rPr>
          <w:sz w:val="20"/>
          <w:szCs w:val="20"/>
          <w:color w:val="auto"/>
        </w:rPr>
      </w:pPr>
    </w:p>
    <w:p>
      <w:pPr>
        <w:ind w:left="660"/>
        <w:spacing w:after="0"/>
        <w:tabs>
          <w:tab w:leader="none" w:pos="3040" w:val="left"/>
        </w:tabs>
        <w:rPr>
          <w:sz w:val="20"/>
          <w:szCs w:val="20"/>
          <w:color w:val="auto"/>
        </w:rPr>
      </w:pPr>
      <w:r>
        <w:rPr>
          <w:rFonts w:ascii="Times New Roman" w:cs="Times New Roman" w:eastAsia="Times New Roman" w:hAnsi="Times New Roman"/>
          <w:sz w:val="20"/>
          <w:szCs w:val="20"/>
          <w:color w:val="auto"/>
        </w:rPr>
        <w:t>information purposes only):</w:t>
      </w:r>
      <w:r>
        <w:rPr>
          <w:sz w:val="20"/>
          <w:szCs w:val="20"/>
          <w:color w:val="auto"/>
        </w:rPr>
        <w:tab/>
      </w:r>
      <w:r>
        <w:rPr>
          <w:rFonts w:ascii="Times New Roman" w:cs="Times New Roman" w:eastAsia="Times New Roman" w:hAnsi="Times New Roman"/>
          <w:sz w:val="19"/>
          <w:szCs w:val="19"/>
          <w:color w:val="auto"/>
        </w:rPr>
        <w:t>Kirkland &amp; Ellis LLP</w:t>
      </w:r>
    </w:p>
    <w:p>
      <w:pPr>
        <w:ind w:left="3240"/>
        <w:spacing w:after="0" w:line="211" w:lineRule="auto"/>
        <w:rPr>
          <w:sz w:val="20"/>
          <w:szCs w:val="20"/>
          <w:color w:val="auto"/>
        </w:rPr>
      </w:pPr>
      <w:r>
        <w:rPr>
          <w:rFonts w:ascii="Times New Roman" w:cs="Times New Roman" w:eastAsia="Times New Roman" w:hAnsi="Times New Roman"/>
          <w:sz w:val="20"/>
          <w:szCs w:val="20"/>
          <w:color w:val="auto"/>
        </w:rPr>
        <w:t>333 South Hope Street, 29th Floor Los Angeles, CA</w:t>
      </w:r>
    </w:p>
    <w:p>
      <w:pPr>
        <w:ind w:left="3240"/>
        <w:spacing w:after="0" w:line="225" w:lineRule="auto"/>
        <w:rPr>
          <w:sz w:val="20"/>
          <w:szCs w:val="20"/>
          <w:color w:val="auto"/>
        </w:rPr>
      </w:pPr>
      <w:r>
        <w:rPr>
          <w:rFonts w:ascii="Times New Roman" w:cs="Times New Roman" w:eastAsia="Times New Roman" w:hAnsi="Times New Roman"/>
          <w:sz w:val="20"/>
          <w:szCs w:val="20"/>
          <w:color w:val="auto"/>
        </w:rPr>
        <w:t>90071</w:t>
      </w:r>
    </w:p>
    <w:p>
      <w:pPr>
        <w:ind w:left="3240"/>
        <w:spacing w:after="0"/>
        <w:rPr>
          <w:sz w:val="20"/>
          <w:szCs w:val="20"/>
          <w:color w:val="auto"/>
        </w:rPr>
      </w:pPr>
      <w:r>
        <w:rPr>
          <w:rFonts w:ascii="Times New Roman" w:cs="Times New Roman" w:eastAsia="Times New Roman" w:hAnsi="Times New Roman"/>
          <w:sz w:val="20"/>
          <w:szCs w:val="20"/>
          <w:color w:val="auto"/>
        </w:rPr>
        <w:t>Attention: David M. Nemecek, P.C. Email:</w:t>
      </w:r>
    </w:p>
    <w:p>
      <w:pPr>
        <w:ind w:left="3240"/>
        <w:spacing w:after="0"/>
        <w:rPr>
          <w:sz w:val="20"/>
          <w:szCs w:val="20"/>
          <w:color w:val="auto"/>
        </w:rPr>
      </w:pPr>
      <w:r>
        <w:rPr>
          <w:rFonts w:ascii="Times New Roman" w:cs="Times New Roman" w:eastAsia="Times New Roman" w:hAnsi="Times New Roman"/>
          <w:sz w:val="20"/>
          <w:szCs w:val="20"/>
          <w:color w:val="auto"/>
        </w:rPr>
        <w:t>david.nemecek@kirkland.com</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Kirkland &amp; Ellis LLP 555 California Street</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San Francisco, CA 94104 Attention: Katie Taylor</w:t>
      </w:r>
    </w:p>
    <w:p>
      <w:pPr>
        <w:ind w:left="3240"/>
        <w:spacing w:after="0"/>
        <w:rPr>
          <w:sz w:val="20"/>
          <w:szCs w:val="20"/>
          <w:color w:val="auto"/>
        </w:rPr>
      </w:pPr>
      <w:r>
        <w:rPr>
          <w:rFonts w:ascii="Times New Roman" w:cs="Times New Roman" w:eastAsia="Times New Roman" w:hAnsi="Times New Roman"/>
          <w:sz w:val="20"/>
          <w:szCs w:val="20"/>
          <w:color w:val="auto"/>
        </w:rPr>
        <w:t>Email: katie.taylor@kirkland.com</w:t>
      </w:r>
    </w:p>
    <w:p>
      <w:pPr>
        <w:spacing w:after="0" w:line="221" w:lineRule="exact"/>
        <w:rPr>
          <w:sz w:val="20"/>
          <w:szCs w:val="20"/>
          <w:color w:val="auto"/>
        </w:rPr>
      </w:pPr>
    </w:p>
    <w:p>
      <w:pPr>
        <w:ind w:left="660"/>
        <w:spacing w:after="0"/>
        <w:tabs>
          <w:tab w:leader="none" w:pos="3140" w:val="left"/>
        </w:tabs>
        <w:rPr>
          <w:sz w:val="20"/>
          <w:szCs w:val="20"/>
          <w:color w:val="auto"/>
        </w:rPr>
      </w:pPr>
      <w:r>
        <w:rPr>
          <w:rFonts w:ascii="Times New Roman" w:cs="Times New Roman" w:eastAsia="Times New Roman" w:hAnsi="Times New Roman"/>
          <w:sz w:val="20"/>
          <w:szCs w:val="20"/>
          <w:color w:val="auto"/>
        </w:rPr>
        <w:t>To the Administrative Agent:</w:t>
      </w:r>
      <w:r>
        <w:rPr>
          <w:sz w:val="20"/>
          <w:szCs w:val="20"/>
          <w:color w:val="auto"/>
        </w:rPr>
        <w:tab/>
      </w:r>
      <w:r>
        <w:rPr>
          <w:rFonts w:ascii="Times New Roman" w:cs="Times New Roman" w:eastAsia="Times New Roman" w:hAnsi="Times New Roman"/>
          <w:sz w:val="19"/>
          <w:szCs w:val="19"/>
          <w:color w:val="auto"/>
        </w:rPr>
        <w:t>Acquiom Agency Services LLC</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950 17th Street, Suite 1400</w:t>
      </w:r>
    </w:p>
    <w:p>
      <w:pPr>
        <w:ind w:left="3240"/>
        <w:spacing w:after="0"/>
        <w:rPr>
          <w:sz w:val="20"/>
          <w:szCs w:val="20"/>
          <w:color w:val="auto"/>
        </w:rPr>
      </w:pPr>
      <w:r>
        <w:rPr>
          <w:rFonts w:ascii="Times New Roman" w:cs="Times New Roman" w:eastAsia="Times New Roman" w:hAnsi="Times New Roman"/>
          <w:sz w:val="20"/>
          <w:szCs w:val="20"/>
          <w:color w:val="auto"/>
        </w:rPr>
        <w:t>Denver, CO 80202</w:t>
      </w:r>
    </w:p>
    <w:p>
      <w:pPr>
        <w:sectPr>
          <w:pgSz w:w="11900" w:h="16838" w:orient="portrait"/>
          <w:cols w:equalWidth="0" w:num="1">
            <w:col w:w="10040"/>
          </w:cols>
          <w:pgMar w:left="1400" w:top="1413" w:right="459" w:bottom="1440" w:gutter="0" w:footer="0" w:header="0"/>
        </w:sectPr>
      </w:pPr>
    </w:p>
    <w:bookmarkStart w:id="207" w:name="page208"/>
    <w:bookmarkEnd w:id="207"/>
    <w:p>
      <w:pPr>
        <w:ind w:left="3200"/>
        <w:spacing w:after="0"/>
        <w:rPr>
          <w:sz w:val="20"/>
          <w:szCs w:val="20"/>
          <w:color w:val="auto"/>
        </w:rPr>
      </w:pPr>
      <w:r>
        <w:rPr>
          <w:rFonts w:ascii="Times New Roman" w:cs="Times New Roman" w:eastAsia="Times New Roman" w:hAnsi="Times New Roman"/>
          <w:sz w:val="20"/>
          <w:szCs w:val="20"/>
          <w:color w:val="auto"/>
        </w:rPr>
        <w:t>Attention: Karyn Kesselring; Loan Agency</w:t>
      </w:r>
    </w:p>
    <w:p>
      <w:pPr>
        <w:spacing w:after="0" w:line="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Email: kkesselring@srsacquiom.com</w:t>
      </w:r>
    </w:p>
    <w:p>
      <w:pPr>
        <w:ind w:left="3200"/>
        <w:spacing w:after="0"/>
        <w:rPr>
          <w:sz w:val="20"/>
          <w:szCs w:val="20"/>
          <w:color w:val="auto"/>
        </w:rPr>
      </w:pPr>
      <w:r>
        <w:rPr>
          <w:rFonts w:ascii="Times New Roman" w:cs="Times New Roman" w:eastAsia="Times New Roman" w:hAnsi="Times New Roman"/>
          <w:sz w:val="20"/>
          <w:szCs w:val="20"/>
          <w:color w:val="auto"/>
        </w:rPr>
        <w:t>loanagency@srsacquiom.com</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With a copy to (for</w:t>
      </w:r>
    </w:p>
    <w:p>
      <w:pPr>
        <w:spacing w:after="0" w:line="21" w:lineRule="exact"/>
        <w:rPr>
          <w:sz w:val="20"/>
          <w:szCs w:val="20"/>
          <w:color w:val="auto"/>
        </w:rPr>
      </w:pPr>
    </w:p>
    <w:p>
      <w:pPr>
        <w:ind w:left="620"/>
        <w:spacing w:after="0"/>
        <w:tabs>
          <w:tab w:leader="none" w:pos="3000" w:val="left"/>
        </w:tabs>
        <w:rPr>
          <w:sz w:val="20"/>
          <w:szCs w:val="20"/>
          <w:color w:val="auto"/>
        </w:rPr>
      </w:pPr>
      <w:r>
        <w:rPr>
          <w:rFonts w:ascii="Times New Roman" w:cs="Times New Roman" w:eastAsia="Times New Roman" w:hAnsi="Times New Roman"/>
          <w:sz w:val="20"/>
          <w:szCs w:val="20"/>
          <w:color w:val="auto"/>
        </w:rPr>
        <w:t>information purposes only):</w:t>
      </w:r>
      <w:r>
        <w:rPr>
          <w:sz w:val="20"/>
          <w:szCs w:val="20"/>
          <w:color w:val="auto"/>
        </w:rPr>
        <w:tab/>
      </w:r>
      <w:r>
        <w:rPr>
          <w:rFonts w:ascii="Times New Roman" w:cs="Times New Roman" w:eastAsia="Times New Roman" w:hAnsi="Times New Roman"/>
          <w:sz w:val="19"/>
          <w:szCs w:val="19"/>
          <w:color w:val="auto"/>
        </w:rPr>
        <w:t>Clifford Chance US LLP</w:t>
      </w:r>
    </w:p>
    <w:p>
      <w:pPr>
        <w:ind w:left="3200"/>
        <w:spacing w:after="0" w:line="225" w:lineRule="auto"/>
        <w:rPr>
          <w:sz w:val="20"/>
          <w:szCs w:val="20"/>
          <w:color w:val="auto"/>
        </w:rPr>
      </w:pPr>
      <w:r>
        <w:rPr>
          <w:rFonts w:ascii="Times New Roman" w:cs="Times New Roman" w:eastAsia="Times New Roman" w:hAnsi="Times New Roman"/>
          <w:sz w:val="20"/>
          <w:szCs w:val="20"/>
          <w:color w:val="auto"/>
        </w:rPr>
        <w:t>Two Manhattan West</w:t>
      </w:r>
    </w:p>
    <w:p>
      <w:pPr>
        <w:ind w:left="3200"/>
        <w:spacing w:after="0" w:line="225" w:lineRule="auto"/>
        <w:rPr>
          <w:sz w:val="20"/>
          <w:szCs w:val="20"/>
          <w:color w:val="auto"/>
        </w:rPr>
      </w:pPr>
      <w:r>
        <w:rPr>
          <w:rFonts w:ascii="Times New Roman" w:cs="Times New Roman" w:eastAsia="Times New Roman" w:hAnsi="Times New Roman"/>
          <w:sz w:val="20"/>
          <w:szCs w:val="20"/>
          <w:color w:val="auto"/>
        </w:rPr>
        <w:t>375 9th Avenue</w:t>
      </w:r>
    </w:p>
    <w:p>
      <w:pPr>
        <w:ind w:left="3200"/>
        <w:spacing w:after="0" w:line="212" w:lineRule="auto"/>
        <w:rPr>
          <w:sz w:val="20"/>
          <w:szCs w:val="20"/>
          <w:color w:val="auto"/>
        </w:rPr>
      </w:pPr>
      <w:r>
        <w:rPr>
          <w:rFonts w:ascii="Times New Roman" w:cs="Times New Roman" w:eastAsia="Times New Roman" w:hAnsi="Times New Roman"/>
          <w:sz w:val="20"/>
          <w:szCs w:val="20"/>
          <w:color w:val="auto"/>
        </w:rPr>
        <w:t>New York, New York 10001-1696</w:t>
      </w:r>
    </w:p>
    <w:p>
      <w:pPr>
        <w:ind w:left="3180"/>
        <w:spacing w:after="0" w:line="197" w:lineRule="auto"/>
        <w:rPr>
          <w:sz w:val="20"/>
          <w:szCs w:val="20"/>
          <w:color w:val="auto"/>
        </w:rPr>
      </w:pPr>
      <w:r>
        <w:rPr>
          <w:rFonts w:ascii="Times New Roman" w:cs="Times New Roman" w:eastAsia="Times New Roman" w:hAnsi="Times New Roman"/>
          <w:sz w:val="20"/>
          <w:szCs w:val="20"/>
          <w:color w:val="auto"/>
        </w:rPr>
        <w:t>Attention: Gary Brooks</w:t>
      </w:r>
    </w:p>
    <w:p>
      <w:pPr>
        <w:jc w:val="center"/>
        <w:ind w:right="-19"/>
        <w:spacing w:after="0"/>
        <w:rPr>
          <w:sz w:val="20"/>
          <w:szCs w:val="20"/>
          <w:color w:val="auto"/>
        </w:rPr>
      </w:pPr>
      <w:r>
        <w:rPr>
          <w:rFonts w:ascii="Times New Roman" w:cs="Times New Roman" w:eastAsia="Times New Roman" w:hAnsi="Times New Roman"/>
          <w:sz w:val="20"/>
          <w:szCs w:val="20"/>
          <w:color w:val="auto"/>
        </w:rPr>
        <w:t>Email: gary.brooks@cliffordchance.com</w:t>
      </w:r>
    </w:p>
    <w:p>
      <w:pPr>
        <w:spacing w:after="0" w:line="207" w:lineRule="exact"/>
        <w:rPr>
          <w:sz w:val="20"/>
          <w:szCs w:val="20"/>
          <w:color w:val="auto"/>
        </w:rPr>
      </w:pPr>
    </w:p>
    <w:p>
      <w:pPr>
        <w:ind w:left="580"/>
        <w:spacing w:after="0"/>
        <w:tabs>
          <w:tab w:leader="none" w:pos="1960" w:val="left"/>
        </w:tabs>
        <w:rPr>
          <w:sz w:val="20"/>
          <w:szCs w:val="20"/>
          <w:color w:val="auto"/>
        </w:rPr>
      </w:pPr>
      <w:r>
        <w:rPr>
          <w:rFonts w:ascii="Times New Roman" w:cs="Times New Roman" w:eastAsia="Times New Roman" w:hAnsi="Times New Roman"/>
          <w:sz w:val="20"/>
          <w:szCs w:val="20"/>
          <w:color w:val="auto"/>
        </w:rPr>
        <w:t>To BlackRock:</w:t>
      </w:r>
      <w:r>
        <w:rPr>
          <w:sz w:val="20"/>
          <w:szCs w:val="20"/>
          <w:color w:val="auto"/>
        </w:rPr>
        <w:tab/>
      </w:r>
      <w:r>
        <w:rPr>
          <w:rFonts w:ascii="Times New Roman" w:cs="Times New Roman" w:eastAsia="Times New Roman" w:hAnsi="Times New Roman"/>
          <w:sz w:val="19"/>
          <w:szCs w:val="19"/>
          <w:color w:val="auto"/>
        </w:rPr>
        <w:t xml:space="preserve">c/o BlackRock </w:t>
      </w:r>
      <w:r>
        <w:rPr>
          <w:rFonts w:ascii="Times New Roman" w:cs="Times New Roman" w:eastAsia="Times New Roman" w:hAnsi="Times New Roman"/>
          <w:sz w:val="19"/>
          <w:szCs w:val="19"/>
          <w:color w:val="EE2724"/>
          <w:strike w:val="1"/>
        </w:rPr>
        <w:t>Financial Management, Inc.</w:t>
      </w:r>
      <w:r>
        <w:rPr>
          <w:rFonts w:ascii="Times New Roman" w:cs="Times New Roman" w:eastAsia="Times New Roman" w:hAnsi="Times New Roman"/>
          <w:sz w:val="19"/>
          <w:szCs w:val="19"/>
          <w:u w:val="single" w:color="auto"/>
          <w:color w:val="3051F2"/>
        </w:rPr>
        <w:t>Capital Investment Advisors, LLC</w:t>
      </w:r>
    </w:p>
    <w:p>
      <w:pPr>
        <w:spacing w:after="0" w:line="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50 Hudson Yards</w:t>
      </w:r>
    </w:p>
    <w:p>
      <w:pPr>
        <w:ind w:left="3200"/>
        <w:spacing w:after="0" w:line="211" w:lineRule="auto"/>
        <w:rPr>
          <w:sz w:val="20"/>
          <w:szCs w:val="20"/>
          <w:color w:val="auto"/>
        </w:rPr>
      </w:pPr>
      <w:r>
        <w:rPr>
          <w:rFonts w:ascii="Times New Roman" w:cs="Times New Roman" w:eastAsia="Times New Roman" w:hAnsi="Times New Roman"/>
          <w:sz w:val="20"/>
          <w:szCs w:val="20"/>
          <w:color w:val="auto"/>
        </w:rPr>
        <w:t xml:space="preserve">New York, New York 10001 Attention: </w:t>
      </w:r>
      <w:r>
        <w:rPr>
          <w:rFonts w:ascii="Times New Roman" w:cs="Times New Roman" w:eastAsia="Times New Roman" w:hAnsi="Times New Roman"/>
          <w:sz w:val="20"/>
          <w:szCs w:val="20"/>
          <w:color w:val="EE2724"/>
          <w:strike w:val="1"/>
        </w:rPr>
        <w:t>Mark</w:t>
      </w:r>
    </w:p>
    <w:p>
      <w:pPr>
        <w:ind w:left="3200"/>
        <w:spacing w:after="0"/>
        <w:rPr>
          <w:sz w:val="20"/>
          <w:szCs w:val="20"/>
          <w:color w:val="auto"/>
        </w:rPr>
      </w:pPr>
      <w:r>
        <w:rPr>
          <w:rFonts w:ascii="Times New Roman" w:cs="Times New Roman" w:eastAsia="Times New Roman" w:hAnsi="Times New Roman"/>
          <w:sz w:val="20"/>
          <w:szCs w:val="20"/>
          <w:color w:val="EE2724"/>
          <w:strike w:val="1"/>
        </w:rPr>
        <w:t>Lawrence</w:t>
      </w:r>
      <w:r>
        <w:rPr>
          <w:rFonts w:ascii="Times New Roman" w:cs="Times New Roman" w:eastAsia="Times New Roman" w:hAnsi="Times New Roman"/>
          <w:sz w:val="20"/>
          <w:szCs w:val="20"/>
          <w:u w:val="single" w:color="auto"/>
          <w:color w:val="3051F2"/>
          <w:strike w:val="1"/>
        </w:rPr>
        <w:t>Dan Worrell; Corey Schwartz</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EE2724"/>
          <w:strike w:val="1"/>
        </w:rPr>
        <w:t>Telephone: +1 646-231-1477 (Mark Lawrence)</w:t>
      </w:r>
    </w:p>
    <w:p>
      <w:pPr>
        <w:ind w:left="3200"/>
        <w:spacing w:after="0" w:line="219" w:lineRule="auto"/>
        <w:rPr>
          <w:sz w:val="20"/>
          <w:szCs w:val="20"/>
          <w:color w:val="auto"/>
        </w:rPr>
      </w:pPr>
      <w:r>
        <w:rPr>
          <w:rFonts w:ascii="Times New Roman" w:cs="Times New Roman" w:eastAsia="Times New Roman" w:hAnsi="Times New Roman"/>
          <w:sz w:val="20"/>
          <w:szCs w:val="20"/>
          <w:color w:val="auto"/>
        </w:rPr>
        <w:t>Email:</w:t>
      </w:r>
    </w:p>
    <w:p>
      <w:pPr>
        <w:spacing w:after="0" w:line="1" w:lineRule="exact"/>
        <w:rPr>
          <w:sz w:val="20"/>
          <w:szCs w:val="20"/>
          <w:color w:val="auto"/>
        </w:rPr>
      </w:pPr>
    </w:p>
    <w:p>
      <w:pPr>
        <w:ind w:left="3860" w:right="620"/>
        <w:spacing w:after="0" w:line="233" w:lineRule="auto"/>
        <w:rPr>
          <w:sz w:val="20"/>
          <w:szCs w:val="20"/>
          <w:color w:val="auto"/>
        </w:rPr>
      </w:pPr>
      <w:r>
        <w:rPr>
          <w:rFonts w:ascii="Times New Roman" w:cs="Times New Roman" w:eastAsia="Times New Roman" w:hAnsi="Times New Roman"/>
          <w:sz w:val="19"/>
          <w:szCs w:val="19"/>
          <w:color w:val="EE2724"/>
          <w:strike w:val="1"/>
        </w:rPr>
        <w:t>Mark.A.Lawrence@blackrock.com</w:t>
      </w:r>
      <w:r>
        <w:rPr>
          <w:rFonts w:ascii="Times New Roman" w:cs="Times New Roman" w:eastAsia="Times New Roman" w:hAnsi="Times New Roman"/>
          <w:sz w:val="19"/>
          <w:szCs w:val="19"/>
          <w:u w:val="single" w:color="auto"/>
          <w:color w:val="3051F2"/>
          <w:strike w:val="1"/>
        </w:rPr>
        <w:t>dan.worrell@blackrock.com;</w:t>
      </w:r>
      <w:r>
        <w:rPr>
          <w:rFonts w:ascii="Times New Roman" w:cs="Times New Roman" w:eastAsia="Times New Roman" w:hAnsi="Times New Roman"/>
          <w:sz w:val="19"/>
          <w:szCs w:val="19"/>
          <w:color w:val="EE2724"/>
          <w:strike w:val="1"/>
        </w:rPr>
        <w:t xml:space="preserve"> </w:t>
      </w:r>
      <w:r>
        <w:rPr>
          <w:rFonts w:ascii="Times New Roman" w:cs="Times New Roman" w:eastAsia="Times New Roman" w:hAnsi="Times New Roman"/>
          <w:sz w:val="19"/>
          <w:szCs w:val="19"/>
          <w:u w:val="single" w:color="auto"/>
          <w:color w:val="3051F2"/>
          <w:strike w:val="1"/>
        </w:rPr>
        <w:t>corey.schwartz@blackrock.com</w:t>
      </w:r>
    </w:p>
    <w:p>
      <w:pPr>
        <w:spacing w:after="0" w:line="18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with copies to (which shall not constitute notice):</w:t>
      </w:r>
    </w:p>
    <w:p>
      <w:pPr>
        <w:ind w:left="3180"/>
        <w:spacing w:after="0" w:line="197" w:lineRule="auto"/>
        <w:rPr>
          <w:sz w:val="20"/>
          <w:szCs w:val="20"/>
          <w:color w:val="auto"/>
        </w:rPr>
      </w:pPr>
      <w:r>
        <w:rPr>
          <w:rFonts w:ascii="Times New Roman" w:cs="Times New Roman" w:eastAsia="Times New Roman" w:hAnsi="Times New Roman"/>
          <w:sz w:val="20"/>
          <w:szCs w:val="20"/>
          <w:color w:val="auto"/>
        </w:rPr>
        <w:t>c/o BlackRock, Inc.</w:t>
      </w:r>
    </w:p>
    <w:p>
      <w:pPr>
        <w:ind w:left="3180"/>
        <w:spacing w:after="0" w:line="211" w:lineRule="auto"/>
        <w:rPr>
          <w:sz w:val="20"/>
          <w:szCs w:val="20"/>
          <w:color w:val="auto"/>
        </w:rPr>
      </w:pPr>
      <w:r>
        <w:rPr>
          <w:rFonts w:ascii="Times New Roman" w:cs="Times New Roman" w:eastAsia="Times New Roman" w:hAnsi="Times New Roman"/>
          <w:sz w:val="20"/>
          <w:szCs w:val="20"/>
          <w:color w:val="auto"/>
        </w:rPr>
        <w:t>Office of the General Counsel 50 Hudson Yards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New York, New York 10001 Attention: Lucy Liu</w:t>
      </w:r>
    </w:p>
    <w:p>
      <w:pPr>
        <w:spacing w:after="0" w:line="7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Email: LegalTransaction@blackrock.com and</w:t>
      </w:r>
    </w:p>
    <w:p>
      <w:pPr>
        <w:spacing w:after="0" w:line="10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Clifford Chance US LLP Two Manhattan West</w:t>
      </w:r>
    </w:p>
    <w:p>
      <w:pPr>
        <w:ind w:left="3180"/>
        <w:spacing w:after="0" w:line="219" w:lineRule="auto"/>
        <w:rPr>
          <w:sz w:val="20"/>
          <w:szCs w:val="20"/>
          <w:color w:val="auto"/>
        </w:rPr>
      </w:pPr>
      <w:r>
        <w:rPr>
          <w:rFonts w:ascii="Times New Roman" w:cs="Times New Roman" w:eastAsia="Times New Roman" w:hAnsi="Times New Roman"/>
          <w:sz w:val="20"/>
          <w:szCs w:val="20"/>
          <w:color w:val="auto"/>
        </w:rPr>
        <w:t>375 9th Avenue</w:t>
      </w:r>
    </w:p>
    <w:p>
      <w:pPr>
        <w:ind w:left="3200"/>
        <w:spacing w:after="0" w:line="197" w:lineRule="auto"/>
        <w:rPr>
          <w:sz w:val="20"/>
          <w:szCs w:val="20"/>
          <w:color w:val="auto"/>
        </w:rPr>
      </w:pPr>
      <w:r>
        <w:rPr>
          <w:rFonts w:ascii="Times New Roman" w:cs="Times New Roman" w:eastAsia="Times New Roman" w:hAnsi="Times New Roman"/>
          <w:sz w:val="20"/>
          <w:szCs w:val="20"/>
          <w:color w:val="auto"/>
        </w:rPr>
        <w:t>New York, New York 10001-1696</w:t>
      </w:r>
    </w:p>
    <w:p>
      <w:pPr>
        <w:ind w:left="3180"/>
        <w:spacing w:after="0" w:line="212" w:lineRule="auto"/>
        <w:rPr>
          <w:sz w:val="20"/>
          <w:szCs w:val="20"/>
          <w:color w:val="auto"/>
        </w:rPr>
      </w:pPr>
      <w:r>
        <w:rPr>
          <w:rFonts w:ascii="Times New Roman" w:cs="Times New Roman" w:eastAsia="Times New Roman" w:hAnsi="Times New Roman"/>
          <w:sz w:val="20"/>
          <w:szCs w:val="20"/>
          <w:color w:val="auto"/>
        </w:rPr>
        <w:t xml:space="preserve">Attention: Andrew Young </w:t>
      </w:r>
      <w:r>
        <w:rPr>
          <w:rFonts w:ascii="Times New Roman" w:cs="Times New Roman" w:eastAsia="Times New Roman" w:hAnsi="Times New Roman"/>
          <w:sz w:val="20"/>
          <w:szCs w:val="20"/>
          <w:color w:val="EE2724"/>
          <w:strike w:val="1"/>
        </w:rPr>
        <w:t>Telephone: +1 212-878-</w:t>
      </w:r>
    </w:p>
    <w:p>
      <w:pPr>
        <w:ind w:left="3180"/>
        <w:spacing w:after="0" w:line="211" w:lineRule="auto"/>
        <w:rPr>
          <w:sz w:val="20"/>
          <w:szCs w:val="20"/>
          <w:color w:val="auto"/>
        </w:rPr>
      </w:pPr>
      <w:r>
        <w:rPr>
          <w:rFonts w:ascii="Times New Roman" w:cs="Times New Roman" w:eastAsia="Times New Roman" w:hAnsi="Times New Roman"/>
          <w:sz w:val="20"/>
          <w:szCs w:val="20"/>
          <w:color w:val="EE2724"/>
          <w:strike w:val="1"/>
        </w:rPr>
        <w:t>8012</w:t>
      </w:r>
    </w:p>
    <w:p>
      <w:pPr>
        <w:ind w:left="3180"/>
        <w:spacing w:after="0" w:line="197" w:lineRule="auto"/>
        <w:rPr>
          <w:sz w:val="20"/>
          <w:szCs w:val="20"/>
          <w:color w:val="auto"/>
        </w:rPr>
      </w:pPr>
      <w:r>
        <w:rPr>
          <w:rFonts w:ascii="Times New Roman" w:cs="Times New Roman" w:eastAsia="Times New Roman" w:hAnsi="Times New Roman"/>
          <w:sz w:val="20"/>
          <w:szCs w:val="20"/>
          <w:color w:val="EE2724"/>
          <w:strike w:val="1"/>
        </w:rPr>
        <w:t>Email: andrew.young@cliffordchance.com</w:t>
      </w:r>
      <w:r>
        <w:rPr>
          <w:rFonts w:ascii="Times New Roman" w:cs="Times New Roman" w:eastAsia="Times New Roman" w:hAnsi="Times New Roman"/>
          <w:sz w:val="20"/>
          <w:szCs w:val="20"/>
          <w:u w:val="single" w:color="auto"/>
          <w:color w:val="3051F2"/>
          <w:strike w:val="1"/>
        </w:rPr>
        <w:t>Email:</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u w:val="single" w:color="auto"/>
          <w:color w:val="3051F2"/>
        </w:rPr>
        <w:t>Andrew.Young@CliffordChance.com</w:t>
      </w:r>
    </w:p>
    <w:p>
      <w:pPr>
        <w:spacing w:after="0" w:line="194" w:lineRule="exact"/>
        <w:rPr>
          <w:sz w:val="20"/>
          <w:szCs w:val="20"/>
          <w:color w:val="auto"/>
        </w:rPr>
      </w:pPr>
    </w:p>
    <w:p>
      <w:pPr>
        <w:jc w:val="right"/>
        <w:ind w:left="620" w:right="2120"/>
        <w:spacing w:after="0"/>
        <w:rPr>
          <w:sz w:val="20"/>
          <w:szCs w:val="20"/>
          <w:color w:val="auto"/>
        </w:rPr>
      </w:pPr>
      <w:r>
        <w:rPr>
          <w:rFonts w:ascii="Times New Roman" w:cs="Times New Roman" w:eastAsia="Times New Roman" w:hAnsi="Times New Roman"/>
          <w:sz w:val="20"/>
          <w:szCs w:val="20"/>
          <w:color w:val="auto"/>
        </w:rPr>
        <w:t>To any other Lender:  the address set forth in the Administrative Questionnaire or the Assignment and Acceptance executed by such Lender</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Any party hereto may change its address or facsimile number for notices and other communications hereunder by notice to the other parties hereto.</w:t>
      </w:r>
    </w:p>
    <w:p>
      <w:pPr>
        <w:sectPr>
          <w:pgSz w:w="11900" w:h="16838" w:orient="portrait"/>
          <w:cols w:equalWidth="0" w:num="1">
            <w:col w:w="9600"/>
          </w:cols>
          <w:pgMar w:left="1440" w:top="1332" w:right="859" w:bottom="1440" w:gutter="0" w:footer="0" w:header="0"/>
        </w:sectPr>
      </w:pPr>
    </w:p>
    <w:bookmarkStart w:id="208" w:name="page209"/>
    <w:bookmarkEnd w:id="208"/>
    <w:p>
      <w:pPr>
        <w:jc w:val="both"/>
        <w:ind w:left="620" w:firstLine="1291"/>
        <w:spacing w:after="0" w:line="241" w:lineRule="auto"/>
        <w:tabs>
          <w:tab w:leader="none" w:pos="2778"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of the Administrative Agent or any Lender herein to receive certain notices by telephone or facsimile is solely for the convenience and at the request of the Borrower. The Administrative Agent and each Lender shall be entitled to rely on the authority of any Person purporting to be a Person authorized by the Borrower to give such notice and the Administrative Agent and the Lenders shall not have any liability to the Borrower or other Person on account of any action taken or not taken by the Administrative Agent or any Lender in reliance upon such telephonic or facsimile notice. The obligation of the Borrower to repay the Loans and all other Obligations hereunder shall not be affected in any way or to any extent by any failure of the Administrative Agent or any Lender to receive written confirmation of any telephonic or facsimile notice or the receipt by the Administrative Agent or any Lender of a confirmation which is at variance with the terms understood by the Administrative Agent and such Lender to be contained in any such telephonic or facsimile notice.</w:t>
      </w:r>
    </w:p>
    <w:p>
      <w:pPr>
        <w:spacing w:after="0" w:line="215" w:lineRule="exact"/>
        <w:rPr>
          <w:rFonts w:ascii="Times New Roman" w:cs="Times New Roman" w:eastAsia="Times New Roman" w:hAnsi="Times New Roman"/>
          <w:sz w:val="20"/>
          <w:szCs w:val="20"/>
          <w:color w:val="auto"/>
        </w:rPr>
      </w:pPr>
    </w:p>
    <w:p>
      <w:pPr>
        <w:ind w:left="1900" w:hanging="637"/>
        <w:spacing w:after="0"/>
        <w:tabs>
          <w:tab w:leader="none" w:pos="19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337" w:lineRule="exact"/>
        <w:rPr>
          <w:rFonts w:ascii="Times New Roman" w:cs="Times New Roman" w:eastAsia="Times New Roman" w:hAnsi="Times New Roman"/>
          <w:sz w:val="20"/>
          <w:szCs w:val="20"/>
          <w:color w:val="auto"/>
        </w:rPr>
      </w:pPr>
    </w:p>
    <w:p>
      <w:pPr>
        <w:jc w:val="both"/>
        <w:ind w:left="620" w:right="20" w:firstLine="1291"/>
        <w:spacing w:after="0" w:line="242" w:lineRule="auto"/>
        <w:tabs>
          <w:tab w:leader="none" w:pos="213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if such Lender has notified the Administrative Agent that it is incapable of receiving, or is unwilling to receive, notices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213" w:lineRule="exact"/>
        <w:rPr>
          <w:sz w:val="20"/>
          <w:szCs w:val="20"/>
          <w:color w:val="auto"/>
        </w:rPr>
      </w:pPr>
    </w:p>
    <w:p>
      <w:pPr>
        <w:jc w:val="both"/>
        <w:ind w:left="620" w:firstLine="1291"/>
        <w:spacing w:after="0" w:line="241" w:lineRule="auto"/>
        <w:tabs>
          <w:tab w:leader="none" w:pos="277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clauses (A) and (B) above, if such notice or other communication is not sent during the normal business hours of the recipient, such notice or communication shall be deemed to have been sent at the opening of business on the next Business Day for the recipient.</w:t>
      </w:r>
    </w:p>
    <w:p>
      <w:pPr>
        <w:spacing w:after="0" w:line="203" w:lineRule="exact"/>
        <w:rPr>
          <w:rFonts w:ascii="Times New Roman" w:cs="Times New Roman" w:eastAsia="Times New Roman" w:hAnsi="Times New Roman"/>
          <w:sz w:val="20"/>
          <w:szCs w:val="20"/>
          <w:color w:val="auto"/>
        </w:rPr>
      </w:pPr>
    </w:p>
    <w:p>
      <w:pPr>
        <w:jc w:val="both"/>
        <w:ind w:left="620" w:right="20" w:firstLine="1291"/>
        <w:spacing w:after="0" w:line="254" w:lineRule="auto"/>
        <w:tabs>
          <w:tab w:leader="none" w:pos="27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that the Administrative Agent may, but shall not be obligated to, make Communications (as defined below) available to the other Lenders by posting the Communications on Debt Domain, Intralinks, Syndtrak, ClearPar or a substantially similar electronic system.</w:t>
      </w:r>
    </w:p>
    <w:p>
      <w:pPr>
        <w:spacing w:after="0" w:line="214" w:lineRule="exact"/>
        <w:rPr>
          <w:rFonts w:ascii="Times New Roman" w:cs="Times New Roman" w:eastAsia="Times New Roman" w:hAnsi="Times New Roman"/>
          <w:sz w:val="20"/>
          <w:szCs w:val="20"/>
          <w:color w:val="auto"/>
        </w:rPr>
      </w:pPr>
    </w:p>
    <w:p>
      <w:pPr>
        <w:jc w:val="both"/>
        <w:ind w:left="620" w:firstLine="1292"/>
        <w:spacing w:after="0" w:line="239" w:lineRule="auto"/>
        <w:tabs>
          <w:tab w:leader="none" w:pos="2769"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(AS DEFINED BELOW) AND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w:t>
      </w:r>
    </w:p>
    <w:p>
      <w:pPr>
        <w:sectPr>
          <w:pgSz w:w="11900" w:h="16838" w:orient="portrait"/>
          <w:cols w:equalWidth="0" w:num="1">
            <w:col w:w="10000"/>
          </w:cols>
          <w:pgMar w:left="1440" w:top="1332" w:right="459" w:bottom="1440" w:gutter="0" w:footer="0" w:header="0"/>
        </w:sectPr>
      </w:pPr>
    </w:p>
    <w:bookmarkStart w:id="209" w:name="page210"/>
    <w:bookmarkEnd w:id="209"/>
    <w:p>
      <w:pPr>
        <w:jc w:val="both"/>
        <w:ind w:left="653"/>
        <w:spacing w:after="0" w:line="239" w:lineRule="auto"/>
        <w:rPr>
          <w:sz w:val="20"/>
          <w:szCs w:val="20"/>
          <w:color w:val="auto"/>
        </w:rPr>
      </w:pPr>
      <w:r>
        <w:rPr>
          <w:rFonts w:ascii="Times New Roman" w:cs="Times New Roman" w:eastAsia="Times New Roman" w:hAnsi="Times New Roman"/>
          <w:sz w:val="20"/>
          <w:szCs w:val="20"/>
          <w:color w:val="auto"/>
        </w:rPr>
        <w:t xml:space="preserve">CONNECTION WITH THE BORROWER MATERIALS OR THE PLATFORM. In no event shall the Administrative Agent or any of its Related Parties have any liability to any Loan Party or any of their respective Subsidiaries, any Lender or any other Person or entity for losses, claims, damages, liabilities or expenses of any kind, including, without limitation, direct or indirect, special, incidental or consequential damages, losses or expenses, whether or not based on strict liability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the Administrative Agent or such Related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Administrative Agent or any Related Party have any liability to any Loan Party or any of their respective Subsidiaries, any Lender or any other Person for indirect, special, incidental, consequential or punitive damages (as opposed to direct or actual damages) arising out of any Loan Party’s or the Administrative Agent’s transmission of Communications. “</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this Section, including through the Platform.</w:t>
      </w:r>
    </w:p>
    <w:p>
      <w:pPr>
        <w:spacing w:after="0" w:line="35" w:lineRule="exact"/>
        <w:rPr>
          <w:sz w:val="20"/>
          <w:szCs w:val="20"/>
          <w:color w:val="auto"/>
        </w:rPr>
      </w:pPr>
    </w:p>
    <w:p>
      <w:pPr>
        <w:jc w:val="both"/>
        <w:ind w:left="-7" w:firstLine="1304"/>
        <w:spacing w:after="0" w:line="222" w:lineRule="auto"/>
        <w:tabs>
          <w:tab w:leader="none" w:pos="214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Telephonic Notices</w:t>
      </w:r>
      <w:r>
        <w:rPr>
          <w:rFonts w:ascii="Times New Roman" w:cs="Times New Roman" w:eastAsia="Times New Roman" w:hAnsi="Times New Roman"/>
          <w:sz w:val="20"/>
          <w:szCs w:val="20"/>
          <w:color w:val="auto"/>
        </w:rPr>
        <w:t>. Unless otherwise expressly provided herein,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8" w:lineRule="exact"/>
        <w:rPr>
          <w:rFonts w:ascii="Times New Roman" w:cs="Times New Roman" w:eastAsia="Times New Roman" w:hAnsi="Times New Roman"/>
          <w:sz w:val="20"/>
          <w:szCs w:val="20"/>
          <w:color w:val="auto"/>
        </w:rPr>
      </w:pPr>
    </w:p>
    <w:p>
      <w:pPr>
        <w:jc w:val="both"/>
        <w:ind w:left="653" w:firstLine="1291"/>
        <w:spacing w:after="0" w:line="222" w:lineRule="auto"/>
        <w:tabs>
          <w:tab w:leader="none" w:pos="2252"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Holdings, the Borrower or the Administrative Agent, to the address, facsimile number, electronic mail address or telephone number specified for such Person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to such other address, facsimile number, electronic mail address or telephone number as shall be designated by such party in a notice to the other parties hereto, as provided in </w:t>
      </w:r>
      <w:r>
        <w:rPr>
          <w:rFonts w:ascii="Times New Roman" w:cs="Times New Roman" w:eastAsia="Times New Roman" w:hAnsi="Times New Roman"/>
          <w:sz w:val="20"/>
          <w:szCs w:val="20"/>
          <w:u w:val="single" w:color="auto"/>
          <w:color w:val="auto"/>
        </w:rPr>
        <w:t>Section 10.1(d)</w:t>
      </w:r>
      <w:r>
        <w:rPr>
          <w:rFonts w:ascii="Times New Roman" w:cs="Times New Roman" w:eastAsia="Times New Roman" w:hAnsi="Times New Roman"/>
          <w:sz w:val="20"/>
          <w:szCs w:val="20"/>
          <w:color w:val="auto"/>
        </w:rPr>
        <w:t>; and</w:t>
      </w:r>
    </w:p>
    <w:p>
      <w:pPr>
        <w:spacing w:after="0" w:line="283" w:lineRule="exact"/>
        <w:rPr>
          <w:rFonts w:ascii="Times New Roman" w:cs="Times New Roman" w:eastAsia="Times New Roman" w:hAnsi="Times New Roman"/>
          <w:sz w:val="20"/>
          <w:szCs w:val="20"/>
          <w:color w:val="auto"/>
        </w:rPr>
      </w:pPr>
    </w:p>
    <w:p>
      <w:pPr>
        <w:ind w:left="653" w:right="720" w:firstLine="1291"/>
        <w:spacing w:after="0"/>
        <w:tabs>
          <w:tab w:leader="none" w:pos="2811"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w:t>
      </w:r>
    </w:p>
    <w:p>
      <w:pPr>
        <w:spacing w:after="0" w:line="188" w:lineRule="exact"/>
        <w:rPr>
          <w:rFonts w:ascii="Times New Roman" w:cs="Times New Roman" w:eastAsia="Times New Roman" w:hAnsi="Times New Roman"/>
          <w:sz w:val="20"/>
          <w:szCs w:val="20"/>
          <w:color w:val="auto"/>
        </w:rPr>
      </w:pPr>
    </w:p>
    <w:p>
      <w:pPr>
        <w:jc w:val="both"/>
        <w:ind w:left="-7" w:firstLine="1303"/>
        <w:spacing w:after="0" w:line="225" w:lineRule="auto"/>
        <w:tabs>
          <w:tab w:leader="none" w:pos="2140"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such notices and other communications sent to any party hereto in accordance with the provisions of this Agreement are made upon the earlier to occur of (i) actual receipt by the relevant party hereto and (ii) (A) if delivered by hand or by courier, when signed for by or on behalf of the relevant party hereto; (B) if delivered by mail, three</w:t>
      </w:r>
    </w:p>
    <w:p>
      <w:pPr>
        <w:spacing w:after="0" w:line="1" w:lineRule="exact"/>
        <w:rPr>
          <w:rFonts w:ascii="Times New Roman" w:cs="Times New Roman" w:eastAsia="Times New Roman" w:hAnsi="Times New Roman"/>
          <w:sz w:val="19"/>
          <w:szCs w:val="19"/>
          <w:color w:val="auto"/>
        </w:rPr>
      </w:pPr>
    </w:p>
    <w:p>
      <w:pPr>
        <w:jc w:val="both"/>
        <w:ind w:left="-7" w:firstLine="7"/>
        <w:spacing w:after="0" w:line="212" w:lineRule="auto"/>
        <w:tabs>
          <w:tab w:leader="none" w:pos="29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after deposit in the mails, postage prepaid; (C) if delivered by facsimile, when sent and receipt has been confirmed by telephone; and (D) if delivered by electronic mail, to the extent provided in clause (b) above and effective as provided in such clause;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notices and other communications to the Administrative Agent pursuant to Article II shall not be effective until actually received by such Person. In no event shall a voice mail message be effective as a notice, communication or confirmation hereunder.</w:t>
      </w:r>
    </w:p>
    <w:p>
      <w:pPr>
        <w:spacing w:after="0" w:line="204" w:lineRule="exact"/>
        <w:rPr>
          <w:rFonts w:ascii="Times New Roman" w:cs="Times New Roman" w:eastAsia="Times New Roman" w:hAnsi="Times New Roman"/>
          <w:sz w:val="20"/>
          <w:szCs w:val="20"/>
          <w:color w:val="auto"/>
        </w:rPr>
      </w:pPr>
    </w:p>
    <w:p>
      <w:pPr>
        <w:jc w:val="both"/>
        <w:ind w:left="-7" w:firstLine="1303"/>
        <w:spacing w:after="0" w:line="237" w:lineRule="auto"/>
        <w:tabs>
          <w:tab w:leader="none" w:pos="2143"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Administrative Agent and the Lenders.</w:t>
      </w:r>
    </w:p>
    <w:p>
      <w:pPr>
        <w:sectPr>
          <w:pgSz w:w="11900" w:h="16838" w:orient="portrait"/>
          <w:cols w:equalWidth="0" w:num="1">
            <w:col w:w="10033"/>
          </w:cols>
          <w:pgMar w:left="1407" w:top="1332" w:right="459" w:bottom="1440" w:gutter="0" w:footer="0" w:header="0"/>
        </w:sectPr>
      </w:pPr>
    </w:p>
    <w:bookmarkStart w:id="210" w:name="page211"/>
    <w:bookmarkEnd w:id="210"/>
    <w:p>
      <w:pPr>
        <w:ind w:left="620"/>
        <w:spacing w:after="0"/>
        <w:tabs>
          <w:tab w:leader="none" w:pos="184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b w:val="1"/>
          <w:bCs w:val="1"/>
          <w:u w:val="single" w:color="auto"/>
          <w:color w:val="auto"/>
        </w:rPr>
        <w:t>Waiver; Amendments</w:t>
      </w:r>
      <w:r>
        <w:rPr>
          <w:rFonts w:ascii="Times New Roman" w:cs="Times New Roman" w:eastAsia="Times New Roman" w:hAnsi="Times New Roman"/>
          <w:sz w:val="19"/>
          <w:szCs w:val="19"/>
          <w:color w:val="auto"/>
        </w:rPr>
        <w:t>.</w:t>
      </w:r>
    </w:p>
    <w:p>
      <w:pPr>
        <w:spacing w:after="0" w:line="355" w:lineRule="exact"/>
        <w:rPr>
          <w:sz w:val="20"/>
          <w:szCs w:val="20"/>
          <w:color w:val="auto"/>
        </w:rPr>
      </w:pPr>
    </w:p>
    <w:p>
      <w:pPr>
        <w:jc w:val="both"/>
        <w:ind w:left="-40" w:firstLine="1303"/>
        <w:spacing w:after="0" w:line="261" w:lineRule="auto"/>
        <w:tabs>
          <w:tab w:leader="none" w:pos="211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failure or delay by the Administrative Agent or any Lender in exercising any right or power hereunder or under any other Loan Document, and no course of dealing between the Borrower and the Administrative Agent or any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and the Lenders hereunder and under the other Loan Documents are cumulative and are not exclusive of any rights or remedies provided by law. No waiver of any provision of this Agreement or of any other Loan Document or consent to any departure by the Borrower therefrom shall in any event be effective unless the same shall be permitted by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and then such waiver or consent shall be effective only in the specific instance and for the purpose for which given. Without limiting the generality of the foregoing, the making of a Term Loan shall not be construed as a waiver of any Default or Event of Default, regardless of whether the Administrative Agent or any Lender may have had notice or knowledge of such Default or Event of Default at the time.</w:t>
      </w:r>
    </w:p>
    <w:p>
      <w:pPr>
        <w:spacing w:after="0" w:line="225" w:lineRule="exact"/>
        <w:rPr>
          <w:rFonts w:ascii="Times New Roman" w:cs="Times New Roman" w:eastAsia="Times New Roman" w:hAnsi="Times New Roman"/>
          <w:sz w:val="20"/>
          <w:szCs w:val="20"/>
          <w:color w:val="auto"/>
        </w:rPr>
      </w:pPr>
    </w:p>
    <w:p>
      <w:pPr>
        <w:jc w:val="both"/>
        <w:ind w:left="-40" w:firstLine="1303"/>
        <w:spacing w:after="0" w:line="260" w:lineRule="auto"/>
        <w:tabs>
          <w:tab w:leader="none" w:pos="210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in this Agreement, including, without limitation,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with respect to the implementation of a Benchmark Replacement or Conforming Changes (as set forth therein), no amendment or waiver of any provision of this Agreement or of the other Loan Documents (other than the Fee Letters, the Board Observation Side Letter or the Warrants, each of which may be amended or modified in accordance with the terms thereof), nor consent to any departure by the Borrower therefrom, shall in any event be effective unless the same shall be in writing and signed by the Borrower and the Required Lenders, or the Borrower and the Administrative Agent with the consent of the Required Lenders, and then such amendment,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consent of the Required Lenders, no amendment, waiver or consent shall:</w:t>
      </w:r>
    </w:p>
    <w:p>
      <w:pPr>
        <w:spacing w:after="0" w:line="309" w:lineRule="exact"/>
        <w:rPr>
          <w:sz w:val="20"/>
          <w:szCs w:val="20"/>
          <w:color w:val="auto"/>
        </w:rPr>
      </w:pPr>
    </w:p>
    <w:p>
      <w:pPr>
        <w:ind w:left="2560" w:hanging="649"/>
        <w:spacing w:after="0"/>
        <w:tabs>
          <w:tab w:leader="none" w:pos="25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Commitment of any Lender without the written consent of</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such Lender;</w:t>
      </w:r>
    </w:p>
    <w:p>
      <w:pPr>
        <w:spacing w:after="0" w:line="349" w:lineRule="exact"/>
        <w:rPr>
          <w:sz w:val="20"/>
          <w:szCs w:val="20"/>
          <w:color w:val="auto"/>
        </w:rPr>
      </w:pPr>
    </w:p>
    <w:p>
      <w:pPr>
        <w:jc w:val="both"/>
        <w:ind w:left="620" w:firstLine="1291"/>
        <w:spacing w:after="0" w:line="265" w:lineRule="auto"/>
        <w:tabs>
          <w:tab w:leader="none" w:pos="277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amount of any Loan or reduce the rate of interest thereon </w:t>
      </w:r>
      <w:r>
        <w:rPr>
          <w:rFonts w:ascii="Times New Roman" w:cs="Times New Roman" w:eastAsia="Times New Roman" w:hAnsi="Times New Roman"/>
          <w:sz w:val="20"/>
          <w:szCs w:val="20"/>
          <w:u w:val="single" w:color="auto"/>
          <w:color w:val="3051F2"/>
        </w:rPr>
        <w:t>(it being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agreed that the waiver or modification of the MFN Provision with respect to any Pari Lien Debt shall only require the consent of the Required Lenders)</w:t>
      </w:r>
      <w:r>
        <w:rPr>
          <w:rFonts w:ascii="Times New Roman" w:cs="Times New Roman" w:eastAsia="Times New Roman" w:hAnsi="Times New Roman"/>
          <w:sz w:val="20"/>
          <w:szCs w:val="20"/>
          <w:color w:val="000000"/>
        </w:rPr>
        <w:t>, or reduce any fees or other amounts payable hereunder (including any Prepayment</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 xml:space="preserve">Premium), without the written consent of each Lender directly affected thereby;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only the consent of the Required Lenders shall be necessary to waive any obligation of the Borrower to pay interest at the rate set forth in </w:t>
      </w:r>
      <w:r>
        <w:rPr>
          <w:rFonts w:ascii="Times New Roman" w:cs="Times New Roman" w:eastAsia="Times New Roman" w:hAnsi="Times New Roman"/>
          <w:sz w:val="20"/>
          <w:szCs w:val="20"/>
          <w:u w:val="single" w:color="auto"/>
          <w:color w:val="000000"/>
        </w:rPr>
        <w:t>Section 2.12(c)</w:t>
      </w:r>
      <w:r>
        <w:rPr>
          <w:rFonts w:ascii="Times New Roman" w:cs="Times New Roman" w:eastAsia="Times New Roman" w:hAnsi="Times New Roman"/>
          <w:sz w:val="20"/>
          <w:szCs w:val="20"/>
          <w:color w:val="000000"/>
        </w:rPr>
        <w:t xml:space="preserve"> during the continuance of an Event of Default;</w:t>
      </w:r>
    </w:p>
    <w:p>
      <w:pPr>
        <w:spacing w:after="0" w:line="298" w:lineRule="exact"/>
        <w:rPr>
          <w:rFonts w:ascii="Times New Roman" w:cs="Times New Roman" w:eastAsia="Times New Roman" w:hAnsi="Times New Roman"/>
          <w:sz w:val="20"/>
          <w:szCs w:val="20"/>
          <w:color w:val="auto"/>
        </w:rPr>
      </w:pPr>
    </w:p>
    <w:p>
      <w:pPr>
        <w:jc w:val="both"/>
        <w:ind w:left="620" w:firstLine="1291"/>
        <w:spacing w:after="0" w:line="262" w:lineRule="auto"/>
        <w:tabs>
          <w:tab w:leader="none" w:pos="278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postpone the date fixed for any payment (other than any mandatory prepayment) of any principal of, or interest on, any Loan or any fees or other amounts hereunder or reduce the amount of, waive or excuse any such payment or postpone the scheduled date for the termination or reduction of any Commitment, without the written consent of each Lender directly affected thereby (it being understood that the waiver of any Default or Event of Default or mandatory prepayment shall not constitute a postponement, extension, reduction, excuse or waiver any payment for purposes of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w:t>
      </w:r>
    </w:p>
    <w:p>
      <w:pPr>
        <w:sectPr>
          <w:pgSz w:w="11900" w:h="16838" w:orient="portrait"/>
          <w:cols w:equalWidth="0" w:num="1">
            <w:col w:w="10000"/>
          </w:cols>
          <w:pgMar w:left="1440" w:top="1341" w:right="459" w:bottom="1440" w:gutter="0" w:footer="0" w:header="0"/>
        </w:sectPr>
      </w:pPr>
    </w:p>
    <w:bookmarkStart w:id="211" w:name="page212"/>
    <w:bookmarkEnd w:id="211"/>
    <w:p>
      <w:pPr>
        <w:spacing w:after="0" w:line="212" w:lineRule="exact"/>
        <w:rPr>
          <w:sz w:val="20"/>
          <w:szCs w:val="20"/>
          <w:color w:val="auto"/>
        </w:rPr>
      </w:pPr>
    </w:p>
    <w:p>
      <w:pPr>
        <w:jc w:val="both"/>
        <w:ind w:left="660" w:firstLine="1292"/>
        <w:spacing w:after="0" w:line="216" w:lineRule="auto"/>
        <w:tabs>
          <w:tab w:leader="none" w:pos="2809"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change </w:t>
      </w:r>
      <w:r>
        <w:rPr>
          <w:rFonts w:ascii="Times New Roman" w:cs="Times New Roman" w:eastAsia="Times New Roman" w:hAnsi="Times New Roman"/>
          <w:sz w:val="20"/>
          <w:szCs w:val="20"/>
          <w:u w:val="single" w:color="auto"/>
          <w:color w:val="auto"/>
        </w:rPr>
        <w:t>Section 2.22(b)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in a manner that would alter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sharing of payments required thereby, (B) change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in a manner that would alter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sharing of Commitment reductions thereby, (C) change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in a manner that would alter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sharing of payments or the order of application required thereby or (D) change any other provision of this Agreement or any of the other Loan Documents that addresses the matters described in </w:t>
      </w:r>
      <w:r>
        <w:rPr>
          <w:rFonts w:ascii="Times New Roman" w:cs="Times New Roman" w:eastAsia="Times New Roman" w:hAnsi="Times New Roman"/>
          <w:sz w:val="20"/>
          <w:szCs w:val="20"/>
          <w:u w:val="single" w:color="auto"/>
          <w:color w:val="auto"/>
        </w:rPr>
        <w:t>subclause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permit any action which would directly or indirectly have the effect of amending any of the provisions described in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in each case, without the written consent of each Lender directly affected thereby;</w:t>
      </w:r>
    </w:p>
    <w:p>
      <w:pPr>
        <w:spacing w:after="0" w:line="202"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80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of the provisions of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or the definition of “Required Lenders” or any other provision hereof specifying the number or percentage of Lenders which are required to waive, amend or modify any rights hereunder or make any determination or grant any consent hereunder, without the consent of each Lender directly affected thereby;</w:t>
      </w:r>
    </w:p>
    <w:p>
      <w:pPr>
        <w:spacing w:after="0" w:line="181" w:lineRule="exact"/>
        <w:rPr>
          <w:rFonts w:ascii="Times New Roman" w:cs="Times New Roman" w:eastAsia="Times New Roman" w:hAnsi="Times New Roman"/>
          <w:sz w:val="20"/>
          <w:szCs w:val="20"/>
          <w:color w:val="auto"/>
        </w:rPr>
      </w:pPr>
    </w:p>
    <w:p>
      <w:pPr>
        <w:ind w:left="2800" w:hanging="849"/>
        <w:spacing w:after="0"/>
        <w:tabs>
          <w:tab w:leader="none" w:pos="28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Guarantors without the written consent of each</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 or</w:t>
      </w:r>
    </w:p>
    <w:p>
      <w:pPr>
        <w:spacing w:after="0" w:line="193" w:lineRule="exact"/>
        <w:rPr>
          <w:rFonts w:ascii="Times New Roman" w:cs="Times New Roman" w:eastAsia="Times New Roman" w:hAnsi="Times New Roman"/>
          <w:sz w:val="20"/>
          <w:szCs w:val="20"/>
          <w:color w:val="auto"/>
        </w:rPr>
      </w:pPr>
    </w:p>
    <w:p>
      <w:pPr>
        <w:ind w:left="660" w:firstLine="1291"/>
        <w:spacing w:after="0"/>
        <w:tabs>
          <w:tab w:leader="none" w:pos="2809"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Collateral (if any) securing any of the Obligations, without the written consent of each Lender.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such amendment, waiver or consent shall amend, modify or otherwise affect the rights, duties or obligations of the Administrative Agent without the prior written consent of such Person.</w:t>
      </w:r>
    </w:p>
    <w:p>
      <w:pPr>
        <w:spacing w:after="0" w:line="18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Notwithstanding anything to the contrary contained herein, no Defaulting Lender shall have any right to approve or disapprove any amendment, waiver or consent hereunder, except that the Term Loan Commitment of such Lender may not be</w:t>
      </w:r>
    </w:p>
    <w:p>
      <w:pPr>
        <w:spacing w:after="0" w:line="211" w:lineRule="auto"/>
        <w:rPr>
          <w:sz w:val="20"/>
          <w:szCs w:val="20"/>
          <w:color w:val="auto"/>
        </w:rPr>
      </w:pPr>
      <w:r>
        <w:rPr>
          <w:rFonts w:ascii="Times New Roman" w:cs="Times New Roman" w:eastAsia="Times New Roman" w:hAnsi="Times New Roman"/>
          <w:sz w:val="20"/>
          <w:szCs w:val="20"/>
          <w:color w:val="auto"/>
        </w:rPr>
        <w:t>increased, and amounts payable to such Lender hereunder may not be permanently reduced, without the consent of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 (other than reductions in fees and interest in which such reduction does not disproportionately affect such Lender). Notwithstanding anything contained herein to the contrary, this Agreement may be amended and restated without the consent</w:t>
      </w:r>
    </w:p>
    <w:p>
      <w:pPr>
        <w:spacing w:after="0" w:line="211" w:lineRule="auto"/>
        <w:rPr>
          <w:sz w:val="20"/>
          <w:szCs w:val="20"/>
          <w:color w:val="auto"/>
        </w:rPr>
      </w:pPr>
      <w:r>
        <w:rPr>
          <w:rFonts w:ascii="Times New Roman" w:cs="Times New Roman" w:eastAsia="Times New Roman" w:hAnsi="Times New Roman"/>
          <w:sz w:val="20"/>
          <w:szCs w:val="20"/>
          <w:color w:val="auto"/>
        </w:rPr>
        <w:t>of any Lender (but with the consent of the Borrower and the Administrative Agent) if, upon giving effect to such amendment</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and restatement, such Lender shall no longer be a party to this Agreement (as so amended and restated), the Term Loan Commitments of such Lender shall have terminated (but such Lender shall continue to be entitled to the benefits of </w:t>
      </w:r>
      <w:r>
        <w:rPr>
          <w:rFonts w:ascii="Times New Roman" w:cs="Times New Roman" w:eastAsia="Times New Roman" w:hAnsi="Times New Roman"/>
          <w:sz w:val="20"/>
          <w:szCs w:val="20"/>
          <w:u w:val="single" w:color="auto"/>
          <w:color w:val="auto"/>
        </w:rPr>
        <w:t>Sections</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such Lender shall have no other commitment or other obligation hereunder and such Lender shall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have been paid in full all principal, interest and other amounts owing to it or accrued for its account under this Agreement. Notwithstanding anything herein or otherwise to the contrary, any Event of Default occurring hereunder shall continue to exist</w:t>
      </w:r>
    </w:p>
    <w:p>
      <w:pPr>
        <w:spacing w:after="0" w:line="211" w:lineRule="auto"/>
        <w:rPr>
          <w:sz w:val="20"/>
          <w:szCs w:val="20"/>
          <w:color w:val="auto"/>
        </w:rPr>
      </w:pPr>
      <w:r>
        <w:rPr>
          <w:rFonts w:ascii="Times New Roman" w:cs="Times New Roman" w:eastAsia="Times New Roman" w:hAnsi="Times New Roman"/>
          <w:sz w:val="20"/>
          <w:szCs w:val="20"/>
          <w:color w:val="auto"/>
        </w:rPr>
        <w:t>(and shall be deemed to be continuing) until such time as such Event of Default is waived in writing in accordance with the</w:t>
      </w:r>
    </w:p>
    <w:p>
      <w:pPr>
        <w:ind w:right="20"/>
        <w:spacing w:after="0" w:line="204" w:lineRule="auto"/>
        <w:rPr>
          <w:sz w:val="20"/>
          <w:szCs w:val="20"/>
          <w:color w:val="auto"/>
        </w:rPr>
      </w:pPr>
      <w:r>
        <w:rPr>
          <w:rFonts w:ascii="Times New Roman" w:cs="Times New Roman" w:eastAsia="Times New Roman" w:hAnsi="Times New Roman"/>
          <w:sz w:val="20"/>
          <w:szCs w:val="20"/>
          <w:color w:val="auto"/>
        </w:rPr>
        <w:t>terms of this Section notwithstanding (i) any attempted cure or other action taken by the Borrower or any other Person subsequent to the occurrence of such Event of Default or (ii) any action taken or omitted to be taken by the Administrative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Agent or any Lender prior to or subsequent to the occurrence of such Event of Default (other than the granting of a waiver in writing in accordance with the terms of this Section).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anything to the contrary herein, the Administrative Agent may, with the consent of the Borrower</w:t>
      </w:r>
    </w:p>
    <w:p>
      <w:pPr>
        <w:spacing w:after="0" w:line="221" w:lineRule="auto"/>
        <w:rPr>
          <w:sz w:val="20"/>
          <w:szCs w:val="20"/>
          <w:color w:val="auto"/>
        </w:rPr>
      </w:pPr>
      <w:r>
        <w:rPr>
          <w:rFonts w:ascii="Times New Roman" w:cs="Times New Roman" w:eastAsia="Times New Roman" w:hAnsi="Times New Roman"/>
          <w:sz w:val="20"/>
          <w:szCs w:val="20"/>
          <w:color w:val="auto"/>
        </w:rPr>
        <w:t>only, amend, modify or supplement any Loan Document to cure any obvious ambiguity, omission, mistake, defect or inconsistency.</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b w:val="1"/>
          <w:bCs w:val="1"/>
          <w:u w:val="single" w:color="auto"/>
          <w:color w:val="auto"/>
        </w:rPr>
        <w:t>Expenses; Indemnification</w:t>
      </w:r>
      <w:r>
        <w:rPr>
          <w:rFonts w:ascii="Times New Roman" w:cs="Times New Roman" w:eastAsia="Times New Roman" w:hAnsi="Times New Roman"/>
          <w:sz w:val="19"/>
          <w:szCs w:val="19"/>
          <w:color w:val="auto"/>
        </w:rPr>
        <w:t>.</w:t>
      </w:r>
    </w:p>
    <w:p>
      <w:pPr>
        <w:spacing w:after="0" w:line="301" w:lineRule="exact"/>
        <w:rPr>
          <w:sz w:val="20"/>
          <w:szCs w:val="20"/>
          <w:color w:val="auto"/>
        </w:rPr>
      </w:pPr>
    </w:p>
    <w:p>
      <w:pPr>
        <w:jc w:val="both"/>
        <w:ind w:firstLine="1303"/>
        <w:spacing w:after="0" w:line="215" w:lineRule="auto"/>
        <w:tabs>
          <w:tab w:leader="none" w:pos="215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(i) all reasonable and documented (in the case of legal expenses, in summary form), out-of-pocket costs and expenses of the Administrative Agent and the Lenders, including the reasonable and documented (in summary form) fees and disbursements of counsel for the Administrative Agent and the Lenders, in connection with the syndication of the credit facilities provided for herein, the preparation and administration of the Loan Documents and any amendments, modifications or waivers thereof (whether or not the transactions contemplated in this Agreement or any other Loan Document shall be consummated) and (ii) all reasonable and documented out-of-pocket costs and expenses (including, without limitation, the reasonable and documented (in summary form) fees and</w:t>
      </w:r>
    </w:p>
    <w:p>
      <w:pPr>
        <w:sectPr>
          <w:pgSz w:w="11900" w:h="16838" w:orient="portrait"/>
          <w:cols w:equalWidth="0" w:num="1">
            <w:col w:w="10040"/>
          </w:cols>
          <w:pgMar w:left="1400" w:top="1440" w:right="459" w:bottom="1440" w:gutter="0" w:footer="0" w:header="0"/>
        </w:sectPr>
      </w:pPr>
    </w:p>
    <w:bookmarkStart w:id="212" w:name="page213"/>
    <w:bookmarkEnd w:id="212"/>
    <w:p>
      <w:pPr>
        <w:spacing w:after="0" w:line="222" w:lineRule="auto"/>
        <w:rPr>
          <w:sz w:val="20"/>
          <w:szCs w:val="20"/>
          <w:color w:val="auto"/>
        </w:rPr>
      </w:pPr>
      <w:r>
        <w:rPr>
          <w:rFonts w:ascii="Times New Roman" w:cs="Times New Roman" w:eastAsia="Times New Roman" w:hAnsi="Times New Roman"/>
          <w:sz w:val="20"/>
          <w:szCs w:val="20"/>
          <w:color w:val="auto"/>
        </w:rPr>
        <w:t>disbursements of counsel) incurred by the Administrative Agent or any Lender in connection with the enforcement or protection of its rights in connection with this Agreement, including its rights and remedies under this Section, or 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connection with the Term Loans made hereunder, including all such reasonable and documented out-of-pocket expenses incurred during any workout, restructuring or negotiations in respect of such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the</w:t>
      </w:r>
    </w:p>
    <w:p>
      <w:pPr>
        <w:spacing w:after="0" w:line="223" w:lineRule="auto"/>
        <w:rPr>
          <w:sz w:val="20"/>
          <w:szCs w:val="20"/>
          <w:color w:val="auto"/>
        </w:rPr>
      </w:pPr>
      <w:r>
        <w:rPr>
          <w:rFonts w:ascii="Times New Roman" w:cs="Times New Roman" w:eastAsia="Times New Roman" w:hAnsi="Times New Roman"/>
          <w:sz w:val="19"/>
          <w:szCs w:val="19"/>
          <w:color w:val="auto"/>
        </w:rPr>
        <w:t>foregoing, legal expenses under this clause (a) shall be limited to one firm of outside counsel for the Administrative Agent and</w:t>
      </w:r>
    </w:p>
    <w:p>
      <w:pPr>
        <w:spacing w:after="0" w:line="204" w:lineRule="auto"/>
        <w:rPr>
          <w:sz w:val="20"/>
          <w:szCs w:val="20"/>
          <w:color w:val="auto"/>
        </w:rPr>
      </w:pPr>
      <w:r>
        <w:rPr>
          <w:rFonts w:ascii="Times New Roman" w:cs="Times New Roman" w:eastAsia="Times New Roman" w:hAnsi="Times New Roman"/>
          <w:sz w:val="20"/>
          <w:szCs w:val="20"/>
          <w:color w:val="auto"/>
        </w:rPr>
        <w:t>one firm of outside counsel for the Lenders (or, in the case of clause (a)(ii), one additional firm of outside counsel for the AIMCo Lender, subject to its sole discretion), taken as a whole and, if necessary, of a single firm of local counsel in each</w:t>
      </w:r>
    </w:p>
    <w:p>
      <w:pPr>
        <w:spacing w:after="0" w:line="211" w:lineRule="auto"/>
        <w:rPr>
          <w:sz w:val="20"/>
          <w:szCs w:val="20"/>
          <w:color w:val="auto"/>
        </w:rPr>
      </w:pPr>
      <w:r>
        <w:rPr>
          <w:rFonts w:ascii="Times New Roman" w:cs="Times New Roman" w:eastAsia="Times New Roman" w:hAnsi="Times New Roman"/>
          <w:sz w:val="20"/>
          <w:szCs w:val="20"/>
          <w:color w:val="auto"/>
        </w:rPr>
        <w:t>appropriate jurisdiction (which may include a single firm of special counsel acting in multiple jurisdictions) for all Secured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Parties, taken as a whole (and, in the case of clause (a)(ii), solely in the case of an actual or perceived conflict of interest where a Secured Party affected by such conflict notifies the Borrower of the existence of such conflict and thereafter retains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own counsel, of one other firm of counsel for each group of similarly situated affected Secured Parties).</w:t>
      </w:r>
    </w:p>
    <w:p>
      <w:pPr>
        <w:spacing w:after="0" w:line="194" w:lineRule="exact"/>
        <w:rPr>
          <w:sz w:val="20"/>
          <w:szCs w:val="20"/>
          <w:color w:val="auto"/>
        </w:rPr>
      </w:pPr>
    </w:p>
    <w:p>
      <w:pPr>
        <w:jc w:val="both"/>
        <w:ind w:firstLine="1303"/>
        <w:spacing w:after="0" w:line="216" w:lineRule="auto"/>
        <w:tabs>
          <w:tab w:leader="none" w:pos="2147"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indemnify the Administrative Agent (and any sub-agent thereof), each Lender and each Related Party (other than any financing sources) of any of the foregoing Persons (each such Person being called an </w:t>
      </w:r>
      <w:r>
        <w:rPr>
          <w:rFonts w:ascii="Calibri" w:cs="Calibri" w:eastAsia="Calibri" w:hAnsi="Calibri"/>
          <w:sz w:val="20"/>
          <w:szCs w:val="20"/>
          <w:color w:val="auto"/>
        </w:rPr>
        <w:t>“</w:t>
      </w:r>
      <w:r>
        <w:rPr>
          <w:rFonts w:ascii="Times New Roman" w:cs="Times New Roman" w:eastAsia="Times New Roman" w:hAnsi="Times New Roman"/>
          <w:sz w:val="20"/>
          <w:szCs w:val="20"/>
          <w:u w:val="single" w:color="auto"/>
          <w:color w:val="auto"/>
        </w:rPr>
        <w:t>Indemnitee</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against, and hold each Indemnitee harmless from, and promptly reimburse such Indemnitee for, any and all</w:t>
      </w:r>
      <w:r>
        <w:rPr>
          <w:rFonts w:ascii="Calibri" w:cs="Calibri" w:eastAsia="Calibri" w:hAnsi="Calibri"/>
          <w:sz w:val="20"/>
          <w:szCs w:val="20"/>
          <w:color w:val="auto"/>
        </w:rPr>
        <w:t xml:space="preserve"> </w:t>
      </w:r>
      <w:r>
        <w:rPr>
          <w:rFonts w:ascii="Times New Roman" w:cs="Times New Roman" w:eastAsia="Times New Roman" w:hAnsi="Times New Roman"/>
          <w:sz w:val="20"/>
          <w:szCs w:val="20"/>
          <w:color w:val="auto"/>
        </w:rPr>
        <w:t>losses, claims, damages, penalties, liabilities or other expenses (including the reasonable and documented (in summary form) fees and disbursements of any counsel for any Indemnitee), incurred by any Indemnitee or asserted against any Indemnitee by any third party or by the Borrower or any other Loan Party arising out of, in connection with, or as a result of</w:t>
      </w:r>
    </w:p>
    <w:p>
      <w:pPr>
        <w:spacing w:after="0" w:line="15" w:lineRule="exact"/>
        <w:rPr>
          <w:rFonts w:ascii="Times New Roman" w:cs="Times New Roman" w:eastAsia="Times New Roman" w:hAnsi="Times New Roman"/>
          <w:sz w:val="20"/>
          <w:szCs w:val="20"/>
          <w:color w:val="auto"/>
        </w:rPr>
      </w:pPr>
    </w:p>
    <w:p>
      <w:pPr>
        <w:jc w:val="both"/>
        <w:ind w:firstLine="7"/>
        <w:spacing w:after="0" w:line="247" w:lineRule="auto"/>
        <w:tabs>
          <w:tab w:leader="none" w:pos="267"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(y) other than in the case of the Administrative Agent and its Related Parties (other than any financing sources), arise from a material breach of such Indemnitee</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s obligations hereunder or under any other Loan Document or (z) result from disputes (not involving any act or omission by Holdings or its Subsidiaries or their Affiliates) solely among the Indemnitees for actions by one or more of the Indemnitees, other than claims against the Administrative Agent in such capacity fulfilling its agency role under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legal expenses under this clause (b) shall be limited to one firm of outside counsel for the Administrative Agent and one firm of outside counsel for all other Indemnitees, taken as a whole, and, if necessary, of a single firm of local counsel in each appropriate jurisdiction (which may include a single firm of special counsel acting in multiple jurisdictions) for all such Indemnitees, taken as a whole (and, in the case of clause (ii), solely in the case of an actual or perceived conflict of interest where the Indemnitee affected by such conflict notifies the Borrower of the existence of such conflict and thereafter retains its own counsel, of one other firm of counsel for each group of similarly situated affected Indemnitees).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apply with respect to Taxes other than any Taxes that represent losses, claims, damages, penalties, liabilities and related expenses arising from any non-Tax claim.</w:t>
      </w:r>
    </w:p>
    <w:p>
      <w:pPr>
        <w:sectPr>
          <w:pgSz w:w="11900" w:h="16838" w:orient="portrait"/>
          <w:cols w:equalWidth="0" w:num="1">
            <w:col w:w="10040"/>
          </w:cols>
          <w:pgMar w:left="1400" w:top="1399" w:right="459" w:bottom="1440" w:gutter="0" w:footer="0" w:header="0"/>
        </w:sectPr>
      </w:pPr>
    </w:p>
    <w:bookmarkStart w:id="213" w:name="page214"/>
    <w:bookmarkEnd w:id="213"/>
    <w:p>
      <w:pPr>
        <w:jc w:val="both"/>
        <w:ind w:left="20" w:firstLine="1303"/>
        <w:spacing w:after="0" w:line="249" w:lineRule="auto"/>
        <w:tabs>
          <w:tab w:leader="none" w:pos="217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Borrower fails to pay any amount required to be paid to the Administrative Agent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hereof, each Lender severally agrees to pay to the Administrative Agent such Lender’s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share of such unpaid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the unreimbursed expense or indemnified payment, claim, damage,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related expense, as the case may be, was incurred by or asserted against the Administrative Agent in its capacity as such.</w:t>
      </w:r>
    </w:p>
    <w:p>
      <w:pPr>
        <w:spacing w:after="0" w:line="206" w:lineRule="exact"/>
        <w:rPr>
          <w:rFonts w:ascii="Times New Roman" w:cs="Times New Roman" w:eastAsia="Times New Roman" w:hAnsi="Times New Roman"/>
          <w:sz w:val="20"/>
          <w:szCs w:val="20"/>
          <w:color w:val="auto"/>
        </w:rPr>
      </w:pPr>
    </w:p>
    <w:p>
      <w:pPr>
        <w:jc w:val="both"/>
        <w:ind w:left="20" w:firstLine="1303"/>
        <w:spacing w:after="0" w:line="244" w:lineRule="auto"/>
        <w:tabs>
          <w:tab w:leader="none" w:pos="2167"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applicable law, no party hereto shall assert, and each party hereto hereby waives, any claim, on any theory of liability, for special, indirect, consequential, exemplary or punitive damages (as opposed to actual or direct damages) arising out of, in connection with or as a result of this Agreement, any other Loan Document or any agreement or instrument contemplated hereby, the transactions contemplated therein, any Loan or the use of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relieve the Borrower of any obligation it may have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to indemnify any Indemnitee against special, indirect, consequential or punitive damages asserted against such Indemnitee by a third party.</w:t>
      </w:r>
    </w:p>
    <w:p>
      <w:pPr>
        <w:spacing w:after="0" w:line="212" w:lineRule="exact"/>
        <w:rPr>
          <w:rFonts w:ascii="Times New Roman" w:cs="Times New Roman" w:eastAsia="Times New Roman" w:hAnsi="Times New Roman"/>
          <w:sz w:val="20"/>
          <w:szCs w:val="20"/>
          <w:color w:val="auto"/>
        </w:rPr>
      </w:pPr>
    </w:p>
    <w:p>
      <w:pPr>
        <w:ind w:left="20" w:right="20" w:firstLine="1303"/>
        <w:spacing w:after="0" w:line="269" w:lineRule="auto"/>
        <w:tabs>
          <w:tab w:leader="none" w:pos="217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due under this Section shall be payable promptly, but in any event within ten (10) Business Days, after written demand therefor.</w:t>
      </w:r>
    </w:p>
    <w:p>
      <w:pPr>
        <w:spacing w:after="0" w:line="18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w:t>
      </w:r>
    </w:p>
    <w:p>
      <w:pPr>
        <w:spacing w:after="0" w:line="328" w:lineRule="exact"/>
        <w:rPr>
          <w:sz w:val="20"/>
          <w:szCs w:val="20"/>
          <w:color w:val="auto"/>
        </w:rPr>
      </w:pPr>
    </w:p>
    <w:p>
      <w:pPr>
        <w:jc w:val="both"/>
        <w:ind w:left="20" w:firstLine="1303"/>
        <w:spacing w:after="0" w:line="252" w:lineRule="auto"/>
        <w:tabs>
          <w:tab w:leader="none" w:pos="217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of this Section, (ii) by way of participation in accordance with the provisions of </w:t>
      </w:r>
      <w:r>
        <w:rPr>
          <w:rFonts w:ascii="Times New Roman" w:cs="Times New Roman" w:eastAsia="Times New Roman" w:hAnsi="Times New Roman"/>
          <w:sz w:val="19"/>
          <w:szCs w:val="19"/>
          <w:u w:val="single" w:color="auto"/>
          <w:color w:val="auto"/>
        </w:rPr>
        <w:t>subsection (d)</w:t>
      </w:r>
      <w:r>
        <w:rPr>
          <w:rFonts w:ascii="Times New Roman" w:cs="Times New Roman" w:eastAsia="Times New Roman" w:hAnsi="Times New Roman"/>
          <w:sz w:val="19"/>
          <w:szCs w:val="19"/>
          <w:color w:val="auto"/>
        </w:rPr>
        <w:t xml:space="preserve"> of this Section or (iii) by way of pledge or assignment of a security interest subject to the restrictions of </w:t>
      </w:r>
      <w:r>
        <w:rPr>
          <w:rFonts w:ascii="Times New Roman" w:cs="Times New Roman" w:eastAsia="Times New Roman" w:hAnsi="Times New Roman"/>
          <w:sz w:val="19"/>
          <w:szCs w:val="19"/>
          <w:u w:val="single" w:color="auto"/>
          <w:color w:val="auto"/>
        </w:rPr>
        <w:t>subsection (f)</w:t>
      </w:r>
      <w:r>
        <w:rPr>
          <w:rFonts w:ascii="Times New Roman" w:cs="Times New Roman" w:eastAsia="Times New Roman" w:hAnsi="Times New Roman"/>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u w:val="single" w:color="auto"/>
          <w:color w:val="auto"/>
        </w:rPr>
        <w:t>subsection (d)</w:t>
      </w:r>
      <w:r>
        <w:rPr>
          <w:rFonts w:ascii="Times New Roman" w:cs="Times New Roman" w:eastAsia="Times New Roman" w:hAnsi="Times New Roman"/>
          <w:sz w:val="19"/>
          <w:szCs w:val="19"/>
          <w:color w:val="auto"/>
        </w:rPr>
        <w:t xml:space="preserve"> of this Section and, to the extent expressly contemplated hereby, the Related Parties (other than any financing sources) of each of the Administrative Agent and the Lenders) any legal or equitable right, remedy or claim under or by reason of this Agreement.</w:t>
      </w:r>
    </w:p>
    <w:p>
      <w:pPr>
        <w:spacing w:after="0" w:line="9" w:lineRule="exact"/>
        <w:rPr>
          <w:rFonts w:ascii="Times New Roman" w:cs="Times New Roman" w:eastAsia="Times New Roman" w:hAnsi="Times New Roman"/>
          <w:sz w:val="19"/>
          <w:szCs w:val="19"/>
          <w:color w:val="auto"/>
        </w:rPr>
      </w:pPr>
    </w:p>
    <w:p>
      <w:pPr>
        <w:jc w:val="both"/>
        <w:ind w:left="20" w:firstLine="1303"/>
        <w:spacing w:after="0" w:line="237" w:lineRule="auto"/>
        <w:tabs>
          <w:tab w:leader="none" w:pos="2167"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assign to one or more assignees all or a portion of its rights and obligations under this Agreement (including all or a portion of its Term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309" w:lineRule="exact"/>
        <w:rPr>
          <w:rFonts w:ascii="Times New Roman" w:cs="Times New Roman" w:eastAsia="Times New Roman" w:hAnsi="Times New Roman"/>
          <w:sz w:val="20"/>
          <w:szCs w:val="20"/>
          <w:color w:val="auto"/>
        </w:rPr>
      </w:pPr>
    </w:p>
    <w:p>
      <w:pPr>
        <w:ind w:left="2620" w:hanging="649"/>
        <w:spacing w:after="0"/>
        <w:tabs>
          <w:tab w:leader="none" w:pos="262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323" w:lineRule="exact"/>
        <w:rPr>
          <w:rFonts w:ascii="Times New Roman" w:cs="Times New Roman" w:eastAsia="Times New Roman" w:hAnsi="Times New Roman"/>
          <w:sz w:val="20"/>
          <w:szCs w:val="20"/>
          <w:color w:val="auto"/>
        </w:rPr>
      </w:pPr>
    </w:p>
    <w:p>
      <w:pPr>
        <w:jc w:val="both"/>
        <w:ind w:left="1300" w:firstLine="1131"/>
        <w:spacing w:after="0" w:line="254" w:lineRule="auto"/>
        <w:tabs>
          <w:tab w:leader="none" w:pos="2988" w:val="left"/>
        </w:tabs>
        <w:numPr>
          <w:ilvl w:val="3"/>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Term Loans at the time owing to it or in the case of an assignment to a Lender, an Affiliate of a Lender or an Approved Fund, no minimum amount need be assigned; and</w:t>
      </w:r>
    </w:p>
    <w:p>
      <w:pPr>
        <w:spacing w:after="0" w:line="201" w:lineRule="exact"/>
        <w:rPr>
          <w:rFonts w:ascii="Times New Roman" w:cs="Times New Roman" w:eastAsia="Times New Roman" w:hAnsi="Times New Roman"/>
          <w:sz w:val="20"/>
          <w:szCs w:val="20"/>
          <w:color w:val="auto"/>
        </w:rPr>
      </w:pPr>
    </w:p>
    <w:p>
      <w:pPr>
        <w:jc w:val="both"/>
        <w:ind w:left="1300" w:firstLine="1050"/>
        <w:spacing w:after="0" w:line="253" w:lineRule="auto"/>
        <w:tabs>
          <w:tab w:leader="none" w:pos="2869" w:val="left"/>
        </w:tabs>
        <w:numPr>
          <w:ilvl w:val="2"/>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subsection 10.4(b)(i)(A)</w:t>
      </w:r>
      <w:r>
        <w:rPr>
          <w:rFonts w:ascii="Times New Roman" w:cs="Times New Roman" w:eastAsia="Times New Roman" w:hAnsi="Times New Roman"/>
          <w:sz w:val="20"/>
          <w:szCs w:val="20"/>
          <w:color w:val="auto"/>
        </w:rPr>
        <w:t xml:space="preserve"> of this Section, the aggregate amount of the principal outstanding balance of the Term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$1,000,000 with respect to Term Loans and in minimum increments of $1,000,000, unless each of the Administrative Agent and, so long</w:t>
      </w:r>
    </w:p>
    <w:p>
      <w:pPr>
        <w:sectPr>
          <w:pgSz w:w="11900" w:h="16838" w:orient="portrait"/>
          <w:cols w:equalWidth="0" w:num="1">
            <w:col w:w="10060"/>
          </w:cols>
          <w:pgMar w:left="1380" w:top="1332" w:right="459" w:bottom="1440" w:gutter="0" w:footer="0" w:header="0"/>
        </w:sectPr>
      </w:pPr>
    </w:p>
    <w:bookmarkStart w:id="214" w:name="page215"/>
    <w:bookmarkEnd w:id="214"/>
    <w:p>
      <w:pPr>
        <w:ind w:left="1280" w:right="120"/>
        <w:spacing w:after="0" w:line="283" w:lineRule="auto"/>
        <w:rPr>
          <w:sz w:val="20"/>
          <w:szCs w:val="20"/>
          <w:color w:val="auto"/>
        </w:rPr>
      </w:pPr>
      <w:r>
        <w:rPr>
          <w:rFonts w:ascii="Times New Roman" w:cs="Times New Roman" w:eastAsia="Times New Roman" w:hAnsi="Times New Roman"/>
          <w:sz w:val="20"/>
          <w:szCs w:val="20"/>
          <w:color w:val="auto"/>
        </w:rPr>
        <w:t>as no Specified Event of Default has occurred and is continuing, the Borrower otherwise consents (each such consent not to be unreasonably withheld or delayed).</w:t>
      </w:r>
    </w:p>
    <w:p>
      <w:pPr>
        <w:spacing w:after="0" w:line="187" w:lineRule="exact"/>
        <w:rPr>
          <w:sz w:val="20"/>
          <w:szCs w:val="20"/>
          <w:color w:val="auto"/>
        </w:rPr>
      </w:pPr>
    </w:p>
    <w:p>
      <w:pPr>
        <w:jc w:val="both"/>
        <w:ind w:left="660" w:right="120" w:firstLine="1292"/>
        <w:spacing w:after="0" w:line="261" w:lineRule="auto"/>
        <w:tabs>
          <w:tab w:leader="none" w:pos="2819"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of the assigning Lender’s rights and obligations under this Agreement with respect to the Term Loans assigned.</w:t>
      </w:r>
    </w:p>
    <w:p>
      <w:pPr>
        <w:spacing w:after="0" w:line="208" w:lineRule="exact"/>
        <w:rPr>
          <w:rFonts w:ascii="Times New Roman" w:cs="Times New Roman" w:eastAsia="Times New Roman" w:hAnsi="Times New Roman"/>
          <w:sz w:val="20"/>
          <w:szCs w:val="20"/>
          <w:color w:val="auto"/>
        </w:rPr>
      </w:pPr>
    </w:p>
    <w:p>
      <w:pPr>
        <w:ind w:left="660" w:right="140" w:firstLine="1292"/>
        <w:spacing w:after="0" w:line="283" w:lineRule="auto"/>
        <w:tabs>
          <w:tab w:leader="none" w:pos="282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subsection 10.4(b)(i)(B)</w:t>
      </w:r>
      <w:r>
        <w:rPr>
          <w:rFonts w:ascii="Times New Roman" w:cs="Times New Roman" w:eastAsia="Times New Roman" w:hAnsi="Times New Roman"/>
          <w:sz w:val="20"/>
          <w:szCs w:val="20"/>
          <w:color w:val="auto"/>
        </w:rPr>
        <w:t xml:space="preserve"> of this Section and, in addition:</w:t>
      </w:r>
    </w:p>
    <w:p>
      <w:pPr>
        <w:spacing w:after="0" w:line="254" w:lineRule="exact"/>
        <w:rPr>
          <w:rFonts w:ascii="Times New Roman" w:cs="Times New Roman" w:eastAsia="Times New Roman" w:hAnsi="Times New Roman"/>
          <w:sz w:val="20"/>
          <w:szCs w:val="20"/>
          <w:color w:val="auto"/>
        </w:rPr>
      </w:pPr>
    </w:p>
    <w:p>
      <w:pPr>
        <w:jc w:val="both"/>
        <w:ind w:left="1520" w:right="120" w:firstLine="729"/>
        <w:spacing w:after="0" w:line="251" w:lineRule="auto"/>
        <w:tabs>
          <w:tab w:leader="none" w:pos="2586" w:val="left"/>
        </w:tabs>
        <w:numPr>
          <w:ilvl w:val="3"/>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conditioned or delayed) shall be required unless (w) a Specified Event of Default has occurred and is continuing at the time of such assignment, (x) such assignment is to a Lender, an Affiliate of such Lender or an Approved Fund of such Lender (y) the Borrower shall not have objected in writing to such assignment within ten (10) Business days after having received written notice thereof, or (z) the assignment is by BlackRock Capital Markets, LLC or </w:t>
      </w:r>
      <w:r>
        <w:rPr>
          <w:rFonts w:ascii="Times New Roman" w:cs="Times New Roman" w:eastAsia="Times New Roman" w:hAnsi="Times New Roman"/>
          <w:sz w:val="20"/>
          <w:szCs w:val="20"/>
          <w:color w:val="EE2724"/>
          <w:strike w:val="1"/>
        </w:rPr>
        <w:t>ASG 2021 Offshore Holdings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funds and accounts managed by BlackRock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Investment Advisors,</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L</w:t>
      </w:r>
      <w:r>
        <w:rPr>
          <w:rFonts w:ascii="Times New Roman" w:cs="Times New Roman" w:eastAsia="Times New Roman" w:hAnsi="Times New Roman"/>
          <w:sz w:val="20"/>
          <w:szCs w:val="20"/>
          <w:u w:val="single" w:color="auto"/>
          <w:color w:val="3051F2"/>
        </w:rPr>
        <w:t>LC</w:t>
      </w:r>
      <w:r>
        <w:rPr>
          <w:rFonts w:ascii="Times New Roman" w:cs="Times New Roman" w:eastAsia="Times New Roman" w:hAnsi="Times New Roman"/>
          <w:sz w:val="20"/>
          <w:szCs w:val="20"/>
          <w:color w:val="EE2724"/>
          <w:strike w:val="1"/>
        </w:rPr>
        <w:t>.P.</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of an amount of its Term Loans not to exceed $75,000,000 in the aggregate;</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and</w:t>
      </w:r>
    </w:p>
    <w:p>
      <w:pPr>
        <w:spacing w:after="0" w:line="222" w:lineRule="exact"/>
        <w:rPr>
          <w:rFonts w:ascii="Times New Roman" w:cs="Times New Roman" w:eastAsia="Times New Roman" w:hAnsi="Times New Roman"/>
          <w:sz w:val="20"/>
          <w:szCs w:val="20"/>
          <w:color w:val="auto"/>
        </w:rPr>
      </w:pPr>
    </w:p>
    <w:p>
      <w:pPr>
        <w:jc w:val="both"/>
        <w:ind w:left="1520" w:right="120" w:firstLine="648"/>
        <w:spacing w:after="0" w:line="253" w:lineRule="auto"/>
        <w:tabs>
          <w:tab w:leader="none" w:pos="2508"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Administrative Agent (such consent not to be unreasonably withheld or delayed) shall be required unless (y) such assignment is of a Term Loan to a Lender, an Affiliate of such Lender or an Approved Fund of such Lender or (z) the assignment is by BlackRock Capital Markets, LLC or </w:t>
      </w:r>
      <w:r>
        <w:rPr>
          <w:rFonts w:ascii="Times New Roman" w:cs="Times New Roman" w:eastAsia="Times New Roman" w:hAnsi="Times New Roman"/>
          <w:sz w:val="20"/>
          <w:szCs w:val="20"/>
          <w:color w:val="EE2724"/>
          <w:strike w:val="1"/>
        </w:rPr>
        <w:t>ASG 2021 Offshore Holdings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funds and accounts managed by BlackRock Capital Investment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051F2"/>
        </w:rPr>
        <w:t>Advisors,</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L</w:t>
      </w:r>
      <w:r>
        <w:rPr>
          <w:rFonts w:ascii="Times New Roman" w:cs="Times New Roman" w:eastAsia="Times New Roman" w:hAnsi="Times New Roman"/>
          <w:sz w:val="20"/>
          <w:szCs w:val="20"/>
          <w:u w:val="single" w:color="auto"/>
          <w:color w:val="3051F2"/>
        </w:rPr>
        <w:t>LC</w:t>
      </w:r>
      <w:r>
        <w:rPr>
          <w:rFonts w:ascii="Times New Roman" w:cs="Times New Roman" w:eastAsia="Times New Roman" w:hAnsi="Times New Roman"/>
          <w:sz w:val="20"/>
          <w:szCs w:val="20"/>
          <w:color w:val="EE2724"/>
          <w:strike w:val="1"/>
        </w:rPr>
        <w:t>.P.</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of an amount of its Term Loans not to exceed $75,000,000 in the aggregate.</w:t>
      </w:r>
    </w:p>
    <w:p>
      <w:pPr>
        <w:spacing w:after="0" w:line="286" w:lineRule="exact"/>
        <w:rPr>
          <w:rFonts w:ascii="Times New Roman" w:cs="Times New Roman" w:eastAsia="Times New Roman" w:hAnsi="Times New Roman"/>
          <w:sz w:val="20"/>
          <w:szCs w:val="20"/>
          <w:color w:val="auto"/>
        </w:rPr>
      </w:pPr>
    </w:p>
    <w:p>
      <w:pPr>
        <w:jc w:val="both"/>
        <w:ind w:left="660" w:right="120" w:firstLine="1292"/>
        <w:spacing w:after="0" w:line="258" w:lineRule="auto"/>
        <w:tabs>
          <w:tab w:leader="none" w:pos="2809"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The parties to each assignment shall deliver to the Administrative Agent (A) a duly executed Assignment and Acceptance, (B) a processing and recordation fee of $3,500, (C) an Administrative Questionnaire unless the assignee is already a Lender and (D) the documents required under </w:t>
      </w:r>
      <w:r>
        <w:rPr>
          <w:rFonts w:ascii="Times New Roman" w:cs="Times New Roman" w:eastAsia="Times New Roman" w:hAnsi="Times New Roman"/>
          <w:sz w:val="20"/>
          <w:szCs w:val="20"/>
          <w:u w:val="single" w:color="auto"/>
          <w:color w:val="auto"/>
        </w:rPr>
        <w:t>Section 2.21(g)</w:t>
      </w:r>
      <w:r>
        <w:rPr>
          <w:rFonts w:ascii="Times New Roman" w:cs="Times New Roman" w:eastAsia="Times New Roman" w:hAnsi="Times New Roman"/>
          <w:sz w:val="20"/>
          <w:szCs w:val="20"/>
          <w:color w:val="auto"/>
        </w:rPr>
        <w:t>.</w:t>
      </w:r>
    </w:p>
    <w:p>
      <w:pPr>
        <w:spacing w:after="0" w:line="293" w:lineRule="exact"/>
        <w:rPr>
          <w:rFonts w:ascii="Times New Roman" w:cs="Times New Roman" w:eastAsia="Times New Roman" w:hAnsi="Times New Roman"/>
          <w:sz w:val="20"/>
          <w:szCs w:val="20"/>
          <w:color w:val="auto"/>
        </w:rPr>
      </w:pPr>
    </w:p>
    <w:p>
      <w:pPr>
        <w:jc w:val="both"/>
        <w:ind w:left="620" w:firstLine="1305"/>
        <w:spacing w:after="0" w:line="254" w:lineRule="auto"/>
        <w:tabs>
          <w:tab w:leader="none" w:pos="223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Holdings, the Borrower or any of their respective Affiliates or Subsidiaries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(B) any Disqualified Institutions or (C) to any Defaulting Lender or any of its Subsidiaries, or any Person who, upon becoming a Lender hereunder, would constitute any of the foregoing Persons described in this clause.</w:t>
      </w:r>
    </w:p>
    <w:p>
      <w:pPr>
        <w:spacing w:after="0" w:line="227" w:lineRule="exact"/>
        <w:rPr>
          <w:rFonts w:ascii="Times New Roman" w:cs="Times New Roman" w:eastAsia="Times New Roman" w:hAnsi="Times New Roman"/>
          <w:sz w:val="20"/>
          <w:szCs w:val="20"/>
          <w:color w:val="auto"/>
        </w:rPr>
      </w:pPr>
    </w:p>
    <w:p>
      <w:pPr>
        <w:jc w:val="both"/>
        <w:ind w:left="660" w:right="120" w:firstLine="1292"/>
        <w:spacing w:after="0" w:line="261" w:lineRule="auto"/>
        <w:tabs>
          <w:tab w:leader="none" w:pos="2809"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any holding company, investment vehicle or trust for, or owned and operated solely for the benefit of, a natural Person).</w:t>
      </w:r>
    </w:p>
    <w:p>
      <w:pPr>
        <w:spacing w:after="0" w:line="208"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20"/>
          <w:szCs w:val="20"/>
          <w:color w:val="auto"/>
        </w:rPr>
        <w:t xml:space="preserve">Subject to the acceptance and recording thereof by the Administrative Agent pursuant to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of this Section,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w:t>
      </w:r>
    </w:p>
    <w:p>
      <w:pPr>
        <w:sectPr>
          <w:pgSz w:w="11900" w:h="16838" w:orient="portrait"/>
          <w:cols w:equalWidth="0" w:num="1">
            <w:col w:w="10160"/>
          </w:cols>
          <w:pgMar w:left="1400" w:top="1332" w:right="339" w:bottom="1440" w:gutter="0" w:footer="0" w:header="0"/>
        </w:sectPr>
      </w:pPr>
    </w:p>
    <w:bookmarkStart w:id="215" w:name="page216"/>
    <w:bookmarkEnd w:id="215"/>
    <w:p>
      <w:pPr>
        <w:jc w:val="both"/>
        <w:ind w:right="120"/>
        <w:spacing w:after="0" w:line="266" w:lineRule="auto"/>
        <w:rPr>
          <w:sz w:val="20"/>
          <w:szCs w:val="20"/>
          <w:color w:val="auto"/>
        </w:rPr>
      </w:pPr>
      <w:r>
        <w:rPr>
          <w:rFonts w:ascii="Times New Roman" w:cs="Times New Roman" w:eastAsia="Times New Roman" w:hAnsi="Times New Roman"/>
          <w:sz w:val="19"/>
          <w:szCs w:val="19"/>
          <w:color w:val="auto"/>
        </w:rPr>
        <w:t xml:space="preserve">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10.3</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to the extent otherwise expressly agreed to by the affected parties, no assignment by a Defaulting Lender shall constitute a waiver or release of any claim of any party hereunder arising from such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subsection (d)</w:t>
      </w:r>
      <w:r>
        <w:rPr>
          <w:rFonts w:ascii="Times New Roman" w:cs="Times New Roman" w:eastAsia="Times New Roman" w:hAnsi="Times New Roman"/>
          <w:sz w:val="19"/>
          <w:szCs w:val="19"/>
          <w:color w:val="auto"/>
        </w:rPr>
        <w:t xml:space="preserve"> of this Section. If the consent of the Borrower to an assignment is required 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notice thereof has actually been delivered by the assigning Lender (through the Administrative Agent) to the Borrower.</w:t>
      </w:r>
    </w:p>
    <w:p>
      <w:pPr>
        <w:spacing w:after="0" w:line="198" w:lineRule="exact"/>
        <w:rPr>
          <w:sz w:val="20"/>
          <w:szCs w:val="20"/>
          <w:color w:val="auto"/>
        </w:rPr>
      </w:pPr>
    </w:p>
    <w:p>
      <w:pPr>
        <w:jc w:val="both"/>
        <w:ind w:right="120" w:firstLine="1303"/>
        <w:spacing w:after="0" w:line="211" w:lineRule="auto"/>
        <w:tabs>
          <w:tab w:leader="none" w:pos="215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 non-fiduciary agent of the Borrower, shall maintain at one of its offices within the United States a copy of each Assignment and Acceptance delivered to it and a register for the recordation of the names and addresses of the Lenders, and the Term Loan Commitments of, and principal amount (and stated interest) of the Term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solely for tax purposes and solely with respect to the actions described in this Section, and the Borrower hereby agrees that, to the extent Acquiom serves in such capacity, Acquiom and its officers, directors, employees, agents, sub-agents and affiliates shall constitute “Indemnitees”.</w:t>
      </w:r>
    </w:p>
    <w:p>
      <w:pPr>
        <w:spacing w:after="0" w:line="192" w:lineRule="exact"/>
        <w:rPr>
          <w:rFonts w:ascii="Times New Roman" w:cs="Times New Roman" w:eastAsia="Times New Roman" w:hAnsi="Times New Roman"/>
          <w:sz w:val="20"/>
          <w:szCs w:val="20"/>
          <w:color w:val="auto"/>
        </w:rPr>
      </w:pPr>
    </w:p>
    <w:p>
      <w:pPr>
        <w:jc w:val="both"/>
        <w:ind w:firstLine="1303"/>
        <w:spacing w:after="0" w:line="213" w:lineRule="auto"/>
        <w:tabs>
          <w:tab w:leader="none" w:pos="214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the Borrower or the Administrative Agent, sell participations to any Person (other than a natural person (or any holding company, investment vehicle or trust for, or owned and operated solely for the benefit of, a natural person), Holdings, the Borrower, any of the Borrower’s Affiliates or Subsidiaries, a Disqualified Institution or a Defaulting Lender or any Affiliate thereof)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Term Loan Commitment and/or the Term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w:t>
      </w:r>
    </w:p>
    <w:p>
      <w:pPr>
        <w:spacing w:after="0" w:line="202" w:lineRule="exact"/>
        <w:rPr>
          <w:sz w:val="20"/>
          <w:szCs w:val="20"/>
          <w:color w:val="auto"/>
        </w:rPr>
      </w:pPr>
    </w:p>
    <w:p>
      <w:pPr>
        <w:ind w:right="140" w:firstLine="1296"/>
        <w:spacing w:after="0" w:line="215" w:lineRule="auto"/>
        <w:rPr>
          <w:sz w:val="20"/>
          <w:szCs w:val="20"/>
          <w:color w:val="auto"/>
        </w:rPr>
      </w:pPr>
      <w:r>
        <w:rPr>
          <w:rFonts w:ascii="Times New Roman" w:cs="Times New Roman" w:eastAsia="Times New Roman" w:hAnsi="Times New Roman"/>
          <w:sz w:val="20"/>
          <w:szCs w:val="20"/>
          <w:color w:val="auto"/>
        </w:rPr>
        <w:t>Any agreement or instrument pursuant to which a Lender sells such a participation shall provide that such Lender shall retain the sole right to enforce this Agreement and to approve any amendment, modification or waiver of any</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shall not, without the</w:t>
      </w:r>
    </w:p>
    <w:p>
      <w:pPr>
        <w:spacing w:after="0" w:line="1" w:lineRule="exact"/>
        <w:rPr>
          <w:sz w:val="20"/>
          <w:szCs w:val="20"/>
          <w:color w:val="auto"/>
        </w:rPr>
      </w:pPr>
    </w:p>
    <w:p>
      <w:pPr>
        <w:ind w:right="140"/>
        <w:spacing w:after="0" w:line="204" w:lineRule="auto"/>
        <w:rPr>
          <w:sz w:val="20"/>
          <w:szCs w:val="20"/>
          <w:color w:val="auto"/>
        </w:rPr>
      </w:pPr>
      <w:r>
        <w:rPr>
          <w:rFonts w:ascii="Times New Roman" w:cs="Times New Roman" w:eastAsia="Times New Roman" w:hAnsi="Times New Roman"/>
          <w:sz w:val="20"/>
          <w:szCs w:val="20"/>
          <w:color w:val="auto"/>
        </w:rPr>
        <w:t>consent of the Participant, agree to any amendment, modification or waiver with respect to the following to the extent affecting such Participant:</w:t>
      </w:r>
    </w:p>
    <w:p>
      <w:pPr>
        <w:spacing w:after="0" w:line="1" w:lineRule="exact"/>
        <w:rPr>
          <w:sz w:val="20"/>
          <w:szCs w:val="20"/>
          <w:color w:val="auto"/>
        </w:rPr>
      </w:pPr>
    </w:p>
    <w:p>
      <w:pPr>
        <w:ind w:right="140" w:firstLine="7"/>
        <w:spacing w:after="0" w:line="204" w:lineRule="auto"/>
        <w:tabs>
          <w:tab w:leader="none" w:pos="24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Commitment of such Lender; (ii) reduce the principal amount of any Term Loan or reduce the rate of interest thereon, or reduce any fees payable hereunder (other than waiving default interest);</w:t>
      </w:r>
    </w:p>
    <w:p>
      <w:pPr>
        <w:jc w:val="both"/>
        <w:ind w:right="120" w:firstLine="7"/>
        <w:spacing w:after="0" w:line="206" w:lineRule="auto"/>
        <w:tabs>
          <w:tab w:leader="none" w:pos="353"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postpone the date fixed for any payment of any principal of, or interest on, any Loan or any fees hereunder or reduce the amount of, waive or excuse any such payment, or postpone the scheduled date for the termination or reduction of any Commitment (other than waivers of Defaults, Events of Default and mandatory prepayments); (iv) change </w:t>
      </w:r>
      <w:r>
        <w:rPr>
          <w:rFonts w:ascii="Times New Roman" w:cs="Times New Roman" w:eastAsia="Times New Roman" w:hAnsi="Times New Roman"/>
          <w:sz w:val="20"/>
          <w:szCs w:val="20"/>
          <w:u w:val="single" w:color="auto"/>
          <w:color w:val="auto"/>
        </w:rPr>
        <w:t>Section 2.22(b) or</w:t>
      </w:r>
    </w:p>
    <w:p>
      <w:pPr>
        <w:spacing w:after="0" w:line="1" w:lineRule="exact"/>
        <w:rPr>
          <w:rFonts w:ascii="Times New Roman" w:cs="Times New Roman" w:eastAsia="Times New Roman" w:hAnsi="Times New Roman"/>
          <w:sz w:val="20"/>
          <w:szCs w:val="20"/>
          <w:color w:val="auto"/>
        </w:rPr>
      </w:pPr>
    </w:p>
    <w:p>
      <w:pPr>
        <w:jc w:val="both"/>
        <w:ind w:right="120" w:firstLine="7"/>
        <w:spacing w:after="0" w:line="214" w:lineRule="auto"/>
        <w:tabs>
          <w:tab w:leader="none" w:pos="298"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a manner that would alter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sharing of payments required thereby; (iv) change any of the provisions of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or the definition of “Required Lenders” or any other provision hereof specifying the number or percentage of Lenders which are required to waive, amend or modify any rights hereunder or make any determination or grant any consent hereunder; (v) release all or substantially all of the Guarantors; or (vi) release all or substantially all Collateral (if any) securing any of the Obligations. Subject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Section, the Borrower agrees that each Participant shall be entitled to the benefits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w:t>
      </w:r>
    </w:p>
    <w:p>
      <w:pPr>
        <w:sectPr>
          <w:pgSz w:w="11900" w:h="16838" w:orient="portrait"/>
          <w:cols w:equalWidth="0" w:num="1">
            <w:col w:w="10160"/>
          </w:cols>
          <w:pgMar w:left="1400" w:top="1332" w:right="339" w:bottom="1440" w:gutter="0" w:footer="0" w:header="0"/>
        </w:sectPr>
      </w:pPr>
    </w:p>
    <w:bookmarkStart w:id="216" w:name="page217"/>
    <w:bookmarkEnd w:id="216"/>
    <w:p>
      <w:pPr>
        <w:ind w:right="120"/>
        <w:spacing w:after="0" w:line="234"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as though it were a Lender. To the extent permitted</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0"/>
          <w:szCs w:val="20"/>
          <w:color w:val="auto"/>
        </w:rPr>
        <w:t xml:space="preserve">by law, each Participant also shall be entitled to the benefits of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as though it were a Lender.</w:t>
      </w:r>
    </w:p>
    <w:p>
      <w:pPr>
        <w:spacing w:after="0" w:line="189" w:lineRule="exact"/>
        <w:rPr>
          <w:sz w:val="20"/>
          <w:szCs w:val="20"/>
          <w:color w:val="auto"/>
        </w:rPr>
      </w:pPr>
    </w:p>
    <w:p>
      <w:pPr>
        <w:ind w:right="120" w:firstLine="1296"/>
        <w:spacing w:after="0" w:line="222" w:lineRule="auto"/>
        <w:rPr>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 maintain a register in the United States on which it enters the name and address of each Participant and the</w:t>
      </w:r>
    </w:p>
    <w:p>
      <w:pPr>
        <w:spacing w:after="0" w:line="2"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0"/>
          <w:szCs w:val="20"/>
          <w:color w:val="auto"/>
        </w:rPr>
        <w:t>principal amount (and stated interest) of each Participant’s interest in the Term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The entries in the Participant Register shall be conclusive, absent manifest error, and</w:t>
      </w:r>
    </w:p>
    <w:p>
      <w:pPr>
        <w:spacing w:after="0" w:line="211" w:lineRule="auto"/>
        <w:rPr>
          <w:sz w:val="20"/>
          <w:szCs w:val="20"/>
          <w:color w:val="auto"/>
        </w:rPr>
      </w:pPr>
      <w:r>
        <w:rPr>
          <w:rFonts w:ascii="Times New Roman" w:cs="Times New Roman" w:eastAsia="Times New Roman" w:hAnsi="Times New Roman"/>
          <w:sz w:val="20"/>
          <w:szCs w:val="20"/>
          <w:color w:val="auto"/>
        </w:rPr>
        <w:t>such Lender shall treat each Person whose name is recorded in the Participant Register as the owner of such participation for</w:t>
      </w:r>
    </w:p>
    <w:p>
      <w:pPr>
        <w:spacing w:after="0" w:line="1"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0"/>
          <w:szCs w:val="20"/>
          <w:color w:val="auto"/>
        </w:rPr>
        <w:t>all purposes of this Agreement notwithstanding any notice to the contrary. No Lender shall have any obligation to disclose all or any portion of the Participant Register (including the identity of any Participant or any information relating to a</w:t>
      </w:r>
    </w:p>
    <w:p>
      <w:pPr>
        <w:spacing w:after="0" w:line="211" w:lineRule="auto"/>
        <w:rPr>
          <w:sz w:val="20"/>
          <w:szCs w:val="20"/>
          <w:color w:val="auto"/>
        </w:rPr>
      </w:pPr>
      <w:r>
        <w:rPr>
          <w:rFonts w:ascii="Times New Roman" w:cs="Times New Roman" w:eastAsia="Times New Roman" w:hAnsi="Times New Roman"/>
          <w:sz w:val="20"/>
          <w:szCs w:val="20"/>
          <w:color w:val="auto"/>
        </w:rPr>
        <w:t>Participant’s interest in any commitments, loans, letters of credit or its other obligations under any Loan Document) to any</w:t>
      </w:r>
    </w:p>
    <w:p>
      <w:pPr>
        <w:spacing w:after="0" w:line="1"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0"/>
          <w:szCs w:val="20"/>
          <w:color w:val="auto"/>
        </w:rPr>
        <w:t>Person except to the extent that such disclosure is necessary to establish that such participation is in registered form under Section 5f.103-1(c) of the United States Treasury Regulations. For the avoidance of doubt, the Administrative Agent (in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capacity as Administrative Agent) shall have no responsibility for maintaining a Participant Register.</w:t>
      </w:r>
    </w:p>
    <w:p>
      <w:pPr>
        <w:spacing w:after="0" w:line="200" w:lineRule="exact"/>
        <w:rPr>
          <w:sz w:val="20"/>
          <w:szCs w:val="20"/>
          <w:color w:val="auto"/>
        </w:rPr>
      </w:pPr>
    </w:p>
    <w:p>
      <w:pPr>
        <w:spacing w:after="0" w:line="237" w:lineRule="exact"/>
        <w:rPr>
          <w:sz w:val="20"/>
          <w:szCs w:val="20"/>
          <w:color w:val="auto"/>
        </w:rPr>
      </w:pPr>
    </w:p>
    <w:p>
      <w:pPr>
        <w:jc w:val="both"/>
        <w:ind w:firstLine="1303"/>
        <w:spacing w:after="0" w:line="217" w:lineRule="auto"/>
        <w:tabs>
          <w:tab w:leader="none" w:pos="215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0"/>
          <w:szCs w:val="20"/>
          <w:u w:val="single" w:color="auto"/>
          <w:color w:val="auto"/>
        </w:rPr>
        <w:t>Section 2.21(g) and (h)</w:t>
      </w:r>
      <w:r>
        <w:rPr>
          <w:rFonts w:ascii="Times New Roman" w:cs="Times New Roman" w:eastAsia="Times New Roman" w:hAnsi="Times New Roman"/>
          <w:sz w:val="20"/>
          <w:szCs w:val="20"/>
          <w:color w:val="auto"/>
        </w:rPr>
        <w:t xml:space="preserve"> as though it were a Lender.</w:t>
      </w:r>
    </w:p>
    <w:p>
      <w:pPr>
        <w:spacing w:after="0" w:line="269" w:lineRule="exact"/>
        <w:rPr>
          <w:rFonts w:ascii="Times New Roman" w:cs="Times New Roman" w:eastAsia="Times New Roman" w:hAnsi="Times New Roman"/>
          <w:sz w:val="20"/>
          <w:szCs w:val="20"/>
          <w:color w:val="auto"/>
        </w:rPr>
      </w:pPr>
    </w:p>
    <w:p>
      <w:pPr>
        <w:jc w:val="both"/>
        <w:ind w:right="120" w:firstLine="1303"/>
        <w:spacing w:after="0" w:line="222" w:lineRule="auto"/>
        <w:tabs>
          <w:tab w:leader="none" w:pos="208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the obligations of such Lender, including, without limitation,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8" w:lineRule="exact"/>
        <w:rPr>
          <w:rFonts w:ascii="Times New Roman" w:cs="Times New Roman" w:eastAsia="Times New Roman" w:hAnsi="Times New Roman"/>
          <w:sz w:val="20"/>
          <w:szCs w:val="20"/>
          <w:color w:val="auto"/>
        </w:rPr>
      </w:pPr>
    </w:p>
    <w:p>
      <w:pPr>
        <w:jc w:val="both"/>
        <w:ind w:right="120" w:firstLine="1303"/>
        <w:spacing w:after="0" w:line="218" w:lineRule="auto"/>
        <w:tabs>
          <w:tab w:leader="none" w:pos="214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Term Loans, or disclosure of confidential information, to any Disqualified Institution.</w:t>
      </w:r>
    </w:p>
    <w:p>
      <w:pPr>
        <w:sectPr>
          <w:pgSz w:w="11900" w:h="16838" w:orient="portrait"/>
          <w:cols w:equalWidth="0" w:num="1">
            <w:col w:w="10160"/>
          </w:cols>
          <w:pgMar w:left="1400" w:top="1318" w:right="339" w:bottom="1440" w:gutter="0" w:footer="0" w:header="0"/>
        </w:sectPr>
      </w:pPr>
    </w:p>
    <w:bookmarkStart w:id="217" w:name="page218"/>
    <w:bookmarkEnd w:id="217"/>
    <w:p>
      <w:pPr>
        <w:ind w:left="460"/>
        <w:spacing w:after="0"/>
        <w:tabs>
          <w:tab w:leader="none" w:pos="168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b w:val="1"/>
          <w:bCs w:val="1"/>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301" w:lineRule="exact"/>
        <w:rPr>
          <w:sz w:val="20"/>
          <w:szCs w:val="20"/>
          <w:color w:val="auto"/>
        </w:rPr>
      </w:pPr>
    </w:p>
    <w:p>
      <w:pPr>
        <w:jc w:val="both"/>
        <w:ind w:firstLine="1303"/>
        <w:spacing w:after="0" w:line="222" w:lineRule="auto"/>
        <w:tabs>
          <w:tab w:leader="none" w:pos="215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of the State of New York.</w:t>
      </w:r>
    </w:p>
    <w:p>
      <w:pPr>
        <w:spacing w:after="0" w:line="202" w:lineRule="exact"/>
        <w:rPr>
          <w:rFonts w:ascii="Times New Roman" w:cs="Times New Roman" w:eastAsia="Times New Roman" w:hAnsi="Times New Roman"/>
          <w:sz w:val="20"/>
          <w:szCs w:val="20"/>
          <w:color w:val="auto"/>
        </w:rPr>
      </w:pPr>
    </w:p>
    <w:p>
      <w:pPr>
        <w:jc w:val="both"/>
        <w:ind w:firstLine="1303"/>
        <w:spacing w:after="0" w:line="211" w:lineRule="auto"/>
        <w:tabs>
          <w:tab w:leader="none" w:pos="2147"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irrevocably and unconditionally submits, for itself and its property, to the exclusive jurisdiction of the United States District Court for the Southern District of New York, and of the Supreme Court of the State of New York sitting in New York County, Borough of Manhattan,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state court or, to the extent permitted by applicable law, such appellate court. Each of the parties hereto hereby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92" w:lineRule="exact"/>
        <w:rPr>
          <w:rFonts w:ascii="Times New Roman" w:cs="Times New Roman" w:eastAsia="Times New Roman" w:hAnsi="Times New Roman"/>
          <w:sz w:val="20"/>
          <w:szCs w:val="20"/>
          <w:color w:val="auto"/>
        </w:rPr>
      </w:pPr>
    </w:p>
    <w:p>
      <w:pPr>
        <w:jc w:val="both"/>
        <w:ind w:firstLine="1303"/>
        <w:spacing w:after="0" w:line="220" w:lineRule="auto"/>
        <w:tabs>
          <w:tab w:leader="none" w:pos="215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hereby irrevocably and unconditionally waives any objection which it may now or hereafter have to the laying of venue of any such suit, action or proceeding described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and brought in any court referred to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25" w:lineRule="exact"/>
        <w:rPr>
          <w:rFonts w:ascii="Times New Roman" w:cs="Times New Roman" w:eastAsia="Times New Roman" w:hAnsi="Times New Roman"/>
          <w:sz w:val="20"/>
          <w:szCs w:val="20"/>
          <w:color w:val="auto"/>
        </w:rPr>
      </w:pPr>
    </w:p>
    <w:p>
      <w:pPr>
        <w:jc w:val="both"/>
        <w:ind w:firstLine="1303"/>
        <w:spacing w:after="0" w:line="254" w:lineRule="auto"/>
        <w:tabs>
          <w:tab w:leader="none" w:pos="2147"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to this Agreement hereby irrevocably consents to the service of process in the manner provided for notices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Nothing in this Agreement or in any other Loan Document shall affect the right of any party hereto to serve process in any other manner permitted by law.</w:t>
      </w:r>
    </w:p>
    <w:p>
      <w:pPr>
        <w:spacing w:after="0" w:line="18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color w:val="auto"/>
        </w:rPr>
        <w:t>. EACH PARTY HERETO HEREBY IRREVOCABLY WAIVES, TO THE FULLEST EXTENT PERMITTED BY APPLICABLE LAW, ANY RIGHT IT MAY HAVE TO A TRIAL BY JURY IN</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ANY LEGAL PROCEEDING DIRECTLY OR INDIRECTLY ARISING OUT OF THIS AGREEMENT OR ANY OTHER LOAN DOCUMENT OR THE TRANSACTIONS CONTEMPLATED HEREBY OR THEREBY (WHETHER BASED ON</w:t>
      </w:r>
    </w:p>
    <w:p>
      <w:pPr>
        <w:spacing w:after="0" w:line="211" w:lineRule="auto"/>
        <w:rPr>
          <w:sz w:val="20"/>
          <w:szCs w:val="20"/>
          <w:color w:val="auto"/>
        </w:rPr>
      </w:pPr>
      <w:r>
        <w:rPr>
          <w:rFonts w:ascii="Times New Roman" w:cs="Times New Roman" w:eastAsia="Times New Roman" w:hAnsi="Times New Roman"/>
          <w:sz w:val="20"/>
          <w:szCs w:val="20"/>
          <w:color w:val="auto"/>
        </w:rPr>
        <w:t>CONTRACT, TORT OR ANY OTHER THEORY). EACH PARTY HERETO HEREBY (A) CERTIFIES THAT NO</w:t>
      </w:r>
    </w:p>
    <w:p>
      <w:pPr>
        <w:spacing w:after="0" w:line="204" w:lineRule="auto"/>
        <w:rPr>
          <w:sz w:val="20"/>
          <w:szCs w:val="20"/>
          <w:color w:val="auto"/>
        </w:rPr>
      </w:pPr>
      <w:r>
        <w:rPr>
          <w:rFonts w:ascii="Times New Roman" w:cs="Times New Roman" w:eastAsia="Times New Roman" w:hAnsi="Times New Roman"/>
          <w:sz w:val="20"/>
          <w:szCs w:val="20"/>
          <w:color w:val="auto"/>
        </w:rPr>
        <w:t>REPRESENTATIVE, AGENT OR ATTORNEY OF ANY OTHER PARTY HAS REPRESENTED, EXPRESSLY OR OTHERWISE, THAT SUCH OTHER PARTY WOULD NOT, IN THE EVENT OF LITIGATION, SEEK TO ENFORCE</w:t>
      </w:r>
    </w:p>
    <w:p>
      <w:pPr>
        <w:spacing w:after="0" w:line="211" w:lineRule="auto"/>
        <w:rPr>
          <w:sz w:val="20"/>
          <w:szCs w:val="20"/>
          <w:color w:val="auto"/>
        </w:rPr>
      </w:pPr>
      <w:r>
        <w:rPr>
          <w:rFonts w:ascii="Times New Roman" w:cs="Times New Roman" w:eastAsia="Times New Roman" w:hAnsi="Times New Roman"/>
          <w:sz w:val="20"/>
          <w:szCs w:val="20"/>
          <w:color w:val="auto"/>
        </w:rPr>
        <w:t>THE FOREGOING WAIVER AND (B) ACKNOWLEDGES THAT IT AND THE OTHER PARTIES HERETO HAVE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BEEN INDUCED TO ENTER INTO THIS AGREEMENT AND THE OTHER LOAN DOCUMENTS BY, AMONG OTHER THINGS, THE MUTUAL WAIVERS AND CERTIFICATIONS IN THIS SECTION.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Section 10.7. </w:t>
      </w:r>
      <w:r>
        <w:rPr>
          <w:rFonts w:ascii="Times New Roman" w:cs="Times New Roman" w:eastAsia="Times New Roman" w:hAnsi="Times New Roman"/>
          <w:sz w:val="19"/>
          <w:szCs w:val="19"/>
          <w:b w:val="1"/>
          <w:bCs w:val="1"/>
          <w:u w:val="single" w:color="auto"/>
          <w:color w:val="auto"/>
        </w:rPr>
        <w:t>Right of Set-off</w:t>
      </w:r>
      <w:r>
        <w:rPr>
          <w:rFonts w:ascii="Times New Roman" w:cs="Times New Roman" w:eastAsia="Times New Roman" w:hAnsi="Times New Roman"/>
          <w:sz w:val="19"/>
          <w:szCs w:val="19"/>
          <w:color w:val="auto"/>
        </w:rPr>
        <w:t>. In addition to any rights now or hereafter granted under applicable law and not by way</w:t>
      </w:r>
    </w:p>
    <w:p>
      <w:pPr>
        <w:spacing w:after="0" w:line="10"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of limitation of any such rights, each Lender shall have the right, at any time or from time to time upon the occurrence and during the continuance of an Event of Default, without prior notice to the Borrower, any such notice being expressly waived</w:t>
      </w:r>
    </w:p>
    <w:p>
      <w:pPr>
        <w:spacing w:after="0" w:line="223" w:lineRule="auto"/>
        <w:rPr>
          <w:sz w:val="20"/>
          <w:szCs w:val="20"/>
          <w:color w:val="auto"/>
        </w:rPr>
      </w:pPr>
      <w:r>
        <w:rPr>
          <w:rFonts w:ascii="Times New Roman" w:cs="Times New Roman" w:eastAsia="Times New Roman" w:hAnsi="Times New Roman"/>
          <w:sz w:val="19"/>
          <w:szCs w:val="19"/>
          <w:color w:val="auto"/>
        </w:rPr>
        <w:t>by the Borrower to the extent permitted by applicable law, to set-off and apply against all deposits (general or special, time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demand, provisional or final) of the Borrower at any time held or other obligations at any time owing by such Lender to or for the credit or the account of the Borrower against any and all of the Obligations held by such Lender irrespective of whether</w:t>
      </w:r>
    </w:p>
    <w:p>
      <w:pPr>
        <w:spacing w:after="0" w:line="211" w:lineRule="auto"/>
        <w:rPr>
          <w:sz w:val="20"/>
          <w:szCs w:val="20"/>
          <w:color w:val="auto"/>
        </w:rPr>
      </w:pPr>
      <w:r>
        <w:rPr>
          <w:rFonts w:ascii="Times New Roman" w:cs="Times New Roman" w:eastAsia="Times New Roman" w:hAnsi="Times New Roman"/>
          <w:sz w:val="20"/>
          <w:szCs w:val="20"/>
          <w:color w:val="auto"/>
        </w:rPr>
        <w:t>such Lender shall have made demand hereunder and although such Obligations may be unmatured. Each Lender hereby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agrees to promptly notify the Administrative Agent and the Borrower after any such set-off and any application made by such Lender,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application. Each Lender hereby agrees to apply all amounts collected from any such set-off to the Obligations before applying</w:t>
      </w:r>
    </w:p>
    <w:p>
      <w:pPr>
        <w:sectPr>
          <w:pgSz w:w="11900" w:h="16838" w:orient="portrait"/>
          <w:cols w:equalWidth="0" w:num="1">
            <w:col w:w="10040"/>
          </w:cols>
          <w:pgMar w:left="1400" w:top="1314"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9"/>
          <w:szCs w:val="19"/>
          <w:color w:val="auto"/>
        </w:rPr>
        <w:t>such amounts to any other Indebtedness or other obligations owed by the Borrower and any of its Subsidiaries to such Lender.</w:t>
      </w:r>
    </w:p>
    <w:p>
      <w:pPr>
        <w:spacing w:after="0" w:line="223"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b w:val="1"/>
          <w:bCs w:val="1"/>
          <w:u w:val="single" w:color="auto"/>
          <w:color w:val="auto"/>
        </w:rPr>
        <w:t>Counterparts; Integration</w:t>
      </w:r>
      <w:r>
        <w:rPr>
          <w:rFonts w:ascii="Times New Roman" w:cs="Times New Roman" w:eastAsia="Times New Roman" w:hAnsi="Times New Roman"/>
          <w:sz w:val="20"/>
          <w:szCs w:val="20"/>
          <w:color w:val="auto"/>
        </w:rPr>
        <w:t>. This Agreement may be executed by one or more of the parties to this Agreement on any number of separate counterparts, and all of said counterparts taken together shall be deemed to constitute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one and the same instrument. This Agreement, the other Loan Documents and any separate letter agreements relating to any fees payable to the Administrative Agent and its Affiliates constitute the entire agreement among the parties hereto and thereto</w:t>
      </w:r>
    </w:p>
    <w:p>
      <w:pPr>
        <w:spacing w:after="0" w:line="211" w:lineRule="auto"/>
        <w:rPr>
          <w:sz w:val="20"/>
          <w:szCs w:val="20"/>
          <w:color w:val="auto"/>
        </w:rPr>
      </w:pPr>
      <w:r>
        <w:rPr>
          <w:rFonts w:ascii="Times New Roman" w:cs="Times New Roman" w:eastAsia="Times New Roman" w:hAnsi="Times New Roman"/>
          <w:sz w:val="20"/>
          <w:szCs w:val="20"/>
          <w:color w:val="auto"/>
        </w:rPr>
        <w:t>and their affiliates regarding the subject matters hereof and thereof and supersede all prior agreements and understandings,</w:t>
      </w:r>
    </w:p>
    <w:p>
      <w:pPr>
        <w:spacing w:after="0" w:line="204" w:lineRule="auto"/>
        <w:rPr>
          <w:sz w:val="20"/>
          <w:szCs w:val="20"/>
          <w:color w:val="auto"/>
        </w:rPr>
      </w:pPr>
      <w:r>
        <w:rPr>
          <w:rFonts w:ascii="Times New Roman" w:cs="Times New Roman" w:eastAsia="Times New Roman" w:hAnsi="Times New Roman"/>
          <w:sz w:val="20"/>
          <w:szCs w:val="20"/>
          <w:color w:val="auto"/>
        </w:rPr>
        <w:t>oral or written, regarding such subject matters. Delivery of an executed counterpart to this Agreement or any other Loan Document by facsimile transmission or by electronic mail in PDF or TIFF format shall be as effective as delivery of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manually executed counterpart hereof.</w:t>
      </w:r>
    </w:p>
    <w:p>
      <w:pPr>
        <w:spacing w:after="0" w:line="19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Section 10.9. </w:t>
      </w: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 All covenants, agreements, representations and warranties made by the Loan Parties herein and in the certificates, reports, notices or other instruments delivered in connection with, or pursuant to, this Agreement,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 considered to have been relied upon by the other parties hereto and shall survive the execution and delivery of this Agreement and the other Loan Documents and the making of any Term Loans, regardless of any investigation made by any</w:t>
      </w:r>
    </w:p>
    <w:p>
      <w:pPr>
        <w:spacing w:after="0" w:line="211" w:lineRule="auto"/>
        <w:rPr>
          <w:sz w:val="20"/>
          <w:szCs w:val="20"/>
          <w:color w:val="auto"/>
        </w:rPr>
      </w:pPr>
      <w:r>
        <w:rPr>
          <w:rFonts w:ascii="Times New Roman" w:cs="Times New Roman" w:eastAsia="Times New Roman" w:hAnsi="Times New Roman"/>
          <w:sz w:val="20"/>
          <w:szCs w:val="20"/>
          <w:color w:val="auto"/>
        </w:rPr>
        <w:t>such other party or on its behalf and notwithstanding that the Administrative Agent or any Lender may have had notice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knowledge of any Default or incorrect representation or warranty at the time any credit is extended hereunder, and shall continue in full force and effect as long as the principal of, or any accrued interest on, any Term Loan or any fee or any other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amount payable under this Agreement is outstanding and unpaid. The provisions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Term Loans or the termination of this Agreement or any provision hereof. All representations</w:t>
      </w:r>
    </w:p>
    <w:p>
      <w:pPr>
        <w:spacing w:after="0" w:line="223" w:lineRule="auto"/>
        <w:rPr>
          <w:sz w:val="20"/>
          <w:szCs w:val="20"/>
          <w:color w:val="auto"/>
        </w:rPr>
      </w:pPr>
      <w:r>
        <w:rPr>
          <w:rFonts w:ascii="Times New Roman" w:cs="Times New Roman" w:eastAsia="Times New Roman" w:hAnsi="Times New Roman"/>
          <w:sz w:val="19"/>
          <w:szCs w:val="19"/>
          <w:color w:val="auto"/>
        </w:rPr>
        <w:t>and warranties made herein, in the other Loan Documents or in the certificates, reports, notices and other documents delivered</w:t>
      </w:r>
    </w:p>
    <w:p>
      <w:pPr>
        <w:spacing w:after="0" w:line="221" w:lineRule="auto"/>
        <w:rPr>
          <w:sz w:val="20"/>
          <w:szCs w:val="20"/>
          <w:color w:val="auto"/>
        </w:rPr>
      </w:pPr>
      <w:r>
        <w:rPr>
          <w:rFonts w:ascii="Times New Roman" w:cs="Times New Roman" w:eastAsia="Times New Roman" w:hAnsi="Times New Roman"/>
          <w:sz w:val="20"/>
          <w:szCs w:val="20"/>
          <w:color w:val="auto"/>
        </w:rPr>
        <w:t>pursuant to this Agreement shall survive the execution and delivery of this Agreement and the other Loan Documents, and the making of the Term Loans.</w:t>
      </w:r>
    </w:p>
    <w:p>
      <w:pPr>
        <w:spacing w:after="0" w:line="19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Any provision of this Agreement or any other Loan Document held to be illegal, invalid or unenforceable in any jurisdiction shall, as to such jurisdiction, be ineffective to the extent of such illegality, invalidity or</w:t>
      </w:r>
    </w:p>
    <w:p>
      <w:pPr>
        <w:spacing w:after="0" w:line="224" w:lineRule="auto"/>
        <w:rPr>
          <w:sz w:val="20"/>
          <w:szCs w:val="20"/>
          <w:color w:val="auto"/>
        </w:rPr>
      </w:pPr>
      <w:r>
        <w:rPr>
          <w:rFonts w:ascii="Times New Roman" w:cs="Times New Roman" w:eastAsia="Times New Roman" w:hAnsi="Times New Roman"/>
          <w:sz w:val="19"/>
          <w:szCs w:val="19"/>
          <w:color w:val="auto"/>
        </w:rPr>
        <w:t>unenforceability without affecting the legality, validity or enforceability of the remaining provisions hereof or thereof; and the</w:t>
      </w:r>
    </w:p>
    <w:p>
      <w:pPr>
        <w:spacing w:after="0" w:line="221" w:lineRule="auto"/>
        <w:rPr>
          <w:sz w:val="20"/>
          <w:szCs w:val="20"/>
          <w:color w:val="auto"/>
        </w:rPr>
      </w:pPr>
      <w:r>
        <w:rPr>
          <w:rFonts w:ascii="Times New Roman" w:cs="Times New Roman" w:eastAsia="Times New Roman" w:hAnsi="Times New Roman"/>
          <w:sz w:val="20"/>
          <w:szCs w:val="20"/>
          <w:color w:val="auto"/>
        </w:rPr>
        <w:t>illegality, invalidity or unenforceability of a particular provision in a particular jurisdiction shall not invalidate or render unenforceable such provision in any other jurisdiction.</w:t>
      </w:r>
    </w:p>
    <w:p>
      <w:pPr>
        <w:spacing w:after="0" w:line="19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Section 10.11. </w:t>
      </w:r>
      <w:r>
        <w:rPr>
          <w:rFonts w:ascii="Times New Roman" w:cs="Times New Roman" w:eastAsia="Times New Roman" w:hAnsi="Times New Roman"/>
          <w:sz w:val="19"/>
          <w:szCs w:val="19"/>
          <w:b w:val="1"/>
          <w:bCs w:val="1"/>
          <w:u w:val="single" w:color="auto"/>
          <w:color w:val="auto"/>
        </w:rPr>
        <w:t>Confidentiality</w:t>
      </w:r>
      <w:r>
        <w:rPr>
          <w:rFonts w:ascii="Times New Roman" w:cs="Times New Roman" w:eastAsia="Times New Roman" w:hAnsi="Times New Roman"/>
          <w:sz w:val="19"/>
          <w:szCs w:val="19"/>
          <w:color w:val="auto"/>
        </w:rPr>
        <w:t>. Each of the Administrative Agent and the Lenders hereby agrees to maintain the confidentiality of any non-public information relating to Holdings, the Borrower or any of their respective Subsidiaries or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of their respective businesses, to the extent provided to it by or on behalf of Holdings or any of its Subsidiaries, in accordance with the Administrative Agent’s or the Lenders’ customary practices, other than any such information that is available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or any Lender on a non-confidential basis prior to disclosure by or on behalf of Holdings or any of its</w:t>
      </w:r>
    </w:p>
    <w:p>
      <w:pPr>
        <w:jc w:val="both"/>
        <w:spacing w:after="0" w:line="204" w:lineRule="auto"/>
        <w:rPr>
          <w:sz w:val="20"/>
          <w:szCs w:val="20"/>
          <w:color w:val="auto"/>
        </w:rPr>
      </w:pPr>
      <w:r>
        <w:rPr>
          <w:rFonts w:ascii="Times New Roman" w:cs="Times New Roman" w:eastAsia="Times New Roman" w:hAnsi="Times New Roman"/>
          <w:sz w:val="20"/>
          <w:szCs w:val="20"/>
          <w:color w:val="auto"/>
        </w:rPr>
        <w:t>Subsidiaries, except that such information may be disclosed (i) to any Related Party of the Administrative Agent or any such Lender or their respective Affiliates including, without limitation, accountants, legal counsel, officers, directors, employees,</w:t>
      </w:r>
    </w:p>
    <w:p>
      <w:pPr>
        <w:spacing w:after="0" w:line="211" w:lineRule="auto"/>
        <w:rPr>
          <w:sz w:val="20"/>
          <w:szCs w:val="20"/>
          <w:color w:val="auto"/>
        </w:rPr>
      </w:pPr>
      <w:r>
        <w:rPr>
          <w:rFonts w:ascii="Times New Roman" w:cs="Times New Roman" w:eastAsia="Times New Roman" w:hAnsi="Times New Roman"/>
          <w:sz w:val="20"/>
          <w:szCs w:val="20"/>
          <w:color w:val="auto"/>
        </w:rPr>
        <w:t>independent auditors, professionals and other experts, agents or advisors (it being understood that the Persons to whom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disclosure is made shall be informed of the confidential nature of such information and instructed to keep such information confidential), (ii) to the extent required by applicable laws or regulations or by any subpoena or similar legal process (in</w:t>
      </w:r>
    </w:p>
    <w:p>
      <w:pPr>
        <w:spacing w:after="0" w:line="211" w:lineRule="auto"/>
        <w:rPr>
          <w:sz w:val="20"/>
          <w:szCs w:val="20"/>
          <w:color w:val="auto"/>
        </w:rPr>
      </w:pPr>
      <w:r>
        <w:rPr>
          <w:rFonts w:ascii="Times New Roman" w:cs="Times New Roman" w:eastAsia="Times New Roman" w:hAnsi="Times New Roman"/>
          <w:sz w:val="20"/>
          <w:szCs w:val="20"/>
          <w:color w:val="auto"/>
        </w:rPr>
        <w:t>which case, such disclosing party agrees to inform the Borrower reasonably promptly thereof and prior to such disclosure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extent not prohibited by law), (iii) to the extent requested by any regulatory agency or authority purporting to have jurisdiction over it (including any self-regulatory authority such as the NAIC), (iv) to the extent that such information</w:t>
      </w:r>
    </w:p>
    <w:p>
      <w:pPr>
        <w:spacing w:after="0" w:line="223" w:lineRule="auto"/>
        <w:rPr>
          <w:sz w:val="20"/>
          <w:szCs w:val="20"/>
          <w:color w:val="auto"/>
        </w:rPr>
      </w:pPr>
      <w:r>
        <w:rPr>
          <w:rFonts w:ascii="Times New Roman" w:cs="Times New Roman" w:eastAsia="Times New Roman" w:hAnsi="Times New Roman"/>
          <w:sz w:val="19"/>
          <w:szCs w:val="19"/>
          <w:color w:val="auto"/>
        </w:rPr>
        <w:t>becomes publicly available other than as a result of a breach of this Section, or which becomes available to the Administrative</w:t>
      </w:r>
    </w:p>
    <w:p>
      <w:pPr>
        <w:spacing w:after="0" w:line="215" w:lineRule="auto"/>
        <w:rPr>
          <w:sz w:val="20"/>
          <w:szCs w:val="20"/>
          <w:color w:val="auto"/>
        </w:rPr>
      </w:pPr>
      <w:r>
        <w:rPr>
          <w:rFonts w:ascii="Times New Roman" w:cs="Times New Roman" w:eastAsia="Times New Roman" w:hAnsi="Times New Roman"/>
          <w:sz w:val="19"/>
          <w:szCs w:val="19"/>
          <w:color w:val="auto"/>
        </w:rPr>
        <w:t>Agent, any Lender or any Related Party of any of the foregoing on a non-confidential basis from a source other than Holdings or any of its Subsidiaries, (v) in connection with the exercise of any remedy hereunder or under any other Loan Document or</w:t>
      </w:r>
    </w:p>
    <w:p>
      <w:pPr>
        <w:spacing w:after="0" w:line="211" w:lineRule="auto"/>
        <w:rPr>
          <w:sz w:val="20"/>
          <w:szCs w:val="20"/>
          <w:color w:val="auto"/>
        </w:rPr>
      </w:pPr>
      <w:r>
        <w:rPr>
          <w:rFonts w:ascii="Times New Roman" w:cs="Times New Roman" w:eastAsia="Times New Roman" w:hAnsi="Times New Roman"/>
          <w:sz w:val="20"/>
          <w:szCs w:val="20"/>
          <w:color w:val="auto"/>
        </w:rPr>
        <w:t>any suit, action or proceeding relating to this Agreement or any other Loan Document or the enforcement of rights hereunder</w:t>
      </w:r>
    </w:p>
    <w:p>
      <w:pPr>
        <w:spacing w:after="0" w:line="204" w:lineRule="auto"/>
        <w:rPr>
          <w:sz w:val="20"/>
          <w:szCs w:val="20"/>
          <w:color w:val="auto"/>
        </w:rPr>
      </w:pPr>
      <w:r>
        <w:rPr>
          <w:rFonts w:ascii="Times New Roman" w:cs="Times New Roman" w:eastAsia="Times New Roman" w:hAnsi="Times New Roman"/>
          <w:sz w:val="20"/>
          <w:szCs w:val="20"/>
          <w:color w:val="auto"/>
        </w:rPr>
        <w:t>or thereunder or as otherwise required by applicable law or regulation, (vi) subject to execution by such Person of an agreement containing provisions similar to those in this Section, to (A) any assignee of, or Participant in, or any prospective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assignee of, or Participant in, any of its rights or obligations under this Agreement or (B) any actual or prospective party</w:t>
      </w:r>
    </w:p>
    <w:p>
      <w:pPr>
        <w:sectPr>
          <w:pgSz w:w="11900" w:h="16838" w:orient="portrait"/>
          <w:cols w:equalWidth="0" w:num="1">
            <w:col w:w="10040"/>
          </w:cols>
          <w:pgMar w:left="1400" w:top="1318" w:right="459" w:bottom="1440" w:gutter="0" w:footer="0" w:header="0"/>
        </w:sectPr>
      </w:pPr>
    </w:p>
    <w:bookmarkStart w:id="219" w:name="page220"/>
    <w:bookmarkEnd w:id="219"/>
    <w:p>
      <w:pPr>
        <w:ind w:left="20" w:right="120"/>
        <w:spacing w:after="0" w:line="234" w:lineRule="auto"/>
        <w:rPr>
          <w:sz w:val="20"/>
          <w:szCs w:val="20"/>
          <w:color w:val="auto"/>
        </w:rPr>
      </w:pPr>
      <w:r>
        <w:rPr>
          <w:rFonts w:ascii="Times New Roman" w:cs="Times New Roman" w:eastAsia="Times New Roman" w:hAnsi="Times New Roman"/>
          <w:sz w:val="19"/>
          <w:szCs w:val="19"/>
          <w:color w:val="auto"/>
        </w:rPr>
        <w:t>(or its Related Parties) to any swap or derivative or other transaction under which payments are to be made by reference to the Borrower and its obligations, this Agreement or payments hereunder, (vii) to any rating agency, (viii) to the CUSIP Service</w:t>
      </w:r>
    </w:p>
    <w:p>
      <w:pPr>
        <w:spacing w:after="0" w:line="1" w:lineRule="exact"/>
        <w:rPr>
          <w:sz w:val="20"/>
          <w:szCs w:val="20"/>
          <w:color w:val="auto"/>
        </w:rPr>
      </w:pPr>
    </w:p>
    <w:p>
      <w:pPr>
        <w:ind w:left="20" w:right="120"/>
        <w:spacing w:after="0" w:line="204" w:lineRule="auto"/>
        <w:rPr>
          <w:sz w:val="20"/>
          <w:szCs w:val="20"/>
          <w:color w:val="auto"/>
        </w:rPr>
      </w:pPr>
      <w:r>
        <w:rPr>
          <w:rFonts w:ascii="Times New Roman" w:cs="Times New Roman" w:eastAsia="Times New Roman" w:hAnsi="Times New Roman"/>
          <w:sz w:val="20"/>
          <w:szCs w:val="20"/>
          <w:color w:val="auto"/>
        </w:rPr>
        <w:t>Bureau or any similar organization, (ix) to the extent that such information is received by the Administrative Agent from a third party that is not, to the knowledge of the Administrative Agent, subject to confidentiality obligations owing to the</w:t>
      </w:r>
    </w:p>
    <w:p>
      <w:pPr>
        <w:ind w:left="20"/>
        <w:spacing w:after="0" w:line="211" w:lineRule="auto"/>
        <w:rPr>
          <w:sz w:val="20"/>
          <w:szCs w:val="20"/>
          <w:color w:val="auto"/>
        </w:rPr>
      </w:pPr>
      <w:r>
        <w:rPr>
          <w:rFonts w:ascii="Times New Roman" w:cs="Times New Roman" w:eastAsia="Times New Roman" w:hAnsi="Times New Roman"/>
          <w:sz w:val="20"/>
          <w:szCs w:val="20"/>
          <w:color w:val="auto"/>
        </w:rPr>
        <w:t xml:space="preserve">Borrower or any Affiliate of the Borrower, (x) for purposes of establishing a “due diligence” defense,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prompt</w:t>
      </w:r>
    </w:p>
    <w:p>
      <w:pPr>
        <w:spacing w:after="0" w:line="1" w:lineRule="exact"/>
        <w:rPr>
          <w:sz w:val="20"/>
          <w:szCs w:val="20"/>
          <w:color w:val="auto"/>
        </w:rPr>
      </w:pPr>
    </w:p>
    <w:p>
      <w:pPr>
        <w:ind w:left="20" w:right="120"/>
        <w:spacing w:after="0" w:line="204" w:lineRule="auto"/>
        <w:rPr>
          <w:sz w:val="20"/>
          <w:szCs w:val="20"/>
          <w:color w:val="auto"/>
        </w:rPr>
      </w:pPr>
      <w:r>
        <w:rPr>
          <w:rFonts w:ascii="Times New Roman" w:cs="Times New Roman" w:eastAsia="Times New Roman" w:hAnsi="Times New Roman"/>
          <w:sz w:val="20"/>
          <w:szCs w:val="20"/>
          <w:color w:val="auto"/>
        </w:rPr>
        <w:t>notice of such defense shall be provided to the Borrower, to the extent permitted by law, (xi) to the extent that such information was already in the possession of the Administrative Agent prior to any duty or other undertaking of</w:t>
      </w:r>
    </w:p>
    <w:p>
      <w:pPr>
        <w:spacing w:after="0" w:line="1" w:lineRule="exact"/>
        <w:rPr>
          <w:sz w:val="20"/>
          <w:szCs w:val="20"/>
          <w:color w:val="auto"/>
        </w:rPr>
      </w:pPr>
    </w:p>
    <w:p>
      <w:pPr>
        <w:ind w:left="20" w:right="120"/>
        <w:spacing w:after="0" w:line="204" w:lineRule="auto"/>
        <w:rPr>
          <w:sz w:val="20"/>
          <w:szCs w:val="20"/>
          <w:color w:val="auto"/>
        </w:rPr>
      </w:pPr>
      <w:r>
        <w:rPr>
          <w:rFonts w:ascii="Times New Roman" w:cs="Times New Roman" w:eastAsia="Times New Roman" w:hAnsi="Times New Roman"/>
          <w:sz w:val="20"/>
          <w:szCs w:val="20"/>
          <w:color w:val="auto"/>
        </w:rPr>
        <w:t>confidentiality entered into in connection with this Agreement or any other Loan Document or (xii) with the written consent of the Borrower. Any Person required to maintain the confidentiality of any information as provided for in this Section shall</w:t>
      </w:r>
    </w:p>
    <w:p>
      <w:pPr>
        <w:ind w:left="20"/>
        <w:spacing w:after="0" w:line="211" w:lineRule="auto"/>
        <w:rPr>
          <w:sz w:val="20"/>
          <w:szCs w:val="20"/>
          <w:color w:val="auto"/>
        </w:rPr>
      </w:pPr>
      <w:r>
        <w:rPr>
          <w:rFonts w:ascii="Times New Roman" w:cs="Times New Roman" w:eastAsia="Times New Roman" w:hAnsi="Times New Roman"/>
          <w:sz w:val="20"/>
          <w:szCs w:val="20"/>
          <w:color w:val="auto"/>
        </w:rPr>
        <w:t>be considered to have complied with its obligation to do so if such Person has exercised the same degree of care to maintain</w:t>
      </w:r>
    </w:p>
    <w:p>
      <w:pPr>
        <w:spacing w:after="0" w:line="1" w:lineRule="exact"/>
        <w:rPr>
          <w:sz w:val="20"/>
          <w:szCs w:val="20"/>
          <w:color w:val="auto"/>
        </w:rPr>
      </w:pPr>
    </w:p>
    <w:p>
      <w:pPr>
        <w:ind w:left="20" w:right="120"/>
        <w:spacing w:after="0" w:line="204" w:lineRule="auto"/>
        <w:rPr>
          <w:sz w:val="20"/>
          <w:szCs w:val="20"/>
          <w:color w:val="auto"/>
        </w:rPr>
      </w:pPr>
      <w:r>
        <w:rPr>
          <w:rFonts w:ascii="Times New Roman" w:cs="Times New Roman" w:eastAsia="Times New Roman" w:hAnsi="Times New Roman"/>
          <w:sz w:val="20"/>
          <w:szCs w:val="20"/>
          <w:color w:val="auto"/>
        </w:rPr>
        <w:t>the confidentiality of such information as such Person would accord its own confidential information. In the event of any conflict between the terms of this Section and those of any other Contractual Obligation entered into with any Loan Party</w:t>
      </w:r>
    </w:p>
    <w:p>
      <w:pPr>
        <w:ind w:left="20"/>
        <w:spacing w:after="0" w:line="211" w:lineRule="auto"/>
        <w:rPr>
          <w:sz w:val="20"/>
          <w:szCs w:val="20"/>
          <w:color w:val="auto"/>
        </w:rPr>
      </w:pPr>
      <w:r>
        <w:rPr>
          <w:rFonts w:ascii="Times New Roman" w:cs="Times New Roman" w:eastAsia="Times New Roman" w:hAnsi="Times New Roman"/>
          <w:sz w:val="20"/>
          <w:szCs w:val="20"/>
          <w:color w:val="auto"/>
        </w:rPr>
        <w:t>(whether or not a Loan Document), the terms of this Section shall govern. Notwithstanding the foregoing, no such confidential</w:t>
      </w:r>
    </w:p>
    <w:p>
      <w:pPr>
        <w:spacing w:after="0" w:line="1" w:lineRule="exact"/>
        <w:rPr>
          <w:sz w:val="20"/>
          <w:szCs w:val="20"/>
          <w:color w:val="auto"/>
        </w:rPr>
      </w:pPr>
    </w:p>
    <w:p>
      <w:pPr>
        <w:ind w:left="20" w:right="120"/>
        <w:spacing w:after="0" w:line="221" w:lineRule="auto"/>
        <w:rPr>
          <w:sz w:val="20"/>
          <w:szCs w:val="20"/>
          <w:color w:val="auto"/>
        </w:rPr>
      </w:pPr>
      <w:r>
        <w:rPr>
          <w:rFonts w:ascii="Times New Roman" w:cs="Times New Roman" w:eastAsia="Times New Roman" w:hAnsi="Times New Roman"/>
          <w:sz w:val="20"/>
          <w:szCs w:val="20"/>
          <w:color w:val="auto"/>
        </w:rPr>
        <w:t>information shall be disclosed to a Disqualified Institution that has been identified to all of the Lenders prior to the time of such disclosure without the Borrower’s consent.</w:t>
      </w:r>
    </w:p>
    <w:p>
      <w:pPr>
        <w:spacing w:after="0" w:line="200" w:lineRule="exact"/>
        <w:rPr>
          <w:sz w:val="20"/>
          <w:szCs w:val="20"/>
          <w:color w:val="auto"/>
        </w:rPr>
      </w:pPr>
    </w:p>
    <w:p>
      <w:pPr>
        <w:spacing w:after="0" w:line="23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Subject to the Borrower’s prior written approval (such approval not to be unreasonably conditioned, withheld or delayed), the Administrative Agent or any Lender may use non-confidential information related to this Agreement and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Loans made hereunder in connection with any marketing, press releases or other transactional announcements or updates provided to investor or trade publications, including, but not limited to, the placement of “tombstone” advertisements in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publication of its choice at its own expense using such Loan Party’s name, product photographs, logo or trademark.</w:t>
      </w:r>
    </w:p>
    <w:p>
      <w:pPr>
        <w:spacing w:after="0" w:line="176" w:lineRule="exact"/>
        <w:rPr>
          <w:sz w:val="20"/>
          <w:szCs w:val="20"/>
          <w:color w:val="auto"/>
        </w:rPr>
      </w:pPr>
    </w:p>
    <w:p>
      <w:pPr>
        <w:ind w:left="20" w:right="120" w:firstLine="648"/>
        <w:spacing w:after="0" w:line="224"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b w:val="1"/>
          <w:bCs w:val="1"/>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which may be treated as interest on such Loan</w:t>
      </w:r>
    </w:p>
    <w:p>
      <w:pPr>
        <w:spacing w:after="0" w:line="2" w:lineRule="exact"/>
        <w:rPr>
          <w:sz w:val="20"/>
          <w:szCs w:val="20"/>
          <w:color w:val="auto"/>
        </w:rPr>
      </w:pPr>
    </w:p>
    <w:p>
      <w:pPr>
        <w:ind w:left="20" w:right="120"/>
        <w:spacing w:after="0" w:line="204" w:lineRule="auto"/>
        <w:rPr>
          <w:sz w:val="20"/>
          <w:szCs w:val="20"/>
          <w:color w:val="auto"/>
        </w:rPr>
      </w:pPr>
      <w:r>
        <w:rPr>
          <w:rFonts w:ascii="Times New Roman" w:cs="Times New Roman" w:eastAsia="Times New Roman" w:hAnsi="Times New Roman"/>
          <w:sz w:val="20"/>
          <w:szCs w:val="20"/>
          <w:color w:val="auto"/>
        </w:rPr>
        <w:t>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of interest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 reserved by a Lender holding such Loan in accordance with</w:t>
      </w:r>
    </w:p>
    <w:p>
      <w:pPr>
        <w:ind w:left="20"/>
        <w:spacing w:after="0" w:line="211" w:lineRule="auto"/>
        <w:rPr>
          <w:sz w:val="20"/>
          <w:szCs w:val="20"/>
          <w:color w:val="auto"/>
        </w:rPr>
      </w:pPr>
      <w:r>
        <w:rPr>
          <w:rFonts w:ascii="Times New Roman" w:cs="Times New Roman" w:eastAsia="Times New Roman" w:hAnsi="Times New Roman"/>
          <w:sz w:val="20"/>
          <w:szCs w:val="20"/>
          <w:color w:val="auto"/>
        </w:rPr>
        <w:t>applicable law, the rate of interest payable in respect of such Loan hereunder, together with all Charges payable in respect</w:t>
      </w:r>
    </w:p>
    <w:p>
      <w:pPr>
        <w:spacing w:after="0" w:line="1" w:lineRule="exact"/>
        <w:rPr>
          <w:sz w:val="20"/>
          <w:szCs w:val="20"/>
          <w:color w:val="auto"/>
        </w:rPr>
      </w:pPr>
    </w:p>
    <w:p>
      <w:pPr>
        <w:ind w:left="20" w:right="120"/>
        <w:spacing w:after="0" w:line="215" w:lineRule="auto"/>
        <w:rPr>
          <w:sz w:val="20"/>
          <w:szCs w:val="20"/>
          <w:color w:val="auto"/>
        </w:rPr>
      </w:pPr>
      <w:r>
        <w:rPr>
          <w:rFonts w:ascii="Times New Roman" w:cs="Times New Roman" w:eastAsia="Times New Roman" w:hAnsi="Times New Roman"/>
          <w:sz w:val="19"/>
          <w:szCs w:val="19"/>
          <w:color w:val="auto"/>
        </w:rPr>
        <w:t>thereof, shall be limited to the Maximum Rate and, to the extent lawful, the interest and Charges that would have been payable in respect of such Loan but were not payable as a result of the operation of this Section shall be cumulated and the interest and</w:t>
      </w:r>
    </w:p>
    <w:p>
      <w:pPr>
        <w:ind w:left="20"/>
        <w:spacing w:after="0" w:line="211" w:lineRule="auto"/>
        <w:rPr>
          <w:sz w:val="20"/>
          <w:szCs w:val="20"/>
          <w:color w:val="auto"/>
        </w:rPr>
      </w:pPr>
      <w:r>
        <w:rPr>
          <w:rFonts w:ascii="Times New Roman" w:cs="Times New Roman" w:eastAsia="Times New Roman" w:hAnsi="Times New Roman"/>
          <w:sz w:val="20"/>
          <w:szCs w:val="20"/>
          <w:color w:val="auto"/>
        </w:rPr>
        <w:t>Charges payable to such Lender in respect of other Loans or periods shall be increased (but not above the Maximum Rate</w:t>
      </w:r>
    </w:p>
    <w:p>
      <w:pPr>
        <w:ind w:left="20" w:right="120"/>
        <w:spacing w:after="0" w:line="221" w:lineRule="auto"/>
        <w:rPr>
          <w:sz w:val="20"/>
          <w:szCs w:val="20"/>
          <w:color w:val="auto"/>
        </w:rPr>
      </w:pPr>
      <w:r>
        <w:rPr>
          <w:rFonts w:ascii="Times New Roman" w:cs="Times New Roman" w:eastAsia="Times New Roman" w:hAnsi="Times New Roman"/>
          <w:sz w:val="20"/>
          <w:szCs w:val="20"/>
          <w:color w:val="auto"/>
        </w:rPr>
        <w:t>therefor) until such cumulated amount, together with interest thereon at the Federal Funds Rate to the date of repayment (to the extent permitted by applicable law), shall have been received by such Lender.</w:t>
      </w:r>
    </w:p>
    <w:p>
      <w:pPr>
        <w:sectPr>
          <w:pgSz w:w="11900" w:h="16838" w:orient="portrait"/>
          <w:cols w:equalWidth="0" w:num="1">
            <w:col w:w="10180"/>
          </w:cols>
          <w:pgMar w:left="1380" w:top="1318" w:right="339" w:bottom="1440" w:gutter="0" w:footer="0" w:header="0"/>
        </w:sectPr>
      </w:pPr>
    </w:p>
    <w:bookmarkStart w:id="220" w:name="page221"/>
    <w:bookmarkEnd w:id="220"/>
    <w:p>
      <w:pPr>
        <w:ind w:right="20" w:firstLine="648"/>
        <w:spacing w:after="0" w:line="224"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b w:val="1"/>
          <w:bCs w:val="1"/>
          <w:u w:val="single" w:color="auto"/>
          <w:color w:val="auto"/>
        </w:rPr>
        <w:t>Waiver of Effect of Corporate Seal</w:t>
      </w:r>
      <w:r>
        <w:rPr>
          <w:rFonts w:ascii="Times New Roman" w:cs="Times New Roman" w:eastAsia="Times New Roman" w:hAnsi="Times New Roman"/>
          <w:sz w:val="20"/>
          <w:szCs w:val="20"/>
          <w:color w:val="auto"/>
        </w:rPr>
        <w:t>. The Borrower hereby represents and warrants that neither it nor any other Loan Party is required to affix its corporate seal to this Agreement or any other Loan Document pursuant to any</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Requirement of Law, agrees that this Agreement is delivered by the Borrower under seal and waives any shortening of the statute of limitations that may result from not affixing the corporate seal to this Agreement or such other Loan Document.</w:t>
      </w:r>
    </w:p>
    <w:p>
      <w:pPr>
        <w:spacing w:after="0" w:line="19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Section 10.14. </w:t>
      </w:r>
      <w:r>
        <w:rPr>
          <w:rFonts w:ascii="Times New Roman" w:cs="Times New Roman" w:eastAsia="Times New Roman" w:hAnsi="Times New Roman"/>
          <w:sz w:val="19"/>
          <w:szCs w:val="19"/>
          <w:b w:val="1"/>
          <w:bCs w:val="1"/>
          <w:u w:val="single" w:color="auto"/>
          <w:color w:val="auto"/>
        </w:rPr>
        <w:t>Patriot Act</w:t>
      </w:r>
      <w:r>
        <w:rPr>
          <w:rFonts w:ascii="Times New Roman" w:cs="Times New Roman" w:eastAsia="Times New Roman" w:hAnsi="Times New Roman"/>
          <w:sz w:val="19"/>
          <w:szCs w:val="19"/>
          <w:color w:val="auto"/>
        </w:rPr>
        <w:t>. The Administrative Agent and each Lender hereby notify each Loan Party that, pursuant to (a) the requirements of the Patriot Act, it is required to obtain, verify and record information that identifies each Loan Party,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which information includes the name and address of such Loan Party and other information that shall allow such Lender or the Administrative Agent, as applicable, to identify such Loan Party in accordance with the Patriot Act and (b) the Beneficial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Ownership Regulation, it is required to obtain a Beneficial Ownership Certification (subject to any identified exclusions or exemptions).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10.15. </w:t>
      </w:r>
      <w:r>
        <w:rPr>
          <w:rFonts w:ascii="Times New Roman" w:cs="Times New Roman" w:eastAsia="Times New Roman" w:hAnsi="Times New Roman"/>
          <w:sz w:val="20"/>
          <w:szCs w:val="20"/>
          <w:b w:val="1"/>
          <w:bCs w:val="1"/>
          <w:u w:val="single" w:color="auto"/>
          <w:color w:val="auto"/>
        </w:rPr>
        <w:t>No Advisory or Fiduciary Responsibility</w:t>
      </w:r>
      <w:r>
        <w:rPr>
          <w:rFonts w:ascii="Times New Roman" w:cs="Times New Roman" w:eastAsia="Times New Roman" w:hAnsi="Times New Roman"/>
          <w:sz w:val="20"/>
          <w:szCs w:val="20"/>
          <w:color w:val="auto"/>
        </w:rPr>
        <w:t>. In connection with all aspects of each transaction</w:t>
      </w:r>
    </w:p>
    <w:p>
      <w:pPr>
        <w:jc w:val="both"/>
        <w:spacing w:after="0" w:line="204" w:lineRule="auto"/>
        <w:rPr>
          <w:sz w:val="20"/>
          <w:szCs w:val="20"/>
          <w:color w:val="auto"/>
        </w:rPr>
      </w:pPr>
      <w:r>
        <w:rPr>
          <w:rFonts w:ascii="Times New Roman" w:cs="Times New Roman" w:eastAsia="Times New Roman" w:hAnsi="Times New Roman"/>
          <w:sz w:val="20"/>
          <w:szCs w:val="20"/>
          <w:color w:val="auto"/>
        </w:rPr>
        <w:t>contemplated hereby (including in connection with any amendment, waiver or other modification hereof or of any other Loan Document), the Borrower and each other Loan Party hereby acknowledge and agree and acknowledge its Affiliates’</w:t>
      </w:r>
    </w:p>
    <w:p>
      <w:pPr>
        <w:spacing w:after="0" w:line="223" w:lineRule="auto"/>
        <w:rPr>
          <w:sz w:val="20"/>
          <w:szCs w:val="20"/>
          <w:color w:val="auto"/>
        </w:rPr>
      </w:pPr>
      <w:r>
        <w:rPr>
          <w:rFonts w:ascii="Times New Roman" w:cs="Times New Roman" w:eastAsia="Times New Roman" w:hAnsi="Times New Roman"/>
          <w:sz w:val="19"/>
          <w:szCs w:val="19"/>
          <w:color w:val="auto"/>
        </w:rPr>
        <w:t>understanding that (i) (A) the services regarding this Agreement provided by the Administrative Agent and/or the Lenders are</w:t>
      </w:r>
    </w:p>
    <w:p>
      <w:pPr>
        <w:spacing w:after="0" w:line="215" w:lineRule="auto"/>
        <w:rPr>
          <w:sz w:val="20"/>
          <w:szCs w:val="20"/>
          <w:color w:val="auto"/>
        </w:rPr>
      </w:pPr>
      <w:r>
        <w:rPr>
          <w:rFonts w:ascii="Times New Roman" w:cs="Times New Roman" w:eastAsia="Times New Roman" w:hAnsi="Times New Roman"/>
          <w:sz w:val="19"/>
          <w:szCs w:val="19"/>
          <w:color w:val="auto"/>
        </w:rPr>
        <w:t>arm’s-length commercial transactions between the Borrower, each other Loan Party and their respective Affiliates, on the one hand, and the Administrative Agent and the Lenders, on the other hand, (B) each of the Borrower and the other Loan Parties</w:t>
      </w:r>
    </w:p>
    <w:p>
      <w:pPr>
        <w:spacing w:after="0" w:line="222" w:lineRule="auto"/>
        <w:rPr>
          <w:sz w:val="20"/>
          <w:szCs w:val="20"/>
          <w:color w:val="auto"/>
        </w:rPr>
      </w:pPr>
      <w:r>
        <w:rPr>
          <w:rFonts w:ascii="Times New Roman" w:cs="Times New Roman" w:eastAsia="Times New Roman" w:hAnsi="Times New Roman"/>
          <w:sz w:val="19"/>
          <w:szCs w:val="19"/>
          <w:color w:val="auto"/>
        </w:rPr>
        <w:t>have consulted their own legal, accounting, regulatory and tax advisors to the extent they have deemed appropriate and (C) the</w:t>
      </w:r>
    </w:p>
    <w:p>
      <w:pPr>
        <w:spacing w:after="0" w:line="215" w:lineRule="auto"/>
        <w:rPr>
          <w:sz w:val="20"/>
          <w:szCs w:val="20"/>
          <w:color w:val="auto"/>
        </w:rPr>
      </w:pPr>
      <w:r>
        <w:rPr>
          <w:rFonts w:ascii="Times New Roman" w:cs="Times New Roman" w:eastAsia="Times New Roman" w:hAnsi="Times New Roman"/>
          <w:sz w:val="19"/>
          <w:szCs w:val="19"/>
          <w:color w:val="auto"/>
        </w:rPr>
        <w:t>Borrower and each other Loan Party is capable of evaluating and understanding, and understands and accepts, the terms, risks and conditions of the transactions contemplated hereby and by the other Loan Documents; (ii) (A) each of the Administrative</w:t>
      </w:r>
    </w:p>
    <w:p>
      <w:pPr>
        <w:spacing w:after="0" w:line="222" w:lineRule="auto"/>
        <w:rPr>
          <w:sz w:val="20"/>
          <w:szCs w:val="20"/>
          <w:color w:val="auto"/>
        </w:rPr>
      </w:pPr>
      <w:r>
        <w:rPr>
          <w:rFonts w:ascii="Times New Roman" w:cs="Times New Roman" w:eastAsia="Times New Roman" w:hAnsi="Times New Roman"/>
          <w:sz w:val="19"/>
          <w:szCs w:val="19"/>
          <w:color w:val="auto"/>
        </w:rPr>
        <w:t>Agent and the Lenders is and has been acting solely as a principal and, except as expressly agreed to in writing by the relevant</w:t>
      </w:r>
    </w:p>
    <w:p>
      <w:pPr>
        <w:spacing w:after="0" w:line="204" w:lineRule="auto"/>
        <w:rPr>
          <w:sz w:val="20"/>
          <w:szCs w:val="20"/>
          <w:color w:val="auto"/>
        </w:rPr>
      </w:pPr>
      <w:r>
        <w:rPr>
          <w:rFonts w:ascii="Times New Roman" w:cs="Times New Roman" w:eastAsia="Times New Roman" w:hAnsi="Times New Roman"/>
          <w:sz w:val="20"/>
          <w:szCs w:val="20"/>
          <w:color w:val="auto"/>
        </w:rPr>
        <w:t>parties, has not been, is not, and will not be acting as an advisor, agent or fiduciary for the Borrower, any other Loan Party or any of their respective Affiliates, or any other Person and (B) neither the Administrative Agent nor any Lender has any</w:t>
      </w:r>
    </w:p>
    <w:p>
      <w:pPr>
        <w:spacing w:after="0" w:line="223" w:lineRule="auto"/>
        <w:rPr>
          <w:sz w:val="20"/>
          <w:szCs w:val="20"/>
          <w:color w:val="auto"/>
        </w:rPr>
      </w:pPr>
      <w:r>
        <w:rPr>
          <w:rFonts w:ascii="Times New Roman" w:cs="Times New Roman" w:eastAsia="Times New Roman" w:hAnsi="Times New Roman"/>
          <w:sz w:val="19"/>
          <w:szCs w:val="19"/>
          <w:color w:val="auto"/>
        </w:rPr>
        <w:t>obligation to the Borrower, any other Loan Party or any of their Affiliates with respect to the transaction contemplated hereby</w:t>
      </w:r>
    </w:p>
    <w:p>
      <w:pPr>
        <w:spacing w:after="0" w:line="204" w:lineRule="auto"/>
        <w:rPr>
          <w:sz w:val="20"/>
          <w:szCs w:val="20"/>
          <w:color w:val="auto"/>
        </w:rPr>
      </w:pPr>
      <w:r>
        <w:rPr>
          <w:rFonts w:ascii="Times New Roman" w:cs="Times New Roman" w:eastAsia="Times New Roman" w:hAnsi="Times New Roman"/>
          <w:sz w:val="20"/>
          <w:szCs w:val="20"/>
          <w:color w:val="auto"/>
        </w:rPr>
        <w:t>except those obligations expressly set forth herein and in the other Loan Documents; and (iii) the Administrative Agent, the Lenders and their respective Affiliates may be engaged in a broad range of transactions that involve interests that differ from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those of the Borrower, the other Loan Parties and their respective Affiliates, and each of the Administrative Agent and the Lenders have no obligation to disclose any of such interests to the Borrower, any other Loan Party or any of their respective</w:t>
      </w:r>
    </w:p>
    <w:p>
      <w:pPr>
        <w:spacing w:after="0" w:line="211" w:lineRule="auto"/>
        <w:rPr>
          <w:sz w:val="20"/>
          <w:szCs w:val="20"/>
          <w:color w:val="auto"/>
        </w:rPr>
      </w:pPr>
      <w:r>
        <w:rPr>
          <w:rFonts w:ascii="Times New Roman" w:cs="Times New Roman" w:eastAsia="Times New Roman" w:hAnsi="Times New Roman"/>
          <w:sz w:val="20"/>
          <w:szCs w:val="20"/>
          <w:color w:val="auto"/>
        </w:rPr>
        <w:t>Affiliates. To the fullest extent permitted by law, each of the Borrower and the other Loan Parties hereby waives and releases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claims that it may have against the Administrative Agent or any Lender with respect to any breach or alleged breach of agency or fiduciary duty in connection with any aspect of any transaction contemplated hereby.</w:t>
      </w:r>
    </w:p>
    <w:p>
      <w:pPr>
        <w:spacing w:after="0" w:line="19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b w:val="1"/>
          <w:bCs w:val="1"/>
          <w:u w:val="single" w:color="auto"/>
          <w:color w:val="auto"/>
        </w:rPr>
        <w:t>Location of Closing</w:t>
      </w:r>
      <w:r>
        <w:rPr>
          <w:rFonts w:ascii="Times New Roman" w:cs="Times New Roman" w:eastAsia="Times New Roman" w:hAnsi="Times New Roman"/>
          <w:sz w:val="20"/>
          <w:szCs w:val="20"/>
          <w:color w:val="auto"/>
        </w:rPr>
        <w:t>. Each Lender hereby acknowledges and agrees that it has delivered, with the intent to be bound, its executed counterparts of this Agreement to the Administrative Agent. The Borrower hereby</w:t>
      </w:r>
    </w:p>
    <w:p>
      <w:pPr>
        <w:spacing w:after="0" w:line="213" w:lineRule="auto"/>
        <w:rPr>
          <w:sz w:val="20"/>
          <w:szCs w:val="20"/>
          <w:color w:val="auto"/>
        </w:rPr>
      </w:pPr>
      <w:r>
        <w:rPr>
          <w:rFonts w:ascii="Times New Roman" w:cs="Times New Roman" w:eastAsia="Times New Roman" w:hAnsi="Times New Roman"/>
          <w:sz w:val="20"/>
          <w:szCs w:val="20"/>
          <w:color w:val="auto"/>
        </w:rPr>
        <w:t>acknowledges and agrees that it has delivered, with the intent to be bound, its executed counterparts of this Agreement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each other Loan Document, together with all other documents, instruments, opinions, certificates and other items required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to the Administrative Agent. All parties hereto hereby agree that the closing of the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contemplated by this Agreement has occurred in New York.</w:t>
      </w:r>
    </w:p>
    <w:p>
      <w:pPr>
        <w:sectPr>
          <w:pgSz w:w="11900" w:h="16838" w:orient="portrait"/>
          <w:cols w:equalWidth="0" w:num="1">
            <w:col w:w="10040"/>
          </w:cols>
          <w:pgMar w:left="1400" w:top="1314" w:right="459" w:bottom="1440" w:gutter="0" w:footer="0" w:header="0"/>
        </w:sectPr>
      </w:pPr>
    </w:p>
    <w:bookmarkStart w:id="221" w:name="page222"/>
    <w:bookmarkEnd w:id="221"/>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10.17. </w:t>
      </w:r>
      <w:r>
        <w:rPr>
          <w:rFonts w:ascii="Times New Roman" w:cs="Times New Roman" w:eastAsia="Times New Roman" w:hAnsi="Times New Roman"/>
          <w:sz w:val="20"/>
          <w:szCs w:val="20"/>
          <w:b w:val="1"/>
          <w:bCs w:val="1"/>
          <w:u w:val="single" w:color="auto"/>
          <w:color w:val="auto"/>
        </w:rPr>
        <w:t>Independence of Covenants</w:t>
      </w:r>
      <w:r>
        <w:rPr>
          <w:rFonts w:ascii="Times New Roman" w:cs="Times New Roman" w:eastAsia="Times New Roman" w:hAnsi="Times New Roman"/>
          <w:sz w:val="20"/>
          <w:szCs w:val="20"/>
          <w:color w:val="auto"/>
        </w:rPr>
        <w:t>. All covenants hereunder shall be given independent effect so that if a particular action or condition is not permitted by any of such covenant, the fact that it would be permitted by an exception to, or would otherwise be within the limitations of, another covenant, shall not avoid the occurrence of a Default or an Event of Default if such action is taken or condition exists.</w:t>
      </w:r>
    </w:p>
    <w:p>
      <w:pPr>
        <w:spacing w:after="0" w:line="20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b w:val="1"/>
          <w:bCs w:val="1"/>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hereby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25" w:lineRule="exact"/>
        <w:rPr>
          <w:sz w:val="20"/>
          <w:szCs w:val="20"/>
          <w:color w:val="auto"/>
        </w:rPr>
      </w:pPr>
    </w:p>
    <w:p>
      <w:pPr>
        <w:jc w:val="both"/>
        <w:ind w:firstLine="1303"/>
        <w:spacing w:after="0" w:line="247" w:lineRule="auto"/>
        <w:tabs>
          <w:tab w:leader="none" w:pos="2149"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7" w:lineRule="exact"/>
        <w:rPr>
          <w:rFonts w:ascii="Times New Roman" w:cs="Times New Roman" w:eastAsia="Times New Roman" w:hAnsi="Times New Roman"/>
          <w:sz w:val="20"/>
          <w:szCs w:val="20"/>
          <w:color w:val="auto"/>
        </w:rPr>
      </w:pPr>
    </w:p>
    <w:p>
      <w:pPr>
        <w:ind w:left="1940" w:hanging="637"/>
        <w:spacing w:after="0"/>
        <w:tabs>
          <w:tab w:leader="none" w:pos="194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 w:lineRule="exact"/>
        <w:rPr>
          <w:rFonts w:ascii="Times New Roman" w:cs="Times New Roman" w:eastAsia="Times New Roman" w:hAnsi="Times New Roman"/>
          <w:sz w:val="20"/>
          <w:szCs w:val="20"/>
          <w:color w:val="auto"/>
        </w:rPr>
      </w:pPr>
    </w:p>
    <w:p>
      <w:pPr>
        <w:jc w:val="both"/>
        <w:ind w:firstLine="8"/>
        <w:spacing w:after="0" w:line="238" w:lineRule="auto"/>
        <w:tabs>
          <w:tab w:leader="none" w:pos="21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shall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2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10.19. </w:t>
      </w:r>
      <w:r>
        <w:rPr>
          <w:rFonts w:ascii="Times New Roman" w:cs="Times New Roman" w:eastAsia="Times New Roman" w:hAnsi="Times New Roman"/>
          <w:sz w:val="20"/>
          <w:szCs w:val="20"/>
          <w:b w:val="1"/>
          <w:bCs w:val="1"/>
          <w:u w:val="single" w:color="auto"/>
          <w:color w:val="auto"/>
        </w:rPr>
        <w:t>Acknowledgement Regarding Any Supported QFCs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To the extent that the Loan Documents provide support, through a guarantee or otherwise, for Hedging Transactions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hereto hereby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21" w:lineRule="exact"/>
        <w:rPr>
          <w:sz w:val="20"/>
          <w:szCs w:val="20"/>
          <w:color w:val="auto"/>
        </w:rPr>
      </w:pPr>
    </w:p>
    <w:p>
      <w:pPr>
        <w:jc w:val="both"/>
        <w:ind w:firstLine="1303"/>
        <w:spacing w:after="0" w:line="239" w:lineRule="auto"/>
        <w:tabs>
          <w:tab w:leader="none" w:pos="215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shall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that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hereby understood and agreed that</w:t>
      </w:r>
    </w:p>
    <w:p>
      <w:pPr>
        <w:sectPr>
          <w:pgSz w:w="11900" w:h="16838" w:orient="portrait"/>
          <w:cols w:equalWidth="0" w:num="1">
            <w:col w:w="10040"/>
          </w:cols>
          <w:pgMar w:left="1400" w:top="1328" w:right="459" w:bottom="1440" w:gutter="0" w:footer="0" w:header="0"/>
        </w:sectPr>
      </w:pPr>
    </w:p>
    <w:bookmarkStart w:id="222" w:name="page223"/>
    <w:bookmarkEnd w:id="222"/>
    <w:p>
      <w:pPr>
        <w:ind w:right="20"/>
        <w:spacing w:after="0" w:line="269" w:lineRule="auto"/>
        <w:rPr>
          <w:sz w:val="20"/>
          <w:szCs w:val="20"/>
          <w:color w:val="auto"/>
        </w:rPr>
      </w:pPr>
      <w:r>
        <w:rPr>
          <w:rFonts w:ascii="Times New Roman" w:cs="Times New Roman" w:eastAsia="Times New Roman" w:hAnsi="Times New Roman"/>
          <w:sz w:val="20"/>
          <w:szCs w:val="20"/>
          <w:color w:val="auto"/>
        </w:rPr>
        <w:t>the rights and remedies of the parties with respect to a Defaulting Lender shall in no event affect the rights of any Covered Party with respect to a Supported QFC or any QFC Credit Support.</w:t>
      </w:r>
    </w:p>
    <w:p>
      <w:pPr>
        <w:spacing w:after="0" w:line="262" w:lineRule="exact"/>
        <w:rPr>
          <w:sz w:val="20"/>
          <w:szCs w:val="20"/>
          <w:color w:val="auto"/>
        </w:rPr>
      </w:pPr>
    </w:p>
    <w:p>
      <w:pPr>
        <w:ind w:left="1940" w:hanging="637"/>
        <w:spacing w:after="0"/>
        <w:tabs>
          <w:tab w:leader="none" w:pos="19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the following terms shall have the following</w:t>
      </w:r>
    </w:p>
    <w:p>
      <w:pPr>
        <w:spacing w:after="0"/>
        <w:rPr>
          <w:sz w:val="20"/>
          <w:szCs w:val="20"/>
          <w:color w:val="auto"/>
        </w:rPr>
      </w:pPr>
      <w:r>
        <w:rPr>
          <w:rFonts w:ascii="Times New Roman" w:cs="Times New Roman" w:eastAsia="Times New Roman" w:hAnsi="Times New Roman"/>
          <w:sz w:val="20"/>
          <w:szCs w:val="20"/>
          <w:color w:val="auto"/>
        </w:rPr>
        <w:t>meanings:</w:t>
      </w:r>
    </w:p>
    <w:p>
      <w:pPr>
        <w:spacing w:after="0" w:line="275" w:lineRule="exact"/>
        <w:rPr>
          <w:sz w:val="20"/>
          <w:szCs w:val="20"/>
          <w:color w:val="auto"/>
        </w:rPr>
      </w:pPr>
    </w:p>
    <w:p>
      <w:pPr>
        <w:ind w:right="14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shall mean an “affiliate” (as such term is defined under, and interpreted in accordance with, 12 U.S.C. 1841(k)) of such party.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shall mean any of the following:</w:t>
      </w:r>
    </w:p>
    <w:p>
      <w:pPr>
        <w:spacing w:after="0" w:line="310" w:lineRule="exact"/>
        <w:rPr>
          <w:sz w:val="20"/>
          <w:szCs w:val="20"/>
          <w:color w:val="auto"/>
        </w:rPr>
      </w:pPr>
    </w:p>
    <w:p>
      <w:pPr>
        <w:ind w:left="2160" w:hanging="857"/>
        <w:spacing w:after="0"/>
        <w:tabs>
          <w:tab w:leader="none" w:pos="2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252.82(b);</w:t>
      </w:r>
    </w:p>
    <w:p>
      <w:pPr>
        <w:spacing w:after="0" w:line="214" w:lineRule="exact"/>
        <w:rPr>
          <w:sz w:val="20"/>
          <w:szCs w:val="20"/>
          <w:color w:val="auto"/>
        </w:rPr>
      </w:pPr>
    </w:p>
    <w:p>
      <w:pPr>
        <w:ind w:left="1760" w:hanging="483"/>
        <w:spacing w:after="0"/>
        <w:tabs>
          <w:tab w:leader="none" w:pos="17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2160" w:hanging="883"/>
        <w:spacing w:after="0"/>
        <w:tabs>
          <w:tab w:leader="none" w:pos="216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27"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202"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10.20. </w:t>
      </w:r>
      <w:r>
        <w:rPr>
          <w:rFonts w:ascii="Times New Roman" w:cs="Times New Roman" w:eastAsia="Times New Roman" w:hAnsi="Times New Roman"/>
          <w:sz w:val="20"/>
          <w:szCs w:val="20"/>
          <w:b w:val="1"/>
          <w:bCs w:val="1"/>
          <w:u w:val="single" w:color="auto"/>
          <w:color w:val="auto"/>
        </w:rPr>
        <w:t>Electronic Signatures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words “execution,” “execute,” “signed,” “signature” and words of like</w:t>
      </w:r>
    </w:p>
    <w:p>
      <w:pPr>
        <w:ind w:right="20"/>
        <w:spacing w:after="0" w:line="204" w:lineRule="auto"/>
        <w:rPr>
          <w:sz w:val="20"/>
          <w:szCs w:val="20"/>
          <w:color w:val="auto"/>
        </w:rPr>
      </w:pPr>
      <w:r>
        <w:rPr>
          <w:rFonts w:ascii="Times New Roman" w:cs="Times New Roman" w:eastAsia="Times New Roman" w:hAnsi="Times New Roman"/>
          <w:sz w:val="20"/>
          <w:szCs w:val="20"/>
          <w:color w:val="auto"/>
        </w:rPr>
        <w:t>import in, or related to, this Agreement or any other document to be signed in connection with this Agreement and the transactions contemplated hereby shall be deemed to include electronic signatures, the electronic matching of assignment</w:t>
      </w:r>
    </w:p>
    <w:p>
      <w:pPr>
        <w:spacing w:after="0" w:line="211" w:lineRule="auto"/>
        <w:rPr>
          <w:sz w:val="20"/>
          <w:szCs w:val="20"/>
          <w:color w:val="auto"/>
        </w:rPr>
      </w:pPr>
      <w:r>
        <w:rPr>
          <w:rFonts w:ascii="Times New Roman" w:cs="Times New Roman" w:eastAsia="Times New Roman" w:hAnsi="Times New Roman"/>
          <w:sz w:val="20"/>
          <w:szCs w:val="20"/>
          <w:color w:val="auto"/>
        </w:rPr>
        <w:t>terms and contract formations on electronic platforms approved by the Administrative Agent, or the keeping of records in</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electronic form, each of which shall be of the same legal effect, validity or enforceability as a manually executed signature or the use of a paper-based recordkeeping system, as the case may be, to the extent and as provided for in any applicable law,</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EE2724"/>
          <w:strike w:val="1"/>
        </w:rPr>
        <w:t>follow.</w:t>
      </w:r>
      <w:r>
        <w:rPr>
          <w:rFonts w:ascii="Times New Roman" w:cs="Times New Roman" w:eastAsia="Times New Roman" w:hAnsi="Times New Roman"/>
          <w:sz w:val="20"/>
          <w:szCs w:val="20"/>
          <w:i w:val="1"/>
          <w:iCs w:val="1"/>
          <w:u w:val="single" w:color="auto"/>
          <w:color w:val="3051F2"/>
        </w:rPr>
        <w:t>intentionally omitted</w:t>
      </w:r>
      <w:r>
        <w:rPr>
          <w:rFonts w:ascii="Times New Roman" w:cs="Times New Roman" w:eastAsia="Times New Roman" w:hAnsi="Times New Roman"/>
          <w:sz w:val="20"/>
          <w:szCs w:val="20"/>
          <w:color w:val="auto"/>
        </w:rPr>
        <w:t>]</w:t>
      </w:r>
    </w:p>
    <w:p>
      <w:pPr>
        <w:sectPr>
          <w:pgSz w:w="11900" w:h="16838" w:orient="portrait"/>
          <w:cols w:equalWidth="0" w:num="1">
            <w:col w:w="10060"/>
          </w:cols>
          <w:pgMar w:left="1400" w:top="1332" w:right="439" w:bottom="1440" w:gutter="0" w:footer="0" w:header="0"/>
        </w:sectPr>
      </w:pPr>
    </w:p>
    <w:bookmarkStart w:id="223" w:name="page224"/>
    <w:bookmarkEnd w:id="223"/>
    <w:p>
      <w:pPr>
        <w:ind w:left="5200"/>
        <w:spacing w:after="0"/>
        <w:rPr>
          <w:sz w:val="20"/>
          <w:szCs w:val="20"/>
          <w:color w:val="auto"/>
        </w:rPr>
      </w:pPr>
      <w:r>
        <w:rPr>
          <w:rFonts w:ascii="Times New Roman" w:cs="Times New Roman" w:eastAsia="Times New Roman" w:hAnsi="Times New Roman"/>
          <w:sz w:val="20"/>
          <w:szCs w:val="20"/>
          <w:b w:val="1"/>
          <w:bCs w:val="1"/>
          <w:color w:val="auto"/>
        </w:rPr>
        <w:t>Root, Inc.</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80 E. Rich Street, Suite 500</w:t>
      </w:r>
    </w:p>
    <w:p>
      <w:pPr>
        <w:ind w:left="5760"/>
        <w:spacing w:after="0"/>
        <w:rPr>
          <w:sz w:val="20"/>
          <w:szCs w:val="20"/>
          <w:color w:val="auto"/>
        </w:rPr>
      </w:pPr>
      <w:r>
        <w:rPr>
          <w:rFonts w:ascii="Times New Roman" w:cs="Times New Roman" w:eastAsia="Times New Roman" w:hAnsi="Times New Roman"/>
          <w:sz w:val="20"/>
          <w:szCs w:val="20"/>
          <w:color w:val="auto"/>
        </w:rPr>
        <w:t>Columbus, OH 43215</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October 29,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Reference is made to (i) that certain Term Loan Agreement, originally dated as of January 26, 2022 (as amended by First Amendment to Term Loan Credit Agreement dated as of September 17, 2024 and Limited Consent and Second Amendment to Term Loan Credit Agreement dated as of the date hereof, and as further amended, restated,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Root,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Caret Holdings,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from time to time party thereto, the Lenders from time to time party thereto and Acquiom Agency Services LLC, as the Administrative Agent and (ii) that certain letter agreement dated as of January 26, 2022 (the "</w:t>
      </w:r>
      <w:r>
        <w:rPr>
          <w:rFonts w:ascii="Times New Roman" w:cs="Times New Roman" w:eastAsia="Times New Roman" w:hAnsi="Times New Roman"/>
          <w:sz w:val="20"/>
          <w:szCs w:val="20"/>
          <w:u w:val="single" w:color="auto"/>
          <w:color w:val="auto"/>
        </w:rPr>
        <w:t>Original Board Observer Side Letter</w:t>
      </w:r>
      <w:r>
        <w:rPr>
          <w:rFonts w:ascii="Times New Roman" w:cs="Times New Roman" w:eastAsia="Times New Roman" w:hAnsi="Times New Roman"/>
          <w:sz w:val="20"/>
          <w:szCs w:val="20"/>
          <w:color w:val="auto"/>
        </w:rPr>
        <w:t>") by and between Holdings and the Lenders party thereto. Capitalized terms used but not otherwise defined herein shall have the respective meaning ascribed to such terms in the Credit Agreement.</w:t>
      </w:r>
    </w:p>
    <w:p>
      <w:pPr>
        <w:spacing w:after="0" w:line="20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letter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as of the date first written above, by and among Holdings and each Lender party hereto as of the Second Amendment Effective Date (the “</w:t>
      </w:r>
      <w:r>
        <w:rPr>
          <w:rFonts w:ascii="Times New Roman" w:cs="Times New Roman" w:eastAsia="Times New Roman" w:hAnsi="Times New Roman"/>
          <w:sz w:val="20"/>
          <w:szCs w:val="20"/>
          <w:u w:val="single" w:color="auto"/>
          <w:color w:val="auto"/>
        </w:rPr>
        <w:t>BlackRock Lenders</w:t>
      </w:r>
      <w:r>
        <w:rPr>
          <w:rFonts w:ascii="Times New Roman" w:cs="Times New Roman" w:eastAsia="Times New Roman" w:hAnsi="Times New Roman"/>
          <w:sz w:val="20"/>
          <w:szCs w:val="20"/>
          <w:color w:val="auto"/>
        </w:rPr>
        <w:t>”), and is the “Board Observation Side Letter” referenced in the Credit Agreement. Upon the Second Amendment Effective Date, this Agreement amends, restates and supersedes in its entirety the Original Board Observer Side Letter.</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BlackRock Lenders and Holdings are entering into this Agreement in consideration of the BlackRock Lenders entering into the Credit Agreement and the other Loan Documents and extending certain credit to the Borrower thereunder, and for other good and valuable consideration, the receipt and sufficiency of which are hereby acknowledged by the parties hereto.</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Agreement confirms our understanding regarding the following:</w:t>
      </w:r>
    </w:p>
    <w:p>
      <w:pPr>
        <w:spacing w:after="0" w:line="243" w:lineRule="exact"/>
        <w:rPr>
          <w:sz w:val="20"/>
          <w:szCs w:val="20"/>
          <w:color w:val="auto"/>
        </w:rPr>
      </w:pPr>
    </w:p>
    <w:p>
      <w:pPr>
        <w:jc w:val="both"/>
        <w:ind w:left="660" w:hanging="328"/>
        <w:spacing w:after="0" w:line="233" w:lineRule="auto"/>
        <w:tabs>
          <w:tab w:leader="none" w:pos="66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Observation Rights</w:t>
      </w:r>
      <w:r>
        <w:rPr>
          <w:rFonts w:ascii="Times New Roman" w:cs="Times New Roman" w:eastAsia="Times New Roman" w:hAnsi="Times New Roman"/>
          <w:sz w:val="20"/>
          <w:szCs w:val="20"/>
          <w:color w:val="auto"/>
        </w:rPr>
        <w:t>. Until the End Date, the BlackRock Lenders shall have the right to designate and appoint two (2) Observers (who, for the avoidance of doubt, must be a natural person), and any one (1) Observer (the “</w:t>
      </w:r>
      <w:r>
        <w:rPr>
          <w:rFonts w:ascii="Times New Roman" w:cs="Times New Roman" w:eastAsia="Times New Roman" w:hAnsi="Times New Roman"/>
          <w:sz w:val="20"/>
          <w:szCs w:val="20"/>
          <w:u w:val="single" w:color="auto"/>
          <w:color w:val="auto"/>
        </w:rPr>
        <w:t>Designated Observer</w:t>
      </w:r>
      <w:r>
        <w:rPr>
          <w:rFonts w:ascii="Times New Roman" w:cs="Times New Roman" w:eastAsia="Times New Roman" w:hAnsi="Times New Roman"/>
          <w:sz w:val="20"/>
          <w:szCs w:val="20"/>
          <w:color w:val="auto"/>
        </w:rPr>
        <w:t>”) may attend, solely as a non-voting Observer (and, for the avoidance of doubt, solely as an observer, and in no event a board member), all special and regular meetings (whether in-person, virtual, telephonic or other) of the Board of Directors of Holdings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and a “</w:t>
      </w:r>
      <w:r>
        <w:rPr>
          <w:rFonts w:ascii="Times New Roman" w:cs="Times New Roman" w:eastAsia="Times New Roman" w:hAnsi="Times New Roman"/>
          <w:sz w:val="20"/>
          <w:szCs w:val="20"/>
          <w:u w:val="single" w:color="auto"/>
          <w:color w:val="auto"/>
        </w:rPr>
        <w:t>Board Meeting</w:t>
      </w:r>
      <w:r>
        <w:rPr>
          <w:rFonts w:ascii="Times New Roman" w:cs="Times New Roman" w:eastAsia="Times New Roman" w:hAnsi="Times New Roman"/>
          <w:sz w:val="20"/>
          <w:szCs w:val="20"/>
          <w:color w:val="auto"/>
        </w:rPr>
        <w:t>”), other than, for the avoidance of doubt, any executive session or any meeting of a committee thereof. Observers shall not be subject to any fiduciary duties applicable to the members of the Board, and shall owe any of their duties solely to the BlackRock Lenders. Holdings shall provide the Observers (a) reasonable notice of all Board Meetings at the same time and in the same manner as such notice is furnished to the Board along with reasonable detail of the nature and substance of the matters to be discussed and/or voted upon (it being understood that delivery to the Observers of the agenda shared with the Board in advance of such Board Meeting shall satisfy Holdings’ obligation under this clause (a)), (b) all material documents furnished to the members of the Board, including, as applicable, copies of the minutes of the Board Meetings and any meetings of the Audit, Risk and Finance and Nominating and Corporate Governance committees of the Board, requests for written consents and written consents duly passed by such Board, in each case, at the same time and in the same manner furnished to such members of the Board, and (c) in the case of the Designated Observer, reimbursement for reasonable and documented out-of-pocket costs and</w:t>
      </w:r>
    </w:p>
    <w:p>
      <w:pPr>
        <w:sectPr>
          <w:pgSz w:w="11900" w:h="16838" w:orient="portrait"/>
          <w:cols w:equalWidth="0" w:num="1">
            <w:col w:w="11240"/>
          </w:cols>
          <w:pgMar w:left="320" w:top="1409" w:right="339" w:bottom="1440" w:gutter="0" w:footer="0" w:header="0"/>
        </w:sectPr>
      </w:pPr>
    </w:p>
    <w:bookmarkStart w:id="224" w:name="page225"/>
    <w:bookmarkEnd w:id="224"/>
    <w:p>
      <w:pPr>
        <w:jc w:val="both"/>
        <w:ind w:left="660"/>
        <w:spacing w:after="0" w:line="224" w:lineRule="exact"/>
        <w:rPr>
          <w:sz w:val="20"/>
          <w:szCs w:val="20"/>
          <w:color w:val="auto"/>
        </w:rPr>
      </w:pPr>
      <w:r>
        <w:rPr>
          <w:rFonts w:ascii="Times New Roman" w:cs="Times New Roman" w:eastAsia="Times New Roman" w:hAnsi="Times New Roman"/>
          <w:sz w:val="20"/>
          <w:szCs w:val="20"/>
          <w:color w:val="auto"/>
        </w:rPr>
        <w:t xml:space="preserve">expenses, including, without limitation, reasonable and documented out-of-pocket travel expenses, in attending a Board Meeting as a Designated Observer;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Observer be deemed a member of the Board, and accordingly shall not be permitted to vote at any Board Meeting or be counted for purposes of determining whether there is a sufficient quorum for the Board to conduct its business, and Holdings shall not be under any obligation to take any action with respect to any proposals made, or advice furnished by, any Observer. The rights to attend Board Meetings or receive materials pursuant to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shall be limited to the extent that the Board reasonably determines that (A) the absence of such limitation would result in a waiver of (or would reasonably be expected to result in a waiver of), or an adverse effect on (or would reasonably be expected to have an adverse effect on) any attorney-client privilege or work product doctrine (or any other similar protective privilege or doctrine) or if the presence of any such Observer would reasonably be expected to result in a conflict of interest, (B) such limitation is reasonably necessary to prevent a breach of fiduciary duties of any member of the Board, (C) the information being discussed at such Board Meeting (or any portion thereof), or are included in such materials, relates to the strategy, negotiating position or similar matter relating to the relationship of Holdings and/or any of its Affiliates, on the one hand, and the BlackRock Lenders and/or any of their Affiliates, on the other hand, (D) each of the BlackRock Lenders has interests in respect of the matters to be discussed at such Board Meeting (or any portion thereof), or are included in such materials, which is adverse to the interests of Holdings and/or any of its Affiliates, (E) [reserved] or (F) the absence of such limitation would result in a breach of any confidentiality obligations to third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parties notwithstanding the confidentiality obligations set forth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limitations shall only limit any Observer from participating (or receiving materials) in respect of those portions of any Board Meeting (or materials) related to one of the items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 and </w:t>
      </w:r>
      <w:r>
        <w:rPr>
          <w:rFonts w:ascii="Times New Roman" w:cs="Times New Roman" w:eastAsia="Times New Roman" w:hAnsi="Times New Roman"/>
          <w:sz w:val="20"/>
          <w:szCs w:val="20"/>
          <w:i w:val="1"/>
          <w:iCs w:val="1"/>
          <w:color w:val="auto"/>
        </w:rPr>
        <w:t>for the avoidance of doubt,</w:t>
      </w:r>
      <w:r>
        <w:rPr>
          <w:rFonts w:ascii="Times New Roman" w:cs="Times New Roman" w:eastAsia="Times New Roman" w:hAnsi="Times New Roman"/>
          <w:sz w:val="20"/>
          <w:szCs w:val="20"/>
          <w:color w:val="auto"/>
        </w:rPr>
        <w:t xml:space="preserve"> Holdings shall provide each Observer with copies of the minutes of such Board Meeting and such materials and information, as applicable, redacted to the extent necessary to avoid the applicable item or event set forth in clauses (A) through (F) above.</w:t>
      </w:r>
    </w:p>
    <w:p>
      <w:pPr>
        <w:spacing w:after="0" w:line="206" w:lineRule="exact"/>
        <w:rPr>
          <w:sz w:val="20"/>
          <w:szCs w:val="20"/>
          <w:color w:val="auto"/>
        </w:rPr>
      </w:pPr>
    </w:p>
    <w:p>
      <w:pPr>
        <w:jc w:val="both"/>
        <w:ind w:firstLine="656"/>
        <w:spacing w:after="0" w:line="256" w:lineRule="auto"/>
        <w:tabs>
          <w:tab w:leader="none" w:pos="1296"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The BlackRock Lenders shall instruct and cause each Observer to keep in confidence and trust, and not use or disclose, any information, materials or documents delivered pursuant to this Agreement, in each case, where disclosure of which would be</w:t>
      </w:r>
    </w:p>
    <w:p>
      <w:pPr>
        <w:spacing w:after="0" w:line="1"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contravention of Section 10.11 of the Credit Agreement or (b) in violation of any internal policies and procedures of Holdings</w:t>
      </w: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regarding confidential information held by members of the Board that were previously delivered to such Observer or any Requirement of Law of any Governmental Authority (including, without limitation, any state and federal securities laws (including, without limitation, the Exchange Act and the rules and regulations of the SEC promulgated thereunder), stock exchange rules and/or other regulations or otherwise in connection with Holdings being a publicly traded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Observer may share the foregoing information to each of the BlackRock Lenders and its Related Parties.</w:t>
      </w:r>
    </w:p>
    <w:p>
      <w:pPr>
        <w:spacing w:after="0" w:line="216" w:lineRule="exact"/>
        <w:rPr>
          <w:sz w:val="20"/>
          <w:szCs w:val="20"/>
          <w:color w:val="auto"/>
        </w:rPr>
      </w:pPr>
    </w:p>
    <w:p>
      <w:pPr>
        <w:jc w:val="both"/>
        <w:ind w:firstLine="656"/>
        <w:spacing w:after="0" w:line="237" w:lineRule="auto"/>
        <w:tabs>
          <w:tab w:leader="none" w:pos="129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This Agreement shall automatically and immediately terminate upon the earlier to occur of (i) the Termination Date or (ii) if the BlackRock Lenders, together with their Affiliates and Approved Funds, collectively, hold less than fifty percent (50%) of the aggregate principal amount of the Term Loans outstanding as of the Second Amendment Effective Date (as such Term Loans may be reduced by optional prepayments made pursuant to Section 2.10 of the Credit Agreement) (the date on which the earlier of the events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occurs, the “</w:t>
      </w:r>
      <w:r>
        <w:rPr>
          <w:rFonts w:ascii="Times New Roman" w:cs="Times New Roman" w:eastAsia="Times New Roman" w:hAnsi="Times New Roman"/>
          <w:sz w:val="20"/>
          <w:szCs w:val="20"/>
          <w:u w:val="single" w:color="auto"/>
          <w:color w:val="auto"/>
        </w:rPr>
        <w:t>End Date</w:t>
      </w:r>
      <w:r>
        <w:rPr>
          <w:rFonts w:ascii="Times New Roman" w:cs="Times New Roman" w:eastAsia="Times New Roman" w:hAnsi="Times New Roman"/>
          <w:sz w:val="20"/>
          <w:szCs w:val="20"/>
          <w:color w:val="auto"/>
        </w:rPr>
        <w:t>”). Notwithstanding anything herein to the contrary, the confidentiality obligations set forth in this Agreement shall survive and continue for a period of six (6) months following the End Date.</w:t>
      </w:r>
    </w:p>
    <w:p>
      <w:pPr>
        <w:spacing w:after="0" w:line="203" w:lineRule="exact"/>
        <w:rPr>
          <w:rFonts w:ascii="Times New Roman" w:cs="Times New Roman" w:eastAsia="Times New Roman" w:hAnsi="Times New Roman"/>
          <w:sz w:val="20"/>
          <w:szCs w:val="20"/>
          <w:color w:val="auto"/>
        </w:rPr>
      </w:pPr>
    </w:p>
    <w:p>
      <w:pPr>
        <w:jc w:val="both"/>
        <w:ind w:firstLine="656"/>
        <w:spacing w:after="0" w:line="247" w:lineRule="auto"/>
        <w:tabs>
          <w:tab w:leader="none" w:pos="129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The BlackRock Lenders may, from time to time in their sole discretion, and upon prior written notice to the Borrower (in accordance with the terms and provisions of, and in the manner set forth in, Section 10.1 of the Credit Agreement), remove and/or replace any Observer.</w:t>
      </w:r>
    </w:p>
    <w:p>
      <w:pPr>
        <w:sectPr>
          <w:pgSz w:w="11900" w:h="16838" w:orient="portrait"/>
          <w:cols w:equalWidth="0" w:num="1">
            <w:col w:w="11240"/>
          </w:cols>
          <w:pgMar w:left="320" w:top="1413" w:right="339" w:bottom="1440" w:gutter="0" w:footer="0" w:header="0"/>
        </w:sectPr>
      </w:pPr>
    </w:p>
    <w:bookmarkStart w:id="225" w:name="page226"/>
    <w:bookmarkEnd w:id="225"/>
    <w:p>
      <w:pPr>
        <w:jc w:val="both"/>
        <w:ind w:firstLine="656"/>
        <w:spacing w:after="0" w:line="239" w:lineRule="auto"/>
        <w:tabs>
          <w:tab w:leader="none" w:pos="129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rights, powers and privileges of the BlackRock Lenders (or any Observer appointed thereby) described in this Agreement may not be assigned or transferred (whether by operation of law or otherwise), and any such assignment in contravention thereof shall be void and of no effect, in each case, except in accordance with Section 5.17 of the Credit Agreement. No Person shall be a third-party beneficiary of this Agreement.</w:t>
      </w:r>
    </w:p>
    <w:p>
      <w:pPr>
        <w:spacing w:after="0" w:line="217" w:lineRule="exact"/>
        <w:rPr>
          <w:rFonts w:ascii="Times New Roman" w:cs="Times New Roman" w:eastAsia="Times New Roman" w:hAnsi="Times New Roman"/>
          <w:sz w:val="20"/>
          <w:szCs w:val="20"/>
          <w:color w:val="auto"/>
        </w:rPr>
      </w:pPr>
    </w:p>
    <w:p>
      <w:pPr>
        <w:ind w:firstLine="656"/>
        <w:spacing w:after="0" w:line="255" w:lineRule="auto"/>
        <w:tabs>
          <w:tab w:leader="none" w:pos="129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modified or amended or the provisions hereof waived only with the written consent of each of the parties hereto.</w:t>
      </w:r>
    </w:p>
    <w:p>
      <w:pPr>
        <w:spacing w:after="0" w:line="199" w:lineRule="exact"/>
        <w:rPr>
          <w:rFonts w:ascii="Times New Roman" w:cs="Times New Roman" w:eastAsia="Times New Roman" w:hAnsi="Times New Roman"/>
          <w:sz w:val="20"/>
          <w:szCs w:val="20"/>
          <w:color w:val="auto"/>
        </w:rPr>
      </w:pPr>
    </w:p>
    <w:p>
      <w:pPr>
        <w:jc w:val="both"/>
        <w:ind w:firstLine="656"/>
        <w:spacing w:after="0"/>
        <w:tabs>
          <w:tab w:leader="none" w:pos="129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xml:space="preserve">. The parties hereto hereby agree that Sections 10.5 (“Governing Law; Jurisdiction; Consent to Services of Process”), 10.6 (“WAIVER OF JURY TRIAL”) and 10.8 (“Counterparts; Integration”) of the Credit Agreement shall be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as if set forth herein in full.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226" w:name="page227"/>
    <w:bookmarkEnd w:id="226"/>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by one of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representatives as of the day and year first above written.</w:t>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[BLACKROCK LENDERS]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ind w:left="39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09" w:right="339" w:bottom="1440" w:gutter="0" w:footer="0" w:header="0"/>
        </w:sectPr>
      </w:pPr>
    </w:p>
    <w:bookmarkStart w:id="227" w:name="page228"/>
    <w:bookmarkEnd w:id="227"/>
    <w:p>
      <w:pPr>
        <w:ind w:left="2780"/>
        <w:spacing w:after="0"/>
        <w:rPr>
          <w:sz w:val="20"/>
          <w:szCs w:val="20"/>
          <w:color w:val="auto"/>
        </w:rPr>
      </w:pPr>
      <w:r>
        <w:rPr>
          <w:rFonts w:ascii="Times New Roman" w:cs="Times New Roman" w:eastAsia="Times New Roman" w:hAnsi="Times New Roman"/>
          <w:sz w:val="20"/>
          <w:szCs w:val="20"/>
          <w:b w:val="1"/>
          <w:bCs w:val="1"/>
          <w:color w:val="auto"/>
        </w:rPr>
        <w:t>ROOT, INC.</w:t>
      </w:r>
      <w:r>
        <w:rPr>
          <w:rFonts w:ascii="Times New Roman" w:cs="Times New Roman" w:eastAsia="Times New Roman" w:hAnsi="Times New Roman"/>
          <w:sz w:val="20"/>
          <w:szCs w:val="20"/>
          <w:color w:val="auto"/>
        </w:rPr>
        <w:t>,</w:t>
      </w:r>
    </w:p>
    <w:p>
      <w:pPr>
        <w:spacing w:after="0" w:line="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_________________________________</w:t>
      </w:r>
    </w:p>
    <w:p>
      <w:pPr>
        <w:spacing w:after="0" w:line="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Megan Binkley</w:t>
      </w:r>
    </w:p>
    <w:p>
      <w:pPr>
        <w:ind w:left="278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9019"/>
          </w:cols>
          <w:pgMar w:left="1440" w:top="1409" w:right="1440"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Timm, certify that:</w:t>
      </w:r>
    </w:p>
    <w:p>
      <w:pPr>
        <w:spacing w:after="0" w:line="50" w:lineRule="exact"/>
        <w:rPr>
          <w:sz w:val="20"/>
          <w:szCs w:val="20"/>
          <w:color w:val="auto"/>
        </w:rPr>
      </w:pPr>
    </w:p>
    <w:p>
      <w:pPr>
        <w:ind w:left="360" w:hanging="334"/>
        <w:spacing w:after="0"/>
        <w:tabs>
          <w:tab w:leader="none" w:pos="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Root, Inc.;</w:t>
      </w:r>
    </w:p>
    <w:p>
      <w:pPr>
        <w:spacing w:after="0" w:line="49" w:lineRule="exact"/>
        <w:rPr>
          <w:rFonts w:ascii="Times New Roman" w:cs="Times New Roman" w:eastAsia="Times New Roman" w:hAnsi="Times New Roman"/>
          <w:sz w:val="18"/>
          <w:szCs w:val="18"/>
          <w:color w:val="auto"/>
        </w:rPr>
      </w:pPr>
    </w:p>
    <w:p>
      <w:pPr>
        <w:jc w:val="both"/>
        <w:ind w:left="360" w:right="20" w:hanging="334"/>
        <w:spacing w:after="0" w:line="258" w:lineRule="auto"/>
        <w:tabs>
          <w:tab w:leader="none" w:pos="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8"/>
          <w:szCs w:val="18"/>
          <w:color w:val="auto"/>
        </w:rPr>
      </w:pPr>
    </w:p>
    <w:p>
      <w:pPr>
        <w:ind w:left="360" w:right="20" w:hanging="334"/>
        <w:spacing w:after="0" w:line="273" w:lineRule="auto"/>
        <w:tabs>
          <w:tab w:leader="none" w:pos="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60" w:right="20" w:hanging="334"/>
        <w:spacing w:after="0" w:line="258" w:lineRule="auto"/>
        <w:tabs>
          <w:tab w:leader="none" w:pos="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8"/>
          <w:szCs w:val="18"/>
          <w:color w:val="auto"/>
        </w:rPr>
      </w:pPr>
    </w:p>
    <w:p>
      <w:pPr>
        <w:ind w:left="740" w:right="20" w:hanging="390"/>
        <w:spacing w:after="0" w:line="273" w:lineRule="auto"/>
        <w:tabs>
          <w:tab w:leader="none" w:pos="7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Times New Roman" w:cs="Times New Roman" w:eastAsia="Times New Roman" w:hAnsi="Times New Roman"/>
          <w:sz w:val="18"/>
          <w:szCs w:val="18"/>
          <w:color w:val="auto"/>
        </w:rPr>
      </w:pPr>
    </w:p>
    <w:p>
      <w:pPr>
        <w:ind w:left="360" w:right="20" w:hanging="334"/>
        <w:spacing w:after="0" w:line="273" w:lineRule="auto"/>
        <w:tabs>
          <w:tab w:leader="none" w:pos="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740" w:right="20" w:hanging="390"/>
        <w:spacing w:after="0" w:line="273" w:lineRule="auto"/>
        <w:tabs>
          <w:tab w:leader="none" w:pos="7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40" w:right="20" w:hanging="390"/>
        <w:spacing w:after="0" w:line="282" w:lineRule="auto"/>
        <w:tabs>
          <w:tab w:leader="none" w:pos="7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tabs>
          <w:tab w:leader="none" w:pos="696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26035</wp:posOffset>
            </wp:positionV>
            <wp:extent cx="27171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Binkley, certify that:</w:t>
      </w:r>
    </w:p>
    <w:p>
      <w:pPr>
        <w:spacing w:after="0" w:line="117" w:lineRule="exact"/>
        <w:rPr>
          <w:sz w:val="20"/>
          <w:szCs w:val="20"/>
          <w:color w:val="auto"/>
        </w:rPr>
      </w:pPr>
    </w:p>
    <w:p>
      <w:pPr>
        <w:ind w:left="360" w:hanging="334"/>
        <w:spacing w:after="0"/>
        <w:tabs>
          <w:tab w:leader="none" w:pos="3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Root, Inc.;</w:t>
      </w:r>
    </w:p>
    <w:p>
      <w:pPr>
        <w:spacing w:after="0" w:line="50" w:lineRule="exact"/>
        <w:rPr>
          <w:sz w:val="20"/>
          <w:szCs w:val="20"/>
          <w:color w:val="auto"/>
        </w:rPr>
      </w:pPr>
    </w:p>
    <w:p>
      <w:pPr>
        <w:jc w:val="both"/>
        <w:ind w:left="360" w:right="20" w:hanging="334"/>
        <w:spacing w:after="0" w:line="258" w:lineRule="auto"/>
        <w:tabs>
          <w:tab w:leader="none" w:pos="3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sz w:val="20"/>
          <w:szCs w:val="20"/>
          <w:color w:val="auto"/>
        </w:rPr>
      </w:pPr>
    </w:p>
    <w:p>
      <w:pPr>
        <w:ind w:left="360" w:right="20" w:hanging="334"/>
        <w:spacing w:after="0" w:line="266" w:lineRule="auto"/>
        <w:tabs>
          <w:tab w:leader="none" w:pos="3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sz w:val="20"/>
          <w:szCs w:val="20"/>
          <w:color w:val="auto"/>
        </w:rPr>
      </w:pPr>
    </w:p>
    <w:p>
      <w:pPr>
        <w:jc w:val="both"/>
        <w:ind w:left="360" w:right="20" w:hanging="334"/>
        <w:spacing w:after="0" w:line="258" w:lineRule="auto"/>
        <w:tabs>
          <w:tab w:leader="none" w:pos="3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sz w:val="20"/>
          <w:szCs w:val="20"/>
          <w:color w:val="auto"/>
        </w:rPr>
      </w:pPr>
    </w:p>
    <w:p>
      <w:pPr>
        <w:ind w:left="360" w:right="20" w:hanging="334"/>
        <w:spacing w:after="0" w:line="266" w:lineRule="auto"/>
        <w:tabs>
          <w:tab w:leader="none" w:pos="3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72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spacing w:after="0" w:line="257" w:lineRule="exact"/>
        <w:rPr>
          <w:sz w:val="20"/>
          <w:szCs w:val="20"/>
          <w:color w:val="auto"/>
        </w:rPr>
      </w:pPr>
    </w:p>
    <w:p>
      <w:pPr>
        <w:ind w:left="340" w:right="280" w:hanging="125"/>
        <w:spacing w:after="0" w:line="266" w:lineRule="auto"/>
        <w:rPr>
          <w:sz w:val="20"/>
          <w:szCs w:val="20"/>
          <w:color w:val="auto"/>
        </w:rPr>
      </w:pPr>
      <w:r>
        <w:rPr>
          <w:rFonts w:ascii="Times New Roman" w:cs="Times New Roman" w:eastAsia="Times New Roman" w:hAnsi="Times New Roman"/>
          <w:sz w:val="18"/>
          <w:szCs w:val="18"/>
          <w:color w:val="auto"/>
        </w:rPr>
        <w:t>1 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14" w:lineRule="exact"/>
        <w:rPr>
          <w:sz w:val="20"/>
          <w:szCs w:val="20"/>
          <w:color w:val="auto"/>
        </w:rPr>
      </w:pPr>
    </w:p>
    <w:p>
      <w:pPr>
        <w:ind w:left="340" w:right="600" w:hanging="125"/>
        <w:spacing w:after="0" w:line="266" w:lineRule="auto"/>
        <w:rPr>
          <w:sz w:val="20"/>
          <w:szCs w:val="20"/>
          <w:color w:val="auto"/>
        </w:rPr>
      </w:pPr>
      <w:r>
        <w:rPr>
          <w:rFonts w:ascii="Times New Roman" w:cs="Times New Roman" w:eastAsia="Times New Roman" w:hAnsi="Times New Roman"/>
          <w:sz w:val="18"/>
          <w:szCs w:val="18"/>
          <w:color w:val="auto"/>
        </w:rPr>
        <w:t>2 The information contained in the Periodic Report fairly presents, in all material respects, the financial condition and results of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9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631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631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35"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or after the date of this Quarterly Report on Form 10-Q, irrespective of any general incorporation language contained in any such filing.</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lvl w:ilvl="1">
      <w:lvlJc w:val="left"/>
      <w:lvlText w:val="•"/>
      <w:numFmt w:val="bullet"/>
      <w:start w:val="1"/>
    </w:lvl>
  </w:abstractNum>
  <w:abstractNum w:abstractNumId="3">
    <w:nsid w:val="7C58FD05"/>
    <w:multiLevelType w:val="hybridMultilevel"/>
    <w:lvl w:ilvl="0">
      <w:lvlJc w:val="left"/>
      <w:lvlText w:val="•"/>
      <w:numFmt w:val="bullet"/>
      <w:start w:val="1"/>
    </w:lvl>
    <w:lvl w:ilvl="1">
      <w:lvlJc w:val="left"/>
      <w:lvlText w:val="•"/>
      <w:numFmt w:val="bullet"/>
      <w:start w:val="1"/>
    </w:lvl>
  </w:abstractNum>
  <w:abstractNum w:abstractNumId="4">
    <w:nsid w:val="23D86AAC"/>
    <w:multiLevelType w:val="hybridMultilevel"/>
    <w:lvl w:ilvl="0">
      <w:lvlJc w:val="left"/>
      <w:lvlText w:val="%1."/>
      <w:numFmt w:val="decimal"/>
      <w:start w:val="1"/>
    </w:lvl>
  </w:abstractNum>
  <w:abstractNum w:abstractNumId="5">
    <w:nsid w:val="45E6D486"/>
    <w:multiLevelType w:val="hybridMultilevel"/>
    <w:lvl w:ilvl="0">
      <w:lvlJc w:val="left"/>
      <w:lvlText w:val="%1."/>
      <w:numFmt w:val="decimal"/>
      <w:start w:val="2"/>
    </w:lvl>
  </w:abstractNum>
  <w:abstractNum w:abstractNumId="6">
    <w:nsid w:val="5C10FE21"/>
    <w:multiLevelType w:val="hybridMultilevel"/>
    <w:lvl w:ilvl="0">
      <w:lvlJc w:val="left"/>
      <w:lvlText w:val="%1."/>
      <w:numFmt w:val="decimal"/>
      <w:start w:val="3"/>
    </w:lvl>
  </w:abstractNum>
  <w:abstractNum w:abstractNumId="7">
    <w:nsid w:val="E7FFA2B"/>
    <w:multiLevelType w:val="hybridMultilevel"/>
    <w:lvl w:ilvl="0">
      <w:lvlJc w:val="left"/>
      <w:lvlText w:val="%1."/>
      <w:numFmt w:val="decimal"/>
      <w:start w:val="4"/>
    </w:lvl>
  </w:abstractNum>
  <w:abstractNum w:abstractNumId="8">
    <w:nsid w:val="3C5991AA"/>
    <w:multiLevelType w:val="hybridMultilevel"/>
    <w:lvl w:ilvl="0">
      <w:lvlJc w:val="left"/>
      <w:lvlText w:val="%1."/>
      <w:numFmt w:val="decimal"/>
      <w:start w:val="5"/>
    </w:lvl>
  </w:abstractNum>
  <w:abstractNum w:abstractNumId="9">
    <w:nsid w:val="4BD8591A"/>
    <w:multiLevelType w:val="hybridMultilevel"/>
    <w:lvl w:ilvl="0">
      <w:lvlJc w:val="left"/>
      <w:lvlText w:val="%1."/>
      <w:numFmt w:val="decimal"/>
      <w:start w:val="6"/>
    </w:lvl>
  </w:abstractNum>
  <w:abstractNum w:abstractNumId="10">
    <w:nsid w:val="78DF6A55"/>
    <w:multiLevelType w:val="hybridMultilevel"/>
    <w:lvl w:ilvl="0">
      <w:lvlJc w:val="left"/>
      <w:lvlText w:val="%1."/>
      <w:numFmt w:val="decimal"/>
      <w:start w:val="7"/>
    </w:lvl>
  </w:abstractNum>
  <w:abstractNum w:abstractNumId="11">
    <w:nsid w:val="39B7AAA2"/>
    <w:multiLevelType w:val="hybridMultilevel"/>
    <w:lvl w:ilvl="0">
      <w:lvlJc w:val="left"/>
      <w:lvlText w:val="%1."/>
      <w:numFmt w:val="decimal"/>
      <w:start w:val="8"/>
    </w:lvl>
  </w:abstractNum>
  <w:abstractNum w:abstractNumId="12">
    <w:nsid w:val="2B0D8DBE"/>
    <w:multiLevelType w:val="hybridMultilevel"/>
    <w:lvl w:ilvl="0">
      <w:lvlJc w:val="left"/>
      <w:lvlText w:val="%1."/>
      <w:numFmt w:val="decimal"/>
      <w:start w:val="9"/>
    </w:lvl>
  </w:abstractNum>
  <w:abstractNum w:abstractNumId="13">
    <w:nsid w:val="6C80EC70"/>
    <w:multiLevelType w:val="hybridMultilevel"/>
    <w:lvl w:ilvl="0">
      <w:lvlJc w:val="left"/>
      <w:lvlText w:val="%1."/>
      <w:numFmt w:val="decimal"/>
      <w:start w:val="10"/>
    </w:lvl>
  </w:abstractNum>
  <w:abstractNum w:abstractNumId="14">
    <w:nsid w:val="379E21B5"/>
    <w:multiLevelType w:val="hybridMultilevel"/>
    <w:lvl w:ilvl="0">
      <w:lvlJc w:val="left"/>
      <w:lvlText w:val="%1."/>
      <w:numFmt w:val="decimal"/>
      <w:start w:val="11"/>
    </w:lvl>
  </w:abstractNum>
  <w:abstractNum w:abstractNumId="15">
    <w:nsid w:val="69E373"/>
    <w:multiLevelType w:val="hybridMultilevel"/>
    <w:lvl w:ilvl="0">
      <w:lvlJc w:val="left"/>
      <w:lvlText w:val="%1."/>
      <w:numFmt w:val="decimal"/>
      <w:start w:val="12"/>
    </w:lvl>
  </w:abstractNum>
  <w:abstractNum w:abstractNumId="16">
    <w:nsid w:val="2C27173B"/>
    <w:multiLevelType w:val="hybridMultilevel"/>
    <w:lvl w:ilvl="0">
      <w:lvlJc w:val="left"/>
      <w:lvlText w:val="%1."/>
      <w:numFmt w:val="decimal"/>
      <w:start w:val="13"/>
    </w:lvl>
  </w:abstractNum>
  <w:abstractNum w:abstractNumId="17">
    <w:nsid w:val="4C9B0904"/>
    <w:multiLevelType w:val="hybridMultilevel"/>
    <w:lvl w:ilvl="0">
      <w:lvlJc w:val="left"/>
      <w:lvlText w:val="%1."/>
      <w:numFmt w:val="decimal"/>
      <w:start w:val="14"/>
    </w:lvl>
  </w:abstractNum>
  <w:abstractNum w:abstractNumId="18">
    <w:nsid w:val="6AA7B75C"/>
    <w:multiLevelType w:val="hybridMultilevel"/>
    <w:lvl w:ilvl="0">
      <w:lvlJc w:val="left"/>
      <w:lvlText w:val="•"/>
      <w:numFmt w:val="bullet"/>
      <w:start w:val="1"/>
    </w:lvl>
  </w:abstractNum>
  <w:abstractNum w:abstractNumId="19">
    <w:nsid w:val="1DF029D3"/>
    <w:multiLevelType w:val="hybridMultilevel"/>
    <w:lvl w:ilvl="0">
      <w:lvlJc w:val="left"/>
      <w:lvlText w:val="(%1)"/>
      <w:numFmt w:val="decimal"/>
      <w:start w:val="1"/>
    </w:lvl>
  </w:abstractNum>
  <w:abstractNum w:abstractNumId="20">
    <w:nsid w:val="5675FF36"/>
    <w:multiLevelType w:val="hybridMultilevel"/>
    <w:lvl w:ilvl="0">
      <w:lvlJc w:val="left"/>
      <w:lvlText w:val="(%1)"/>
      <w:numFmt w:val="decimal"/>
      <w:start w:val="1"/>
    </w:lvl>
  </w:abstractNum>
  <w:abstractNum w:abstractNumId="21">
    <w:nsid w:val="3DD15094"/>
    <w:multiLevelType w:val="hybridMultilevel"/>
    <w:lvl w:ilvl="0">
      <w:lvlJc w:val="left"/>
      <w:lvlText w:val="%1."/>
      <w:numFmt w:val="decimal"/>
      <w:start w:val="1"/>
    </w:lvl>
  </w:abstractNum>
  <w:abstractNum w:abstractNumId="22">
    <w:nsid w:val="3DB012B3"/>
    <w:multiLevelType w:val="hybridMultilevel"/>
    <w:lvl w:ilvl="0">
      <w:lvlJc w:val="left"/>
      <w:lvlText w:val="*"/>
      <w:numFmt w:val="bullet"/>
      <w:start w:val="1"/>
    </w:lvl>
  </w:abstractNum>
  <w:abstractNum w:abstractNumId="23">
    <w:nsid w:val="2708C9AF"/>
    <w:multiLevelType w:val="hybridMultilevel"/>
    <w:lvl w:ilvl="0">
      <w:lvlJc w:val="left"/>
      <w:lvlText w:val="%1."/>
      <w:numFmt w:val="decimal"/>
      <w:start w:val="1"/>
    </w:lvl>
  </w:abstractNum>
  <w:abstractNum w:abstractNumId="24">
    <w:nsid w:val="5B25ACE2"/>
    <w:multiLevelType w:val="hybridMultilevel"/>
    <w:lvl w:ilvl="0">
      <w:lvlJc w:val="left"/>
      <w:lvlText w:val="(%1)"/>
      <w:numFmt w:val="lowerLetter"/>
      <w:start w:val="1"/>
    </w:lvl>
  </w:abstractNum>
  <w:abstractNum w:abstractNumId="25">
    <w:nsid w:val="175DFCF0"/>
    <w:multiLevelType w:val="hybridMultilevel"/>
    <w:lvl w:ilvl="0">
      <w:lvlJc w:val="left"/>
      <w:lvlText w:val="%1."/>
      <w:numFmt w:val="decimal"/>
      <w:start w:val="2"/>
    </w:lvl>
  </w:abstractNum>
  <w:abstractNum w:abstractNumId="26">
    <w:nsid w:val="4F97E3E4"/>
    <w:multiLevelType w:val="hybridMultilevel"/>
    <w:lvl w:ilvl="0">
      <w:lvlJc w:val="left"/>
      <w:lvlText w:val="%1."/>
      <w:numFmt w:val="decimal"/>
      <w:start w:val="3"/>
    </w:lvl>
  </w:abstractNum>
  <w:abstractNum w:abstractNumId="27">
    <w:nsid w:val="53B0A9E"/>
    <w:multiLevelType w:val="hybridMultilevel"/>
    <w:lvl w:ilvl="0">
      <w:lvlJc w:val="left"/>
      <w:lvlText w:val="%1."/>
      <w:numFmt w:val="decimal"/>
      <w:start w:val="1"/>
    </w:lvl>
  </w:abstractNum>
  <w:abstractNum w:abstractNumId="28">
    <w:nsid w:val="34FD6B4F"/>
    <w:multiLevelType w:val="hybridMultilevel"/>
    <w:lvl w:ilvl="0">
      <w:lvlJc w:val="left"/>
      <w:lvlText w:val="(%1)"/>
      <w:numFmt w:val="lowerLetter"/>
      <w:start w:val="1"/>
    </w:lvl>
  </w:abstractNum>
  <w:abstractNum w:abstractNumId="29">
    <w:nsid w:val="5915FF32"/>
    <w:multiLevelType w:val="hybridMultilevel"/>
    <w:lvl w:ilvl="0">
      <w:lvlJc w:val="left"/>
      <w:lvlText w:val="(%1)"/>
      <w:numFmt w:val="lowerLetter"/>
      <w:start w:val="2"/>
    </w:lvl>
  </w:abstractNum>
  <w:abstractNum w:abstractNumId="30">
    <w:nsid w:val="56438D15"/>
    <w:multiLevelType w:val="hybridMultilevel"/>
    <w:lvl w:ilvl="0">
      <w:lvlJc w:val="left"/>
      <w:lvlText w:val="(%1)"/>
      <w:numFmt w:val="lowerLetter"/>
      <w:start w:val="3"/>
    </w:lvl>
  </w:abstractNum>
  <w:abstractNum w:abstractNumId="31">
    <w:nsid w:val="519E3149"/>
    <w:multiLevelType w:val="hybridMultilevel"/>
    <w:lvl w:ilvl="0">
      <w:lvlJc w:val="left"/>
      <w:lvlText w:val="(%1)"/>
      <w:numFmt w:val="lowerLetter"/>
      <w:start w:val="4"/>
    </w:lvl>
  </w:abstractNum>
  <w:abstractNum w:abstractNumId="32">
    <w:nsid w:val="2C6E4AFD"/>
    <w:multiLevelType w:val="hybridMultilevel"/>
    <w:lvl w:ilvl="0">
      <w:lvlJc w:val="left"/>
      <w:lvlText w:val="(%1)"/>
      <w:numFmt w:val="lowerLetter"/>
      <w:start w:val="5"/>
    </w:lvl>
  </w:abstractNum>
  <w:abstractNum w:abstractNumId="33">
    <w:nsid w:val="17A1B582"/>
    <w:multiLevelType w:val="hybridMultilevel"/>
    <w:lvl w:ilvl="0">
      <w:lvlJc w:val="left"/>
      <w:lvlText w:val="(%1)"/>
      <w:numFmt w:val="lowerLetter"/>
      <w:start w:val="6"/>
    </w:lvl>
  </w:abstractNum>
  <w:abstractNum w:abstractNumId="34">
    <w:nsid w:val="4DF72E4E"/>
    <w:multiLevelType w:val="hybridMultilevel"/>
    <w:lvl w:ilvl="0">
      <w:lvlJc w:val="left"/>
      <w:lvlText w:val="(%1)"/>
      <w:numFmt w:val="lowerRoman"/>
      <w:start w:val="1"/>
    </w:lvl>
  </w:abstractNum>
  <w:abstractNum w:abstractNumId="35">
    <w:nsid w:val="5046B5A9"/>
    <w:multiLevelType w:val="hybridMultilevel"/>
    <w:lvl w:ilvl="0">
      <w:lvlJc w:val="left"/>
      <w:lvlText w:val="%1."/>
      <w:numFmt w:val="decimal"/>
      <w:start w:val="3"/>
    </w:lvl>
    <w:lvl w:ilvl="1">
      <w:lvlJc w:val="left"/>
      <w:lvlText w:val="(%2)"/>
      <w:numFmt w:val="lowerLetter"/>
      <w:start w:val="1"/>
    </w:lvl>
  </w:abstractNum>
  <w:abstractNum w:abstractNumId="36">
    <w:nsid w:val="5D888A08"/>
    <w:multiLevelType w:val="hybridMultilevel"/>
    <w:lvl w:ilvl="0">
      <w:lvlJc w:val="left"/>
      <w:lvlText w:val="%1"/>
      <w:numFmt w:val="decimal"/>
      <w:start w:val="1"/>
    </w:lvl>
    <w:lvl w:ilvl="1">
      <w:lvlJc w:val="left"/>
      <w:lvlText w:val="(%2)"/>
      <w:numFmt w:val="lowerLetter"/>
      <w:start w:val="2"/>
    </w:lvl>
  </w:abstractNum>
  <w:abstractNum w:abstractNumId="37">
    <w:nsid w:val="2A082C70"/>
    <w:multiLevelType w:val="hybridMultilevel"/>
    <w:lvl w:ilvl="0">
      <w:lvlJc w:val="left"/>
      <w:lvlText w:val="%1."/>
      <w:numFmt w:val="decimal"/>
      <w:start w:val="5"/>
    </w:lvl>
    <w:lvl w:ilvl="1">
      <w:lvlJc w:val="left"/>
      <w:lvlText w:val="(%2)"/>
      <w:numFmt w:val="lowerLetter"/>
      <w:start w:val="1"/>
    </w:lvl>
  </w:abstractNum>
  <w:abstractNum w:abstractNumId="38">
    <w:nsid w:val="5EC6AFD4"/>
    <w:multiLevelType w:val="hybridMultilevel"/>
    <w:lvl w:ilvl="0">
      <w:lvlJc w:val="left"/>
      <w:lvlText w:val="%1."/>
      <w:numFmt w:val="decimal"/>
      <w:start w:val="6"/>
    </w:lvl>
  </w:abstractNum>
  <w:abstractNum w:abstractNumId="39">
    <w:nsid w:val="19E21BB2"/>
    <w:multiLevelType w:val="hybridMultilevel"/>
    <w:lvl w:ilvl="0">
      <w:lvlJc w:val="left"/>
      <w:lvlText w:val="%1."/>
      <w:numFmt w:val="decimal"/>
      <w:start w:val="1"/>
    </w:lvl>
  </w:abstractNum>
  <w:abstractNum w:abstractNumId="40">
    <w:nsid w:val="75E0858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1">
    <w:nsid w:val="57A61A29"/>
    <w:multiLevelType w:val="hybridMultilevel"/>
    <w:lvl w:ilvl="0">
      <w:lvlJc w:val="left"/>
      <w:lvlText w:val="(%1)"/>
      <w:numFmt w:val="lowerLetter"/>
      <w:start w:val="2"/>
    </w:lvl>
  </w:abstractNum>
  <w:abstractNum w:abstractNumId="42">
    <w:nsid w:val="5399C6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
    <w:nsid w:val="20EE1348"/>
    <w:multiLevelType w:val="hybridMultilevel"/>
    <w:lvl w:ilvl="0">
      <w:lvlJc w:val="left"/>
      <w:lvlText w:val="%1"/>
      <w:numFmt w:val="lowerLetter"/>
      <w:start w:val="1"/>
    </w:lvl>
    <w:lvl w:ilvl="1">
      <w:lvlJc w:val="left"/>
      <w:lvlText w:val="(%2)"/>
      <w:numFmt w:val="lowerRoman"/>
      <w:start w:val="9"/>
    </w:lvl>
  </w:abstractNum>
  <w:abstractNum w:abstractNumId="44">
    <w:nsid w:val="4427069A"/>
    <w:multiLevelType w:val="hybridMultilevel"/>
    <w:lvl w:ilvl="0">
      <w:lvlJc w:val="left"/>
      <w:lvlText w:val="(%1)"/>
      <w:numFmt w:val="lowerLetter"/>
      <w:start w:val="3"/>
    </w:lvl>
    <w:lvl w:ilvl="1">
      <w:lvlJc w:val="left"/>
      <w:lvlText w:val="%2"/>
      <w:numFmt w:val="lowerRoman"/>
      <w:start w:val="1"/>
    </w:lvl>
  </w:abstractNum>
  <w:abstractNum w:abstractNumId="45">
    <w:nsid w:val="B37E80A"/>
    <w:multiLevelType w:val="hybridMultilevel"/>
    <w:lvl w:ilvl="0">
      <w:lvlJc w:val="left"/>
      <w:lvlText w:val="%1"/>
      <w:numFmt w:val="decimal"/>
      <w:start w:val="1"/>
    </w:lvl>
    <w:lvl w:ilvl="1">
      <w:lvlJc w:val="left"/>
      <w:lvlText w:val="(%2)"/>
      <w:numFmt w:val="lowerLetter"/>
      <w:start w:val="4"/>
    </w:lvl>
  </w:abstractNum>
  <w:abstractNum w:abstractNumId="46">
    <w:nsid w:val="2157F6BC"/>
    <w:multiLevelType w:val="hybridMultilevel"/>
    <w:lvl w:ilvl="0">
      <w:lvlJc w:val="left"/>
      <w:lvlText w:val="%1."/>
      <w:numFmt w:val="decimal"/>
      <w:start w:val="5"/>
    </w:lvl>
    <w:lvl w:ilvl="1">
      <w:lvlJc w:val="left"/>
      <w:lvlText w:val="(%2)"/>
      <w:numFmt w:val="lowerLetter"/>
      <w:start w:val="1"/>
    </w:lvl>
  </w:abstractNum>
  <w:abstractNum w:abstractNumId="47">
    <w:nsid w:val="704E1DD5"/>
    <w:multiLevelType w:val="hybridMultilevel"/>
    <w:lvl w:ilvl="0">
      <w:lvlJc w:val="left"/>
      <w:lvlText w:val="%1."/>
      <w:numFmt w:val="decimal"/>
      <w:start w:val="7"/>
    </w:lvl>
  </w:abstractNum>
  <w:abstractNum w:abstractNumId="48">
    <w:nsid w:val="57D2F10E"/>
    <w:multiLevelType w:val="hybridMultilevel"/>
    <w:lvl w:ilvl="0">
      <w:lvlJc w:val="left"/>
      <w:lvlText w:val="(%1)"/>
      <w:numFmt w:val="lowerLetter"/>
      <w:start w:val="2"/>
    </w:lvl>
  </w:abstractNum>
  <w:abstractNum w:abstractNumId="49">
    <w:nsid w:val="BFFAE18"/>
    <w:multiLevelType w:val="hybridMultilevel"/>
    <w:lvl w:ilvl="0">
      <w:lvlJc w:val="left"/>
      <w:lvlText w:val="(%1)"/>
      <w:numFmt w:val="decimal"/>
      <w:start w:val="1"/>
    </w:lvl>
  </w:abstractNum>
  <w:abstractNum w:abstractNumId="50">
    <w:nsid w:val="E3E47A8"/>
    <w:multiLevelType w:val="hybridMultilevel"/>
    <w:lvl w:ilvl="0">
      <w:lvlJc w:val="left"/>
      <w:lvlText w:val="(%1)"/>
      <w:numFmt w:val="lowerLetter"/>
      <w:start w:val="2"/>
    </w:lvl>
  </w:abstractNum>
  <w:abstractNum w:abstractNumId="51">
    <w:nsid w:val="2E48F044"/>
    <w:multiLevelType w:val="hybridMultilevel"/>
    <w:lvl w:ilvl="0">
      <w:lvlJc w:val="left"/>
      <w:lvlText w:val="(%1)"/>
      <w:numFmt w:val="lowerLetter"/>
      <w:start w:val="1"/>
    </w:lvl>
  </w:abstractNum>
  <w:abstractNum w:abstractNumId="52">
    <w:nsid w:val="49D0FEAC"/>
    <w:multiLevelType w:val="hybridMultilevel"/>
    <w:lvl w:ilvl="0">
      <w:lvlJc w:val="left"/>
      <w:lvlText w:val="(%1)"/>
      <w:numFmt w:val="lowerRoman"/>
      <w:start w:val="1"/>
    </w:lvl>
  </w:abstractNum>
  <w:abstractNum w:abstractNumId="53">
    <w:nsid w:val="4BEE5A5B"/>
    <w:multiLevelType w:val="hybridMultilevel"/>
    <w:lvl w:ilvl="0">
      <w:lvlJc w:val="left"/>
      <w:lvlText w:val="%1"/>
      <w:numFmt w:val="lowerLetter"/>
      <w:start w:val="1"/>
    </w:lvl>
    <w:lvl w:ilvl="1">
      <w:lvlJc w:val="left"/>
      <w:lvlText w:val="(%2)"/>
      <w:numFmt w:val="lowerLetter"/>
      <w:start w:val="61"/>
    </w:lvl>
  </w:abstractNum>
  <w:abstractNum w:abstractNumId="54">
    <w:nsid w:val="5551B9F3"/>
    <w:multiLevelType w:val="hybridMultilevel"/>
    <w:lvl w:ilvl="0">
      <w:lvlJc w:val="left"/>
      <w:lvlText w:val="(%1)"/>
      <w:numFmt w:val="lowerLetter"/>
      <w:start w:val="2"/>
    </w:lvl>
    <w:lvl w:ilvl="1">
      <w:lvlJc w:val="left"/>
      <w:lvlText w:val="%2"/>
      <w:numFmt w:val="lowerLetter"/>
      <w:start w:val="1"/>
    </w:lvl>
  </w:abstractNum>
  <w:abstractNum w:abstractNumId="55">
    <w:nsid w:val="24F6AB8E"/>
    <w:multiLevelType w:val="hybridMultilevel"/>
    <w:lvl w:ilvl="0">
      <w:lvlJc w:val="left"/>
      <w:lvlText w:val="(%1)"/>
      <w:numFmt w:val="upperLetter"/>
      <w:start w:val="3"/>
    </w:lvl>
  </w:abstractNum>
  <w:abstractNum w:abstractNumId="56">
    <w:nsid w:val="634C574C"/>
    <w:multiLevelType w:val="hybridMultilevel"/>
    <w:lvl w:ilvl="0">
      <w:lvlJc w:val="left"/>
      <w:lvlText w:val="(%1)"/>
      <w:numFmt w:val="lowerLetter"/>
      <w:start w:val="1"/>
    </w:lvl>
  </w:abstractNum>
  <w:abstractNum w:abstractNumId="57">
    <w:nsid w:val="24E99DD7"/>
    <w:multiLevelType w:val="hybridMultilevel"/>
    <w:lvl w:ilvl="0">
      <w:lvlJc w:val="left"/>
      <w:lvlText w:val="(%1)"/>
      <w:numFmt w:val="decimal"/>
      <w:start w:val="91"/>
    </w:lvl>
  </w:abstractNum>
  <w:abstractNum w:abstractNumId="58">
    <w:nsid w:val="2A31B62D"/>
    <w:multiLevelType w:val="hybridMultilevel"/>
    <w:lvl w:ilvl="0">
      <w:lvlJc w:val="left"/>
      <w:lvlText w:val="(%1)"/>
      <w:numFmt w:val="lowerRoman"/>
      <w:start w:val="2"/>
    </w:lvl>
  </w:abstractNum>
  <w:abstractNum w:abstractNumId="59">
    <w:nsid w:val="1849C29B"/>
    <w:multiLevelType w:val="hybridMultilevel"/>
    <w:lvl w:ilvl="0">
      <w:lvlJc w:val="left"/>
      <w:lvlText w:val="(%1)"/>
      <w:numFmt w:val="lowerRoman"/>
      <w:start w:val="2"/>
    </w:lvl>
  </w:abstractNum>
  <w:abstractNum w:abstractNumId="60">
    <w:nsid w:val="7DFF9D09"/>
    <w:multiLevelType w:val="hybridMultilevel"/>
    <w:lvl w:ilvl="0">
      <w:lvlJc w:val="left"/>
      <w:lvlText w:val="(%1)"/>
      <w:numFmt w:val="lowerRoman"/>
      <w:start w:val="2"/>
    </w:lvl>
  </w:abstractNum>
  <w:abstractNum w:abstractNumId="61">
    <w:nsid w:val="754342"/>
    <w:multiLevelType w:val="hybridMultilevel"/>
    <w:lvl w:ilvl="0">
      <w:lvlJc w:val="left"/>
      <w:lvlText w:val="(%1)"/>
      <w:numFmt w:val="lowerRoman"/>
      <w:start w:val="5"/>
    </w:lvl>
  </w:abstractNum>
  <w:abstractNum w:abstractNumId="62">
    <w:nsid w:val="69E7F3E5"/>
    <w:multiLevelType w:val="hybridMultilevel"/>
    <w:lvl w:ilvl="0">
      <w:lvlJc w:val="left"/>
      <w:lvlText w:val="(%1)"/>
      <w:numFmt w:val="lowerRoman"/>
      <w:start w:val="1"/>
    </w:lvl>
  </w:abstractNum>
  <w:abstractNum w:abstractNumId="63">
    <w:nsid w:val="2A6DE806"/>
    <w:multiLevelType w:val="hybridMultilevel"/>
    <w:lvl w:ilvl="0">
      <w:lvlJc w:val="left"/>
      <w:lvlText w:val="%1"/>
      <w:numFmt w:val="lowerRoman"/>
      <w:start w:val="1"/>
    </w:lvl>
    <w:lvl w:ilvl="1">
      <w:lvlJc w:val="left"/>
      <w:lvlText w:val="(%2)"/>
      <w:numFmt w:val="lowerRoman"/>
      <w:start w:val="6"/>
    </w:lvl>
  </w:abstractNum>
  <w:abstractNum w:abstractNumId="64">
    <w:nsid w:val="1816F8C4"/>
    <w:multiLevelType w:val="hybridMultilevel"/>
    <w:lvl w:ilvl="0">
      <w:lvlJc w:val="left"/>
      <w:lvlText w:val="(%1)"/>
      <w:numFmt w:val="lowerRoman"/>
      <w:start w:val="8"/>
    </w:lvl>
    <w:lvl w:ilvl="1">
      <w:lvlJc w:val="left"/>
      <w:lvlText w:val="(%2)"/>
      <w:numFmt w:val="lowerRoman"/>
      <w:start w:val="9"/>
    </w:lvl>
  </w:abstractNum>
  <w:abstractNum w:abstractNumId="65">
    <w:nsid w:val="37DF223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66">
    <w:nsid w:val="7AB49DAF"/>
    <w:multiLevelType w:val="hybridMultilevel"/>
    <w:lvl w:ilvl="0">
      <w:lvlJc w:val="left"/>
      <w:lvlText w:val="(%1)"/>
      <w:numFmt w:val="decimal"/>
      <w:start w:val="180"/>
    </w:lvl>
    <w:lvl w:ilvl="1">
      <w:lvlJc w:val="left"/>
      <w:lvlText w:val="%2"/>
      <w:numFmt w:val="lowerRoman"/>
      <w:start w:val="1"/>
    </w:lvl>
    <w:lvl w:ilvl="2">
      <w:lvlJc w:val="left"/>
      <w:lvlText w:val="(%3)"/>
      <w:numFmt w:val="lowerRoman"/>
      <w:start w:val="5"/>
    </w:lvl>
  </w:abstractNum>
  <w:abstractNum w:abstractNumId="67">
    <w:nsid w:val="759F82CD"/>
    <w:multiLevelType w:val="hybridMultilevel"/>
    <w:lvl w:ilvl="0">
      <w:lvlJc w:val="left"/>
      <w:lvlText w:val="(%1)"/>
      <w:numFmt w:val="lowerRoman"/>
      <w:start w:val="12"/>
    </w:lvl>
  </w:abstractNum>
  <w:abstractNum w:abstractNumId="68">
    <w:nsid w:val="61E74EA3"/>
    <w:multiLevelType w:val="hybridMultilevel"/>
    <w:lvl w:ilvl="0">
      <w:lvlJc w:val="left"/>
      <w:lvlText w:val="(%1)"/>
      <w:numFmt w:val="lowerRoman"/>
      <w:start w:val="1"/>
    </w:lvl>
  </w:abstractNum>
  <w:abstractNum w:abstractNumId="69">
    <w:nsid w:val="597B4D84"/>
    <w:multiLevelType w:val="hybridMultilevel"/>
    <w:lvl w:ilvl="0">
      <w:lvlJc w:val="left"/>
      <w:lvlText w:val="(%1)"/>
      <w:numFmt w:val="lowerRoman"/>
      <w:start w:val="2"/>
    </w:lvl>
  </w:abstractNum>
  <w:abstractNum w:abstractNumId="70">
    <w:nsid w:val="F819E7F"/>
    <w:multiLevelType w:val="hybridMultilevel"/>
    <w:lvl w:ilvl="0">
      <w:lvlJc w:val="left"/>
      <w:lvlText w:val="(%1)"/>
      <w:numFmt w:val="lowerLetter"/>
      <w:start w:val="1"/>
    </w:lvl>
  </w:abstractNum>
  <w:abstractNum w:abstractNumId="71">
    <w:nsid w:val="57C7D42D"/>
    <w:multiLevelType w:val="hybridMultilevel"/>
    <w:lvl w:ilvl="0">
      <w:lvlJc w:val="left"/>
      <w:lvlText w:val="%1"/>
      <w:numFmt w:val="upperLetter"/>
      <w:start w:val="35"/>
    </w:lvl>
  </w:abstractNum>
  <w:abstractNum w:abstractNumId="72">
    <w:nsid w:val="312167AD"/>
    <w:multiLevelType w:val="hybridMultilevel"/>
    <w:lvl w:ilvl="0">
      <w:lvlJc w:val="left"/>
      <w:lvlText w:val="(%1)"/>
      <w:numFmt w:val="lowerLetter"/>
      <w:start w:val="2"/>
    </w:lvl>
  </w:abstractNum>
  <w:abstractNum w:abstractNumId="73">
    <w:nsid w:val="631B64D4"/>
    <w:multiLevelType w:val="hybridMultilevel"/>
    <w:lvl w:ilvl="0">
      <w:lvlJc w:val="left"/>
      <w:lvlText w:val="(%1)"/>
      <w:numFmt w:val="lowerLetter"/>
      <w:start w:val="1"/>
    </w:lvl>
  </w:abstractNum>
  <w:abstractNum w:abstractNumId="74">
    <w:nsid w:val="78B5E776"/>
    <w:multiLevelType w:val="hybridMultilevel"/>
    <w:lvl w:ilvl="0">
      <w:lvlJc w:val="left"/>
      <w:lvlText w:val="%1"/>
      <w:numFmt w:val="lowerLetter"/>
      <w:start w:val="1"/>
    </w:lvl>
    <w:lvl w:ilvl="1">
      <w:lvlJc w:val="left"/>
      <w:lvlText w:val="(%2)"/>
      <w:numFmt w:val="lowerLetter"/>
      <w:start w:val="1"/>
    </w:lvl>
  </w:abstractNum>
  <w:abstractNum w:abstractNumId="75">
    <w:nsid w:val="75486E47"/>
    <w:multiLevelType w:val="hybridMultilevel"/>
    <w:lvl w:ilvl="0">
      <w:lvlJc w:val="left"/>
      <w:lvlText w:val="(%1)"/>
      <w:numFmt w:val="lowerLetter"/>
      <w:start w:val="35"/>
    </w:lvl>
    <w:lvl w:ilvl="1">
      <w:lvlJc w:val="left"/>
      <w:lvlText w:val="(%2)"/>
      <w:numFmt w:val="lowerLetter"/>
      <w:start w:val="2"/>
    </w:lvl>
  </w:abstractNum>
  <w:abstractNum w:abstractNumId="76">
    <w:nsid w:val="6E534CDE"/>
    <w:multiLevelType w:val="hybridMultilevel"/>
    <w:lvl w:ilvl="0">
      <w:lvlJc w:val="left"/>
      <w:lvlText w:val="(%1)"/>
      <w:numFmt w:val="lowerLetter"/>
      <w:start w:val="1"/>
    </w:lvl>
  </w:abstractNum>
  <w:abstractNum w:abstractNumId="77">
    <w:nsid w:val="1A0DDE32"/>
    <w:multiLevelType w:val="hybridMultilevel"/>
    <w:lvl w:ilvl="0">
      <w:lvlJc w:val="left"/>
      <w:lvlText w:val="(%1)"/>
      <w:numFmt w:val="lowerLetter"/>
      <w:start w:val="1"/>
    </w:lvl>
  </w:abstractNum>
  <w:abstractNum w:abstractNumId="78">
    <w:nsid w:val="65968C1C"/>
    <w:multiLevelType w:val="hybridMultilevel"/>
    <w:lvl w:ilvl="0">
      <w:lvlJc w:val="left"/>
      <w:lvlText w:val="(%1)"/>
      <w:numFmt w:val="lowerLetter"/>
      <w:start w:val="3"/>
    </w:lvl>
  </w:abstractNum>
  <w:abstractNum w:abstractNumId="79">
    <w:nsid w:val="46263DEC"/>
    <w:multiLevelType w:val="hybridMultilevel"/>
    <w:lvl w:ilvl="0">
      <w:lvlJc w:val="left"/>
      <w:lvlText w:val="(%1)"/>
      <w:numFmt w:val="lowerLetter"/>
      <w:start w:val="8"/>
    </w:lvl>
  </w:abstractNum>
  <w:abstractNum w:abstractNumId="80">
    <w:nsid w:val="260D8C4A"/>
    <w:multiLevelType w:val="hybridMultilevel"/>
    <w:lvl w:ilvl="0">
      <w:lvlJc w:val="left"/>
      <w:lvlText w:val="(%1)"/>
      <w:numFmt w:val="lowerLetter"/>
      <w:start w:val="1"/>
    </w:lvl>
  </w:abstractNum>
  <w:abstractNum w:abstractNumId="81">
    <w:nsid w:val="73D4D3C4"/>
    <w:multiLevelType w:val="hybridMultilevel"/>
    <w:lvl w:ilvl="0">
      <w:lvlJc w:val="left"/>
      <w:lvlText w:val="(%1)"/>
      <w:numFmt w:val="lowerLetter"/>
      <w:start w:val="5"/>
    </w:lvl>
  </w:abstractNum>
  <w:abstractNum w:abstractNumId="82">
    <w:nsid w:val="746F2E30"/>
    <w:multiLevelType w:val="hybridMultilevel"/>
    <w:lvl w:ilvl="0">
      <w:lvlJc w:val="left"/>
      <w:lvlText w:val="%1"/>
      <w:numFmt w:val="lowerLetter"/>
      <w:start w:val="1"/>
    </w:lvl>
    <w:lvl w:ilvl="1">
      <w:lvlJc w:val="left"/>
      <w:lvlText w:val="(%2)"/>
      <w:numFmt w:val="lowerLetter"/>
      <w:start w:val="1"/>
    </w:lvl>
  </w:abstractNum>
  <w:abstractNum w:abstractNumId="83">
    <w:nsid w:val="6FDE8AF6"/>
    <w:multiLevelType w:val="hybridMultilevel"/>
    <w:lvl w:ilvl="0">
      <w:lvlJc w:val="left"/>
      <w:lvlText w:val="(%1)"/>
      <w:numFmt w:val="lowerLetter"/>
      <w:start w:val="3"/>
    </w:lvl>
    <w:lvl w:ilvl="1">
      <w:lvlJc w:val="left"/>
      <w:lvlText w:val="(%2)"/>
      <w:numFmt w:val="lowerLetter"/>
      <w:start w:val="2"/>
    </w:lvl>
  </w:abstractNum>
  <w:abstractNum w:abstractNumId="84">
    <w:nsid w:val="3FC32E20"/>
    <w:multiLevelType w:val="hybridMultilevel"/>
    <w:lvl w:ilvl="0">
      <w:lvlJc w:val="left"/>
      <w:lvlText w:val="(%1)"/>
      <w:numFmt w:val="lowerLetter"/>
      <w:start w:val="1"/>
    </w:lvl>
    <w:lvl w:ilvl="1">
      <w:lvlJc w:val="left"/>
      <w:lvlText w:val="(%2)"/>
      <w:numFmt w:val="lowerRoman"/>
      <w:start w:val="1"/>
    </w:lvl>
  </w:abstractNum>
  <w:abstractNum w:abstractNumId="85">
    <w:nsid w:val="49C0E823"/>
    <w:multiLevelType w:val="hybridMultilevel"/>
    <w:lvl w:ilvl="0">
      <w:lvlJc w:val="left"/>
      <w:lvlText w:val="(%1)"/>
      <w:numFmt w:val="lowerLetter"/>
      <w:start w:val="3"/>
    </w:lvl>
  </w:abstractNum>
  <w:abstractNum w:abstractNumId="86">
    <w:nsid w:val="14D53685"/>
    <w:multiLevelType w:val="hybridMultilevel"/>
    <w:lvl w:ilvl="0">
      <w:lvlJc w:val="left"/>
      <w:lvlText w:val="(%1)"/>
      <w:numFmt w:val="lowerLetter"/>
      <w:start w:val="1"/>
    </w:lvl>
  </w:abstractNum>
  <w:abstractNum w:abstractNumId="87">
    <w:nsid w:val="230F856C"/>
    <w:multiLevelType w:val="hybridMultilevel"/>
    <w:lvl w:ilvl="0">
      <w:lvlJc w:val="left"/>
      <w:lvlText w:val="(%1)"/>
      <w:numFmt w:val="lowerLetter"/>
      <w:start w:val="1"/>
    </w:lvl>
  </w:abstractNum>
  <w:abstractNum w:abstractNumId="88">
    <w:nsid w:val="6EAA85FB"/>
    <w:multiLevelType w:val="hybridMultilevel"/>
    <w:lvl w:ilvl="0">
      <w:lvlJc w:val="left"/>
      <w:lvlText w:val="(%1)"/>
      <w:numFmt w:val="lowerRoman"/>
      <w:start w:val="1"/>
    </w:lvl>
  </w:abstractNum>
  <w:abstractNum w:abstractNumId="89">
    <w:nsid w:val="3F06ECB2"/>
    <w:multiLevelType w:val="hybridMultilevel"/>
    <w:lvl w:ilvl="0">
      <w:lvlJc w:val="left"/>
      <w:lvlText w:val="(%1)"/>
      <w:numFmt w:val="lowerLetter"/>
      <w:start w:val="2"/>
    </w:lvl>
    <w:lvl w:ilvl="1">
      <w:lvlJc w:val="left"/>
      <w:lvlText w:val="(%2)"/>
      <w:numFmt w:val="lowerRoman"/>
      <w:start w:val="1"/>
    </w:lvl>
  </w:abstractNum>
  <w:abstractNum w:abstractNumId="90">
    <w:nsid w:val="3B594807"/>
    <w:multiLevelType w:val="hybridMultilevel"/>
    <w:lvl w:ilvl="0">
      <w:lvlJc w:val="left"/>
      <w:lvlText w:val="%1"/>
      <w:numFmt w:val="upperLetter"/>
      <w:start w:val="1"/>
    </w:lvl>
    <w:lvl w:ilvl="1">
      <w:lvlJc w:val="left"/>
      <w:lvlText w:val="(%2)"/>
      <w:numFmt w:val="lowerRoman"/>
      <w:start w:val="4"/>
    </w:lvl>
  </w:abstractNum>
  <w:abstractNum w:abstractNumId="91">
    <w:nsid w:val="6CAA2304"/>
    <w:multiLevelType w:val="hybridMultilevel"/>
    <w:lvl w:ilvl="0">
      <w:lvlJc w:val="left"/>
      <w:lvlText w:val="(%1)"/>
      <w:numFmt w:val="upperLetter"/>
      <w:start w:val="1"/>
    </w:lvl>
    <w:lvl w:ilvl="1">
      <w:lvlJc w:val="left"/>
      <w:lvlText w:val="(%2)"/>
      <w:numFmt w:val="lowerRoman"/>
      <w:start w:val="5"/>
    </w:lvl>
  </w:abstractNum>
  <w:abstractNum w:abstractNumId="92">
    <w:nsid w:val="3F7C2FF4"/>
    <w:multiLevelType w:val="hybridMultilevel"/>
    <w:lvl w:ilvl="0">
      <w:lvlJc w:val="left"/>
      <w:lvlText w:val="(%1)"/>
      <w:numFmt w:val="lowerLetter"/>
      <w:start w:val="1"/>
    </w:lvl>
    <w:lvl w:ilvl="1">
      <w:lvlJc w:val="left"/>
      <w:lvlText w:val="(%2)"/>
      <w:numFmt w:val="lowerRoman"/>
      <w:start w:val="1"/>
    </w:lvl>
  </w:abstractNum>
  <w:abstractNum w:abstractNumId="93">
    <w:nsid w:val="25413BEC"/>
    <w:multiLevelType w:val="hybridMultilevel"/>
    <w:lvl w:ilvl="0">
      <w:lvlJc w:val="left"/>
      <w:lvlText w:val="(%1)"/>
      <w:numFmt w:val="lowerLetter"/>
      <w:start w:val="2"/>
    </w:lvl>
  </w:abstractNum>
  <w:abstractNum w:abstractNumId="94">
    <w:nsid w:val="17180B0B"/>
    <w:multiLevelType w:val="hybridMultilevel"/>
    <w:lvl w:ilvl="0">
      <w:lvlJc w:val="left"/>
      <w:lvlText w:val="(%1)"/>
      <w:numFmt w:val="lowerLetter"/>
      <w:start w:val="1"/>
    </w:lvl>
  </w:abstractNum>
  <w:abstractNum w:abstractNumId="95">
    <w:nsid w:val="579328B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6">
    <w:nsid w:val="5D205E20"/>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2"/>
    </w:lvl>
    <w:lvl w:ilvl="3">
      <w:lvlJc w:val="left"/>
      <w:lvlText w:val="(%4)"/>
      <w:numFmt w:val="lowerRoman"/>
      <w:start w:val="1"/>
    </w:lvl>
  </w:abstractNum>
  <w:abstractNum w:abstractNumId="97">
    <w:nsid w:val="11CCA8BA"/>
    <w:multiLevelType w:val="hybridMultilevel"/>
    <w:lvl w:ilvl="0">
      <w:lvlJc w:val="left"/>
      <w:lvlText w:val="(%1)"/>
      <w:numFmt w:val="upperLetter"/>
      <w:start w:val="1"/>
    </w:lvl>
    <w:lvl w:ilvl="1">
      <w:lvlJc w:val="left"/>
      <w:lvlText w:val="(%2)"/>
      <w:numFmt w:val="lowerLetter"/>
      <w:start w:val="25"/>
    </w:lvl>
    <w:lvl w:ilvl="2">
      <w:lvlJc w:val="left"/>
      <w:lvlText w:val="%3"/>
      <w:numFmt w:val="upperLetter"/>
      <w:start w:val="1"/>
    </w:lvl>
    <w:lvl w:ilvl="3">
      <w:lvlJc w:val="left"/>
      <w:lvlText w:val="%4"/>
      <w:numFmt w:val="lowerRoman"/>
      <w:start w:val="1"/>
    </w:lvl>
  </w:abstractNum>
  <w:abstractNum w:abstractNumId="98">
    <w:nsid w:val="4D32AB86"/>
    <w:multiLevelType w:val="hybridMultilevel"/>
    <w:lvl w:ilvl="0">
      <w:lvlJc w:val="left"/>
      <w:lvlText w:val="%1"/>
      <w:numFmt w:val="upperLetter"/>
      <w:start w:val="1"/>
    </w:lvl>
    <w:lvl w:ilvl="1">
      <w:lvlJc w:val="left"/>
      <w:lvlText w:val="(%2)"/>
      <w:numFmt w:val="lowerRoman"/>
      <w:start w:val="4"/>
    </w:lvl>
  </w:abstractNum>
  <w:abstractNum w:abstractNumId="99">
    <w:nsid w:val="3F07ACC3"/>
    <w:multiLevelType w:val="hybridMultilevel"/>
    <w:lvl w:ilvl="0">
      <w:lvlJc w:val="left"/>
      <w:lvlText w:val="(%1)"/>
      <w:numFmt w:val="upperLetter"/>
      <w:start w:val="3"/>
    </w:lvl>
    <w:lvl w:ilvl="1">
      <w:lvlJc w:val="left"/>
      <w:lvlText w:val="%2"/>
      <w:numFmt w:val="lowerRoman"/>
      <w:start w:val="1"/>
    </w:lvl>
  </w:abstractNum>
  <w:abstractNum w:abstractNumId="100">
    <w:nsid w:val="6B47F63E"/>
    <w:multiLevelType w:val="hybridMultilevel"/>
    <w:lvl w:ilvl="0">
      <w:lvlJc w:val="left"/>
      <w:lvlText w:val="(%1)"/>
      <w:numFmt w:val="upperLetter"/>
      <w:start w:val="4"/>
    </w:lvl>
  </w:abstractNum>
  <w:abstractNum w:abstractNumId="101">
    <w:nsid w:val="5CB44A05"/>
    <w:multiLevelType w:val="hybridMultilevel"/>
    <w:lvl w:ilvl="0">
      <w:lvlJc w:val="left"/>
      <w:lvlText w:val="(%1)"/>
      <w:numFmt w:val="lowerLetter"/>
      <w:start w:val="8"/>
    </w:lvl>
  </w:abstractNum>
  <w:abstractNum w:abstractNumId="102">
    <w:nsid w:val="16CF80F1"/>
    <w:multiLevelType w:val="hybridMultilevel"/>
    <w:lvl w:ilvl="0">
      <w:lvlJc w:val="left"/>
      <w:lvlText w:val="(%1)"/>
      <w:numFmt w:val="lowerLetter"/>
      <w:start w:val="10"/>
    </w:lvl>
  </w:abstractNum>
  <w:abstractNum w:abstractNumId="103">
    <w:nsid w:val="1C695DEC"/>
    <w:multiLevelType w:val="hybridMultilevel"/>
    <w:lvl w:ilvl="0">
      <w:lvlJc w:val="left"/>
      <w:lvlText w:val="(%1)"/>
      <w:numFmt w:val="lowerLetter"/>
      <w:start w:val="1"/>
    </w:lvl>
  </w:abstractNum>
  <w:abstractNum w:abstractNumId="104">
    <w:nsid w:val="3FCFAED9"/>
    <w:multiLevelType w:val="hybridMultilevel"/>
    <w:lvl w:ilvl="0">
      <w:lvlJc w:val="left"/>
      <w:lvlText w:val="(%1)"/>
      <w:numFmt w:val="lowerLetter"/>
      <w:start w:val="4"/>
    </w:lvl>
  </w:abstractNum>
  <w:abstractNum w:abstractNumId="105">
    <w:nsid w:val="F856867"/>
    <w:multiLevelType w:val="hybridMultilevel"/>
    <w:lvl w:ilvl="0">
      <w:lvlJc w:val="left"/>
      <w:lvlText w:val="(%1)"/>
      <w:numFmt w:val="lowerLetter"/>
      <w:start w:val="1"/>
    </w:lvl>
    <w:lvl w:ilvl="1">
      <w:lvlJc w:val="left"/>
      <w:lvlText w:val="(%2)"/>
      <w:numFmt w:val="lowerRoman"/>
      <w:start w:val="1"/>
    </w:lvl>
  </w:abstractNum>
  <w:abstractNum w:abstractNumId="106">
    <w:nsid w:val="11B1CC33"/>
    <w:multiLevelType w:val="hybridMultilevel"/>
    <w:lvl w:ilvl="0">
      <w:lvlJc w:val="left"/>
      <w:lvlText w:val="&amp;"/>
      <w:numFmt w:val="bullet"/>
      <w:start w:val="1"/>
    </w:lvl>
    <w:lvl w:ilvl="1">
      <w:lvlJc w:val="left"/>
      <w:lvlText w:val="(%2)"/>
      <w:numFmt w:val="lowerLetter"/>
      <w:start w:val="1"/>
    </w:lvl>
    <w:lvl w:ilvl="2">
      <w:lvlJc w:val="left"/>
      <w:lvlText w:val="(%3)"/>
      <w:numFmt w:val="lowerRoman"/>
      <w:start w:val="1"/>
    </w:lvl>
  </w:abstractNum>
  <w:abstractNum w:abstractNumId="107">
    <w:nsid w:val="2E22FBB7"/>
    <w:multiLevelType w:val="hybridMultilevel"/>
    <w:lvl w:ilvl="0">
      <w:lvlJc w:val="left"/>
      <w:lvlText w:val="&amp;"/>
      <w:numFmt w:val="bullet"/>
      <w:start w:val="1"/>
    </w:lvl>
    <w:lvl w:ilvl="1">
      <w:lvlJc w:val="left"/>
      <w:lvlText w:val="%2"/>
      <w:numFmt w:val="lowerLetter"/>
      <w:start w:val="1"/>
    </w:lvl>
    <w:lvl w:ilvl="2">
      <w:lvlJc w:val="left"/>
      <w:lvlText w:val="(%3)"/>
      <w:numFmt w:val="lowerRoman"/>
      <w:start w:val="6"/>
    </w:lvl>
  </w:abstractNum>
  <w:abstractNum w:abstractNumId="108">
    <w:nsid w:val="29934699"/>
    <w:multiLevelType w:val="hybridMultilevel"/>
    <w:lvl w:ilvl="0">
      <w:lvlJc w:val="left"/>
      <w:lvlText w:val="%1"/>
      <w:numFmt w:val="lowerLetter"/>
      <w:start w:val="1"/>
    </w:lvl>
    <w:lvl w:ilvl="1">
      <w:lvlJc w:val="left"/>
      <w:lvlText w:val="(%2)"/>
      <w:numFmt w:val="lowerRoman"/>
      <w:start w:val="7"/>
    </w:lvl>
  </w:abstractNum>
  <w:abstractNum w:abstractNumId="109">
    <w:nsid w:val="77485850"/>
    <w:multiLevelType w:val="hybridMultilevel"/>
    <w:lvl w:ilvl="0">
      <w:lvlJc w:val="left"/>
      <w:lvlText w:val="(%1)"/>
      <w:numFmt w:val="lowerLetter"/>
      <w:start w:val="3"/>
    </w:lvl>
    <w:lvl w:ilvl="1">
      <w:lvlJc w:val="left"/>
      <w:lvlText w:val="%2"/>
      <w:numFmt w:val="lowerRoman"/>
      <w:start w:val="1"/>
    </w:lvl>
  </w:abstractNum>
  <w:abstractNum w:abstractNumId="110">
    <w:nsid w:val="744939A3"/>
    <w:multiLevelType w:val="hybridMultilevel"/>
    <w:lvl w:ilvl="0">
      <w:lvlJc w:val="left"/>
      <w:lvlText w:val="(%1)"/>
      <w:numFmt w:val="lowerLetter"/>
      <w:start w:val="1"/>
    </w:lvl>
  </w:abstractNum>
  <w:abstractNum w:abstractNumId="111">
    <w:nsid w:val="4FA0D2E3"/>
    <w:multiLevelType w:val="hybridMultilevel"/>
    <w:lvl w:ilvl="0">
      <w:lvlJc w:val="left"/>
      <w:lvlText w:val="(%1)"/>
      <w:numFmt w:val="lowerLetter"/>
      <w:start w:val="1"/>
    </w:lvl>
  </w:abstractNum>
  <w:abstractNum w:abstractNumId="112">
    <w:nsid w:val="6B1D2C14"/>
    <w:multiLevelType w:val="hybridMultilevel"/>
    <w:lvl w:ilvl="0">
      <w:lvlJc w:val="left"/>
      <w:lvlText w:val="(%1)"/>
      <w:numFmt w:val="lowerLetter"/>
      <w:start w:val="1"/>
    </w:lvl>
  </w:abstractNum>
  <w:abstractNum w:abstractNumId="113">
    <w:nsid w:val="68B867D3"/>
    <w:multiLevelType w:val="hybridMultilevel"/>
    <w:lvl w:ilvl="0">
      <w:lvlJc w:val="left"/>
      <w:lvlText w:val="(%1)"/>
      <w:numFmt w:val="lowerLetter"/>
      <w:start w:val="1"/>
    </w:lvl>
  </w:abstractNum>
  <w:abstractNum w:abstractNumId="114">
    <w:nsid w:val="3F7F5DD9"/>
    <w:multiLevelType w:val="hybridMultilevel"/>
    <w:lvl w:ilvl="0">
      <w:lvlJc w:val="left"/>
      <w:lvlText w:val="%1"/>
      <w:numFmt w:val="lowerLetter"/>
      <w:start w:val="1"/>
    </w:lvl>
    <w:lvl w:ilvl="1">
      <w:lvlJc w:val="left"/>
      <w:lvlText w:val="(%2)"/>
      <w:numFmt w:val="lowerLetter"/>
      <w:start w:val="2"/>
    </w:lvl>
  </w:abstractNum>
  <w:abstractNum w:abstractNumId="115">
    <w:nsid w:val="2AE05A34"/>
    <w:multiLevelType w:val="hybridMultilevel"/>
    <w:lvl w:ilvl="0">
      <w:lvlJc w:val="left"/>
      <w:lvlText w:val="(%1)"/>
      <w:numFmt w:val="lowerLetter"/>
      <w:start w:val="9"/>
    </w:lvl>
    <w:lvl w:ilvl="1">
      <w:lvlJc w:val="left"/>
      <w:lvlText w:val="%2"/>
      <w:numFmt w:val="lowerLetter"/>
      <w:start w:val="1"/>
    </w:lvl>
  </w:abstractNum>
  <w:abstractNum w:abstractNumId="116">
    <w:nsid w:val="32794FF7"/>
    <w:multiLevelType w:val="hybridMultilevel"/>
    <w:lvl w:ilvl="0">
      <w:lvlJc w:val="left"/>
      <w:lvlText w:val="(%1)"/>
      <w:numFmt w:val="lowerLetter"/>
      <w:start w:val="1"/>
    </w:lvl>
  </w:abstractNum>
  <w:abstractNum w:abstractNumId="117">
    <w:nsid w:val="5454945E"/>
    <w:multiLevelType w:val="hybridMultilevel"/>
    <w:lvl w:ilvl="0">
      <w:lvlJc w:val="left"/>
      <w:lvlText w:val="(%1)"/>
      <w:numFmt w:val="lowerLetter"/>
      <w:start w:val="1"/>
    </w:lvl>
  </w:abstractNum>
  <w:abstractNum w:abstractNumId="118">
    <w:nsid w:val="4DEFDFA0"/>
    <w:multiLevelType w:val="hybridMultilevel"/>
    <w:lvl w:ilvl="0">
      <w:lvlJc w:val="left"/>
      <w:lvlText w:val="(%1)"/>
      <w:numFmt w:val="lowerLetter"/>
      <w:start w:val="2"/>
    </w:lvl>
  </w:abstractNum>
  <w:abstractNum w:abstractNumId="119">
    <w:nsid w:val="2123D5F2"/>
    <w:multiLevelType w:val="hybridMultilevel"/>
    <w:lvl w:ilvl="0">
      <w:lvlJc w:val="left"/>
      <w:lvlText w:val="(%1)"/>
      <w:numFmt w:val="lowerLetter"/>
      <w:start w:val="1"/>
    </w:lvl>
  </w:abstractNum>
  <w:abstractNum w:abstractNumId="120">
    <w:nsid w:val="135B8110"/>
    <w:multiLevelType w:val="hybridMultilevel"/>
    <w:lvl w:ilvl="0">
      <w:lvlJc w:val="left"/>
      <w:lvlText w:val="(%1)"/>
      <w:numFmt w:val="lowerLetter"/>
      <w:start w:val="1"/>
    </w:lvl>
  </w:abstractNum>
  <w:abstractNum w:abstractNumId="121">
    <w:nsid w:val="94927A8"/>
    <w:multiLevelType w:val="hybridMultilevel"/>
    <w:lvl w:ilvl="0">
      <w:lvlJc w:val="left"/>
      <w:lvlText w:val="%1"/>
      <w:numFmt w:val="lowerLetter"/>
      <w:start w:val="1"/>
    </w:lvl>
    <w:lvl w:ilvl="1">
      <w:lvlJc w:val="left"/>
      <w:lvlText w:val="(%2)"/>
      <w:numFmt w:val="lowerLetter"/>
      <w:start w:val="3"/>
    </w:lvl>
  </w:abstractNum>
  <w:abstractNum w:abstractNumId="122">
    <w:nsid w:val="DCDF8F6"/>
    <w:multiLevelType w:val="hybridMultilevel"/>
    <w:lvl w:ilvl="0">
      <w:lvlJc w:val="left"/>
      <w:lvlText w:val="(%1)"/>
      <w:numFmt w:val="lowerLetter"/>
      <w:start w:val="25"/>
    </w:lvl>
    <w:lvl w:ilvl="1">
      <w:lvlJc w:val="left"/>
      <w:lvlText w:val="(%2)"/>
      <w:numFmt w:val="lowerLetter"/>
      <w:start w:val="5"/>
    </w:lvl>
  </w:abstractNum>
  <w:abstractNum w:abstractNumId="123">
    <w:nsid w:val="52D7B105"/>
    <w:multiLevelType w:val="hybridMultilevel"/>
    <w:lvl w:ilvl="0">
      <w:lvlJc w:val="left"/>
      <w:lvlText w:val="(%1)"/>
      <w:numFmt w:val="lowerLetter"/>
      <w:start w:val="9"/>
    </w:lvl>
  </w:abstractNum>
  <w:abstractNum w:abstractNumId="124">
    <w:nsid w:val="2E8A639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5">
    <w:nsid w:val="24E6040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26">
    <w:nsid w:val="2A6AD9BE"/>
    <w:multiLevelType w:val="hybridMultilevel"/>
    <w:lvl w:ilvl="0">
      <w:lvlJc w:val="left"/>
      <w:lvlText w:val="(%1)"/>
      <w:numFmt w:val="lowerRoman"/>
      <w:start w:val="4"/>
    </w:lvl>
  </w:abstractNum>
  <w:abstractNum w:abstractNumId="127">
    <w:nsid w:val="BAAC1B4"/>
    <w:multiLevelType w:val="hybridMultilevel"/>
    <w:lvl w:ilvl="0">
      <w:lvlJc w:val="left"/>
      <w:lvlText w:val="%1"/>
      <w:numFmt w:val="lowerLetter"/>
      <w:start w:val="1"/>
    </w:lvl>
    <w:lvl w:ilvl="1">
      <w:lvlJc w:val="left"/>
      <w:lvlText w:val="(%2)"/>
      <w:numFmt w:val="lowerRoman"/>
      <w:start w:val="5"/>
    </w:lvl>
  </w:abstractNum>
  <w:abstractNum w:abstractNumId="128">
    <w:nsid w:val="36B2ACBC"/>
    <w:multiLevelType w:val="hybridMultilevel"/>
    <w:lvl w:ilvl="0">
      <w:lvlJc w:val="left"/>
      <w:lvlText w:val="(%1)"/>
      <w:numFmt w:val="lowerLetter"/>
      <w:start w:val="2"/>
    </w:lvl>
    <w:lvl w:ilvl="1">
      <w:lvlJc w:val="left"/>
      <w:lvlText w:val="(%2)"/>
      <w:numFmt w:val="lowerRoman"/>
      <w:start w:val="1"/>
    </w:lvl>
  </w:abstractNum>
  <w:abstractNum w:abstractNumId="129">
    <w:nsid w:val="779D8544"/>
    <w:multiLevelType w:val="hybridMultilevel"/>
    <w:lvl w:ilvl="0">
      <w:lvlJc w:val="left"/>
      <w:lvlText w:val="(%1)"/>
      <w:numFmt w:val="lowerLetter"/>
      <w:start w:val="1"/>
    </w:lvl>
  </w:abstractNum>
  <w:abstractNum w:abstractNumId="130">
    <w:nsid w:val="4AB26E78"/>
    <w:multiLevelType w:val="hybridMultilevel"/>
    <w:lvl w:ilvl="0">
      <w:lvlJc w:val="left"/>
      <w:lvlText w:val="%1"/>
      <w:numFmt w:val="lowerLetter"/>
      <w:start w:val="1"/>
    </w:lvl>
    <w:lvl w:ilvl="1">
      <w:lvlJc w:val="left"/>
      <w:lvlText w:val="(%2)"/>
      <w:numFmt w:val="lowerLetter"/>
      <w:start w:val="1"/>
    </w:lvl>
  </w:abstractNum>
  <w:abstractNum w:abstractNumId="131">
    <w:nsid w:val="21FAA2FA"/>
    <w:multiLevelType w:val="hybridMultilevel"/>
    <w:lvl w:ilvl="0">
      <w:lvlJc w:val="left"/>
      <w:lvlText w:val="(%1)"/>
      <w:numFmt w:val="lowerLetter"/>
      <w:start w:val="9"/>
    </w:lvl>
    <w:lvl w:ilvl="1">
      <w:lvlJc w:val="left"/>
      <w:lvlText w:val="%2"/>
      <w:numFmt w:val="lowerLetter"/>
      <w:start w:val="1"/>
    </w:lvl>
  </w:abstractNum>
  <w:abstractNum w:abstractNumId="132">
    <w:nsid w:val="5451CF49"/>
    <w:multiLevelType w:val="hybridMultilevel"/>
    <w:lvl w:ilvl="0">
      <w:lvlJc w:val="left"/>
      <w:lvlText w:val="(%1)"/>
      <w:numFmt w:val="lowerLetter"/>
      <w:start w:val="2"/>
    </w:lvl>
  </w:abstractNum>
  <w:abstractNum w:abstractNumId="133">
    <w:nsid w:val="6181EF69"/>
    <w:multiLevelType w:val="hybridMultilevel"/>
    <w:lvl w:ilvl="0">
      <w:lvlJc w:val="left"/>
      <w:lvlText w:val="(%1)"/>
      <w:numFmt w:val="lowerLetter"/>
      <w:start w:val="1"/>
    </w:lvl>
  </w:abstractNum>
  <w:abstractNum w:abstractNumId="134">
    <w:nsid w:val="3E6400E6"/>
    <w:multiLevelType w:val="hybridMultilevel"/>
    <w:lvl w:ilvl="0">
      <w:lvlJc w:val="left"/>
      <w:lvlText w:val="(%1)"/>
      <w:numFmt w:val="lowerLetter"/>
      <w:start w:val="1"/>
    </w:lvl>
  </w:abstractNum>
  <w:abstractNum w:abstractNumId="135">
    <w:nsid w:val="14217E23"/>
    <w:multiLevelType w:val="hybridMultilevel"/>
    <w:lvl w:ilvl="0">
      <w:lvlJc w:val="left"/>
      <w:lvlText w:val="(%1)"/>
      <w:numFmt w:val="lowerLetter"/>
      <w:start w:val="2"/>
    </w:lvl>
  </w:abstractNum>
  <w:abstractNum w:abstractNumId="136">
    <w:nsid w:val="710757D0"/>
    <w:multiLevelType w:val="hybridMultilevel"/>
    <w:lvl w:ilvl="0">
      <w:lvlJc w:val="left"/>
      <w:lvlText w:val="(%1)"/>
      <w:numFmt w:val="lowerLetter"/>
      <w:start w:val="1"/>
    </w:lvl>
  </w:abstractNum>
  <w:abstractNum w:abstractNumId="137">
    <w:nsid w:val="5015CD1A"/>
    <w:multiLevelType w:val="hybridMultilevel"/>
    <w:lvl w:ilvl="0">
      <w:lvlJc w:val="left"/>
      <w:lvlText w:val="(%1)"/>
      <w:numFmt w:val="lowerLetter"/>
      <w:start w:val="1"/>
    </w:lvl>
  </w:abstractNum>
  <w:abstractNum w:abstractNumId="138">
    <w:nsid w:val="424479DA"/>
    <w:multiLevelType w:val="hybridMultilevel"/>
    <w:lvl w:ilvl="0">
      <w:lvlJc w:val="left"/>
      <w:lvlText w:val="(%1)"/>
      <w:numFmt w:val="lowerLetter"/>
      <w:start w:val="4"/>
    </w:lvl>
    <w:lvl w:ilvl="1">
      <w:lvlJc w:val="left"/>
      <w:lvlText w:val="(%2)"/>
      <w:numFmt w:val="lowerLetter"/>
      <w:start w:val="5"/>
    </w:lvl>
  </w:abstractNum>
  <w:abstractNum w:abstractNumId="139">
    <w:nsid w:val="1A9A9E6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7"/>
    </w:lvl>
  </w:abstractNum>
  <w:abstractNum w:abstractNumId="140">
    <w:nsid w:val="475E256A"/>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141">
    <w:nsid w:val="368DB37E"/>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1"/>
    </w:lvl>
  </w:abstractNum>
  <w:abstractNum w:abstractNumId="142">
    <w:nsid w:val="6A3B714C"/>
    <w:multiLevelType w:val="hybridMultilevel"/>
    <w:lvl w:ilvl="0">
      <w:lvlJc w:val="left"/>
      <w:lvlText w:val="%1"/>
      <w:numFmt w:val="lowerLetter"/>
      <w:start w:val="1"/>
    </w:lvl>
    <w:lvl w:ilvl="1">
      <w:lvlJc w:val="left"/>
      <w:lvlText w:val="(%2)"/>
      <w:numFmt w:val="lowerLetter"/>
      <w:start w:val="12"/>
    </w:lvl>
  </w:abstractNum>
  <w:abstractNum w:abstractNumId="143">
    <w:nsid w:val="327B517E"/>
    <w:multiLevelType w:val="hybridMultilevel"/>
    <w:lvl w:ilvl="0">
      <w:lvlJc w:val="left"/>
      <w:lvlText w:val="(%1)"/>
      <w:numFmt w:val="lowerLetter"/>
      <w:start w:val="14"/>
    </w:lvl>
    <w:lvl w:ilvl="1">
      <w:lvlJc w:val="left"/>
      <w:lvlText w:val="(%2)"/>
      <w:numFmt w:val="lowerLetter"/>
      <w:start w:val="15"/>
    </w:lvl>
  </w:abstractNum>
  <w:abstractNum w:abstractNumId="144">
    <w:nsid w:val="1F461B51"/>
    <w:multiLevelType w:val="hybridMultilevel"/>
    <w:lvl w:ilvl="0">
      <w:lvlJc w:val="left"/>
      <w:lvlText w:val="(%1)"/>
      <w:numFmt w:val="lowerLetter"/>
      <w:start w:val="17"/>
    </w:lvl>
    <w:lvl w:ilvl="1">
      <w:lvlJc w:val="left"/>
      <w:lvlText w:val="(%2)"/>
      <w:numFmt w:val="lowerLetter"/>
      <w:start w:val="18"/>
    </w:lvl>
  </w:abstractNum>
  <w:abstractNum w:abstractNumId="145">
    <w:nsid w:val="29BACF25"/>
    <w:multiLevelType w:val="hybridMultilevel"/>
    <w:lvl w:ilvl="0">
      <w:lvlJc w:val="left"/>
      <w:lvlText w:val="(%1)"/>
      <w:numFmt w:val="lowerLetter"/>
      <w:start w:val="1"/>
    </w:lvl>
  </w:abstractNum>
  <w:abstractNum w:abstractNumId="146">
    <w:nsid w:val="5D5BABB3"/>
    <w:multiLevelType w:val="hybridMultilevel"/>
    <w:lvl w:ilvl="0">
      <w:lvlJc w:val="left"/>
      <w:lvlText w:val="(%1)"/>
      <w:numFmt w:val="lowerLetter"/>
      <w:start w:val="3"/>
    </w:lvl>
  </w:abstractNum>
  <w:abstractNum w:abstractNumId="147">
    <w:nsid w:val="51BF6B48"/>
    <w:multiLevelType w:val="hybridMultilevel"/>
    <w:lvl w:ilvl="0">
      <w:lvlJc w:val="left"/>
      <w:lvlText w:val="%1"/>
      <w:numFmt w:val="lowerLetter"/>
      <w:start w:val="1"/>
    </w:lvl>
    <w:lvl w:ilvl="1">
      <w:lvlJc w:val="left"/>
      <w:lvlText w:val="(%2)"/>
      <w:numFmt w:val="lowerLetter"/>
      <w:start w:val="1"/>
    </w:lvl>
  </w:abstractNum>
  <w:abstractNum w:abstractNumId="148">
    <w:nsid w:val="7E0F6384"/>
    <w:multiLevelType w:val="hybridMultilevel"/>
    <w:lvl w:ilvl="0">
      <w:lvlJc w:val="left"/>
      <w:lvlText w:val="(%1)"/>
      <w:numFmt w:val="lowerLetter"/>
      <w:start w:val="61"/>
    </w:lvl>
    <w:lvl w:ilvl="1">
      <w:lvlJc w:val="left"/>
      <w:lvlText w:val="%2"/>
      <w:numFmt w:val="lowerLetter"/>
      <w:start w:val="1"/>
    </w:lvl>
  </w:abstractNum>
  <w:abstractNum w:abstractNumId="149">
    <w:nsid w:val="2B4B8B53"/>
    <w:multiLevelType w:val="hybridMultilevel"/>
    <w:lvl w:ilvl="0">
      <w:lvlJc w:val="left"/>
      <w:lvlText w:val="(%1)"/>
      <w:numFmt w:val="lowerLetter"/>
      <w:start w:val="2"/>
    </w:lvl>
  </w:abstractNum>
  <w:abstractNum w:abstractNumId="150">
    <w:nsid w:val="72E3413A"/>
    <w:multiLevelType w:val="hybridMultilevel"/>
    <w:lvl w:ilvl="0">
      <w:lvlJc w:val="left"/>
      <w:lvlText w:val="(%1)"/>
      <w:numFmt w:val="lowerLetter"/>
      <w:start w:val="1"/>
    </w:lvl>
  </w:abstractNum>
  <w:abstractNum w:abstractNumId="151">
    <w:nsid w:val="116AE4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152">
    <w:nsid w:val="3494B2FB"/>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8"/>
    </w:lvl>
  </w:abstractNum>
  <w:abstractNum w:abstractNumId="153">
    <w:nsid w:val="B13A31"/>
    <w:multiLevelType w:val="hybridMultilevel"/>
    <w:lvl w:ilvl="0">
      <w:lvlJc w:val="left"/>
      <w:lvlText w:val="%1"/>
      <w:numFmt w:val="lowerLetter"/>
      <w:start w:val="1"/>
    </w:lvl>
    <w:lvl w:ilvl="1">
      <w:lvlJc w:val="left"/>
      <w:lvlText w:val="(%2)"/>
      <w:numFmt w:val="lowerLetter"/>
      <w:start w:val="17"/>
    </w:lvl>
  </w:abstractNum>
  <w:abstractNum w:abstractNumId="154">
    <w:nsid w:val="64429599"/>
    <w:multiLevelType w:val="hybridMultilevel"/>
    <w:lvl w:ilvl="0">
      <w:lvlJc w:val="left"/>
      <w:lvlText w:val="(%1)"/>
      <w:numFmt w:val="lowerLetter"/>
      <w:start w:val="35"/>
    </w:lvl>
    <w:lvl w:ilvl="1">
      <w:lvlJc w:val="left"/>
      <w:lvlText w:val="%2"/>
      <w:numFmt w:val="lowerLetter"/>
      <w:start w:val="1"/>
    </w:lvl>
  </w:abstractNum>
  <w:abstractNum w:abstractNumId="155">
    <w:nsid w:val="631F1690"/>
    <w:multiLevelType w:val="hybridMultilevel"/>
    <w:lvl w:ilvl="0">
      <w:lvlJc w:val="left"/>
      <w:lvlText w:val="(%1)"/>
      <w:numFmt w:val="lowerLetter"/>
      <w:start w:val="1"/>
    </w:lvl>
  </w:abstractNum>
  <w:abstractNum w:abstractNumId="156">
    <w:nsid w:val="25973E32"/>
    <w:multiLevelType w:val="hybridMultilevel"/>
    <w:lvl w:ilvl="0">
      <w:lvlJc w:val="left"/>
      <w:lvlText w:val="(%1)"/>
      <w:numFmt w:val="lowerLetter"/>
      <w:start w:val="3"/>
    </w:lvl>
  </w:abstractNum>
  <w:abstractNum w:abstractNumId="157">
    <w:nsid w:val="EAD6F57"/>
    <w:multiLevelType w:val="hybridMultilevel"/>
    <w:lvl w:ilvl="0">
      <w:lvlJc w:val="left"/>
      <w:lvlText w:val="(%1)"/>
      <w:numFmt w:val="lowerLetter"/>
      <w:start w:val="11"/>
    </w:lvl>
  </w:abstractNum>
  <w:abstractNum w:abstractNumId="158">
    <w:nsid w:val="6EC9D84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59">
    <w:nsid w:val="5C49EAEE"/>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
    </w:lvl>
  </w:abstractNum>
  <w:abstractNum w:abstractNumId="160">
    <w:nsid w:val="64AF49B"/>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4"/>
    </w:lvl>
  </w:abstractNum>
  <w:abstractNum w:abstractNumId="161">
    <w:nsid w:val="397C46BC"/>
    <w:multiLevelType w:val="hybridMultilevel"/>
    <w:lvl w:ilvl="0">
      <w:lvlJc w:val="left"/>
      <w:lvlText w:val="(%1)"/>
      <w:numFmt w:val="lowerLetter"/>
      <w:start w:val="8"/>
    </w:lvl>
  </w:abstractNum>
  <w:abstractNum w:abstractNumId="162">
    <w:nsid w:val="7E448DE9"/>
    <w:multiLevelType w:val="hybridMultilevel"/>
    <w:lvl w:ilvl="0">
      <w:lvlJc w:val="left"/>
      <w:lvlText w:val="%1"/>
      <w:numFmt w:val="lowerLetter"/>
      <w:start w:val="1"/>
    </w:lvl>
    <w:lvl w:ilvl="1">
      <w:lvlJc w:val="left"/>
      <w:lvlText w:val="(%2)"/>
      <w:numFmt w:val="lowerLetter"/>
      <w:start w:val="1"/>
    </w:lvl>
  </w:abstractNum>
  <w:abstractNum w:abstractNumId="163">
    <w:nsid w:val="5A9CC3E5"/>
    <w:multiLevelType w:val="hybridMultilevel"/>
    <w:lvl w:ilvl="0">
      <w:lvlJc w:val="left"/>
      <w:lvlText w:val="(%1)"/>
      <w:numFmt w:val="lowerLetter"/>
      <w:start w:val="4"/>
    </w:lvl>
    <w:lvl w:ilvl="1">
      <w:lvlJc w:val="left"/>
      <w:lvlText w:val="(%2)"/>
      <w:numFmt w:val="lowerLetter"/>
      <w:start w:val="5"/>
    </w:lvl>
  </w:abstractNum>
  <w:abstractNum w:abstractNumId="164">
    <w:nsid w:val="1AFE3625"/>
    <w:multiLevelType w:val="hybridMultilevel"/>
    <w:lvl w:ilvl="0">
      <w:lvlJc w:val="left"/>
      <w:lvlText w:val="%1"/>
      <w:numFmt w:val="lowerLetter"/>
      <w:start w:val="1"/>
    </w:lvl>
    <w:lvl w:ilvl="1">
      <w:lvlJc w:val="left"/>
      <w:lvlText w:val="(%2)"/>
      <w:numFmt w:val="lowerLetter"/>
      <w:start w:val="1"/>
    </w:lvl>
  </w:abstractNum>
  <w:abstractNum w:abstractNumId="165">
    <w:nsid w:val="3CA88ECF"/>
    <w:multiLevelType w:val="hybridMultilevel"/>
    <w:lvl w:ilvl="0">
      <w:lvlJc w:val="left"/>
      <w:lvlText w:val="(%1)"/>
      <w:numFmt w:val="lowerLetter"/>
      <w:start w:val="25"/>
    </w:lvl>
    <w:lvl w:ilvl="1">
      <w:lvlJc w:val="left"/>
      <w:lvlText w:val="(%2)"/>
      <w:numFmt w:val="lowerLetter"/>
      <w:start w:val="2"/>
    </w:lvl>
  </w:abstractNum>
  <w:abstractNum w:abstractNumId="166">
    <w:nsid w:val="6EBE4208"/>
    <w:multiLevelType w:val="hybridMultilevel"/>
    <w:lvl w:ilvl="0">
      <w:lvlJc w:val="left"/>
      <w:lvlText w:val="(%1)"/>
      <w:numFmt w:val="lowerLetter"/>
      <w:start w:val="1"/>
    </w:lvl>
  </w:abstractNum>
  <w:abstractNum w:abstractNumId="167">
    <w:nsid w:val="C058DF5"/>
    <w:multiLevelType w:val="hybridMultilevel"/>
    <w:lvl w:ilvl="0">
      <w:lvlJc w:val="left"/>
      <w:lvlText w:val="%1"/>
      <w:numFmt w:val="lowerLetter"/>
      <w:start w:val="1"/>
    </w:lvl>
    <w:lvl w:ilvl="1">
      <w:lvlJc w:val="left"/>
      <w:lvlText w:val="(%2)"/>
      <w:numFmt w:val="lowerLetter"/>
      <w:start w:val="4"/>
    </w:lvl>
  </w:abstractNum>
  <w:abstractNum w:abstractNumId="168">
    <w:nsid w:val="CBE5BE9"/>
    <w:multiLevelType w:val="hybridMultilevel"/>
    <w:lvl w:ilvl="0">
      <w:lvlJc w:val="left"/>
      <w:lvlText w:val="(%1)"/>
      <w:numFmt w:val="lowerLetter"/>
      <w:start w:val="9"/>
    </w:lvl>
    <w:lvl w:ilvl="1">
      <w:lvlJc w:val="left"/>
      <w:lvlText w:val="(%2)"/>
      <w:numFmt w:val="lowerLetter"/>
      <w:start w:val="6"/>
    </w:lvl>
  </w:abstractNum>
  <w:abstractNum w:abstractNumId="169">
    <w:nsid w:val="3102BBE2"/>
    <w:multiLevelType w:val="hybridMultilevel"/>
    <w:lvl w:ilvl="0">
      <w:lvlJc w:val="left"/>
      <w:lvlText w:val="(%1)"/>
      <w:numFmt w:val="lowerLetter"/>
      <w:start w:val="61"/>
    </w:lvl>
    <w:lvl w:ilvl="1">
      <w:lvlJc w:val="left"/>
      <w:lvlText w:val="(%2)"/>
      <w:numFmt w:val="lowerLetter"/>
      <w:start w:val="8"/>
    </w:lvl>
  </w:abstractNum>
  <w:abstractNum w:abstractNumId="170">
    <w:nsid w:val="26A02C5E"/>
    <w:multiLevelType w:val="hybridMultilevel"/>
    <w:lvl w:ilvl="0">
      <w:lvlJc w:val="left"/>
      <w:lvlText w:val="(%1)"/>
      <w:numFmt w:val="lowerLetter"/>
      <w:start w:val="15"/>
    </w:lvl>
  </w:abstractNum>
  <w:abstractNum w:abstractNumId="171">
    <w:nsid w:val="541C8153"/>
    <w:multiLevelType w:val="hybridMultilevel"/>
    <w:lvl w:ilvl="0">
      <w:lvlJc w:val="left"/>
      <w:lvlText w:val="(%1)"/>
      <w:numFmt w:val="lowerLetter"/>
      <w:start w:val="1"/>
    </w:lvl>
  </w:abstractNum>
  <w:abstractNum w:abstractNumId="172">
    <w:nsid w:val="67906F60"/>
    <w:multiLevelType w:val="hybridMultilevel"/>
    <w:lvl w:ilvl="0">
      <w:lvlJc w:val="left"/>
      <w:lvlText w:val="(%1)"/>
      <w:numFmt w:val="lowerLetter"/>
      <w:start w:val="1"/>
    </w:lvl>
  </w:abstractNum>
  <w:abstractNum w:abstractNumId="173">
    <w:nsid w:val="10DB9DAA"/>
    <w:multiLevelType w:val="hybridMultilevel"/>
    <w:lvl w:ilvl="0">
      <w:lvlJc w:val="left"/>
      <w:lvlText w:val="(%1)"/>
      <w:numFmt w:val="lowerLetter"/>
      <w:start w:val="1"/>
    </w:lvl>
  </w:abstractNum>
  <w:abstractNum w:abstractNumId="174">
    <w:nsid w:val="697D2D2"/>
    <w:multiLevelType w:val="hybridMultilevel"/>
    <w:lvl w:ilvl="0">
      <w:lvlJc w:val="left"/>
      <w:lvlText w:val="(%1)"/>
      <w:numFmt w:val="lowerLetter"/>
      <w:start w:val="2"/>
    </w:lvl>
  </w:abstractNum>
  <w:abstractNum w:abstractNumId="175">
    <w:nsid w:val="6D68AB2"/>
    <w:multiLevelType w:val="hybridMultilevel"/>
    <w:lvl w:ilvl="0">
      <w:lvlJc w:val="left"/>
      <w:lvlText w:val="(%1)"/>
      <w:numFmt w:val="lowerLetter"/>
      <w:start w:val="1"/>
    </w:lvl>
    <w:lvl w:ilvl="1">
      <w:lvlJc w:val="left"/>
      <w:lvlText w:val="(%2)"/>
      <w:numFmt w:val="lowerLetter"/>
      <w:start w:val="9"/>
    </w:lvl>
  </w:abstractNum>
  <w:abstractNum w:abstractNumId="176">
    <w:nsid w:val="3A966CD0"/>
    <w:multiLevelType w:val="hybridMultilevel"/>
    <w:lvl w:ilvl="0">
      <w:lvlJc w:val="left"/>
      <w:lvlText w:val="(%1)"/>
      <w:numFmt w:val="lowerLetter"/>
      <w:start w:val="2"/>
    </w:lvl>
  </w:abstractNum>
  <w:abstractNum w:abstractNumId="177">
    <w:nsid w:val="63F37E85"/>
    <w:multiLevelType w:val="hybridMultilevel"/>
    <w:lvl w:ilvl="0">
      <w:lvlJc w:val="left"/>
      <w:lvlText w:val="(%1)"/>
      <w:numFmt w:val="lowerLetter"/>
      <w:start w:val="1"/>
    </w:lvl>
  </w:abstractNum>
  <w:abstractNum w:abstractNumId="178">
    <w:nsid w:val="5895F5FA"/>
    <w:multiLevelType w:val="hybridMultilevel"/>
    <w:lvl w:ilvl="0">
      <w:lvlJc w:val="left"/>
      <w:lvlText w:val="(%1)"/>
      <w:numFmt w:val="lowerLetter"/>
      <w:start w:val="1"/>
    </w:lvl>
  </w:abstractNum>
  <w:abstractNum w:abstractNumId="179">
    <w:nsid w:val="38A5D054"/>
    <w:multiLevelType w:val="hybridMultilevel"/>
    <w:lvl w:ilvl="0">
      <w:lvlJc w:val="left"/>
      <w:lvlText w:val="(%1)"/>
      <w:numFmt w:val="lowerLetter"/>
      <w:start w:val="4"/>
    </w:lvl>
  </w:abstractNum>
  <w:abstractNum w:abstractNumId="180">
    <w:nsid w:val="F3F09D8"/>
    <w:multiLevelType w:val="hybridMultilevel"/>
    <w:lvl w:ilvl="0">
      <w:lvlJc w:val="left"/>
      <w:lvlText w:val="(%1)"/>
      <w:numFmt w:val="lowerLetter"/>
      <w:start w:val="1"/>
    </w:lvl>
    <w:lvl w:ilvl="1">
      <w:lvlJc w:val="left"/>
      <w:lvlText w:val="(%2)"/>
      <w:numFmt w:val="lowerLetter"/>
      <w:start w:val="9"/>
    </w:lvl>
  </w:abstractNum>
  <w:abstractNum w:abstractNumId="181">
    <w:nsid w:val="4B793735"/>
    <w:multiLevelType w:val="hybridMultilevel"/>
    <w:lvl w:ilvl="0">
      <w:lvlJc w:val="left"/>
      <w:lvlText w:val="%1"/>
      <w:numFmt w:val="lowerLetter"/>
      <w:start w:val="1"/>
    </w:lvl>
    <w:lvl w:ilvl="1">
      <w:lvlJc w:val="left"/>
      <w:lvlText w:val="(%2)"/>
      <w:numFmt w:val="lowerLetter"/>
      <w:start w:val="35"/>
    </w:lvl>
  </w:abstractNum>
  <w:abstractNum w:abstractNumId="182">
    <w:nsid w:val="4A10B4E8"/>
    <w:multiLevelType w:val="hybridMultilevel"/>
    <w:lvl w:ilvl="0">
      <w:lvlJc w:val="left"/>
      <w:lvlText w:val="(%1)"/>
      <w:numFmt w:val="lowerLetter"/>
      <w:start w:val="2"/>
    </w:lvl>
    <w:lvl w:ilvl="1">
      <w:lvlJc w:val="left"/>
      <w:lvlText w:val="(%2)"/>
      <w:numFmt w:val="lowerLetter"/>
      <w:start w:val="9"/>
    </w:lvl>
  </w:abstractNum>
  <w:abstractNum w:abstractNumId="183">
    <w:nsid w:val="43D3BCD4"/>
    <w:multiLevelType w:val="hybridMultilevel"/>
    <w:lvl w:ilvl="0">
      <w:lvlJc w:val="left"/>
      <w:lvlText w:val="(%1)"/>
      <w:numFmt w:val="lowerRoman"/>
      <w:start w:val="2"/>
    </w:lvl>
  </w:abstractNum>
  <w:abstractNum w:abstractNumId="184">
    <w:nsid w:val="4C2A716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5">
    <w:nsid w:val="2E534A82"/>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1"/>
    </w:lvl>
  </w:abstractNum>
  <w:abstractNum w:abstractNumId="186">
    <w:nsid w:val="26F2D364"/>
    <w:multiLevelType w:val="hybridMultilevel"/>
    <w:lvl w:ilvl="0">
      <w:lvlJc w:val="left"/>
      <w:lvlText w:val="(%1)"/>
      <w:numFmt w:val="lowerLetter"/>
      <w:start w:val="1"/>
    </w:lvl>
  </w:abstractNum>
  <w:abstractNum w:abstractNumId="187">
    <w:nsid w:val="71C1AF98"/>
    <w:multiLevelType w:val="hybridMultilevel"/>
    <w:lvl w:ilvl="0">
      <w:lvlJc w:val="left"/>
      <w:lvlText w:val="(%1)"/>
      <w:numFmt w:val="lowerRoman"/>
      <w:start w:val="1"/>
    </w:lvl>
  </w:abstractNum>
  <w:abstractNum w:abstractNumId="188">
    <w:nsid w:val="3D00B9D9"/>
    <w:multiLevelType w:val="hybridMultilevel"/>
    <w:lvl w:ilvl="0">
      <w:lvlJc w:val="left"/>
      <w:lvlText w:val="(%1)"/>
      <w:numFmt w:val="lowerRoman"/>
      <w:start w:val="2"/>
    </w:lvl>
  </w:abstractNum>
  <w:abstractNum w:abstractNumId="189">
    <w:nsid w:val="15BCABA8"/>
    <w:multiLevelType w:val="hybridMultilevel"/>
    <w:lvl w:ilvl="0">
      <w:lvlJc w:val="left"/>
      <w:lvlText w:val="(%1)"/>
      <w:numFmt w:val="lowerRoman"/>
      <w:start w:val="4"/>
    </w:lvl>
  </w:abstractNum>
  <w:abstractNum w:abstractNumId="190">
    <w:nsid w:val="4E0B9A87"/>
    <w:multiLevelType w:val="hybridMultilevel"/>
    <w:lvl w:ilvl="0">
      <w:lvlJc w:val="left"/>
      <w:lvlText w:val="(%1)"/>
      <w:numFmt w:val="lowerLetter"/>
      <w:start w:val="1"/>
    </w:lvl>
  </w:abstractNum>
  <w:abstractNum w:abstractNumId="191">
    <w:nsid w:val="434BAE75"/>
    <w:multiLevelType w:val="hybridMultilevel"/>
    <w:lvl w:ilvl="0">
      <w:lvlJc w:val="left"/>
      <w:lvlText w:val="%1"/>
      <w:numFmt w:val="lowerLetter"/>
      <w:start w:val="1"/>
    </w:lvl>
    <w:lvl w:ilvl="1">
      <w:lvlJc w:val="left"/>
      <w:lvlText w:val="(%2)"/>
      <w:numFmt w:val="lowerLetter"/>
      <w:start w:val="2"/>
    </w:lvl>
  </w:abstractNum>
  <w:abstractNum w:abstractNumId="192">
    <w:nsid w:val="4F38F265"/>
    <w:multiLevelType w:val="hybridMultilevel"/>
    <w:lvl w:ilvl="0">
      <w:lvlJc w:val="left"/>
      <w:lvlText w:val="(%1)"/>
      <w:numFmt w:val="lowerLetter"/>
      <w:start w:val="9"/>
    </w:lvl>
    <w:lvl w:ilvl="1">
      <w:lvlJc w:val="left"/>
      <w:lvlText w:val="%2"/>
      <w:numFmt w:val="lowerLetter"/>
      <w:start w:val="1"/>
    </w:lvl>
  </w:abstractNum>
  <w:abstractNum w:abstractNumId="193">
    <w:nsid w:val="4C502870"/>
    <w:multiLevelType w:val="hybridMultilevel"/>
    <w:lvl w:ilvl="0">
      <w:lvlJc w:val="left"/>
      <w:lvlText w:val="(%1)"/>
      <w:numFmt w:val="lowerLetter"/>
      <w:start w:val="3"/>
    </w:lvl>
  </w:abstractNum>
  <w:abstractNum w:abstractNumId="194">
    <w:nsid w:val="1DE872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95">
    <w:nsid w:val="6A37288A"/>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4)"/>
      <w:numFmt w:val="upperLetter"/>
      <w:start w:val="1"/>
    </w:lvl>
  </w:abstractNum>
  <w:abstractNum w:abstractNumId="196">
    <w:nsid w:val="8F8B73F"/>
    <w:multiLevelType w:val="hybridMultilevel"/>
    <w:lvl w:ilvl="0">
      <w:lvlJc w:val="left"/>
      <w:lvlText w:val="(%1)"/>
      <w:numFmt w:val="lowerRoman"/>
      <w:start w:val="5"/>
    </w:lvl>
    <w:lvl w:ilvl="1">
      <w:lvlJc w:val="left"/>
      <w:lvlText w:val="(%2)"/>
      <w:numFmt w:val="lowerRoman"/>
      <w:start w:val="6"/>
    </w:lvl>
    <w:lvl w:ilvl="2">
      <w:lvlJc w:val="left"/>
      <w:lvlText w:val="%3"/>
      <w:numFmt w:val="upperLetter"/>
      <w:start w:val="1"/>
    </w:lvl>
    <w:lvl w:ilvl="3">
      <w:lvlJc w:val="left"/>
      <w:lvlText w:val="%4"/>
      <w:numFmt w:val="upperLetter"/>
      <w:start w:val="1"/>
    </w:lvl>
  </w:abstractNum>
  <w:abstractNum w:abstractNumId="197">
    <w:nsid w:val="CA6B462"/>
    <w:multiLevelType w:val="hybridMultilevel"/>
    <w:lvl w:ilvl="0">
      <w:lvlJc w:val="left"/>
      <w:lvlText w:val="(%1)"/>
      <w:numFmt w:val="lowerLetter"/>
      <w:start w:val="3"/>
    </w:lvl>
  </w:abstractNum>
  <w:abstractNum w:abstractNumId="198">
    <w:nsid w:val="763CB680"/>
    <w:multiLevelType w:val="hybridMultilevel"/>
    <w:lvl w:ilvl="0">
      <w:lvlJc w:val="left"/>
      <w:lvlText w:val="(%1)"/>
      <w:numFmt w:val="lowerLetter"/>
      <w:start w:val="9"/>
    </w:lvl>
  </w:abstractNum>
  <w:abstractNum w:abstractNumId="199">
    <w:nsid w:val="15B71329"/>
    <w:multiLevelType w:val="hybridMultilevel"/>
    <w:lvl w:ilvl="0">
      <w:lvlJc w:val="left"/>
      <w:lvlText w:val="(%1)"/>
      <w:numFmt w:val="lowerLetter"/>
      <w:start w:val="61"/>
    </w:lvl>
  </w:abstractNum>
  <w:abstractNum w:abstractNumId="200">
    <w:nsid w:val="3DA97044"/>
    <w:multiLevelType w:val="hybridMultilevel"/>
    <w:lvl w:ilvl="0">
      <w:lvlJc w:val="left"/>
      <w:lvlText w:val="(%1)"/>
      <w:numFmt w:val="lowerLetter"/>
      <w:start w:val="3"/>
    </w:lvl>
  </w:abstractNum>
  <w:abstractNum w:abstractNumId="201">
    <w:nsid w:val="1CDCE2DE"/>
    <w:multiLevelType w:val="hybridMultilevel"/>
    <w:lvl w:ilvl="0">
      <w:lvlJc w:val="left"/>
      <w:lvlText w:val="(%1)"/>
      <w:numFmt w:val="lowerLetter"/>
      <w:start w:val="5"/>
    </w:lvl>
  </w:abstractNum>
  <w:abstractNum w:abstractNumId="202">
    <w:nsid w:val="69D3947C"/>
    <w:multiLevelType w:val="hybridMultilevel"/>
    <w:lvl w:ilvl="0">
      <w:lvlJc w:val="left"/>
      <w:lvlText w:val="(%1)"/>
      <w:numFmt w:val="lowerLetter"/>
      <w:start w:val="1"/>
    </w:lvl>
  </w:abstractNum>
  <w:abstractNum w:abstractNumId="203">
    <w:nsid w:val="2539DFA5"/>
    <w:multiLevelType w:val="hybridMultilevel"/>
    <w:lvl w:ilvl="0">
      <w:lvlJc w:val="left"/>
      <w:lvlText w:val="%1"/>
      <w:numFmt w:val="lowerLetter"/>
      <w:start w:val="1"/>
    </w:lvl>
    <w:lvl w:ilvl="1">
      <w:lvlJc w:val="left"/>
      <w:lvlText w:val="(%2)"/>
      <w:numFmt w:val="lowerLetter"/>
      <w:start w:val="1"/>
    </w:lvl>
  </w:abstractNum>
  <w:abstractNum w:abstractNumId="204">
    <w:nsid w:val="2DB88089"/>
    <w:multiLevelType w:val="hybridMultilevel"/>
    <w:lvl w:ilvl="0">
      <w:lvlJc w:val="left"/>
      <w:lvlText w:val="(%1)"/>
      <w:numFmt w:val="lowerLetter"/>
      <w:start w:val="9"/>
    </w:lvl>
    <w:lvl w:ilvl="1">
      <w:lvlJc w:val="left"/>
      <w:lvlText w:val="%2"/>
      <w:numFmt w:val="lowerLetter"/>
      <w:start w:val="1"/>
    </w:lvl>
  </w:abstractNum>
  <w:abstractNum w:abstractNumId="205">
    <w:nsid w:val="706B674E"/>
    <w:multiLevelType w:val="hybridMultilevel"/>
    <w:lvl w:ilvl="0">
      <w:lvlJc w:val="left"/>
      <w:lvlText w:val="(%1)"/>
      <w:numFmt w:val="lowerLetter"/>
      <w:start w:val="1"/>
    </w:lvl>
  </w:abstractNum>
  <w:abstractNum w:abstractNumId="206">
    <w:nsid w:val="2C106A57"/>
    <w:multiLevelType w:val="hybridMultilevel"/>
    <w:lvl w:ilvl="0">
      <w:lvlJc w:val="left"/>
      <w:lvlText w:val="(%1)"/>
      <w:numFmt w:val="lowerLetter"/>
      <w:start w:val="2"/>
    </w:lvl>
  </w:abstractNum>
  <w:abstractNum w:abstractNumId="207">
    <w:nsid w:val="684EED59"/>
    <w:multiLevelType w:val="hybridMultilevel"/>
    <w:lvl w:ilvl="0">
      <w:lvlJc w:val="left"/>
      <w:lvlText w:val="(%1)"/>
      <w:numFmt w:val="lowerRoman"/>
      <w:start w:val="1"/>
    </w:lvl>
  </w:abstractNum>
  <w:abstractNum w:abstractNumId="208">
    <w:nsid w:val="545EE5D3"/>
    <w:multiLevelType w:val="hybridMultilevel"/>
    <w:lvl w:ilvl="0">
      <w:lvlJc w:val="left"/>
      <w:lvlText w:val="(%1)"/>
      <w:numFmt w:val="lowerRoman"/>
      <w:start w:val="2"/>
    </w:lvl>
  </w:abstractNum>
  <w:abstractNum w:abstractNumId="209">
    <w:nsid w:val="4A66051"/>
    <w:multiLevelType w:val="hybridMultilevel"/>
    <w:lvl w:ilvl="0">
      <w:lvlJc w:val="left"/>
      <w:lvlText w:val="%1."/>
      <w:numFmt w:val="decimal"/>
      <w:start w:val="1"/>
    </w:lvl>
  </w:abstractNum>
  <w:abstractNum w:abstractNumId="210">
    <w:nsid w:val="20F4BDAD"/>
    <w:multiLevelType w:val="hybridMultilevel"/>
    <w:lvl w:ilvl="0">
      <w:lvlJc w:val="left"/>
      <w:lvlText w:val="%1"/>
      <w:numFmt w:val="lowerLetter"/>
      <w:start w:val="1"/>
    </w:lvl>
    <w:lvl w:ilvl="1">
      <w:lvlJc w:val="left"/>
      <w:lvlText w:val="%2."/>
      <w:numFmt w:val="decimal"/>
      <w:start w:val="2"/>
    </w:lvl>
  </w:abstractNum>
  <w:abstractNum w:abstractNumId="211">
    <w:nsid w:val="639DEFAC"/>
    <w:multiLevelType w:val="hybridMultilevel"/>
    <w:lvl w:ilvl="0">
      <w:lvlJc w:val="left"/>
      <w:lvlText w:val="(%1)"/>
      <w:numFmt w:val="lowerLetter"/>
      <w:start w:val="1"/>
    </w:lvl>
    <w:lvl w:ilvl="1">
      <w:lvlJc w:val="left"/>
      <w:lvlText w:val="%2"/>
      <w:numFmt w:val="decimal"/>
      <w:start w:val="1"/>
    </w:lvl>
  </w:abstractNum>
  <w:abstractNum w:abstractNumId="212">
    <w:nsid w:val="501F9786"/>
    <w:multiLevelType w:val="hybridMultilevel"/>
    <w:lvl w:ilvl="0">
      <w:lvlJc w:val="left"/>
      <w:lvlText w:val="%1."/>
      <w:numFmt w:val="decimal"/>
      <w:start w:val="3"/>
    </w:lvl>
  </w:abstractNum>
  <w:abstractNum w:abstractNumId="213">
    <w:nsid w:val="6B057295"/>
    <w:multiLevelType w:val="hybridMultilevel"/>
    <w:lvl w:ilvl="0">
      <w:lvlJc w:val="left"/>
      <w:lvlText w:val="%1."/>
      <w:numFmt w:val="decimal"/>
      <w:start w:val="5"/>
    </w:lvl>
  </w:abstractNum>
  <w:abstractNum w:abstractNumId="214">
    <w:nsid w:val="2771AC80"/>
    <w:multiLevelType w:val="hybridMultilevel"/>
    <w:lvl w:ilvl="0">
      <w:lvlJc w:val="left"/>
      <w:lvlText w:val="%1."/>
      <w:numFmt w:val="decimal"/>
      <w:start w:val="1"/>
    </w:lvl>
    <w:lvl w:ilvl="1">
      <w:lvlJc w:val="left"/>
      <w:lvlText w:val="(%2)"/>
      <w:numFmt w:val="lowerLetter"/>
      <w:start w:val="1"/>
    </w:lvl>
  </w:abstractNum>
  <w:abstractNum w:abstractNumId="215">
    <w:nsid w:val="1C4A08EC"/>
    <w:multiLevelType w:val="hybridMultilevel"/>
    <w:lvl w:ilvl="0">
      <w:lvlJc w:val="left"/>
      <w:lvlText w:val="1"/>
      <w:numFmt w:val="bullet"/>
      <w:start w:val="1"/>
    </w:lvl>
  </w:abstractNum>
  <w:abstractNum w:abstractNumId="216">
    <w:nsid w:val="1958BD17"/>
    <w:multiLevelType w:val="hybridMultilevel"/>
    <w:lvl w:ilvl="0">
      <w:lvlJc w:val="left"/>
      <w:lvlText w:val="2"/>
      <w:numFmt w:val="bullet"/>
      <w:start w:val="1"/>
    </w:lvl>
  </w:abstractNum>
  <w:abstractNum w:abstractNumId="217">
    <w:nsid w:val="4E647FE4"/>
    <w:multiLevelType w:val="hybridMultilevel"/>
    <w:lvl w:ilvl="0">
      <w:lvlJc w:val="left"/>
      <w:lvlText w:val="3"/>
      <w:numFmt w:val="bullet"/>
      <w:start w:val="1"/>
    </w:lvl>
  </w:abstractNum>
  <w:abstractNum w:abstractNumId="218">
    <w:nsid w:val="E0BB885"/>
    <w:multiLevelType w:val="hybridMultilevel"/>
    <w:lvl w:ilvl="0">
      <w:lvlJc w:val="left"/>
      <w:lvlText w:val="4"/>
      <w:numFmt w:val="bullet"/>
      <w:start w:val="1"/>
    </w:lvl>
    <w:lvl w:ilvl="1">
      <w:lvlJc w:val="left"/>
      <w:lvlText w:val="(%2)"/>
      <w:numFmt w:val="lowerLetter"/>
      <w:start w:val="1"/>
    </w:lvl>
  </w:abstractNum>
  <w:abstractNum w:abstractNumId="219">
    <w:nsid w:val="565976F1"/>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92" Type="http://schemas.openxmlformats.org/officeDocument/2006/relationships/hyperlink" Target="https://www.sec.gov/Archives/edgar/data/0001788882/000162828020015173/exhibit31-8xkxamendeda.htm" TargetMode="External"/><Relationship Id="rId93" Type="http://schemas.openxmlformats.org/officeDocument/2006/relationships/hyperlink" Target="https://www.sec.gov/Archives/edgar/data/1788882/000178888222000026/a31rootcharteramendment.htm" TargetMode="External"/><Relationship Id="rId94" Type="http://schemas.openxmlformats.org/officeDocument/2006/relationships/hyperlink" Target="https://www.sec.gov/Archives/edgar/data/1788882/000162828023004580/a33amendedandrestatedbylaws.htm" TargetMode="External"/><Relationship Id="rId95" Type="http://schemas.openxmlformats.org/officeDocument/2006/relationships/hyperlink" Target="https://www.sec.gov/Archives/edgar/data/0001788882/000119312521289291/d236036dex31.htm" TargetMode="External"/><Relationship Id="rId96" Type="http://schemas.openxmlformats.org/officeDocument/2006/relationships/hyperlink" Target="https://www.sec.gov/Archives/edgar/data/1788882/000162828020014581/exhibit41-sx1a1xformof.htm" TargetMode="External"/><Relationship Id="rId97" Type="http://schemas.openxmlformats.org/officeDocument/2006/relationships/hyperlink" Target="https://www.sec.gov/Archives/edgar/data/0001788882/000119312521289291/d236036dex41.htm" TargetMode="External"/><Relationship Id="rId98" Type="http://schemas.openxmlformats.org/officeDocument/2006/relationships/hyperlink" Target="https://www.sec.gov/Archives/edgar/data/1788882/000119312522018949/d295910dex41.htm" TargetMode="External"/><Relationship Id="rId99" Type="http://schemas.openxmlformats.org/officeDocument/2006/relationships/hyperlink" Target="https://www.sec.gov/Archives/edgar/data/1788882/000119312522018949/d29591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2024-10-30T15:43:51Z</dcterms:created>
  <dcterms:modified xsi:type="dcterms:W3CDTF">2024-10-30T15:43:51Z</dcterms:modified>
</cp:coreProperties>
</file>