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before="0" w:after="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or </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from____________to____________</w:t>
      </w:r>
    </w:p>
    <w:p>
      <w:pPr>
        <w:pStyle w:val="TextBody"/>
        <w:bidi w:val="0"/>
        <w:spacing w:before="0" w:after="180"/>
        <w:ind w:left="0" w:right="0" w:firstLine="36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 File Number: 001-39658</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ROOT,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65" w:type="dxa"/>
        <w:jc w:val="center"/>
        <w:tblInd w:w="0" w:type="dxa"/>
        <w:tblLayout w:type="fixed"/>
        <w:tblCellMar>
          <w:top w:w="28" w:type="dxa"/>
          <w:left w:w="28" w:type="dxa"/>
          <w:bottom w:w="28" w:type="dxa"/>
          <w:right w:w="28" w:type="dxa"/>
        </w:tblCellMar>
      </w:tblPr>
      <w:tblGrid>
        <w:gridCol w:w="1060"/>
        <w:gridCol w:w="929"/>
        <w:gridCol w:w="935"/>
        <w:gridCol w:w="109"/>
        <w:gridCol w:w="109"/>
        <w:gridCol w:w="109"/>
        <w:gridCol w:w="528"/>
        <w:gridCol w:w="528"/>
        <w:gridCol w:w="758"/>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84-2717903</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80 E. Rich Street, Suite 500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Columbus, Ohio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43215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(866) 980-9431</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6837" w:type="dxa"/>
        <w:jc w:val="left"/>
        <w:tblInd w:w="0" w:type="dxa"/>
        <w:tblLayout w:type="fixed"/>
        <w:tblCellMar>
          <w:top w:w="28" w:type="dxa"/>
          <w:left w:w="28" w:type="dxa"/>
          <w:bottom w:w="28" w:type="dxa"/>
          <w:right w:w="28" w:type="dxa"/>
        </w:tblCellMar>
      </w:tblPr>
      <w:tblGrid>
        <w:gridCol w:w="748"/>
        <w:gridCol w:w="656"/>
        <w:gridCol w:w="665"/>
        <w:gridCol w:w="484"/>
        <w:gridCol w:w="484"/>
        <w:gridCol w:w="486"/>
        <w:gridCol w:w="970"/>
        <w:gridCol w:w="970"/>
        <w:gridCol w:w="1374"/>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0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br/>
              <w:t>$0.0001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ROOT</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124" w:type="dxa"/>
        <w:jc w:val="left"/>
        <w:tblInd w:w="0" w:type="dxa"/>
        <w:tblLayout w:type="fixed"/>
        <w:tblCellMar>
          <w:top w:w="28" w:type="dxa"/>
          <w:left w:w="28" w:type="dxa"/>
          <w:bottom w:w="28" w:type="dxa"/>
          <w:right w:w="28" w:type="dxa"/>
        </w:tblCellMar>
      </w:tblPr>
      <w:tblGrid>
        <w:gridCol w:w="674"/>
        <w:gridCol w:w="592"/>
        <w:gridCol w:w="594"/>
        <w:gridCol w:w="662"/>
        <w:gridCol w:w="662"/>
        <w:gridCol w:w="940"/>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April 29, 2026, the number of outstanding shares of the registrant’s Class A common stock, par value $0.0001 per share, was 14,020,060 and the number of outstanding shares of the registrant’s Class B common stock, par value $0.0001 per share, was 1,806,236.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694"/>
        <w:gridCol w:w="609"/>
        <w:gridCol w:w="609"/>
        <w:gridCol w:w="2639"/>
        <w:gridCol w:w="2515"/>
        <w:gridCol w:w="2565"/>
        <w:gridCol w:w="167"/>
        <w:gridCol w:w="167"/>
        <w:gridCol w:w="240"/>
      </w:tblGrid>
      <w:tr>
        <w:trPr/>
        <w:tc>
          <w:tcPr>
            <w:tcW w:w="69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3">
              <w:r>
                <w:rPr>
                  <w:rStyle w:val="InternetLink"/>
                  <w:rFonts w:ascii="Times New Roman;serif" w:hAnsi="Times New Roman;serif"/>
                  <w:b w:val="false"/>
                  <w:color w:val="0000FF"/>
                  <w:sz w:val="20"/>
                  <w:u w:val="single"/>
                </w:rPr>
                <w:t>Special Note Regarding Forward-Looking Statements</w:t>
              </w:r>
            </w:hyperlink>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20d4e18ed3d041eda8fd93537c1da552_13">
              <w:r>
                <w:rPr>
                  <w:rStyle w:val="InternetLink"/>
                  <w:rFonts w:ascii="Times New Roman;serif" w:hAnsi="Times New Roman;serif"/>
                  <w:b w:val="false"/>
                  <w:color w:val="0000FF"/>
                  <w:sz w:val="20"/>
                  <w:u w:val="single"/>
                </w:rPr>
                <w:t>ii</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6">
              <w:r>
                <w:rPr>
                  <w:rStyle w:val="InternetLink"/>
                  <w:rFonts w:ascii="Times New Roman;serif" w:hAnsi="Times New Roman;serif"/>
                  <w:b/>
                  <w:color w:val="0000FF"/>
                  <w:sz w:val="20"/>
                  <w:u w:val="single"/>
                </w:rPr>
                <w:t>Part I. Financial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6">
              <w:r>
                <w:rPr>
                  <w:rStyle w:val="InternetLink"/>
                  <w:rFonts w:ascii="Times New Roman;serif" w:hAnsi="Times New Roman;serif"/>
                  <w:b w:val="false"/>
                  <w:color w:val="0000FF"/>
                  <w:sz w:val="20"/>
                  <w:u w:val="single"/>
                </w:rPr>
                <w:t>1</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9">
              <w:r>
                <w:rPr>
                  <w:rStyle w:val="InternetLink"/>
                  <w:rFonts w:ascii="Times New Roman;serif" w:hAnsi="Times New Roman;serif"/>
                  <w:b w:val="false"/>
                  <w:color w:val="0000FF"/>
                  <w:sz w:val="20"/>
                  <w:u w:val="single"/>
                </w:rPr>
                <w:t xml:space="preserve">Item 1.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9">
              <w:r>
                <w:rPr>
                  <w:rStyle w:val="InternetLink"/>
                  <w:rFonts w:ascii="Times New Roman;serif" w:hAnsi="Times New Roman;serif"/>
                  <w:b w:val="false"/>
                  <w:color w:val="0000FF"/>
                  <w:sz w:val="20"/>
                  <w:u w:val="single"/>
                </w:rPr>
                <w:t>Financial Statements.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9">
              <w:r>
                <w:rPr>
                  <w:rStyle w:val="InternetLink"/>
                  <w:rFonts w:ascii="Times New Roman;serif" w:hAnsi="Times New Roman;serif"/>
                  <w:b w:val="false"/>
                  <w:color w:val="0000FF"/>
                  <w:sz w:val="20"/>
                  <w:u w:val="single"/>
                </w:rPr>
                <w:t>1</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22">
              <w:r>
                <w:rPr>
                  <w:rStyle w:val="InternetLink"/>
                  <w:rFonts w:ascii="Times New Roman;serif" w:hAnsi="Times New Roman;serif"/>
                  <w:b w:val="false"/>
                  <w:color w:val="0000FF"/>
                  <w:sz w:val="20"/>
                  <w:u w:val="single"/>
                </w:rPr>
                <w:t>Condensed Consolidated Balance Sheets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22">
              <w:r>
                <w:rPr>
                  <w:rStyle w:val="InternetLink"/>
                  <w:rFonts w:ascii="Times New Roman;serif" w:hAnsi="Times New Roman;serif"/>
                  <w:b w:val="false"/>
                  <w:color w:val="0000FF"/>
                  <w:sz w:val="20"/>
                  <w:u w:val="single"/>
                </w:rPr>
                <w:t>1</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0d4e18ed3d041eda8fd93537c1da552_25">
              <w:r>
                <w:rPr>
                  <w:rStyle w:val="InternetLink"/>
                  <w:rFonts w:ascii="Times New Roman;serif" w:hAnsi="Times New Roman;serif"/>
                  <w:b w:val="false"/>
                  <w:color w:val="000080"/>
                  <w:sz w:val="20"/>
                  <w:u w:val="single"/>
                </w:rPr>
                <w:t>Condensed Consolidated Statements of Operations and Comprehensive</w:t>
              </w:r>
            </w:hyperlink>
            <w:hyperlink w:anchor="i20d4e18ed3d041eda8fd93537c1da552_25">
              <w:r>
                <w:rPr>
                  <w:rStyle w:val="InternetLink"/>
                  <w:rFonts w:ascii="Times New Roman;serif" w:hAnsi="Times New Roman;serif"/>
                  <w:b w:val="false"/>
                  <w:color w:val="000080"/>
                  <w:sz w:val="20"/>
                  <w:u w:val="single"/>
                </w:rPr>
                <w:t xml:space="preserve"> Income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25">
              <w:r>
                <w:rPr>
                  <w:rStyle w:val="InternetLink"/>
                  <w:rFonts w:ascii="Times New Roman;serif" w:hAnsi="Times New Roman;serif"/>
                  <w:b w:val="false"/>
                  <w:color w:val="0000FF"/>
                  <w:sz w:val="20"/>
                  <w:u w:val="single"/>
                </w:rPr>
                <w:t>2</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0d4e18ed3d041eda8fd93537c1da552_31">
              <w:r>
                <w:rPr>
                  <w:rStyle w:val="InternetLink"/>
                  <w:rFonts w:ascii="Times New Roman;serif" w:hAnsi="Times New Roman;serif"/>
                  <w:b w:val="false"/>
                  <w:color w:val="0000FF"/>
                  <w:sz w:val="20"/>
                  <w:u w:val="single"/>
                </w:rPr>
                <w:t>Condensed Consolidated Statements of Redeemable Convertible Preferred Stock and Stockholders’ Equity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31">
              <w:r>
                <w:rPr>
                  <w:rStyle w:val="InternetLink"/>
                  <w:rFonts w:ascii="Times New Roman;serif" w:hAnsi="Times New Roman;serif"/>
                  <w:b w:val="false"/>
                  <w:color w:val="0000FF"/>
                  <w:sz w:val="20"/>
                  <w:u w:val="single"/>
                </w:rPr>
                <w:t>3</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37">
              <w:r>
                <w:rPr>
                  <w:rStyle w:val="InternetLink"/>
                  <w:rFonts w:ascii="Times New Roman;serif" w:hAnsi="Times New Roman;serif"/>
                  <w:b w:val="false"/>
                  <w:color w:val="0000FF"/>
                  <w:sz w:val="20"/>
                  <w:u w:val="single"/>
                </w:rPr>
                <w:t>Condensed Consolidated Statements of Cash Flows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37">
              <w:r>
                <w:rPr>
                  <w:rStyle w:val="InternetLink"/>
                  <w:rFonts w:ascii="Times New Roman;serif" w:hAnsi="Times New Roman;serif"/>
                  <w:b w:val="false"/>
                  <w:color w:val="0000FF"/>
                  <w:sz w:val="20"/>
                  <w:u w:val="single"/>
                </w:rPr>
                <w:t>4</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40">
              <w:r>
                <w:rPr>
                  <w:rStyle w:val="InternetLink"/>
                  <w:rFonts w:ascii="Times New Roman;serif" w:hAnsi="Times New Roman;serif"/>
                  <w:b w:val="false"/>
                  <w:color w:val="0000FF"/>
                  <w:sz w:val="20"/>
                  <w:u w:val="single"/>
                </w:rPr>
                <w:t>Notes to Condensed Consolidated Financial Statements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40">
              <w:r>
                <w:rPr>
                  <w:rStyle w:val="InternetLink"/>
                  <w:rFonts w:ascii="Times New Roman;serif" w:hAnsi="Times New Roman;serif"/>
                  <w:b w:val="false"/>
                  <w:color w:val="0000FF"/>
                  <w:sz w:val="20"/>
                  <w:u w:val="single"/>
                </w:rPr>
                <w:t>5</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97">
              <w:r>
                <w:rPr>
                  <w:rStyle w:val="InternetLink"/>
                  <w:rFonts w:ascii="Times New Roman;serif" w:hAnsi="Times New Roman;serif"/>
                  <w:b w:val="false"/>
                  <w:color w:val="0000FF"/>
                  <w:sz w:val="20"/>
                  <w:u w:val="single"/>
                </w:rPr>
                <w:t xml:space="preserve">Item 2.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97">
              <w:r>
                <w:rPr>
                  <w:rStyle w:val="InternetLink"/>
                  <w:rFonts w:ascii="Times New Roman;serif" w:hAnsi="Times New Roman;serif"/>
                  <w:b w:val="false"/>
                  <w:color w:val="0000FF"/>
                  <w:sz w:val="20"/>
                  <w:u w:val="single"/>
                </w:rPr>
                <w:t>19</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24">
              <w:r>
                <w:rPr>
                  <w:rStyle w:val="InternetLink"/>
                  <w:rFonts w:ascii="Times New Roman;serif" w:hAnsi="Times New Roman;serif"/>
                  <w:b w:val="false"/>
                  <w:color w:val="0000FF"/>
                  <w:sz w:val="20"/>
                  <w:u w:val="single"/>
                </w:rPr>
                <w:t>Item 3.</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24">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24">
              <w:r>
                <w:rPr>
                  <w:rStyle w:val="InternetLink"/>
                  <w:rFonts w:ascii="Times New Roman;serif" w:hAnsi="Times New Roman;serif"/>
                  <w:b w:val="false"/>
                  <w:color w:val="0000FF"/>
                  <w:sz w:val="20"/>
                  <w:u w:val="single"/>
                </w:rPr>
                <w:t>35</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27">
              <w:r>
                <w:rPr>
                  <w:rStyle w:val="InternetLink"/>
                  <w:rFonts w:ascii="Times New Roman;serif" w:hAnsi="Times New Roman;serif"/>
                  <w:b w:val="false"/>
                  <w:color w:val="0000FF"/>
                  <w:sz w:val="20"/>
                  <w:u w:val="single"/>
                </w:rPr>
                <w:t xml:space="preserve">Item 4.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27">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27">
              <w:r>
                <w:rPr>
                  <w:rStyle w:val="InternetLink"/>
                  <w:rFonts w:ascii="Times New Roman;serif" w:hAnsi="Times New Roman;serif"/>
                  <w:b w:val="false"/>
                  <w:color w:val="0000FF"/>
                  <w:sz w:val="20"/>
                  <w:u w:val="single"/>
                </w:rPr>
                <w:t>36</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30">
              <w:r>
                <w:rPr>
                  <w:rStyle w:val="InternetLink"/>
                  <w:rFonts w:ascii="Times New Roman;serif" w:hAnsi="Times New Roman;serif"/>
                  <w:b/>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30">
              <w:r>
                <w:rPr>
                  <w:rStyle w:val="InternetLink"/>
                  <w:rFonts w:ascii="Times New Roman;serif" w:hAnsi="Times New Roman;serif"/>
                  <w:b w:val="false"/>
                  <w:color w:val="0000FF"/>
                  <w:sz w:val="20"/>
                  <w:u w:val="single"/>
                </w:rPr>
                <w:t>37</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33">
              <w:r>
                <w:rPr>
                  <w:rStyle w:val="InternetLink"/>
                  <w:rFonts w:ascii="Times New Roman;serif" w:hAnsi="Times New Roman;serif"/>
                  <w:b w:val="false"/>
                  <w:color w:val="0000FF"/>
                  <w:sz w:val="20"/>
                  <w:u w:val="single"/>
                </w:rPr>
                <w:t xml:space="preserve">Item 1.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33">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33">
              <w:r>
                <w:rPr>
                  <w:rStyle w:val="InternetLink"/>
                  <w:rFonts w:ascii="Times New Roman;serif" w:hAnsi="Times New Roman;serif"/>
                  <w:b w:val="false"/>
                  <w:color w:val="0000FF"/>
                  <w:sz w:val="20"/>
                  <w:u w:val="single"/>
                </w:rPr>
                <w:t>37</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36">
              <w:r>
                <w:rPr>
                  <w:rStyle w:val="InternetLink"/>
                  <w:rFonts w:ascii="Times New Roman;serif" w:hAnsi="Times New Roman;serif"/>
                  <w:b w:val="false"/>
                  <w:color w:val="0000FF"/>
                  <w:sz w:val="20"/>
                  <w:u w:val="single"/>
                </w:rPr>
                <w:t>Item 1A.</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36">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36">
              <w:r>
                <w:rPr>
                  <w:rStyle w:val="InternetLink"/>
                  <w:rFonts w:ascii="Times New Roman;serif" w:hAnsi="Times New Roman;serif"/>
                  <w:b w:val="false"/>
                  <w:color w:val="0000FF"/>
                  <w:sz w:val="20"/>
                  <w:u w:val="single"/>
                </w:rPr>
                <w:t>38</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39">
              <w:r>
                <w:rPr>
                  <w:rStyle w:val="InternetLink"/>
                  <w:rFonts w:ascii="Times New Roman;serif" w:hAnsi="Times New Roman;serif"/>
                  <w:b w:val="false"/>
                  <w:color w:val="0000FF"/>
                  <w:sz w:val="20"/>
                  <w:u w:val="single"/>
                </w:rPr>
                <w:t xml:space="preserve">Item 2.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0d4e18ed3d041eda8fd93537c1da552_139">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39">
              <w:r>
                <w:rPr>
                  <w:rStyle w:val="InternetLink"/>
                  <w:rFonts w:ascii="Times New Roman;serif" w:hAnsi="Times New Roman;serif"/>
                  <w:b w:val="false"/>
                  <w:color w:val="0000FF"/>
                  <w:sz w:val="20"/>
                  <w:u w:val="single"/>
                </w:rPr>
                <w:t>39</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42">
              <w:r>
                <w:rPr>
                  <w:rStyle w:val="InternetLink"/>
                  <w:rFonts w:ascii="Times New Roman;serif" w:hAnsi="Times New Roman;serif"/>
                  <w:b w:val="false"/>
                  <w:color w:val="0000FF"/>
                  <w:sz w:val="20"/>
                  <w:u w:val="single"/>
                </w:rPr>
                <w:t xml:space="preserve">Item 3.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42">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42">
              <w:r>
                <w:rPr>
                  <w:rStyle w:val="InternetLink"/>
                  <w:rFonts w:ascii="Times New Roman;serif" w:hAnsi="Times New Roman;serif"/>
                  <w:b w:val="false"/>
                  <w:color w:val="0000FF"/>
                  <w:sz w:val="20"/>
                  <w:u w:val="single"/>
                </w:rPr>
                <w:t>40</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45">
              <w:r>
                <w:rPr>
                  <w:rStyle w:val="InternetLink"/>
                  <w:rFonts w:ascii="Times New Roman;serif" w:hAnsi="Times New Roman;serif"/>
                  <w:b w:val="false"/>
                  <w:color w:val="0000FF"/>
                  <w:sz w:val="20"/>
                  <w:u w:val="single"/>
                </w:rPr>
                <w:t>Item 4.</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45">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45">
              <w:r>
                <w:rPr>
                  <w:rStyle w:val="InternetLink"/>
                  <w:rFonts w:ascii="Times New Roman;serif" w:hAnsi="Times New Roman;serif"/>
                  <w:b w:val="false"/>
                  <w:color w:val="0000FF"/>
                  <w:sz w:val="20"/>
                  <w:u w:val="single"/>
                </w:rPr>
                <w:t>41</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48">
              <w:r>
                <w:rPr>
                  <w:rStyle w:val="InternetLink"/>
                  <w:rFonts w:ascii="Times New Roman;serif" w:hAnsi="Times New Roman;serif"/>
                  <w:b w:val="false"/>
                  <w:color w:val="0000FF"/>
                  <w:sz w:val="20"/>
                  <w:u w:val="single"/>
                </w:rPr>
                <w:t xml:space="preserve">Item 5.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48">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48">
              <w:r>
                <w:rPr>
                  <w:rStyle w:val="InternetLink"/>
                  <w:rFonts w:ascii="Times New Roman;serif" w:hAnsi="Times New Roman;serif"/>
                  <w:b w:val="false"/>
                  <w:color w:val="0000FF"/>
                  <w:sz w:val="20"/>
                  <w:u w:val="single"/>
                </w:rPr>
                <w:t>42</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51">
              <w:r>
                <w:rPr>
                  <w:rStyle w:val="InternetLink"/>
                  <w:rFonts w:ascii="Times New Roman;serif" w:hAnsi="Times New Roman;serif"/>
                  <w:b w:val="false"/>
                  <w:color w:val="0000FF"/>
                  <w:sz w:val="20"/>
                  <w:u w:val="single"/>
                </w:rPr>
                <w:t>Item 6.</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51">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51">
              <w:r>
                <w:rPr>
                  <w:rStyle w:val="InternetLink"/>
                  <w:rFonts w:ascii="Times New Roman;serif" w:hAnsi="Times New Roman;serif"/>
                  <w:b w:val="false"/>
                  <w:color w:val="0000FF"/>
                  <w:sz w:val="20"/>
                  <w:u w:val="single"/>
                </w:rPr>
                <w:t>43</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d4e18ed3d041eda8fd93537c1da552_154">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d4e18ed3d041eda8fd93537c1da552_154">
              <w:r>
                <w:rPr>
                  <w:rStyle w:val="InternetLink"/>
                  <w:rFonts w:ascii="Times New Roman;serif" w:hAnsi="Times New Roman;serif"/>
                  <w:b w:val="false"/>
                  <w:color w:val="0000FF"/>
                  <w:sz w:val="20"/>
                  <w:u w:val="singl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share repurchase expectations;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anticipated benefits of our new term loan;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retain existing customers, acquire new customers and expand our customer reach;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future financial performance, including total revenue, gross profit, net income, direct contribution, adjusted EBITDA, net loss and loss adjustment expense, or LAE, ratio, net expense ratio, net combined ratio, gross loss ratio, marketing costs and costs of customer acquisition, gross LAE ratio, gross expense ratio, gross combined ratio, operating expenses, quota share levels, changes in unencumbered cash balances and expansion of our new and renewal premium base;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realize profits, acquire customers, retain customers, contract with additional partners to utilize the products, or achieve other benefits from our embedded insurance offering;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expand our distribution channels through additional partnership relationships, digital media, independent agents and referrals;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drive a significant long-term competitive advantage through, our partnership with Carvana Group, LLC, or Carvana, and other partnerships, such as our partnerships with Hyundai Capital America, Toyota and Experian;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develop products for embedded insurance and other partners;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geopolitical instability, supply chain disruptions, increasing inflation, a potential increase in tariffs or the implementation of new tariffs, a recession and/or disruptions to properly functioning financial and capital markets and interest rates on our business and financial condition;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remain profitable and extend our capital runway;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goal to be licensed in all states in the United States and the timing of obtaining additional licenses and launching in new states;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accuracy and efficiency of our telematics and behavioral data, and our ability to gather and leverage existing and additional data;</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materially improve retention rates and our ability to realize benefits from retaining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underwrite risks accurately and charge profitable rates;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our business model and improve our capital and marketing efficiency;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drive improved conversion and decrease the cost of customer acquisition;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enhance our brand and reputation;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manage the growth of our business;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raise additional capital efficiently or at all;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improve our product offerings, introduce new products and expand into additional insurance lines;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cross sell our products and attain greater value from each customer;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compete effectively with existing competitors and new market entrants in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future performance of the markets in which we operate;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operate a “capital-efficient” business and obtain and maintain desirable levels of reinsurance;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 of further reductions in the utilization of reinsurance, which would result in retention of more premium and losses and could cause our capital requirements to increase;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realize economies of scale;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motivate and retain key personnel, or hire personnel, and to offer competitive compensation and benefits;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deliver a vertically integrated customer experience;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develop products that utilize telematics to drive better customer satisfaction and retention;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protect our intellectual property and any costs associated therewith;</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develop an autonomous claims experience;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take rate action early and react to changing environments;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meet risk-based capital requirements;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realize benefits from our Texas county mutual fronting arrangement;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expand domestically;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comply with laws and regulations that currently apply or become applicable to our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litigation or other losses;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laws or regulations, or changes in the interpretation of laws or regulations by a regulatory authority, specific to the use of artificial intelligence, telematics data and the consent to use telematics data, connected car data, and other sources of data, or relating to taxation, including changes in tax regulations, or guidance promulgated pursuant to the new legislation implemented in the One Big Beautiful Bill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moratoriums, mandates and similar regulations or requests related to federal government shutdowns or other economic disruptions that negatively impact our ability to charge or increase premiums or result in increased premium write-offs;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defend against cybersecurity threats and prevent, or recover from, a security incident or other significant disruption of our technology systems or those of our partners and third-party service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 of interest rates on our available cash and our ability to maintain compliance with our new term loan;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proper and effective internal control over financial reporting;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growth rates of the markets in which we compete.</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indicates, references in this Quarterly Report on Form 10-Q to the terms “Root,” “the Company,” “we,” “our” and “us” refer to Root, Inc. and its subsidiaries.</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webcasts, press releases and conference calls.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29"/>
        <w:gridCol w:w="2396"/>
        <w:gridCol w:w="1511"/>
        <w:gridCol w:w="295"/>
        <w:gridCol w:w="1075"/>
        <w:gridCol w:w="152"/>
        <w:gridCol w:w="152"/>
        <w:gridCol w:w="152"/>
        <w:gridCol w:w="152"/>
        <w:gridCol w:w="295"/>
        <w:gridCol w:w="1075"/>
        <w:gridCol w:w="221"/>
      </w:tblGrid>
      <w:tr>
        <w:trPr/>
        <w:tc>
          <w:tcPr>
            <w:tcW w:w="2729"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 UNAUDITED</w:t>
            </w:r>
          </w:p>
        </w:tc>
      </w:tr>
      <w:tr>
        <w:trPr/>
        <w:tc>
          <w:tcPr>
            <w:tcW w:w="6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par value)</w:t>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 (amortized cost: $455.9 and $383.1 at March 31, 2026 and December 31, 2025, respectively)</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Short-term investments (amortized cost: $10.8 and zero at March 31, 2026 and December 31, 2025, respectively)</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investments </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Premiums receivable, net of allowance of $8.6 and $8.9 at March 31, 2026 and December 31, 2025, respectively</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Reinsurance premiums receivable, net of allowance of zero at March 31, 2026 and December 31, 2025</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Reinsurance recoverable, net of allowance of $0.1 at March 31, 2026 and December 31, 2025</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and Stockholders’ Equity</w:t>
            </w:r>
          </w:p>
        </w:tc>
        <w:tc>
          <w:tcPr>
            <w:tcW w:w="15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 reserves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663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payable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and Contingencies </w:t>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Redeemable convertible preferred stock, $0.0001 par value, 100.0 shares authorized, 14.1 shares issued and outstanding at March 31, 2026 and December 31, 2025 (redemption value of $126.5) </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1,000.0 shares authorized, 13.9 and 13.7 shares issued and outstanding at March 31, 2026 and December 31, 2025, respectively</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convertible common stock, $0.0001 par value, 269.0 shares authorized, 1.8 shares issued and outstanding at March 31, 2026 and December 31, 2025</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loss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convertible preferred stock and stockholders’ equity</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679"/>
        <w:gridCol w:w="1259"/>
        <w:gridCol w:w="1225"/>
        <w:gridCol w:w="1137"/>
        <w:gridCol w:w="1137"/>
        <w:gridCol w:w="1155"/>
        <w:gridCol w:w="109"/>
        <w:gridCol w:w="234"/>
        <w:gridCol w:w="686"/>
        <w:gridCol w:w="121"/>
        <w:gridCol w:w="121"/>
        <w:gridCol w:w="121"/>
        <w:gridCol w:w="121"/>
        <w:gridCol w:w="234"/>
        <w:gridCol w:w="686"/>
        <w:gridCol w:w="180"/>
      </w:tblGrid>
      <w:tr>
        <w:trPr/>
        <w:tc>
          <w:tcPr>
            <w:tcW w:w="167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59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2613" w:type="dxa"/>
            <w:gridSpan w:val="10"/>
            <w:tcBorders/>
          </w:tcPr>
          <w:p>
            <w:pPr>
              <w:pStyle w:val="TableContents"/>
              <w:bidi w:val="0"/>
              <w:spacing w:before="0" w:after="283"/>
              <w:jc w:val="left"/>
              <w:rPr>
                <w:sz w:val="4"/>
                <w:szCs w:val="4"/>
              </w:rPr>
            </w:pPr>
            <w:r>
              <w:rPr>
                <w:sz w:val="4"/>
                <w:szCs w:val="4"/>
              </w:rPr>
            </w:r>
          </w:p>
        </w:tc>
      </w:tr>
      <w:tr>
        <w:trPr/>
        <w:tc>
          <w:tcPr>
            <w:tcW w:w="759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 UNAUDITED</w:t>
            </w:r>
          </w:p>
        </w:tc>
        <w:tc>
          <w:tcPr>
            <w:tcW w:w="2613" w:type="dxa"/>
            <w:gridSpan w:val="10"/>
            <w:tcBorders/>
          </w:tcPr>
          <w:p>
            <w:pPr>
              <w:pStyle w:val="TableContents"/>
              <w:bidi w:val="0"/>
              <w:spacing w:before="0" w:after="283"/>
              <w:jc w:val="left"/>
              <w:rPr>
                <w:sz w:val="4"/>
                <w:szCs w:val="4"/>
              </w:rPr>
            </w:pPr>
            <w:r>
              <w:rPr>
                <w:sz w:val="4"/>
                <w:szCs w:val="4"/>
              </w:rPr>
            </w:r>
          </w:p>
        </w:tc>
      </w:tr>
      <w:tr>
        <w:trPr/>
        <w:tc>
          <w:tcPr>
            <w:tcW w:w="4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3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463" w:type="dxa"/>
            <w:gridSpan w:val="6"/>
            <w:tcBorders/>
          </w:tcPr>
          <w:p>
            <w:pPr>
              <w:pStyle w:val="TableContents"/>
              <w:bidi w:val="0"/>
              <w:spacing w:before="0" w:after="283"/>
              <w:jc w:val="left"/>
              <w:rPr>
                <w:sz w:val="4"/>
                <w:szCs w:val="4"/>
              </w:rPr>
            </w:pPr>
            <w:r>
              <w:rPr>
                <w:sz w:val="4"/>
                <w:szCs w:val="4"/>
              </w:rPr>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participating securities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unrealized (losses) gains on investments</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(both Class A and B)</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(both Class A and B)</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ind w:left="0" w:right="0" w:firstLine="360"/>
        <w:jc w:val="left"/>
        <w:rPr/>
      </w:pPr>
      <w:r>
        <w:rPr/>
      </w:r>
    </w:p>
    <w:tbl>
      <w:tblPr>
        <w:tblW w:w="12852" w:type="dxa"/>
        <w:jc w:val="left"/>
        <w:tblInd w:w="0" w:type="dxa"/>
        <w:tblLayout w:type="fixed"/>
        <w:tblCellMar>
          <w:top w:w="28" w:type="dxa"/>
          <w:left w:w="28" w:type="dxa"/>
          <w:bottom w:w="28" w:type="dxa"/>
          <w:right w:w="28" w:type="dxa"/>
        </w:tblCellMar>
      </w:tblPr>
      <w:tblGrid>
        <w:gridCol w:w="728"/>
        <w:gridCol w:w="311"/>
        <w:gridCol w:w="312"/>
        <w:gridCol w:w="255"/>
        <w:gridCol w:w="256"/>
        <w:gridCol w:w="117"/>
        <w:gridCol w:w="109"/>
        <w:gridCol w:w="109"/>
        <w:gridCol w:w="109"/>
        <w:gridCol w:w="211"/>
        <w:gridCol w:w="616"/>
        <w:gridCol w:w="109"/>
        <w:gridCol w:w="109"/>
        <w:gridCol w:w="109"/>
        <w:gridCol w:w="109"/>
        <w:gridCol w:w="109"/>
        <w:gridCol w:w="109"/>
        <w:gridCol w:w="109"/>
        <w:gridCol w:w="314"/>
        <w:gridCol w:w="197"/>
        <w:gridCol w:w="117"/>
        <w:gridCol w:w="109"/>
        <w:gridCol w:w="109"/>
        <w:gridCol w:w="109"/>
        <w:gridCol w:w="209"/>
        <w:gridCol w:w="197"/>
        <w:gridCol w:w="117"/>
        <w:gridCol w:w="109"/>
        <w:gridCol w:w="109"/>
        <w:gridCol w:w="109"/>
        <w:gridCol w:w="211"/>
        <w:gridCol w:w="406"/>
        <w:gridCol w:w="109"/>
        <w:gridCol w:w="109"/>
        <w:gridCol w:w="109"/>
        <w:gridCol w:w="109"/>
        <w:gridCol w:w="109"/>
        <w:gridCol w:w="109"/>
        <w:gridCol w:w="751"/>
        <w:gridCol w:w="109"/>
        <w:gridCol w:w="211"/>
        <w:gridCol w:w="766"/>
        <w:gridCol w:w="109"/>
        <w:gridCol w:w="109"/>
        <w:gridCol w:w="109"/>
        <w:gridCol w:w="109"/>
        <w:gridCol w:w="341"/>
        <w:gridCol w:w="421"/>
        <w:gridCol w:w="109"/>
        <w:gridCol w:w="109"/>
        <w:gridCol w:w="109"/>
        <w:gridCol w:w="109"/>
        <w:gridCol w:w="211"/>
        <w:gridCol w:w="781"/>
        <w:gridCol w:w="109"/>
        <w:gridCol w:w="109"/>
        <w:gridCol w:w="109"/>
        <w:gridCol w:w="109"/>
        <w:gridCol w:w="211"/>
        <w:gridCol w:w="61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16"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0116"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 UNAUDITED</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and Class B Convertible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30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Balance—January 1, 2026</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stock—option exercises and restricted stock units vesting, net of shares withheld for employee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Balance—March 31, 2026</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Balance—January 1, 2025</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stock—option exercises and restricted stock units vesting, net of shares withheld for employee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Balance—March 31, 2025</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037"/>
        <w:gridCol w:w="1685"/>
        <w:gridCol w:w="1679"/>
        <w:gridCol w:w="450"/>
        <w:gridCol w:w="1319"/>
        <w:gridCol w:w="233"/>
        <w:gridCol w:w="233"/>
        <w:gridCol w:w="233"/>
        <w:gridCol w:w="233"/>
        <w:gridCol w:w="450"/>
        <w:gridCol w:w="1319"/>
        <w:gridCol w:w="334"/>
      </w:tblGrid>
      <w:tr>
        <w:trPr/>
        <w:tc>
          <w:tcPr>
            <w:tcW w:w="203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UNAUDITED</w:t>
            </w:r>
          </w:p>
        </w:tc>
      </w:tr>
      <w:tr>
        <w:trPr/>
        <w:tc>
          <w:tcPr>
            <w:tcW w:w="5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2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2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2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Reinsurance premiums receivable</w:t>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reserves</w:t>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payable</w:t>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2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calls and pay downs of investments</w:t>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investments</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internally developed software</w:t>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2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and restricted stock units</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restricted cash, and restricted cash equivalents</w:t>
            </w:r>
          </w:p>
        </w:tc>
        <w:tc>
          <w:tcPr>
            <w:tcW w:w="1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restricted cash, and restricted cash equivalents at beginning of period</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restricted cash, and restricted cash equivalents at end of period</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r>
        <w:trPr/>
        <w:tc>
          <w:tcPr>
            <w:tcW w:w="5401"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21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ROOT, INC.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w:t>
      </w:r>
      <w:r>
        <w:rPr>
          <w:rFonts w:ascii="Times New Roman;serif" w:hAnsi="Times New Roman;serif"/>
          <w:b/>
          <w:color w:val="000000"/>
          <w:sz w:val="20"/>
        </w:rPr>
        <w:t>NATURE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Root, Inc. is a holding company which, directly or indirectly, maintains 100% ownership of each of its subsidiaries, including, among others, Root Insurance Company, Root Property &amp; Casualty Insurance Company, or Root Property &amp; Casualty, and Root Select Insurance Company, all Ohio-domiciled insurance companies, Root Florida Insurance Company, or Root Florida, a Florida-domiciled insurance company, and Root Reinsurance Company, Ltd., a Cayman Islands-domiciled reinsurance company, together with Root, Inc., “we,” “us,” or “our.”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were formed in 2015 and began writing personal auto insurance in July 2016. We are a technology company operating primarily a direct-to-consumer model with the majority of our personal insurance customers acquired through mobile apps and partnerships. We offer auto and renters insurance products underwritten by Root Insurance Company and auto insurance only through Root Property &amp; Casualty and Root Florida.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2.</w:t>
      </w:r>
      <w:r>
        <w:rPr>
          <w:rFonts w:ascii="Times New Roman;serif" w:hAnsi="Times New Roman;serif"/>
          <w:b/>
          <w:color w:val="000000"/>
          <w:sz w:val="20"/>
        </w:rPr>
        <w:t>BASIS OF PRESENTATION AND SUMMARY OF SIGNIFICANT ACCOUNTING POLICIES</w:t>
      </w:r>
    </w:p>
    <w:p>
      <w:pPr>
        <w:pStyle w:val="TextBody"/>
        <w:bidi w:val="0"/>
        <w:spacing w:lineRule="auto" w:line="288" w:before="0" w:after="180"/>
        <w:ind w:left="0" w:right="0" w:firstLine="360"/>
        <w:jc w:val="left"/>
        <w:rPr/>
      </w:pPr>
      <w:r>
        <w:rPr>
          <w:rFonts w:ascii="Times New Roman;serif" w:hAnsi="Times New Roman;serif"/>
          <w:b/>
          <w:color w:val="000000"/>
          <w:sz w:val="20"/>
        </w:rPr>
        <w:t>Basis of Presentation</w:t>
      </w:r>
      <w:r>
        <w:rPr>
          <w:color w:val="000000"/>
        </w:rPr>
        <w:t>—</w:t>
      </w:r>
      <w:r>
        <w:rPr>
          <w:rFonts w:ascii="Times New Roman;serif" w:hAnsi="Times New Roman;serif"/>
          <w:b w:val="false"/>
          <w:color w:val="000000"/>
          <w:sz w:val="20"/>
        </w:rPr>
        <w:t>In our opinion, all adjustments necessary for a fair presentation of the condensed consolidated financial statements have been 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2025 filed with the Securities and Exchange Commission on February 25, 2026.</w:t>
      </w:r>
    </w:p>
    <w:p>
      <w:pPr>
        <w:pStyle w:val="TextBody"/>
        <w:bidi w:val="0"/>
        <w:spacing w:lineRule="auto" w:line="288" w:before="0" w:after="180"/>
        <w:ind w:left="0" w:right="0" w:firstLine="360"/>
        <w:jc w:val="left"/>
        <w:rPr/>
      </w:pPr>
      <w:r>
        <w:rPr>
          <w:rFonts w:ascii="Times New Roman;serif" w:hAnsi="Times New Roman;serif"/>
          <w:b/>
          <w:color w:val="000000"/>
          <w:sz w:val="20"/>
        </w:rPr>
        <w:t>Basis of Consolidation</w:t>
      </w:r>
      <w:r>
        <w:rPr>
          <w:color w:val="000000"/>
        </w:rPr>
        <w:t>—</w:t>
      </w:r>
      <w:r>
        <w:rPr>
          <w:rFonts w:ascii="Times New Roman;serif" w:hAnsi="Times New Roman;serif"/>
          <w:b w:val="false"/>
          <w:color w:val="000000"/>
          <w:sz w:val="20"/>
        </w:rPr>
        <w:t>The unaudited condensed consolidated financial statements include the accounts of Root, Inc. and its subsidiaries, all of which are wholly owned. These financial statements have been prepared in accordance with accounting principles generally accepted in the U.S., or GAAP. All intercompany accounts and transactions have been eliminated.</w:t>
      </w:r>
    </w:p>
    <w:p>
      <w:pPr>
        <w:pStyle w:val="TextBody"/>
        <w:bidi w:val="0"/>
        <w:spacing w:lineRule="auto" w:line="288" w:before="0" w:after="180"/>
        <w:ind w:left="0" w:right="0" w:firstLine="360"/>
        <w:jc w:val="left"/>
        <w:rPr/>
      </w:pPr>
      <w:r>
        <w:rPr>
          <w:rFonts w:ascii="Times New Roman;serif" w:hAnsi="Times New Roman;serif"/>
          <w:b/>
          <w:color w:val="000000"/>
          <w:sz w:val="20"/>
        </w:rPr>
        <w:t>Use of Estimates</w:t>
      </w:r>
      <w:r>
        <w:rPr>
          <w:color w:val="000000"/>
        </w:rPr>
        <w:t>—</w:t>
      </w:r>
      <w:r>
        <w:rPr>
          <w:rFonts w:ascii="Times New Roman;serif" w:hAnsi="Times New Roman;serif"/>
          <w:b w:val="false"/>
          <w:color w:val="000000"/>
          <w:sz w:val="20"/>
        </w:rPr>
        <w:t>The preparation of the unaudited condensed consolidated financial statements requires management to make certain estimates and 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or LAE, valuation allowances on our deferred tax assets and the amount of reinsurance recoverable and receivable from reinsurance contracts.</w:t>
      </w:r>
    </w:p>
    <w:p>
      <w:pPr>
        <w:pStyle w:val="TextBody"/>
        <w:bidi w:val="0"/>
        <w:spacing w:lineRule="auto" w:line="288" w:before="0" w:after="180"/>
        <w:ind w:left="0" w:right="0" w:firstLine="360"/>
        <w:jc w:val="left"/>
        <w:rPr/>
      </w:pPr>
      <w:r>
        <w:rPr>
          <w:rFonts w:ascii="Times New Roman;serif" w:hAnsi="Times New Roman;serif"/>
          <w:b/>
          <w:color w:val="000000"/>
          <w:sz w:val="20"/>
        </w:rPr>
        <w:t>Legal and Other Contingencies</w:t>
      </w:r>
      <w:r>
        <w:rPr>
          <w:color w:val="000000"/>
        </w:rPr>
        <w:t>—</w:t>
      </w:r>
      <w:r>
        <w:rPr>
          <w:rFonts w:ascii="Times New Roman;serif" w:hAnsi="Times New Roman;serif"/>
          <w:b w:val="false"/>
          <w:color w:val="000000"/>
          <w:sz w:val="20"/>
        </w:rPr>
        <w:t>From time to time, we are party to litigation and legal proceedings relating to our business operations. While the outcome of all legal actions is not presently determinable, we do not believe that we are party to any current or pending legal action that could reasonably be expected to have a material adverse effect on our financial condition or results of operations and cash flow.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legal matter previously disclosed in our Annual Report on Form 10-K for the year ended December 31, 2025.</w:t>
      </w:r>
    </w:p>
    <w:p>
      <w:pPr>
        <w:pStyle w:val="TextBody"/>
        <w:bidi w:val="0"/>
        <w:spacing w:lineRule="auto" w:line="288" w:before="0" w:after="180"/>
        <w:ind w:left="0" w:right="0" w:firstLine="360"/>
        <w:jc w:val="left"/>
        <w:rPr/>
      </w:pPr>
      <w:r>
        <w:rPr>
          <w:rFonts w:ascii="Times New Roman;serif" w:hAnsi="Times New Roman;serif"/>
          <w:b/>
          <w:color w:val="000000"/>
          <w:sz w:val="20"/>
        </w:rPr>
        <w:t>Segment Information</w:t>
      </w:r>
      <w:r>
        <w:rPr>
          <w:color w:val="000000"/>
        </w:rPr>
        <w:t>—</w:t>
      </w:r>
      <w:r>
        <w:rPr>
          <w:rFonts w:ascii="Times New Roman;serif" w:hAnsi="Times New Roman;serif"/>
          <w:b w:val="false"/>
          <w:color w:val="000000"/>
          <w:sz w:val="20"/>
        </w:rPr>
        <w:t xml:space="preserve">We are a technology company that provides direct-to-consumer insurance products to customers. We operate as a single reporting segment that is managed on a consolidated basis. Our Chief Executive Officer is our chief operating decision maker, or CODM. The primary measure the CODM utilizes to manage operations, monitor budget versus actual results, and evaluate financial performance is net income as reported on the condensed consolidated statements of operations and comprehensive income. This information is regularly provided to the CODM.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CODM allocates resources based on consolidated expense and forecasted expense information. Significant expenses, which are presented on the condensed consolidated statements of operations and comprehensive income, include loss and LAE, sales and marketing, other insurance expense and technology and development. Other segment items include expenses that our CODM does not evaluate for purposes of making operating decisions.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items include general and administrative, interest expense, and income tax expense, which can all be found on the condensed consolidated statements of operations and comprehensive income. Assets provided to the CODM are consistent with those reported on the condensed consolidated balance sheets.</w:t>
      </w:r>
    </w:p>
    <w:p>
      <w:pPr>
        <w:pStyle w:val="TextBody"/>
        <w:bidi w:val="0"/>
        <w:spacing w:lineRule="auto" w:line="288" w:before="0" w:after="180"/>
        <w:ind w:left="0" w:right="0" w:firstLine="360"/>
        <w:jc w:val="left"/>
        <w:rPr/>
      </w:pPr>
      <w:r>
        <w:rPr>
          <w:rFonts w:ascii="Times New Roman;serif" w:hAnsi="Times New Roman;serif"/>
          <w:b/>
          <w:color w:val="000000"/>
          <w:sz w:val="20"/>
        </w:rPr>
        <w:t>Cash, Cash Equivalents, Restricted Cash and Restricted Cash Equivalents</w:t>
      </w:r>
      <w:r>
        <w:rPr>
          <w:color w:val="000000"/>
        </w:rPr>
        <w:t>—</w:t>
      </w:r>
      <w:r>
        <w:rPr>
          <w:rFonts w:ascii="Times New Roman;serif" w:hAnsi="Times New Roman;serif"/>
          <w:b w:val="false"/>
          <w:color w:val="000000"/>
          <w:sz w:val="20"/>
        </w:rPr>
        <w:t>The following table provides a reconciliation of cash, cash equivalents, restricted cash and restricted cash equivalents reported within the condensed consolidated balance sheets that sum to the total of the same such amount in the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834"/>
        <w:gridCol w:w="2489"/>
        <w:gridCol w:w="2502"/>
        <w:gridCol w:w="211"/>
        <w:gridCol w:w="616"/>
        <w:gridCol w:w="109"/>
        <w:gridCol w:w="109"/>
        <w:gridCol w:w="109"/>
        <w:gridCol w:w="109"/>
        <w:gridCol w:w="240"/>
        <w:gridCol w:w="700"/>
        <w:gridCol w:w="177"/>
      </w:tblGrid>
      <w:tr>
        <w:trPr/>
        <w:tc>
          <w:tcPr>
            <w:tcW w:w="2834"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7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7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restricted cash, and restricted cash equivalents shown in the condensed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color w:val="000000"/>
          <w:sz w:val="20"/>
        </w:rPr>
        <w:t>Premiums Payable and Reinsurance Premiums Receivable</w:t>
      </w:r>
      <w:r>
        <w:rPr>
          <w:color w:val="000000"/>
        </w:rPr>
        <w:t>—</w:t>
      </w:r>
      <w:r>
        <w:rPr>
          <w:rFonts w:ascii="Times New Roman;serif" w:hAnsi="Times New Roman;serif"/>
          <w:b w:val="false"/>
          <w:color w:val="000000"/>
          <w:sz w:val="20"/>
        </w:rPr>
        <w:t>We have a fronting arrangement with an unaffiliated Texas county mutual insurance company, or the fronting carrier. We route all of our new auto policies in Texas through the fronting carrier whereby we assume 100% of the related premium and losses on those policies. The fronting arrangement allows us to have greater rating and underwriting flexibility. Premiums assumed are deferred and earned pro rata over the policy period. Unearned premium is established to cover the unexpired portion of premiums assumed. Premiums payable are amounts owed to the fronting carrier. Reinsurance premiums receivable are the amounts owed to us from the fronting carrier for reinsurance premiums.</w:t>
      </w:r>
    </w:p>
    <w:p>
      <w:pPr>
        <w:pStyle w:val="TextBody"/>
        <w:bidi w:val="0"/>
        <w:spacing w:lineRule="auto" w:line="288" w:before="0" w:after="180"/>
        <w:jc w:val="left"/>
        <w:rPr/>
      </w:pPr>
      <w:r>
        <w:rPr>
          <w:rFonts w:ascii="Times New Roman;serif" w:hAnsi="Times New Roman;serif"/>
          <w:b/>
          <w:color w:val="000000"/>
          <w:sz w:val="20"/>
        </w:rPr>
        <w:t>Deferred Policy Acquisition Costs</w:t>
      </w:r>
      <w:r>
        <w:rPr>
          <w:color w:val="000000"/>
        </w:rPr>
        <w:t>—</w:t>
      </w:r>
      <w:r>
        <w:rPr>
          <w:rFonts w:ascii="Times New Roman;serif" w:hAnsi="Times New Roman;serif"/>
          <w:b w:val="false"/>
          <w:color w:val="000000"/>
          <w:sz w:val="20"/>
        </w:rPr>
        <w:t>We amortized deferred policy acquisition costs of $29.3 million and $11.4 million for the three months ended March 31, 2026 and 2025, respectively.</w:t>
      </w:r>
    </w:p>
    <w:p>
      <w:pPr>
        <w:pStyle w:val="TextBody"/>
        <w:bidi w:val="0"/>
        <w:spacing w:lineRule="auto" w:line="288" w:before="0" w:after="180"/>
        <w:ind w:left="0" w:right="0" w:firstLine="360"/>
        <w:jc w:val="left"/>
        <w:rPr/>
      </w:pPr>
      <w:r>
        <w:rPr>
          <w:rFonts w:ascii="Times New Roman;serif" w:hAnsi="Times New Roman;serif"/>
          <w:b/>
          <w:color w:val="000000"/>
          <w:sz w:val="20"/>
        </w:rPr>
        <w:t>Performance-Based Restricted Stock Units</w:t>
      </w:r>
      <w:r>
        <w:rPr>
          <w:color w:val="000000"/>
        </w:rPr>
        <w:t>—</w:t>
      </w:r>
      <w:r>
        <w:rPr>
          <w:rFonts w:ascii="Times New Roman;serif" w:hAnsi="Times New Roman;serif"/>
          <w:b w:val="false"/>
          <w:color w:val="000000"/>
          <w:sz w:val="20"/>
        </w:rPr>
        <w:t xml:space="preserve">In the first quarter of 2026, we granted 0.4 million performance-based restricted stock units to our executive officers and certain key employees as part of our equity compensation plan. The actual number of performance-based restricted stock units can vary from zero to 200% of the target depending on goal achievement relative to a gross accident period loss ratio and policies in force goal matrix. The overall performance period begins on January 1, 2026 and ends on December 31, 2028 and is divided into three sub-performance periods, each beginning on January 1, 2026 and ending on December 31, 2026, 2027, and 2028, respectively. These overlapping sub-performance periods are one, two, and three years in duration. Expense for each sub-performance period is recognized ratably over the requisite service period. Awards earned in any sub-performance period vest on the Compensation Committee Certification date, which is expected to be in the first quarter of the subsequent year.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performance-based restricted stock units expense is recognized based on the grant date fair value of the award, which was determined using the Company’s close price as of the grant date. This expense is recognized using a graded vesting approach. We assess the probability of the performance conditions being met on a quarterly basis and begin recognizing expense only once it is deemed probable that the performance criteria will be satisfied. </w:t>
      </w:r>
    </w:p>
    <w:p>
      <w:pPr>
        <w:pStyle w:val="TextBody"/>
        <w:bidi w:val="0"/>
        <w:spacing w:lineRule="auto" w:line="288" w:before="0" w:after="180"/>
        <w:ind w:left="0" w:right="0" w:firstLine="360"/>
        <w:jc w:val="left"/>
        <w:rPr/>
      </w:pPr>
      <w:r>
        <w:rPr>
          <w:rFonts w:ascii="Times New Roman;serif" w:hAnsi="Times New Roman;serif"/>
          <w:b/>
          <w:color w:val="000000"/>
          <w:sz w:val="20"/>
        </w:rPr>
        <w:t>Reclassification</w:t>
      </w:r>
      <w:r>
        <w:rPr>
          <w:color w:val="000000"/>
        </w:rPr>
        <w:t>—</w:t>
      </w:r>
      <w:r>
        <w:rPr>
          <w:rFonts w:ascii="Times New Roman;serif" w:hAnsi="Times New Roman;serif"/>
          <w:b w:val="false"/>
          <w:color w:val="000000"/>
          <w:sz w:val="20"/>
        </w:rPr>
        <w:t xml:space="preserve">Certain prior-year amounts have been reclassified to conform with the current year presentation. These reclassifications did not have a material impact on the condensed consolidated financial statements and notes to condensed consolidated financial statements. The reclassifications within the condensed consolidated balance sheets include the presentation of “Prepaid reinsurance premiums” within “Other assets” and “Reinsurance premiums payable” within “Other liabilities.” Additionally, “Reinsurance recoverable and receivable” was disaggregated to “Reinsurance recoverable” and “Reinsurance premiums receivable,” respectively. “Deferred policy acquisition costs” were disaggregated from “Other assets” and “Premiums payable” was disaggregated from “Other liabilities” to separate captions.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3.</w:t>
      </w:r>
      <w:r>
        <w:rPr>
          <w:rFonts w:ascii="Times New Roman;serif" w:hAnsi="Times New Roman;serif"/>
          <w:b/>
          <w:color w:val="000000"/>
          <w:sz w:val="20"/>
        </w:rPr>
        <w:t>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short-term investments and available-for-sale fixed maturity securities at March 31, 2026 and December 31, 2025 are as follows:</w:t>
      </w:r>
    </w:p>
    <w:tbl>
      <w:tblPr>
        <w:tblW w:w="10205" w:type="dxa"/>
        <w:jc w:val="left"/>
        <w:tblInd w:w="0" w:type="dxa"/>
        <w:tblLayout w:type="fixed"/>
        <w:tblCellMar>
          <w:top w:w="28" w:type="dxa"/>
          <w:left w:w="28" w:type="dxa"/>
          <w:bottom w:w="28" w:type="dxa"/>
          <w:right w:w="28" w:type="dxa"/>
        </w:tblCellMar>
      </w:tblPr>
      <w:tblGrid>
        <w:gridCol w:w="970"/>
        <w:gridCol w:w="725"/>
        <w:gridCol w:w="729"/>
        <w:gridCol w:w="242"/>
        <w:gridCol w:w="710"/>
        <w:gridCol w:w="125"/>
        <w:gridCol w:w="109"/>
        <w:gridCol w:w="109"/>
        <w:gridCol w:w="109"/>
        <w:gridCol w:w="512"/>
        <w:gridCol w:w="988"/>
        <w:gridCol w:w="268"/>
        <w:gridCol w:w="109"/>
        <w:gridCol w:w="109"/>
        <w:gridCol w:w="109"/>
        <w:gridCol w:w="381"/>
        <w:gridCol w:w="734"/>
        <w:gridCol w:w="198"/>
        <w:gridCol w:w="109"/>
        <w:gridCol w:w="109"/>
        <w:gridCol w:w="109"/>
        <w:gridCol w:w="377"/>
        <w:gridCol w:w="754"/>
        <w:gridCol w:w="196"/>
        <w:gridCol w:w="109"/>
        <w:gridCol w:w="109"/>
        <w:gridCol w:w="109"/>
        <w:gridCol w:w="211"/>
        <w:gridCol w:w="616"/>
        <w:gridCol w:w="161"/>
      </w:tblGrid>
      <w:tr>
        <w:trPr/>
        <w:tc>
          <w:tcPr>
            <w:tcW w:w="97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42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42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reviewed the available-for-sale fixed maturity securities and short-term investments at each balance sheet date to consider whether it was necessary to recognize a credit loss as of March 31, 2026 and December 31, 2025. We do not intend to sell the securities, and it is not more likely than not that we will be required to sell the securities before recovery. Management concluded that the unrealized losses on the available-for-sale fixed maturity securities and short-term investments were due to non-credit related factors and, therefore, there was no allowance for credit loss as of March 31,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March 31, 2026 and December 31, 2025:</w:t>
      </w:r>
    </w:p>
    <w:tbl>
      <w:tblPr>
        <w:tblW w:w="10205" w:type="dxa"/>
        <w:jc w:val="left"/>
        <w:tblInd w:w="0" w:type="dxa"/>
        <w:tblLayout w:type="fixed"/>
        <w:tblCellMar>
          <w:top w:w="28" w:type="dxa"/>
          <w:left w:w="28" w:type="dxa"/>
          <w:bottom w:w="28" w:type="dxa"/>
          <w:right w:w="28" w:type="dxa"/>
        </w:tblCellMar>
      </w:tblPr>
      <w:tblGrid>
        <w:gridCol w:w="1178"/>
        <w:gridCol w:w="970"/>
        <w:gridCol w:w="976"/>
        <w:gridCol w:w="211"/>
        <w:gridCol w:w="616"/>
        <w:gridCol w:w="109"/>
        <w:gridCol w:w="109"/>
        <w:gridCol w:w="109"/>
        <w:gridCol w:w="109"/>
        <w:gridCol w:w="252"/>
        <w:gridCol w:w="503"/>
        <w:gridCol w:w="131"/>
        <w:gridCol w:w="109"/>
        <w:gridCol w:w="109"/>
        <w:gridCol w:w="109"/>
        <w:gridCol w:w="220"/>
        <w:gridCol w:w="535"/>
        <w:gridCol w:w="114"/>
        <w:gridCol w:w="109"/>
        <w:gridCol w:w="109"/>
        <w:gridCol w:w="109"/>
        <w:gridCol w:w="252"/>
        <w:gridCol w:w="503"/>
        <w:gridCol w:w="131"/>
        <w:gridCol w:w="109"/>
        <w:gridCol w:w="109"/>
        <w:gridCol w:w="109"/>
        <w:gridCol w:w="211"/>
        <w:gridCol w:w="616"/>
        <w:gridCol w:w="109"/>
        <w:gridCol w:w="109"/>
        <w:gridCol w:w="109"/>
        <w:gridCol w:w="109"/>
        <w:gridCol w:w="249"/>
        <w:gridCol w:w="498"/>
        <w:gridCol w:w="186"/>
      </w:tblGrid>
      <w:tr>
        <w:trPr/>
        <w:tc>
          <w:tcPr>
            <w:tcW w:w="117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Treasury securities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31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other investments related to our private equity investments were $4.4 million. There were no realized or unrealized gains or losses or impairment losses recognized on private equity investments for the three months ended March 31, 2026 and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gross and net realized gains and losses on short-term investments and available-for-sale fixed maturities that have been included in the condensed consolidated statements of operations and comprehensive income for the three months ended March 31, 2026 and 2025.</w:t>
      </w:r>
    </w:p>
    <w:tbl>
      <w:tblPr>
        <w:tblW w:w="6564" w:type="dxa"/>
        <w:jc w:val="left"/>
        <w:tblInd w:w="0" w:type="dxa"/>
        <w:tblLayout w:type="fixed"/>
        <w:tblCellMar>
          <w:top w:w="28" w:type="dxa"/>
          <w:left w:w="28" w:type="dxa"/>
          <w:bottom w:w="28" w:type="dxa"/>
          <w:right w:w="28" w:type="dxa"/>
        </w:tblCellMar>
      </w:tblPr>
      <w:tblGrid>
        <w:gridCol w:w="1032"/>
        <w:gridCol w:w="907"/>
        <w:gridCol w:w="910"/>
        <w:gridCol w:w="109"/>
        <w:gridCol w:w="109"/>
        <w:gridCol w:w="277"/>
        <w:gridCol w:w="277"/>
        <w:gridCol w:w="536"/>
        <w:gridCol w:w="1032"/>
        <w:gridCol w:w="277"/>
        <w:gridCol w:w="109"/>
        <w:gridCol w:w="109"/>
        <w:gridCol w:w="109"/>
        <w:gridCol w:w="211"/>
        <w:gridCol w:w="40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losses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amortized cost and fair value of short-term investments and available-for-sale fixed maturity securities by contractual maturity at March 31, 2026:</w:t>
      </w:r>
    </w:p>
    <w:tbl>
      <w:tblPr>
        <w:tblW w:w="6093" w:type="dxa"/>
        <w:jc w:val="left"/>
        <w:tblInd w:w="0" w:type="dxa"/>
        <w:tblLayout w:type="fixed"/>
        <w:tblCellMar>
          <w:top w:w="28" w:type="dxa"/>
          <w:left w:w="28" w:type="dxa"/>
          <w:bottom w:w="28" w:type="dxa"/>
          <w:right w:w="28" w:type="dxa"/>
        </w:tblCellMar>
      </w:tblPr>
      <w:tblGrid>
        <w:gridCol w:w="1119"/>
        <w:gridCol w:w="985"/>
        <w:gridCol w:w="1000"/>
        <w:gridCol w:w="280"/>
        <w:gridCol w:w="820"/>
        <w:gridCol w:w="145"/>
        <w:gridCol w:w="109"/>
        <w:gridCol w:w="109"/>
        <w:gridCol w:w="109"/>
        <w:gridCol w:w="211"/>
        <w:gridCol w:w="616"/>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five years through 10 years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Expected maturities may differ from contractual maturities because issuers may have the right to call or prepay obligations with or without call or prepayment penalties.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net investment income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363"/>
        <w:gridCol w:w="2076"/>
        <w:gridCol w:w="2081"/>
        <w:gridCol w:w="109"/>
        <w:gridCol w:w="109"/>
        <w:gridCol w:w="273"/>
        <w:gridCol w:w="273"/>
        <w:gridCol w:w="528"/>
        <w:gridCol w:w="1018"/>
        <w:gridCol w:w="273"/>
        <w:gridCol w:w="109"/>
        <w:gridCol w:w="109"/>
        <w:gridCol w:w="109"/>
        <w:gridCol w:w="211"/>
        <w:gridCol w:w="406"/>
        <w:gridCol w:w="158"/>
      </w:tblGrid>
      <w:tr>
        <w:trPr/>
        <w:tc>
          <w:tcPr>
            <w:tcW w:w="2363"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102" w:type="dxa"/>
            <w:gridSpan w:val="6"/>
            <w:tcBorders/>
          </w:tcPr>
          <w:p>
            <w:pPr>
              <w:pStyle w:val="TableContents"/>
              <w:bidi w:val="0"/>
              <w:spacing w:before="0" w:after="283"/>
              <w:jc w:val="left"/>
              <w:rPr>
                <w:sz w:val="4"/>
                <w:szCs w:val="4"/>
              </w:rPr>
            </w:pPr>
            <w:r>
              <w:rPr>
                <w:sz w:val="4"/>
                <w:szCs w:val="4"/>
              </w:rPr>
            </w:r>
          </w:p>
        </w:tc>
      </w:tr>
      <w:tr>
        <w:trPr/>
        <w:tc>
          <w:tcPr>
            <w:tcW w:w="6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fixed maturities and 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cash, cash equivalents, restricted cash, and restricted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credit ratings of short-term investments and available-for-sale fixed maturity securities at March 31, 2026 and December 31, 2025:</w:t>
      </w:r>
    </w:p>
    <w:tbl>
      <w:tblPr>
        <w:tblW w:w="6501" w:type="dxa"/>
        <w:jc w:val="left"/>
        <w:tblInd w:w="0" w:type="dxa"/>
        <w:tblLayout w:type="fixed"/>
        <w:tblCellMar>
          <w:top w:w="28" w:type="dxa"/>
          <w:left w:w="28" w:type="dxa"/>
          <w:bottom w:w="28" w:type="dxa"/>
          <w:right w:w="28" w:type="dxa"/>
        </w:tblCellMar>
      </w:tblPr>
      <w:tblGrid>
        <w:gridCol w:w="900"/>
        <w:gridCol w:w="792"/>
        <w:gridCol w:w="797"/>
        <w:gridCol w:w="280"/>
        <w:gridCol w:w="820"/>
        <w:gridCol w:w="145"/>
        <w:gridCol w:w="109"/>
        <w:gridCol w:w="109"/>
        <w:gridCol w:w="109"/>
        <w:gridCol w:w="211"/>
        <w:gridCol w:w="616"/>
        <w:gridCol w:w="109"/>
        <w:gridCol w:w="109"/>
        <w:gridCol w:w="109"/>
        <w:gridCol w:w="109"/>
        <w:gridCol w:w="307"/>
        <w:gridCol w:w="309"/>
        <w:gridCol w:w="561"/>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Fair Value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S&amp;P Global rating or equivalent</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 AA, AA-</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r>
    </w:p>
    <w:tbl>
      <w:tblPr>
        <w:tblW w:w="6547" w:type="dxa"/>
        <w:jc w:val="left"/>
        <w:tblInd w:w="0" w:type="dxa"/>
        <w:tblLayout w:type="fixed"/>
        <w:tblCellMar>
          <w:top w:w="28" w:type="dxa"/>
          <w:left w:w="28" w:type="dxa"/>
          <w:bottom w:w="28" w:type="dxa"/>
          <w:right w:w="28" w:type="dxa"/>
        </w:tblCellMar>
      </w:tblPr>
      <w:tblGrid>
        <w:gridCol w:w="917"/>
        <w:gridCol w:w="806"/>
        <w:gridCol w:w="812"/>
        <w:gridCol w:w="280"/>
        <w:gridCol w:w="820"/>
        <w:gridCol w:w="145"/>
        <w:gridCol w:w="109"/>
        <w:gridCol w:w="109"/>
        <w:gridCol w:w="109"/>
        <w:gridCol w:w="211"/>
        <w:gridCol w:w="616"/>
        <w:gridCol w:w="109"/>
        <w:gridCol w:w="109"/>
        <w:gridCol w:w="109"/>
        <w:gridCol w:w="109"/>
        <w:gridCol w:w="307"/>
        <w:gridCol w:w="309"/>
        <w:gridCol w:w="561"/>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Fair Value</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S&amp;P Global rating or equivalent </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 AA, AA-</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certain regulatory requirements, we are required to hold assets on deposit with various state insurance departments for the benefit of policyholders. These special deposits are included in available-for-sale fixed maturity securities on the consolidated balance sheets. As of March 31, 2026 and December 31, 2025, these required deposits had an amortized cost of $15.8 million and $15.7 million, respectively, and fair value of $15.9 million. We maintain restricted cash equivalents and certain investments in a trust to meet collateral requirements with the fronting carrier. As of March 31, 2026 and December 31, 2025, we held investments in the trust of $85.4 million and $77.0 million, respectively. There are withdrawal and other restrictions on these deposits. Ultimately, when unearned premiums run off and loss reserves are paid under this program, any remaining trust balances will be released and available for general 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4.</w:t>
      </w:r>
      <w:r>
        <w:rPr>
          <w:rFonts w:ascii="Times New Roman;serif" w:hAnsi="Times New Roman;serif"/>
          <w:b/>
          <w:color w:val="000000"/>
          <w:sz w:val="20"/>
        </w:rPr>
        <w:t>FAIR VALUE OF FINANCIAL INSTRUMENTS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our financial assets measured and reported at fair value as of March 31, 2026 and December 31, 2025:</w:t>
      </w:r>
    </w:p>
    <w:tbl>
      <w:tblPr>
        <w:tblW w:w="8415" w:type="dxa"/>
        <w:jc w:val="left"/>
        <w:tblInd w:w="0" w:type="dxa"/>
        <w:tblLayout w:type="fixed"/>
        <w:tblCellMar>
          <w:top w:w="28" w:type="dxa"/>
          <w:left w:w="28" w:type="dxa"/>
          <w:bottom w:w="28" w:type="dxa"/>
          <w:right w:w="28" w:type="dxa"/>
        </w:tblCellMar>
      </w:tblPr>
      <w:tblGrid>
        <w:gridCol w:w="1390"/>
        <w:gridCol w:w="1226"/>
        <w:gridCol w:w="123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at fair value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at fair value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 </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Fair Value of Long-Term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 of long-term debt is recorded at the unpaid balance, net of discount and debt issuance costs. The fair value of outstanding long-term debt is classified within Level 2 of the fair value hierarchy. The fair value is based on a model referencing observable interest rates and spreads to project and discount cash flows to present value. As of March 31, 2026 and December 31, 2025, the carrying amounts and fair values of these financial instruments were as follows:</w:t>
      </w:r>
    </w:p>
    <w:tbl>
      <w:tblPr>
        <w:tblW w:w="10205" w:type="dxa"/>
        <w:jc w:val="left"/>
        <w:tblInd w:w="0" w:type="dxa"/>
        <w:tblLayout w:type="fixed"/>
        <w:tblCellMar>
          <w:top w:w="28" w:type="dxa"/>
          <w:left w:w="28" w:type="dxa"/>
          <w:bottom w:w="28" w:type="dxa"/>
          <w:right w:w="28" w:type="dxa"/>
        </w:tblCellMar>
      </w:tblPr>
      <w:tblGrid>
        <w:gridCol w:w="453"/>
        <w:gridCol w:w="399"/>
        <w:gridCol w:w="400"/>
        <w:gridCol w:w="291"/>
        <w:gridCol w:w="851"/>
        <w:gridCol w:w="150"/>
        <w:gridCol w:w="109"/>
        <w:gridCol w:w="109"/>
        <w:gridCol w:w="109"/>
        <w:gridCol w:w="568"/>
        <w:gridCol w:w="1659"/>
        <w:gridCol w:w="293"/>
        <w:gridCol w:w="109"/>
        <w:gridCol w:w="109"/>
        <w:gridCol w:w="109"/>
        <w:gridCol w:w="309"/>
        <w:gridCol w:w="904"/>
        <w:gridCol w:w="160"/>
        <w:gridCol w:w="109"/>
        <w:gridCol w:w="109"/>
        <w:gridCol w:w="109"/>
        <w:gridCol w:w="597"/>
        <w:gridCol w:w="1745"/>
        <w:gridCol w:w="445"/>
      </w:tblGrid>
      <w:tr>
        <w:trPr/>
        <w:tc>
          <w:tcPr>
            <w:tcW w:w="4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Carrying Amount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Carrying Amount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 as of December 31, 2025</w:t>
            </w:r>
          </w:p>
        </w:tc>
      </w:tr>
      <w:tr>
        <w:trPr/>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other short-term financial instruments approximates their fair value due to their short-term nature.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5.</w:t>
      </w:r>
      <w:r>
        <w:rPr>
          <w:rFonts w:ascii="Times New Roman;serif" w:hAnsi="Times New Roman;serif"/>
          <w:b/>
          <w:color w:val="000000"/>
          <w:sz w:val="20"/>
        </w:rPr>
        <w:t>LOSS AND LOSS ADJUSTMENT EXPENSE RESERVES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provides a reconciliation of the beginning and ending reserve balances for loss and LAE, net of reinsurance:</w:t>
      </w:r>
    </w:p>
    <w:tbl>
      <w:tblPr>
        <w:tblW w:w="6263" w:type="dxa"/>
        <w:jc w:val="left"/>
        <w:tblInd w:w="0" w:type="dxa"/>
        <w:tblLayout w:type="fixed"/>
        <w:tblCellMar>
          <w:top w:w="28" w:type="dxa"/>
          <w:left w:w="28" w:type="dxa"/>
          <w:bottom w:w="28" w:type="dxa"/>
          <w:right w:w="28" w:type="dxa"/>
        </w:tblCellMar>
      </w:tblPr>
      <w:tblGrid>
        <w:gridCol w:w="1387"/>
        <w:gridCol w:w="1216"/>
        <w:gridCol w:w="1221"/>
        <w:gridCol w:w="229"/>
        <w:gridCol w:w="671"/>
        <w:gridCol w:w="118"/>
        <w:gridCol w:w="118"/>
        <w:gridCol w:w="118"/>
        <w:gridCol w:w="118"/>
        <w:gridCol w:w="229"/>
        <w:gridCol w:w="671"/>
        <w:gridCol w:w="167"/>
      </w:tblGrid>
      <w:tr>
        <w:trPr/>
        <w:tc>
          <w:tcPr>
            <w:tcW w:w="13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January 1</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reserves, January 1</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incurred loss and LAE related to:</w:t>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incurred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paid loss and LAE related to:</w:t>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paid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and LAE reserves, March 31</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reinsurance recoverable on unpaid losses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March 31</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Incurred losses and LAE attributable to prior accident years was a decrease of $18.5 million and $13.1 million for the three months ended March 31, 2026 and 2025, respectively. For the three months ended March 31, 2026, the development of incurred losses and LAE related to prior periods was primarily driven by lower-than-expected reported losses and LAE from accident year 2025 on both liability and physical damage coverages and the identification of additional subrogation opportunities resulting from model improvements. For the three months ended March 31, 2025, the development of incurred losses and LAE related to prior periods was primarily driven by lower-than-expected reported losses and LAE from accident year 2024 on both liability and physical damage coverages.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6.</w:t>
      </w:r>
      <w:r>
        <w:rPr>
          <w:rFonts w:ascii="Times New Roman;serif" w:hAnsi="Times New Roman;serif"/>
          <w:b/>
          <w:color w:val="000000"/>
          <w:sz w:val="20"/>
        </w:rPr>
        <w:t>REINSURANCE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amounts affecting the condensed consolidated statements of operations and comprehensive income for reinsurance for the three months ended March 31, 2026 and 2025:</w:t>
      </w:r>
    </w:p>
    <w:tbl>
      <w:tblPr>
        <w:tblW w:w="6338" w:type="dxa"/>
        <w:jc w:val="left"/>
        <w:tblInd w:w="0" w:type="dxa"/>
        <w:tblLayout w:type="fixed"/>
        <w:tblCellMar>
          <w:top w:w="28" w:type="dxa"/>
          <w:left w:w="28" w:type="dxa"/>
          <w:bottom w:w="28" w:type="dxa"/>
          <w:right w:w="28" w:type="dxa"/>
        </w:tblCellMar>
      </w:tblPr>
      <w:tblGrid>
        <w:gridCol w:w="875"/>
        <w:gridCol w:w="768"/>
        <w:gridCol w:w="771"/>
        <w:gridCol w:w="109"/>
        <w:gridCol w:w="109"/>
        <w:gridCol w:w="226"/>
        <w:gridCol w:w="226"/>
        <w:gridCol w:w="439"/>
        <w:gridCol w:w="1281"/>
        <w:gridCol w:w="226"/>
        <w:gridCol w:w="109"/>
        <w:gridCol w:w="109"/>
        <w:gridCol w:w="109"/>
        <w:gridCol w:w="211"/>
        <w:gridCol w:w="61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and LAE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event that all or any of the reinsuring companies might be unable to meet their obligations under existing reinsurance agreements, we would be liable to the policyholder for such defaulted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7.</w:t>
      </w:r>
      <w:r>
        <w:rPr>
          <w:rFonts w:ascii="Times New Roman;serif" w:hAnsi="Times New Roman;serif"/>
          <w:b/>
          <w:color w:val="000000"/>
          <w:sz w:val="20"/>
        </w:rPr>
        <w:t>LONG-TERM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2024, we entered into a $200.0 million five-year term loan, or Amended Term Loan, with the principal amount due and payable upon maturity on October 29, 2030. Interest is payable quarterly and determined on a floating interest rate calculated on the Secured Overnight Financing Rate, or SOFR, with a 1.0% floor, plus an applicable margin ranging from 5.25% to 6.00% based upon the debt-to-capital ratio payable quarterly. The Amended Term Loan can be repaid at any time through the maturity date as long as we provide at least three business days written notice and a prepayment premium of 1.00% applicable between October 29, 2025 to October 25, 2026, and no prepayment premium thereafter. The Amended Term Loan is secured by the assets of Root, Inc. and those of our wholly-owned subsidiary loan parties. In addition, we have pledged 100% of the capital stock of our subsidiaries.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carrying value of long-term debt as of March 31, 2026 and December 31, 2025:</w:t>
      </w:r>
    </w:p>
    <w:tbl>
      <w:tblPr>
        <w:tblW w:w="6985" w:type="dxa"/>
        <w:jc w:val="left"/>
        <w:tblInd w:w="0" w:type="dxa"/>
        <w:tblLayout w:type="fixed"/>
        <w:tblCellMar>
          <w:top w:w="28" w:type="dxa"/>
          <w:left w:w="28" w:type="dxa"/>
          <w:bottom w:w="28" w:type="dxa"/>
          <w:right w:w="28" w:type="dxa"/>
        </w:tblCellMar>
      </w:tblPr>
      <w:tblGrid>
        <w:gridCol w:w="1396"/>
        <w:gridCol w:w="1224"/>
        <w:gridCol w:w="1235"/>
        <w:gridCol w:w="284"/>
        <w:gridCol w:w="829"/>
        <w:gridCol w:w="146"/>
        <w:gridCol w:w="109"/>
        <w:gridCol w:w="109"/>
        <w:gridCol w:w="109"/>
        <w:gridCol w:w="332"/>
        <w:gridCol w:w="970"/>
        <w:gridCol w:w="242"/>
      </w:tblGrid>
      <w:tr>
        <w:trPr/>
        <w:tc>
          <w:tcPr>
            <w:tcW w:w="139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prepaid the Amended Term Loan in full and entered into a new senior secured term loan. For additional information refer to Note 13, “Subsequent Events.”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8.</w:t>
      </w:r>
      <w:r>
        <w:rPr>
          <w:rFonts w:ascii="Times New Roman;serif" w:hAnsi="Times New Roman;serif"/>
          <w:b/>
          <w:color w:val="000000"/>
          <w:sz w:val="20"/>
        </w:rPr>
        <w:t>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consolidated effective tax rate was 0.6% and zero for the three months ended March 31, 2026 and 2025. The difference between these rates and the U.S. federal income tax rate of 21.0% was primarily due to state income tax expense and a full valuation allowance on our U.S. deferred tax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we maintained a full valuation allowance against our deferred tax assets. We expect to maintain a full valuation allowance until it becomes more likely than not that the deferred tax asset will be realized.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we did not have any unrecognized tax benefits for uncertain tax positions and had no interest or penalties related to uncertain tax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9.</w:t>
      </w:r>
      <w:r>
        <w:rPr>
          <w:rFonts w:ascii="Times New Roman;serif" w:hAnsi="Times New Roman;serif"/>
          <w:b/>
          <w:color w:val="000000"/>
          <w:sz w:val="20"/>
        </w:rPr>
        <w:t>SHARE-BASED COMPENSATION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October 2021, we issued Carvana </w:t>
      </w:r>
      <w:r>
        <w:rPr>
          <w:rFonts w:ascii="Times New Roman;serif" w:hAnsi="Times New Roman;serif"/>
          <w:b w:val="false"/>
          <w:color w:val="000000"/>
          <w:sz w:val="20"/>
          <w:shd w:fill="FFFFFF" w:val="clear"/>
        </w:rPr>
        <w:t>eight tranches of warrants, comprised of three tranches of “short-term warrants” and five tranches of “long-term warrants,” with the opportunity to purchase a maximum of 7.2 million</w:t>
      </w:r>
      <w:r>
        <w:rPr>
          <w:color w:val="000000"/>
        </w:rPr>
        <w:t xml:space="preserve"> </w:t>
      </w:r>
      <w:r>
        <w:rPr>
          <w:rFonts w:ascii="Times New Roman;serif" w:hAnsi="Times New Roman;serif"/>
          <w:b w:val="false"/>
          <w:color w:val="000000"/>
          <w:sz w:val="20"/>
        </w:rPr>
        <w:t>shares of Class A common stock.</w:t>
      </w:r>
      <w:r>
        <w:rPr>
          <w:color w:val="000000"/>
          <w:shd w:fill="FFFFFF" w:val="clear"/>
        </w:rPr>
        <w:t xml:space="preserve"> </w:t>
      </w:r>
      <w:r>
        <w:rPr>
          <w:rFonts w:ascii="Times New Roman;serif" w:hAnsi="Times New Roman;serif"/>
          <w:b w:val="false"/>
          <w:color w:val="000000"/>
          <w:sz w:val="20"/>
        </w:rPr>
        <w:t>The short-term warrants expired unexercised on September 1, 2025, at which point the long-term warrants became probable of vesting; the long-term warrants have an expiration date of September 1, 2027.</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We recognized compensation expense considering the probability of and progress toward achieving the long-term warrant policy origination milestones</w:t>
      </w:r>
      <w:r>
        <w:rPr>
          <w:rFonts w:ascii="Times New Roman;serif" w:hAnsi="Times New Roman;serif"/>
          <w:b w:val="false"/>
          <w:color w:val="000000"/>
          <w:sz w:val="20"/>
        </w:rPr>
        <w:t xml:space="preserve">. For the three months ended </w:t>
      </w:r>
      <w:r>
        <w:rPr>
          <w:rFonts w:ascii="Times New Roman;serif" w:hAnsi="Times New Roman;serif"/>
          <w:b w:val="false"/>
          <w:color w:val="000000"/>
          <w:sz w:val="20"/>
          <w:shd w:fill="FFFFFF" w:val="clear"/>
        </w:rPr>
        <w:t xml:space="preserve">March 31, 2026 and </w:t>
      </w:r>
      <w:r>
        <w:rPr>
          <w:rFonts w:ascii="Times New Roman;serif" w:hAnsi="Times New Roman;serif"/>
          <w:b w:val="false"/>
          <w:color w:val="000000"/>
          <w:sz w:val="20"/>
        </w:rPr>
        <w:t xml:space="preserve">2025, we recognized compensation expense of $1.9 million and zero, respectively. Warrant compensation expense is recorded in other insurance expense in the condensed consolidated statements of operations and comprehensive income. All of these warrants are out-of-the-money and, therefore, have no intrinsic value as of </w:t>
      </w:r>
      <w:r>
        <w:rPr>
          <w:rFonts w:ascii="Times New Roman;serif" w:hAnsi="Times New Roman;serif"/>
          <w:b w:val="false"/>
          <w:color w:val="000000"/>
          <w:sz w:val="20"/>
          <w:shd w:fill="FFFFFF" w:val="clear"/>
        </w:rPr>
        <w:t>March 31, 2026.</w:t>
      </w:r>
      <w:r>
        <w:rPr>
          <w:color w:val="000000"/>
        </w:rPr>
        <w:t xml:space="preserve"> </w:t>
      </w:r>
    </w:p>
    <w:p>
      <w:pPr>
        <w:pStyle w:val="TextBody"/>
        <w:bidi w:val="0"/>
        <w:spacing w:lineRule="auto" w:line="288" w:before="0" w:after="180"/>
        <w:ind w:left="0" w:right="0" w:firstLine="360"/>
        <w:jc w:val="left"/>
        <w:rPr/>
      </w:pPr>
      <w:r>
        <w:rPr>
          <w:rFonts w:ascii="Times New Roman;serif" w:hAnsi="Times New Roman;serif"/>
          <w:b w:val="false"/>
          <w:color w:val="000000"/>
          <w:sz w:val="20"/>
        </w:rPr>
        <w:t>Based on the probability of achieving certain policy origination milestones, unrecognized compensation cost is approximately $5.9 million</w:t>
      </w:r>
      <w:r>
        <w:rPr>
          <w:color w:val="000000"/>
          <w:shd w:fill="FFFFFF" w:val="clear"/>
        </w:rPr>
        <w:t xml:space="preserve"> </w:t>
      </w:r>
      <w:r>
        <w:rPr>
          <w:rFonts w:ascii="Times New Roman;serif" w:hAnsi="Times New Roman;serif"/>
          <w:b w:val="false"/>
          <w:color w:val="000000"/>
          <w:sz w:val="20"/>
          <w:shd w:fill="FFFFFF" w:val="clear"/>
        </w:rPr>
        <w:t>a</w:t>
      </w:r>
      <w:r>
        <w:rPr>
          <w:rFonts w:ascii="Times New Roman;serif" w:hAnsi="Times New Roman;serif"/>
          <w:b w:val="false"/>
          <w:color w:val="000000"/>
          <w:sz w:val="20"/>
        </w:rPr>
        <w:t xml:space="preserve">s of </w:t>
      </w:r>
      <w:r>
        <w:rPr>
          <w:rFonts w:ascii="Times New Roman;serif" w:hAnsi="Times New Roman;serif"/>
          <w:b w:val="false"/>
          <w:color w:val="000000"/>
          <w:sz w:val="20"/>
          <w:shd w:fill="FFFFFF" w:val="clear"/>
        </w:rPr>
        <w:t xml:space="preserve">March 31, 2026. </w:t>
      </w:r>
      <w:r>
        <w:rPr>
          <w:rFonts w:ascii="Times New Roman;serif" w:hAnsi="Times New Roman;serif"/>
          <w:b w:val="false"/>
          <w:color w:val="000000"/>
          <w:sz w:val="20"/>
        </w:rPr>
        <w:t xml:space="preserve">The weighted-average remaining compensation costs are expected to be recognized over a period of 1.50 years.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maximum remaining unrecognized compensation costs as of March 31, 2026, and other key terms of the warrants:</w:t>
      </w:r>
    </w:p>
    <w:tbl>
      <w:tblPr>
        <w:tblW w:w="10048" w:type="dxa"/>
        <w:jc w:val="left"/>
        <w:tblInd w:w="0" w:type="dxa"/>
        <w:tblLayout w:type="fixed"/>
        <w:tblCellMar>
          <w:top w:w="28" w:type="dxa"/>
          <w:left w:w="28" w:type="dxa"/>
          <w:bottom w:w="28" w:type="dxa"/>
          <w:right w:w="28" w:type="dxa"/>
        </w:tblCellMar>
      </w:tblPr>
      <w:tblGrid>
        <w:gridCol w:w="548"/>
        <w:gridCol w:w="481"/>
        <w:gridCol w:w="485"/>
        <w:gridCol w:w="109"/>
        <w:gridCol w:w="109"/>
        <w:gridCol w:w="109"/>
        <w:gridCol w:w="228"/>
        <w:gridCol w:w="779"/>
        <w:gridCol w:w="117"/>
        <w:gridCol w:w="109"/>
        <w:gridCol w:w="109"/>
        <w:gridCol w:w="109"/>
        <w:gridCol w:w="354"/>
        <w:gridCol w:w="354"/>
        <w:gridCol w:w="356"/>
        <w:gridCol w:w="109"/>
        <w:gridCol w:w="109"/>
        <w:gridCol w:w="109"/>
        <w:gridCol w:w="757"/>
        <w:gridCol w:w="1459"/>
        <w:gridCol w:w="393"/>
        <w:gridCol w:w="109"/>
        <w:gridCol w:w="109"/>
        <w:gridCol w:w="109"/>
        <w:gridCol w:w="711"/>
        <w:gridCol w:w="711"/>
        <w:gridCol w:w="100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7083" w:type="dxa"/>
            <w:gridSpan w:val="18"/>
            <w:tcBorders/>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 Issued</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Unrecognized Compensation Costs</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Vesting Condition</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9"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100,000 policy originations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200,000 policy originations</w:t>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300,000 policy originations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400,000 policy originations</w:t>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500,000 policy originations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Employee Share-Based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an equity incentive plan, or the Plan, for the issuance and grant of equity awards (restricted stock, service-based restricted stock units, performance-based restricted stock units, market-based restricted stock units, and incentive and nonqualified stock options) to our officers, directors, employees, and certain advisors. As of March 31, 2026, we had 1.3 million common shares available for issuance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share-based compensation expense recorded in the condensed consolidated statements of operations and comprehensive income:</w:t>
      </w:r>
    </w:p>
    <w:tbl>
      <w:tblPr>
        <w:tblW w:w="7367" w:type="dxa"/>
        <w:jc w:val="left"/>
        <w:tblInd w:w="0" w:type="dxa"/>
        <w:tblLayout w:type="fixed"/>
        <w:tblCellMar>
          <w:top w:w="28" w:type="dxa"/>
          <w:left w:w="28" w:type="dxa"/>
          <w:bottom w:w="28" w:type="dxa"/>
          <w:right w:w="28" w:type="dxa"/>
        </w:tblCellMar>
      </w:tblPr>
      <w:tblGrid>
        <w:gridCol w:w="1245"/>
        <w:gridCol w:w="1092"/>
        <w:gridCol w:w="1098"/>
        <w:gridCol w:w="109"/>
        <w:gridCol w:w="109"/>
        <w:gridCol w:w="249"/>
        <w:gridCol w:w="249"/>
        <w:gridCol w:w="482"/>
        <w:gridCol w:w="1169"/>
        <w:gridCol w:w="249"/>
        <w:gridCol w:w="109"/>
        <w:gridCol w:w="109"/>
        <w:gridCol w:w="109"/>
        <w:gridCol w:w="211"/>
        <w:gridCol w:w="406"/>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unrecognized compensation cost and the remaining weighted-average period over which these costs are expected to be recognized for restricted stock units and unvested stock options as of March 31, 2026 is as follows:</w:t>
      </w:r>
    </w:p>
    <w:tbl>
      <w:tblPr>
        <w:tblW w:w="10205" w:type="dxa"/>
        <w:jc w:val="left"/>
        <w:tblInd w:w="0" w:type="dxa"/>
        <w:tblLayout w:type="fixed"/>
        <w:tblCellMar>
          <w:top w:w="28" w:type="dxa"/>
          <w:left w:w="28" w:type="dxa"/>
          <w:bottom w:w="28" w:type="dxa"/>
          <w:right w:w="28" w:type="dxa"/>
        </w:tblCellMar>
      </w:tblPr>
      <w:tblGrid>
        <w:gridCol w:w="906"/>
        <w:gridCol w:w="709"/>
        <w:gridCol w:w="712"/>
        <w:gridCol w:w="109"/>
        <w:gridCol w:w="109"/>
        <w:gridCol w:w="1395"/>
        <w:gridCol w:w="109"/>
        <w:gridCol w:w="459"/>
        <w:gridCol w:w="1116"/>
        <w:gridCol w:w="239"/>
        <w:gridCol w:w="109"/>
        <w:gridCol w:w="109"/>
        <w:gridCol w:w="109"/>
        <w:gridCol w:w="357"/>
        <w:gridCol w:w="867"/>
        <w:gridCol w:w="185"/>
        <w:gridCol w:w="109"/>
        <w:gridCol w:w="109"/>
        <w:gridCol w:w="109"/>
        <w:gridCol w:w="277"/>
        <w:gridCol w:w="535"/>
        <w:gridCol w:w="145"/>
        <w:gridCol w:w="109"/>
        <w:gridCol w:w="109"/>
        <w:gridCol w:w="109"/>
        <w:gridCol w:w="211"/>
        <w:gridCol w:w="406"/>
        <w:gridCol w:w="109"/>
        <w:gridCol w:w="109"/>
        <w:gridCol w:w="160"/>
      </w:tblGrid>
      <w:tr>
        <w:trPr/>
        <w:tc>
          <w:tcPr>
            <w:tcW w:w="9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Service-based Restricted Stock Units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Market-based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Unvested Stock Options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7"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compensation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Remaining weighted-average period cost is expected to be recognized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units activity for the three months ended March 31, 2026 is as follows:</w:t>
      </w:r>
    </w:p>
    <w:tbl>
      <w:tblPr>
        <w:tblW w:w="10205" w:type="dxa"/>
        <w:jc w:val="left"/>
        <w:tblInd w:w="0" w:type="dxa"/>
        <w:tblLayout w:type="fixed"/>
        <w:tblCellMar>
          <w:top w:w="28" w:type="dxa"/>
          <w:left w:w="28" w:type="dxa"/>
          <w:bottom w:w="28" w:type="dxa"/>
          <w:right w:w="28" w:type="dxa"/>
        </w:tblCellMar>
      </w:tblPr>
      <w:tblGrid>
        <w:gridCol w:w="683"/>
        <w:gridCol w:w="358"/>
        <w:gridCol w:w="361"/>
        <w:gridCol w:w="109"/>
        <w:gridCol w:w="109"/>
        <w:gridCol w:w="109"/>
        <w:gridCol w:w="250"/>
        <w:gridCol w:w="250"/>
        <w:gridCol w:w="251"/>
        <w:gridCol w:w="115"/>
        <w:gridCol w:w="115"/>
        <w:gridCol w:w="115"/>
        <w:gridCol w:w="364"/>
        <w:gridCol w:w="1003"/>
        <w:gridCol w:w="115"/>
        <w:gridCol w:w="109"/>
        <w:gridCol w:w="109"/>
        <w:gridCol w:w="109"/>
        <w:gridCol w:w="250"/>
        <w:gridCol w:w="250"/>
        <w:gridCol w:w="251"/>
        <w:gridCol w:w="118"/>
        <w:gridCol w:w="118"/>
        <w:gridCol w:w="118"/>
        <w:gridCol w:w="420"/>
        <w:gridCol w:w="966"/>
        <w:gridCol w:w="118"/>
        <w:gridCol w:w="109"/>
        <w:gridCol w:w="109"/>
        <w:gridCol w:w="109"/>
        <w:gridCol w:w="250"/>
        <w:gridCol w:w="250"/>
        <w:gridCol w:w="251"/>
        <w:gridCol w:w="116"/>
        <w:gridCol w:w="116"/>
        <w:gridCol w:w="116"/>
        <w:gridCol w:w="386"/>
        <w:gridCol w:w="937"/>
        <w:gridCol w:w="213"/>
      </w:tblGrid>
      <w:tr>
        <w:trPr/>
        <w:tc>
          <w:tcPr>
            <w:tcW w:w="68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Service-based Restricted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Performance-based Restricted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Market-based Restricted Stock Units</w:t>
            </w:r>
          </w:p>
        </w:tc>
      </w:tr>
      <w:tr>
        <w:trPr/>
        <w:tc>
          <w:tcPr>
            <w:tcW w:w="14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r>
      <w:tr>
        <w:trPr/>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due to performance criteria achievement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information pertaining to restricted stock units for the three months ended March 31, 2026 and 2025 is as follows:</w:t>
      </w:r>
    </w:p>
    <w:tbl>
      <w:tblPr>
        <w:tblW w:w="6782" w:type="dxa"/>
        <w:jc w:val="left"/>
        <w:tblInd w:w="0" w:type="dxa"/>
        <w:tblLayout w:type="fixed"/>
        <w:tblCellMar>
          <w:top w:w="28" w:type="dxa"/>
          <w:left w:w="28" w:type="dxa"/>
          <w:bottom w:w="28" w:type="dxa"/>
          <w:right w:w="28" w:type="dxa"/>
        </w:tblCellMar>
      </w:tblPr>
      <w:tblGrid>
        <w:gridCol w:w="1337"/>
        <w:gridCol w:w="1175"/>
        <w:gridCol w:w="1177"/>
        <w:gridCol w:w="109"/>
        <w:gridCol w:w="109"/>
        <w:gridCol w:w="109"/>
        <w:gridCol w:w="268"/>
        <w:gridCol w:w="651"/>
        <w:gridCol w:w="138"/>
        <w:gridCol w:w="138"/>
        <w:gridCol w:w="138"/>
        <w:gridCol w:w="138"/>
        <w:gridCol w:w="268"/>
        <w:gridCol w:w="517"/>
        <w:gridCol w:w="138"/>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Service-based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intrinsic value of awards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Performance-based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intrinsic value of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option activity for the three months ended March 31, 2026 is as follows:</w:t>
      </w:r>
    </w:p>
    <w:tbl>
      <w:tblPr>
        <w:tblW w:w="10205" w:type="dxa"/>
        <w:jc w:val="left"/>
        <w:tblInd w:w="0" w:type="dxa"/>
        <w:tblLayout w:type="fixed"/>
        <w:tblCellMar>
          <w:top w:w="28" w:type="dxa"/>
          <w:left w:w="28" w:type="dxa"/>
          <w:bottom w:w="28" w:type="dxa"/>
          <w:right w:w="28" w:type="dxa"/>
        </w:tblCellMar>
      </w:tblPr>
      <w:tblGrid>
        <w:gridCol w:w="787"/>
        <w:gridCol w:w="692"/>
        <w:gridCol w:w="698"/>
        <w:gridCol w:w="109"/>
        <w:gridCol w:w="109"/>
        <w:gridCol w:w="109"/>
        <w:gridCol w:w="318"/>
        <w:gridCol w:w="318"/>
        <w:gridCol w:w="320"/>
        <w:gridCol w:w="109"/>
        <w:gridCol w:w="109"/>
        <w:gridCol w:w="109"/>
        <w:gridCol w:w="419"/>
        <w:gridCol w:w="1227"/>
        <w:gridCol w:w="218"/>
        <w:gridCol w:w="109"/>
        <w:gridCol w:w="109"/>
        <w:gridCol w:w="109"/>
        <w:gridCol w:w="855"/>
        <w:gridCol w:w="855"/>
        <w:gridCol w:w="857"/>
        <w:gridCol w:w="109"/>
        <w:gridCol w:w="109"/>
        <w:gridCol w:w="109"/>
        <w:gridCol w:w="362"/>
        <w:gridCol w:w="698"/>
        <w:gridCol w:w="27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exercise price and term amounts)</w:t>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10.</w:t>
      </w:r>
      <w:r>
        <w:rPr>
          <w:rFonts w:ascii="Times New Roman;serif" w:hAnsi="Times New Roman;serif"/>
          <w:b/>
          <w:color w:val="000000"/>
          <w:sz w:val="20"/>
        </w:rPr>
        <w:t>OTHER COMPREHENSIVE (LOSS) INCOME AND ACCUMULATED OTHER COMPREHENSIVE INCOME (LOSS)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changes in our accumulated other comprehensive income (loss), or AOCI, for the three months ended March 31, 2026 and 2025: </w:t>
      </w:r>
    </w:p>
    <w:tbl>
      <w:tblPr>
        <w:tblW w:w="9903" w:type="dxa"/>
        <w:jc w:val="left"/>
        <w:tblInd w:w="0" w:type="dxa"/>
        <w:tblLayout w:type="fixed"/>
        <w:tblCellMar>
          <w:top w:w="28" w:type="dxa"/>
          <w:left w:w="28" w:type="dxa"/>
          <w:bottom w:w="28" w:type="dxa"/>
          <w:right w:w="28" w:type="dxa"/>
        </w:tblCellMar>
      </w:tblPr>
      <w:tblGrid>
        <w:gridCol w:w="2136"/>
        <w:gridCol w:w="1875"/>
        <w:gridCol w:w="1884"/>
        <w:gridCol w:w="109"/>
        <w:gridCol w:w="109"/>
        <w:gridCol w:w="277"/>
        <w:gridCol w:w="277"/>
        <w:gridCol w:w="536"/>
        <w:gridCol w:w="1032"/>
        <w:gridCol w:w="277"/>
        <w:gridCol w:w="109"/>
        <w:gridCol w:w="109"/>
        <w:gridCol w:w="109"/>
        <w:gridCol w:w="211"/>
        <w:gridCol w:w="481"/>
        <w:gridCol w:w="109"/>
        <w:gridCol w:w="109"/>
        <w:gridCol w:w="154"/>
      </w:tblGrid>
      <w:tr>
        <w:trPr/>
        <w:tc>
          <w:tcPr>
            <w:tcW w:w="2136"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 reclassified from AOCI to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11.</w:t>
      </w:r>
      <w:r>
        <w:rPr>
          <w:rFonts w:ascii="Times New Roman;serif" w:hAnsi="Times New Roman;serif"/>
          <w:b/>
          <w:color w:val="000000"/>
          <w:sz w:val="20"/>
        </w:rPr>
        <w:t>EARNINGS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the computation of basic and diluted earnings per share, or EPS, for both Class A and Class B common stock for the three months ended March 31, 2026 and 2025:</w:t>
      </w:r>
    </w:p>
    <w:tbl>
      <w:tblPr>
        <w:tblW w:w="10149" w:type="dxa"/>
        <w:jc w:val="left"/>
        <w:tblInd w:w="0" w:type="dxa"/>
        <w:tblLayout w:type="fixed"/>
        <w:tblCellMar>
          <w:top w:w="28" w:type="dxa"/>
          <w:left w:w="28" w:type="dxa"/>
          <w:bottom w:w="28" w:type="dxa"/>
          <w:right w:w="28" w:type="dxa"/>
        </w:tblCellMar>
      </w:tblPr>
      <w:tblGrid>
        <w:gridCol w:w="2287"/>
        <w:gridCol w:w="2016"/>
        <w:gridCol w:w="2027"/>
        <w:gridCol w:w="109"/>
        <w:gridCol w:w="109"/>
        <w:gridCol w:w="249"/>
        <w:gridCol w:w="249"/>
        <w:gridCol w:w="482"/>
        <w:gridCol w:w="1169"/>
        <w:gridCol w:w="249"/>
        <w:gridCol w:w="109"/>
        <w:gridCol w:w="109"/>
        <w:gridCol w:w="109"/>
        <w:gridCol w:w="211"/>
        <w:gridCol w:w="511"/>
        <w:gridCol w:w="154"/>
      </w:tblGrid>
      <w:tr>
        <w:trPr/>
        <w:tc>
          <w:tcPr>
            <w:tcW w:w="2287"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Undistributed income allocated to participating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(both Class A and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diluted (both Class A and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(both Class A and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excluded the following potentially dilutive common stock equivalents, presented based on amounts outstanding at each period end, from the computation of diluted EPS attributable to common shareholders for the periods indicated because including them would have had an anti-dilutive effect: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6608" w:type="dxa"/>
        <w:jc w:val="left"/>
        <w:tblInd w:w="0" w:type="dxa"/>
        <w:tblLayout w:type="fixed"/>
        <w:tblCellMar>
          <w:top w:w="28" w:type="dxa"/>
          <w:left w:w="28" w:type="dxa"/>
          <w:bottom w:w="28" w:type="dxa"/>
          <w:right w:w="28" w:type="dxa"/>
        </w:tblCellMar>
      </w:tblPr>
      <w:tblGrid>
        <w:gridCol w:w="1102"/>
        <w:gridCol w:w="970"/>
        <w:gridCol w:w="973"/>
        <w:gridCol w:w="109"/>
        <w:gridCol w:w="109"/>
        <w:gridCol w:w="479"/>
        <w:gridCol w:w="479"/>
        <w:gridCol w:w="479"/>
        <w:gridCol w:w="479"/>
        <w:gridCol w:w="483"/>
        <w:gridCol w:w="109"/>
        <w:gridCol w:w="109"/>
        <w:gridCol w:w="109"/>
        <w:gridCol w:w="203"/>
        <w:gridCol w:w="203"/>
        <w:gridCol w:w="213"/>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946" w:type="dxa"/>
            <w:gridSpan w:val="6"/>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12.</w:t>
      </w:r>
      <w:r>
        <w:rPr>
          <w:rFonts w:ascii="Times New Roman;serif" w:hAnsi="Times New Roman;serif"/>
          <w:b/>
          <w:color w:val="000000"/>
          <w:sz w:val="20"/>
        </w:rPr>
        <w:t>GEOGRAPHICAL BREAKDOWN OF GROSS PREMIUMS WRITTEN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premiums written by state is as follows for the three months ended March 31, 2026 and 2025:</w:t>
      </w:r>
    </w:p>
    <w:tbl>
      <w:tblPr>
        <w:tblW w:w="8235" w:type="dxa"/>
        <w:jc w:val="left"/>
        <w:tblInd w:w="0" w:type="dxa"/>
        <w:tblLayout w:type="fixed"/>
        <w:tblCellMar>
          <w:top w:w="28" w:type="dxa"/>
          <w:left w:w="28" w:type="dxa"/>
          <w:bottom w:w="28" w:type="dxa"/>
          <w:right w:w="28" w:type="dxa"/>
        </w:tblCellMar>
      </w:tblPr>
      <w:tblGrid>
        <w:gridCol w:w="507"/>
        <w:gridCol w:w="444"/>
        <w:gridCol w:w="459"/>
        <w:gridCol w:w="109"/>
        <w:gridCol w:w="109"/>
        <w:gridCol w:w="164"/>
        <w:gridCol w:w="164"/>
        <w:gridCol w:w="164"/>
        <w:gridCol w:w="164"/>
        <w:gridCol w:w="164"/>
        <w:gridCol w:w="164"/>
        <w:gridCol w:w="318"/>
        <w:gridCol w:w="930"/>
        <w:gridCol w:w="164"/>
        <w:gridCol w:w="109"/>
        <w:gridCol w:w="109"/>
        <w:gridCol w:w="109"/>
        <w:gridCol w:w="307"/>
        <w:gridCol w:w="309"/>
        <w:gridCol w:w="501"/>
        <w:gridCol w:w="109"/>
        <w:gridCol w:w="109"/>
        <w:gridCol w:w="109"/>
        <w:gridCol w:w="211"/>
        <w:gridCol w:w="616"/>
        <w:gridCol w:w="109"/>
        <w:gridCol w:w="109"/>
        <w:gridCol w:w="109"/>
        <w:gridCol w:w="109"/>
        <w:gridCol w:w="307"/>
        <w:gridCol w:w="309"/>
        <w:gridCol w:w="561"/>
      </w:tblGrid>
      <w:tr>
        <w:trPr/>
        <w:tc>
          <w:tcPr>
            <w:tcW w:w="50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4211" w:type="dxa"/>
            <w:gridSpan w:val="18"/>
            <w:tcBorders/>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6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767" w:type="dxa"/>
            <w:gridSpan w:val="12"/>
            <w:tcBorders/>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6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others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13.</w:t>
      </w:r>
      <w:r>
        <w:rPr>
          <w:rFonts w:ascii="Times New Roman;serif" w:hAnsi="Times New Roman;serif"/>
          <w:b/>
          <w:color w:val="000000"/>
          <w:sz w:val="20"/>
        </w:rPr>
        <w:t>SUBSEQUENT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prepaid all of the outstanding principal balance of the Amended Term Loan with borrowings under a new senior secured term loan described below. The prepayment will result in a loss on extinguishment of debt of $4.8 million, primarily related to accelerated amortization of debt discount and issuance costs and a prepayment premium.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we obtained a $200.0 million senior secured term loan that matures in May 2029. We expect to incur approximately $2.8 million of debt discount and issuance costs related to the new term loan, most of which will be capitalized and amortized over the life of the new term loan. The new term loan requires principal payments equal to approximately 1.0% of the original principal amount in each of the first two years following the closing date and 5.0% in the third year, with the unpaid balance due at maturity. Interest is variable and calculated between SOFR plus 3.0% and SOFR plus 3.75%, based upon the debt-to-capital ratio payable quarterly in cash.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we announced that our board of directors approved a share repurchase authorization of up to $75.0 million of Class A common stock, or Repurchase Program. We may utilize various methods to effect repurchases, which could include open market purchases, privately negotiated transactions, block purchases, accelerated share repurchase agreements or a combination of methods, including pursuant to trading plans adopted under Rule 10b5-1 under the Securities Exchange Act of 1934. The Repurchase Program does not have a set expiration date and may be modified, suspended, or discontinued at any time at the discretion of our board of directors. The timing and amount of any repurchases under the Repurchase Program will depend upon several factors, including market and business factors.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2025 filed with the Securities and Exchange Commission on February 25, 2026, or the 2025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2025 10-K for a discussion of important factors that could cause our actual results to differ materially from those anticipated in these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Root is a technology insurance company founded on the idea that car insurance rates should be based primarily on driving behaviors, not demographics. We are revolutionizing the archaic car insurance industry by using modern technology, telematics, and data science to offer fair, personalized rates to good drivers.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competitive advantage is derived from our ability to efficiently and effectively bind auto insurance policies quickly, through direct and partnership channels, aided by segmenting individual risk to price better drivers more fairly.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administration and ongoing customer engagement. This unified platform enhances pricing accuracy, strengthens operating efficiency, and supports a more seamless customer experience, while creating a defensible, technology- and data-driven advantage that compounds over time.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scale the business, we aim to drive new customer growth and optimize unit economics via our two distribution channels: direct and partnership. The direct channel efficiently drives volume from high-intent customers by reaching them where they are already shopping for insurance, such as search engines or select marketplaces they actively use. The data science model continuously seeks to optimize bidding strategies that fine tunes our prices to strike a balance between offering a competitive price and achieving target unit economics. The partnership channel provides differentiated access to high intent customers, primarily in the automotive, financial services, and independent agent sectors. We build upon or within the mobile and web customer experiences of distribution partners to reach a captive customer base with an embedded solution, which can even remove the need for the customer to ever visit a Root website to purchase and bind a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technology to drive efficiency across the organization within distribution, underwriting, policy administration, and claims. Although we believe we are priced adequately in a majority of the states in which we operate, our technology- and data-driven approach to pricing and underwriting allows for rapid response to macroeconomic trends and competitive dynamics through quick, timely, and appropriate rate actions. We continue to release iterations of our pricing models that incorporate enhanced telematics features, new rating variables, upgraded loss models, and improved risk segmentation. These enhancements strengthen our ability to select risks more precisely and maintain pricing accuracy as conditions evolve.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Claims operations remain a critical driver of our unit economics and long-term competitiveness. We continue to invest in automation, workflow optimization, and advanced analytical tools designed to improve accuracy, speed, and consistency in claims handling. Improvements to the claim process not only supports customer satisfaction but also reinforces the stability of loss ratios and improves long-term cost efficiency by reducing operating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continued investment in and diversification of our distribution channels, leveraging our proprietary technology and data science and focusing on partnerships with automotive, financial services, and independent agents, we believe this will position us for a sustainable, long-term and profitable path for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We primarily utilize reinsurance to mitigate the impact of large losses or tail events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continuously evaluate our utilization of third-party reinsurance in order to operate a capital-efficient business model. As our gross loss ratios have stabilized, we strategically reduced the utilization of external quota share to balance the cost of reinsurance with capital-efficiency. Over the long term, we expect to maintain the flexibility to modify our reinsurance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Developments Affecting Comparability</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Macroeconomic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Changing global economic conditions have led to inflationary pressures, supply chain disruptions, changes in interest rates and volatility in equity markets. In addition, economic uncertainty has risen as a result of geopolitical instability and changes in tariff policy. There remains uncertainty around the future of inflation. Elevated levels of inflation for an extended period could cause claims and claim expenses to increase, impact the performance of our investment portfolio, increase nonpayment cancellations or have other adverse effects, including variability in the competitive environment. We have also seen an increase in vehicle repair and medical costs, which are affected by inflation. These cost increases have resulted in greater claims severity. We continue to file in multiple states to establish rates that more closely follow the evolving loss cost trends. Fluctuations in interest rates could impact our cost of capital and may limit our ability to raise additional capital.</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Comprehensive Reinsurance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significantly reduced the utilization of reinsurance through a strategic reduction of external quota share. The changes to the reinsurance program aim to deliver improved economics. Our diversified approach to reinsurance allows us to optimize capital requirements while remaining flexible in response to changes in market conditions or changes specific to our own business. We may choose to amend, commute, and/or non-renew certain third-party reinsurance arrangements in the future, which may result in us retaining more or less of our business. To the extent we retain a larger share of our book of business, our capital requirements may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regularly review a number of metrics, including the following key performance indicators, to evaluate our business, measure our performance, identify trends in our business, prepare financial projections and make strategic decisions. In addition to our financial results prepared in accordance with accounting principles generally accepted in the United States, or GAAP, we believe these non-GAAP and operational measures are useful in evaluating our performance. See the section titled “—Non-GAAP Financial Measures” for additional information regarding our use of direct contribution and adjusted EBITDA and their reconciliations to the most directly comparable GAAP measures.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r>
    </w:p>
    <w:tbl>
      <w:tblPr>
        <w:tblW w:w="7108" w:type="dxa"/>
        <w:jc w:val="left"/>
        <w:tblInd w:w="0" w:type="dxa"/>
        <w:tblLayout w:type="fixed"/>
        <w:tblCellMar>
          <w:top w:w="28" w:type="dxa"/>
          <w:left w:w="28" w:type="dxa"/>
          <w:bottom w:w="28" w:type="dxa"/>
          <w:right w:w="28" w:type="dxa"/>
        </w:tblCellMar>
      </w:tblPr>
      <w:tblGrid>
        <w:gridCol w:w="960"/>
        <w:gridCol w:w="845"/>
        <w:gridCol w:w="849"/>
        <w:gridCol w:w="109"/>
        <w:gridCol w:w="109"/>
        <w:gridCol w:w="178"/>
        <w:gridCol w:w="178"/>
        <w:gridCol w:w="345"/>
        <w:gridCol w:w="1254"/>
        <w:gridCol w:w="443"/>
        <w:gridCol w:w="109"/>
        <w:gridCol w:w="109"/>
        <w:gridCol w:w="109"/>
        <w:gridCol w:w="211"/>
        <w:gridCol w:w="766"/>
        <w:gridCol w:w="271"/>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1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premiums per policy)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Policies in force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495,429 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453,800 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per policy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in force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1,492.2 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expense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443"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LAE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43"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expense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443"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443"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Policies in Force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policies in force as the number of current and active auto insurance policyholders underwritten by us as of the period end date. We view policies in force as an important metric to assess our financial performance because policy growth and retention drives our revenue growth, expands brand awareness, deepens our market penetration, and generates additional data to continue to improve the functioning of our platform.</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Premiums per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Premiums in Force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Premiums Written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loss adjustment expense, or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profit as total revenue minus net loss and LAE and other insurance expense. We view gross profit as an important metric because we believe it is informative of the financial performance of our core insurance business.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Direct Contribution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direct contribution, a non-GAAP financial measure, as gross profit excluding net investment income, net realized gains on investments, acquisition expenses which include report costs and commission expenses related to our partnership channel, and fixed expenses, which include certain warrant compensation expense related to policies originating through the integrated automobile insurance solution for Carvana’s online buying platform, or Integrated Platform, overhead allocated based on headcount, or Overhead, and salaries, health benefits, bonuses, employee retirement plan-related expenses and employee share-based compensation expense, or Personnel Costs, licenses, professional fees and other expenses. Further impacts related to reinsurance are excluded, and these consist of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After these adjustments, the resulting calculation is inclusive of only those gross variable costs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incurred on the successful acquisition of business. We view direct contribution as an important metric because we believe it measures profitability of our total policy portfolio prior to the impact of reinsurance.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the section titled “—Non-GAAP Financial Measures” for a reconciliation of total revenue to direct contribution.</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 non-GAAP financial measure, as net income excluding interest expense, income tax expense, depreciation and amortization, share-based compensation, warrant compensation expense, restructuring charges,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income calculated in accordance with GAAP, and other companies may define adjusted EBITDA differently.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the section titled “—Non-GAAP Financial Measures” for a reconciliation of net income to adjusted EBITDA.</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Loss and LAE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loss and LAE ratio, expressed as a percentage, as the ratio of net loss and LAE to net premiums earned. We view net loss and LAE ratio as an important metric because it allows us to evaluate loss trends as a percentage of net premiums, and we believe it is useful for investors to evaluate those separately from other 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Expense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Combined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Loss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LAE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gross LAE ratio, expressed as a percentage, as the ratio of gross LAE to gross premiums earned. We view gross LAE ratio as an important metric because it allows us to evaluate incurred losses and LAE separately prior to the impact of reinsurance.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Expense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Combined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Accident Period Loss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The gross accident period loss ratio is remeasured each reporting period to reflect updated estimates of ultimate losses as they develop. Changes to our loss reserves are the primary driver of differences between our gross accident period loss ratio and gross loss ratio. We believe that gross accident period loss ratio is useful in evaluating expected losses prior to the impact of reinsurance.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 revenue from net premiums earned, net investment income, net realized gains on investments, fee income and other income.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Premiums written are deferred and earned pro rata over the policy period. Net premiums earned represents the earned portion of our gross premiums written, less the earned portion that is ceded to third-party reinsurers under our reinsurance agreements.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Investment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investment income represents interest earned from our cash, cash equivalents, restricted cash and restricted cash equivalents, fixed maturities, and short-term investments less investment expenses. Investment expenses include costs associated with the management of our investment portfolio, including Personnel Costs. Net investment income also includes impairments related to low-income housing tax credits investments in limited liability entities to offset certain state premium taxes. These tax credits are recognized when utilized. Net investment income is directly correlated with the overall size of our cash and investment portfolio, market level of interest rates and changes in the fair value of our private equity investments. Net investment income will vary with the size and composition of our investment portfolio, market returns and the investment strategy.</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Realized Gains on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 represents the difference between the amount received by us on the sale of an investment as compared to the investment’s amortized cost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Fee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Fee income consists primarily of the flat fee we charge for installment payments which relates to the additional administrative costs 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ratably over the policy coverage period. Fee income also includes late payment fees that are collected from our policyholders. These fees are recognized in the period in which we process the late payment.</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Other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is primarily comprised of revenue earned from distributing website and mobile application policy inquiry leads in geographies where we do not have a presence, recognized when we generate the lead.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loss and LAE, sales and marketing, other insurance expense, technology and development, and general and administrative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and Loss Adjustment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Various other expenses incurred during claims processing are considered LAE. These amounts include Personnel Costs for claims-related employees, vendor expenses, software expense, internally developed software amortization, and Overhead.</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includes both acquisition and fixed expenses. We view direct performance marketing, experimental marketing, channel media, advertising and referral fees as acquisition expenses. We view sponsorship, Personnel Costs and Overhead related to our brand strategy, creative and business development activities, and certain data science activities as fixed expenses. Sales and marketing are expensed as incurred.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plan to continue investing in and diversifying our marketing channels to attract and acquire new customers, increase our brand awareness, and expand our product offerings within certain markets. We expect that our sales and marketing will vary based upon the competitive environment and other investments in acquisition. Over the long term we expect it will decrease as a percentage of revenue as the proportion of renewals to our total business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Other Insurance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insurance expense includes expenses primarily related to insurance and underwriting operations of the business and is comprised of acquisition, variable and fixed expenses. We view report costs and commission expenses related to our partnership channel as acquisition costs. We view premium taxes, credit card and policy processing expenses and premium write-offs as variable expenses. We view insurance license expenses, certain warrant compensation expenses related to policies originating through the integrated automobile insurance solution for Carvana’s online buying platform, low-income housing tax credits which offset certain state premium taxes, Personnel Costs and Overhead related to actuarial and certain data science activities as fixed expenses.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amortize a portion of our deferred policy acquisition costs including certain commissions related to our partnership channel, premium taxes, and report costs related to the successful acquisition of a policy. Tax credits are recognized when utilized. Other insurance expense is expensed as incurred, except for costs related to deferred policy acquisition costs that are capitalized and subsequently amortized over the same period in which the related premiums are earned. Warrant compensation expense is recognized on a pro-rata basis considering progress toward achieving milestones for policies originated through the Integrated Platform as defined under the Carvana commercial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expenses are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are fixed expenses that consist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are fixed expenses that primarily relate to external professional service expenses; Personnel Costs and Overhead for corporate functions; and depreciation expense for computers, furniture and other fixed assets. General and administrative expenses are expensed as incurred. We expect general and administrative expenses to decrease as a percentage of total revenue over time.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non-operating expenses consist of interest expense and income tax expense and are included below 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primarily relates to interest incurred on our long-term debt, certain fees that are expensed as incurred and amortization of discount and debt issuance costs.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consists primarily of state income taxes in the United States. We have recorded United States federal and state net deferred tax assets for which we provide a full valuation allowance, which includes net operating loss carryforwards and tax credits.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the Three Months Ended March 31, 2026 and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9552" w:type="dxa"/>
        <w:jc w:val="left"/>
        <w:tblInd w:w="0" w:type="dxa"/>
        <w:tblLayout w:type="fixed"/>
        <w:tblCellMar>
          <w:top w:w="28" w:type="dxa"/>
          <w:left w:w="28" w:type="dxa"/>
          <w:bottom w:w="28" w:type="dxa"/>
          <w:right w:w="28" w:type="dxa"/>
        </w:tblCellMar>
      </w:tblPr>
      <w:tblGrid>
        <w:gridCol w:w="1676"/>
        <w:gridCol w:w="1476"/>
        <w:gridCol w:w="1482"/>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343"/>
        <w:gridCol w:w="347"/>
        <w:gridCol w:w="544"/>
      </w:tblGrid>
      <w:tr>
        <w:trPr/>
        <w:tc>
          <w:tcPr>
            <w:tcW w:w="16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unrealized (losses) gains on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premiums earned increased primarily due to an increase in policies in force as a result of continued growth in our partnership channel and reduced cessions of gross premiums earned to reinsurers between periods, partially offset by a decrease in premiums per policy resulting from a shift in customer and state mix.</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ceded approximately 1.8% and 6.7% of our gross premiums earned, respectively. The change in cessions between periods was primarily driven by a strategic reduction of quota share reinsurance.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premiums written, ceded premiums written, net premiums written, gross premiums earned, ceded premiums earned and net premiums earned for the three months ended March 31, 2026 and 2025:</w:t>
      </w:r>
    </w:p>
    <w:tbl>
      <w:tblPr>
        <w:tblW w:w="7190" w:type="dxa"/>
        <w:jc w:val="left"/>
        <w:tblInd w:w="0" w:type="dxa"/>
        <w:tblLayout w:type="fixed"/>
        <w:tblCellMar>
          <w:top w:w="28" w:type="dxa"/>
          <w:left w:w="28" w:type="dxa"/>
          <w:bottom w:w="28" w:type="dxa"/>
          <w:right w:w="28" w:type="dxa"/>
        </w:tblCellMar>
      </w:tblPr>
      <w:tblGrid>
        <w:gridCol w:w="761"/>
        <w:gridCol w:w="667"/>
        <w:gridCol w:w="672"/>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1"/>
        <w:gridCol w:w="294"/>
        <w:gridCol w:w="483"/>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written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premiums written decreased for the three months ended March 31, 2026 primarily due to a decline in new writings in our direct channel as a result of lower direct performance marketing spend. This was primarily driven by slower growth during the tax refund season in the current year, compared to the prior year, which benefited from a pull-forward of demand driven by concerns around tariff policy. This was partially offset by continued growth in new writings in our partnership channel compared to the same period in 2025. The increase in gross premiums earned was primarily due to greater policies in force compared to the same period in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and Loss Adjustment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increased due to additional losses incurred on increased gross premiums earned volume and reduced cessions of losses to reinsurers driven by a strategic reduction of quota share reinsurance for the three months ended March 31, 2026 compared to the same period in 2025. This volume-driven increase was partially offset by a reduction of loss and LAE reserves on prior periods due to lower than expected reported activity and the identification of additional subrogation opportunities resulting from model improvements.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 increased to 58.8% for the three months ended March 31, 2026, from 54.5% for the same period in 2025. The change in the ratio was driven by higher loss costs as a result of increased severity per claim due to higher vehicle repair and medical costs and a shift in channel mix. This was partially offset by business tenure mix and favorable weather-related losses. We observed a mid-single digit increase in accident period severity per claim and a low-single-digit increase in claim frequency for the three months ended March 31, 2026 compared to the same period in 2025 across our bodily injury, collision, and property damage coverages.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Sales and Marketing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decreased due to lower acquisition expense driven by a $24.8 million decrease in direct performance marketing spend. This reduction reflects a continued disciplined deployment of spend to optimize efficiency, while maintaining returns in line with our estimated targets. It was also influenced by slower new writing growth during the tax refund season in the current year, compared to the prior year, which benefited from a pull-forward of demand driven by concerns around tariff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Other Insurance Expense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insurance expense increased primarily due to an increase in our acquisition expenses. This was driven by $8.9 million greater commissions paid, increased amortization of deferred policy acquisition costs of $2.5 million, and a $2.2 million increase in partnership expenses related to the continued growth in our partnership channel, including the build-out and appointment of independent agents. We also experienced a $4.6 million decrease in net ceding commission contra-expense as a result of a decline in ceded premiums written, largely attributable to a strategic reduction of quota share reinsurance. Fixed expenses increased primarily due to a $1.9 million increase in Carvana warrant expense related to our outstanding warrant structure with Carvana. Variable expenses increased primarily due to a $0.9 million increase in premium write-offs as a result of growth in earned premium.</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 increased primarily due to a $3.5 million increase in Personnel Costs, driven by increased headcount which reflects a continued investment in our product delivery teams and technology.</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primarily due to a $3.6 million increase in Personnel Costs mainly driven by share-based compensation expenses relating performance-based restricted stock units and service-based restricted stock units under our equity incentive plan.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Comprehensive Income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Changes in Net Unrealized (Losses) Gains on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Changes in net unrealized (losses) gains on investments decreased primarily due to an increase in market interest rates and widening credit spreads during the quarter as a result of geopolitical instability, which negatively impacted the fair value of fixed maturity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including when determining incentive compensation; (5) analyze and evaluate financial and strategic planning decisions regarding future operating investments; and (6) plan for and prepare future annual operating budgets and determine appropriate levels of operating investments.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Direct Contribution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definition of direct contribution and why management believes this measure provides useful information to investors, see “—Key Performance Indicators.”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total revenue to direct contribution for the three months ended March 31, 2026 and 2025:</w:t>
      </w:r>
    </w:p>
    <w:tbl>
      <w:tblPr>
        <w:tblW w:w="7643" w:type="dxa"/>
        <w:jc w:val="left"/>
        <w:tblInd w:w="0" w:type="dxa"/>
        <w:tblLayout w:type="fixed"/>
        <w:tblCellMar>
          <w:top w:w="28" w:type="dxa"/>
          <w:left w:w="28" w:type="dxa"/>
          <w:bottom w:w="28" w:type="dxa"/>
          <w:right w:w="28" w:type="dxa"/>
        </w:tblCellMar>
      </w:tblPr>
      <w:tblGrid>
        <w:gridCol w:w="1347"/>
        <w:gridCol w:w="1184"/>
        <w:gridCol w:w="1188"/>
        <w:gridCol w:w="109"/>
        <w:gridCol w:w="109"/>
        <w:gridCol w:w="226"/>
        <w:gridCol w:w="226"/>
        <w:gridCol w:w="439"/>
        <w:gridCol w:w="1281"/>
        <w:gridCol w:w="226"/>
        <w:gridCol w:w="109"/>
        <w:gridCol w:w="109"/>
        <w:gridCol w:w="109"/>
        <w:gridCol w:w="211"/>
        <w:gridCol w:w="61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Adjustments from other insurance expense</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loss and loss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ceding commission and other</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rPr>
        <w:t>(1) Adjustments from other insurance expense consists of acquisition expenses, including report costs and commission expenses related to our partnership channel of $32.7 million and $19.7 million for the three months ended March 31, 2026 and March 31, 2025, respectively. Adjustments from other insurance expense also consists of fixed expenses, including warrant compensation expense related to policies originating through the Integrated Platform, Personnel Costs, Overhead, licenses, professional fees and other of $5.8 million and $2.5 million for the three months ended March 31, 2026 and March 31, 2025, respectively</w:t>
      </w:r>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rFonts w:ascii="Times New Roman;serif" w:hAnsi="Times New Roman;serif"/>
          <w:b w:val="false"/>
          <w:color w:val="000000"/>
          <w:sz w:val="16"/>
        </w:rPr>
        <w:t>(2) Net ceding commission and other is comprised of ceding commissions received in connection with reinsurance ceded, partially offset by amortization of excess ceding commission and other impacts of reinsurance ceded</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definition of adjusted EBITDA and why management believes this measure provides useful information to investors, see “—Key Performance Indicators.”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following table provides a reconciliation of net income to adjusted EBITDA for the three months ended March 31, 2026 and 2025:</w:t>
      </w:r>
      <w:r>
        <w:rPr>
          <w:color w:val="000000"/>
        </w:rPr>
        <w:t xml:space="preserve"> </w:t>
      </w:r>
    </w:p>
    <w:tbl>
      <w:tblPr>
        <w:tblW w:w="6473" w:type="dxa"/>
        <w:jc w:val="left"/>
        <w:tblInd w:w="0" w:type="dxa"/>
        <w:tblLayout w:type="fixed"/>
        <w:tblCellMar>
          <w:top w:w="28" w:type="dxa"/>
          <w:left w:w="28" w:type="dxa"/>
          <w:bottom w:w="28" w:type="dxa"/>
          <w:right w:w="28" w:type="dxa"/>
        </w:tblCellMar>
      </w:tblPr>
      <w:tblGrid>
        <w:gridCol w:w="961"/>
        <w:gridCol w:w="842"/>
        <w:gridCol w:w="851"/>
        <w:gridCol w:w="109"/>
        <w:gridCol w:w="109"/>
        <w:gridCol w:w="249"/>
        <w:gridCol w:w="249"/>
        <w:gridCol w:w="482"/>
        <w:gridCol w:w="1169"/>
        <w:gridCol w:w="249"/>
        <w:gridCol w:w="109"/>
        <w:gridCol w:w="109"/>
        <w:gridCol w:w="109"/>
        <w:gridCol w:w="211"/>
        <w:gridCol w:w="51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inception, we have financed operations primarily through sales of insurance policies and the net proceeds we have received from our issuance of stock and debt. Cash generated from operations is highly dependent on being able to efficiently acquire and maintain customers while pricing our insurance products appropriately. We also receive cash dividends from our insurance subsidiaries, whose ability to declare and issue dividends is subject to regulatory restrictions and approval. We are continuously evaluating alternatives for efficiently funding our ongoing operations and reducing our cost of capital. We expect, from time to time, to engage in a variety of financing transactions for such purposes, including the issuance and repurchase of stock, and the issuance, refinancing, repayment, prepayment, redemption, retirement, or other modification or management of our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events may impact our liquidity, such as global economic conditions, geopolitical instability, and changes in tariff policy resulting in inflationary pressures, supply chain disruptions, changes in interest rates, changes in equity markets and our utilization of reinsurance. There remains uncertainty around the future of inflation; elevated levels of inflation for an extended period could cause claims and claim expenses to increase, impact the performance of our investment portfolio or have other adverse effects. Conditions in the capital and credit markets, including instability and uncertainty, as well as broader economic factors can also influence the returns, liquidity, valuation, and types of our investments. Additionally, fluctuations in interest rates could impact our cost of capital and may limit our ability to raise additional capital. We utilize reinsurance arrangements to mitigate the impact of large losses or catastrophic events.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Over time, our strategy continues to evolve and we may choose to amend, commute, and/or non-renew certain third-party reinsurance agreements, which may result in us retaining more or less of our business in the future. To the extent we retain a larger share of our book of business, our capital requirements may increase.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Regulatory Considerations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organized as a holding company, but our primary operations are conducted by three of our wholly-owned insurance subsidiaries, Root Insurance Company and Root Property &amp; Casualty Insurance Company, both Ohio-domiciled insurance companies, and Root Florida Insurance Company, a Florida-domiciled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company. The payment of dividends by our insurance subsidiaries is subject to restrictions set forth in the insurance laws and regulations of the State of Ohio and the State of Florida. Our domestic insurance subsidiaries are not permitted to pay any dividends without approval of the applicable superintendent, commissioner and/or director. During the three months ended March 31, 2026, the Ohio Department of Insurance approved Root Insurance Company to distribute one extraordinary dividend. As a result, over that period, $5.0 million was distributed to Caret Holdings, Inc., its parent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our insurance subsidiaries’ business grows,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March 31, 2026, our insurance subsidiaries maintained a risk-based capital level that is in excess of an amount that would require any corrective actions on our part.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wholly-owned, Cayman Islands-based reinsurance subsidiary, Root Reinsurance Company, Ltd., or Root Re, maintains a Class B(iii) insurer license under Cayman Islands Monetary Authority, or CIMA. At March 31, 2026, Root Re was subject to compliance with certain capital levels and a net premiums earned to capital ratio up to 15:1, which we maintained as of March 31, 2026. The capital ratio can fluctuate at Root Re’s election, subject to regulatory approval. Root Re’s primary sources of funds are assumed insurance premiums, net investment income and capital contributions from the holding company. These funds are primarily used to pay claims and operating expenses and to purchase investments. Root Re must notify CIMA before it can pay any dividend to the holding company. During the three months ended March 31, 2026, Root Re paid a dividend of $8.0 million to Caret Holdings, Inc.</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Financing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we entered into the Amended Term Loan with the principal amount due and payable upon maturity on October 29, 2030. Interest is payable quarterly and determined on a floating interest rate calculated on the Secured Overnight Financing Rate, or SOFR, with a 1.0% floor, plus an applicable margin ranging from 5.25% to 6.00% based upon the debt-to-capital ratio payable quarterly.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we prepaid the Amended Term Loan in full. We entered into a senior secured term loan with a principal balance of $200.0 million and a maturity date of May 2029. The senior secured term loan requires principal payments equal to 1.0% of the original principal amount in each of the first two years following the closing date and 5.0% in the third year, with the unpaid balance due at maturity. Interest is variable and calculated between SOFR plus 3.0% and SOFR plus 3.75%, based upon the debt-to-capital ratio payable quarterly in cash.</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we announced that our board of directors approved a share repurchase authorization of up to $75.0 million of Class A common stock. We may utilize various methods to effect repurchases, which could include open market purchases, privately negotiated transactions, block purchases, accelerated share repurchase agreements or a combination of methods, including pursuant to trading plans adopted under Rule 10b5-1 under the Securities Exchange Act of 1934. The Repurchase Program does not have a set expiration date and may be modified, suspended, or discontinued at any time at the discretion of our board of directors. The timing and amount of any repurchases under the Repurchase Program will depend upon several factors, including market and business factors.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$597.2 million in cash and cash equivalents, of which $311.6 million was held outside of regulated insurance entities. We also had $467.1 million in marketable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primarily consist of bank deposits and money market funds. Our marketable securities primarily consist of United States Treasury and agency securities, municipal securities, corporate debt securities, and asset-backed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 This belief is based on management’s current assumptions and is subject to changes in market or regulatory conditions affecting the insurance industry, and other general economic, financial, competitive, and other factors that are beyond our control.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long-term capital requirements depend on many factors, including our insurance premium growth rate, rate adequacy, level of marketing spend, renewal activity, the timing and the amount of cash received from customers, the performance of our products, including the success of our partnership channel, loss cost trends, the timing and extent of spending to support development efforts, the introduction of new and enhanced products, the continuing market adoption of offerings on our platform, operating costs, and the ongoing uncertainty in global markets.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Through March 31, 2026, our debt covenants required cash and cash equivalents held in entities other than our insurance subsidiaries to be at least $50.0 million. Upon execution of the senior secured term loan, we will be required to maintain cash and cash equivalents with the lender equal to 25% of the outstanding principal balance of the senior secured term loan.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prudent deployment of capital we believe we have sufficient resources, and access to additional debt and equity capital, to adequately meet our obligations as they come due.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data for the periods presented:</w:t>
      </w:r>
    </w:p>
    <w:tbl>
      <w:tblPr>
        <w:tblW w:w="5907" w:type="dxa"/>
        <w:jc w:val="left"/>
        <w:tblInd w:w="0" w:type="dxa"/>
        <w:tblLayout w:type="fixed"/>
        <w:tblCellMar>
          <w:top w:w="28" w:type="dxa"/>
          <w:left w:w="28" w:type="dxa"/>
          <w:bottom w:w="28" w:type="dxa"/>
          <w:right w:w="28" w:type="dxa"/>
        </w:tblCellMar>
      </w:tblPr>
      <w:tblGrid>
        <w:gridCol w:w="1254"/>
        <w:gridCol w:w="1104"/>
        <w:gridCol w:w="1107"/>
        <w:gridCol w:w="267"/>
        <w:gridCol w:w="514"/>
        <w:gridCol w:w="138"/>
        <w:gridCol w:w="138"/>
        <w:gridCol w:w="138"/>
        <w:gridCol w:w="138"/>
        <w:gridCol w:w="267"/>
        <w:gridCol w:w="647"/>
        <w:gridCol w:w="195"/>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67"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three months ended March 31, 2026 was $9.3 million compared to $26.8 million for the three months ended March 31, 2025. The decrease in cash provided by operating activities was due to changes in premiums not yet earned and loss and LAE reserves due to greater growth in policies in force in the three months ended March 31, 2025, compared to the same period in 2026. This was partially offset by the timing of premium receipts and higher net income between the periods.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three months ended March 31, 2026 was $86.6 million compared to $13.8 million for the three months ended March 31, 2025. The increase in cash used in investing activities was primarily due to using available cash to purchase investment grade marketable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three months ended March 31, 2026 was $3.7 million compared to $2.8 million for the three months ended March 31, 2025. The increase in cash used in financing activities was primarily due to higher tax withholding obligations arising from the vesting of RSUs and performance-based RSUs during the three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Material Cash Requirements from Contractual and Other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contractual and other obligations from those described in our 2025 10-K, except for the prepayment of the Amended Term Loan and issuance of a senior secured term loan as discussed in “Note 13, Subsequent Events,” in the Notes to Condensed Consolidated Financial Statements - Unaudited. We believe we have sufficient resources, and access to additional debt and equity capital, to adequately meet our obligations as they come due.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 that have, or are reasonably likely to have, a current or future material effect on our financial condition, results of operations, liquidity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financial statements are prepared in accordance with GAAP. The preparation of the condensed consolidated financial statements in conformity with GAAP requires our management to make a number of estimates and assumptions relating to the reported amounts of assets and liabilities, the disclosure of contingent assets and liabilities at the date of the condensed consolidated financial statements and the reported amounts of revenue and expenses during the period. We evaluate our significant estimates on an ongoing basis, including, but not limited to, estimates related to reserves for loss and LAE, valuation allowance on our deferred tax assets, and the amount of reinsurance recoverable from reinsurance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are described under the heading “Management’s Discussion and Analysis of Financial Condition and Results of Operations—Critical Accounting Estimates,” in our 2025 10-K and under the heading “Notes to Condensed Consolidated Financial Statements - Unaudited” appearing in this Quarterly Report on Form 10-Q. During the three months ended March 31, 2026, there were no material changes to our critical accounting estimates from those discussed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quantitative and qualitative market risk disclosures included in the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our disclosure controls and procedures were effective at the reasonable assurance level as of March 31, 2026.</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March 31, 2026 that have materially affected, or are reasonably likely to materially affect, our internal control over financial reporting.</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party to litigation and legal proceedings relating to our business operations. While the outcome of all legal actions is not presently determinable, we do not believe that we are party to any current or pending legal action that could reasonably be expected to have a material adverse effect on our financial condition or results of operations and cash flows.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legal matter previously disclosed in our Annual Report on Form 10-K for the year ended December 31, 2025.</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risk factors from those disclosed in the 2025 10-K. In addition to the other information set forth in this Quarterly Report on Form 10-Q, you should carefully consider the risk factors discussed in Part I, Item 1A. “Risk Factors,” in the 2025 10-K.</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stock. We currently intend to retain all available funds and future earnings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Dividend, Repurchase and Working Capital Restrictions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 holding company that transacts a majority of its business through operating subsidiaries. Our regulated insurance subsidiaries are subject to restrictions on the dividends they may pay, which could impact our ability to pay dividends to stockholders in the future.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of dividends by our insurance subsidiaries is subject to restrictions set forth in the insurance laws and regulations of the State of Ohio and the State of Florida. Our domestic insurance subsidiaries are not permitted to pay any dividends without approval of the applicable superintendent, commissioner and/or director. See the section titled “Risk Factors—Risks Related to Our Business—Failure to maintain our risk-based capital at the required levels could adversely affect our ability to maintain regulatory authority to conduct our business,” included in the 2025 10-K.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insurance regulators have broad powers to prevent a reduction of statutory surplus to inadequate levels, and there is no assurance that dividends of the maximum amount calculated under any applicable formula would be permitted. The supervisory Department of Insurance or Office of Insurance Regulation may, in the future, adopt statutory provisions more restrictive than those currently in effect.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Amended Term Loan includes covenants that require us to maintain certain levels of liquidity and restrict us from declaring or making cash dividend or other distributions and from repurchasing our common stock outside of the ordinary course of business or in excess of certain specified limits during the term of the Amended Term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(as defined in Rule 16a-1(f) under the Exchange Act) adopted, modified, or terminated a Rule 10b5-1 trading arrangement or a non-Rule 10b5-1 trading arrangement (as each term is defined in Item 408 of Regulation S-K) during the Company’s fiscal quarter ended March 31, 2026.</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(a)Exhibits. </w:t>
      </w:r>
    </w:p>
    <w:tbl>
      <w:tblPr>
        <w:tblW w:w="10205" w:type="dxa"/>
        <w:jc w:val="left"/>
        <w:tblInd w:w="0" w:type="dxa"/>
        <w:tblLayout w:type="fixed"/>
        <w:tblCellMar>
          <w:top w:w="28" w:type="dxa"/>
          <w:left w:w="28" w:type="dxa"/>
          <w:bottom w:w="28" w:type="dxa"/>
          <w:right w:w="28" w:type="dxa"/>
        </w:tblCellMar>
      </w:tblPr>
      <w:tblGrid>
        <w:gridCol w:w="263"/>
        <w:gridCol w:w="232"/>
        <w:gridCol w:w="233"/>
        <w:gridCol w:w="109"/>
        <w:gridCol w:w="109"/>
        <w:gridCol w:w="109"/>
        <w:gridCol w:w="1924"/>
        <w:gridCol w:w="1505"/>
        <w:gridCol w:w="1511"/>
        <w:gridCol w:w="177"/>
        <w:gridCol w:w="177"/>
        <w:gridCol w:w="164"/>
        <w:gridCol w:w="289"/>
        <w:gridCol w:w="289"/>
        <w:gridCol w:w="290"/>
        <w:gridCol w:w="210"/>
        <w:gridCol w:w="210"/>
        <w:gridCol w:w="211"/>
        <w:gridCol w:w="405"/>
        <w:gridCol w:w="270"/>
        <w:gridCol w:w="253"/>
        <w:gridCol w:w="295"/>
        <w:gridCol w:w="295"/>
        <w:gridCol w:w="296"/>
        <w:gridCol w:w="109"/>
        <w:gridCol w:w="109"/>
        <w:gridCol w:w="161"/>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 File Number</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Amended and Restated Certificate of Incorporation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30, 2020</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Certificate of Amendment to Amended and Restated Certificate of Incorporation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15, 2022</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Amended and Restated Bylaws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22, 2023</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Certificate of Designations of Series A Preferred Stock, filed with the Delaware Secretary of State on October 1, 2021</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 2021</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Form of Class A common stock certificate of the Registrant.</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333-249332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20, 2020</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Common Stock Purchase Warrants, dated as of October 1, 2021, by and between Root, Inc. and Carvana Group, LLC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 2021</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Form of Common Stock Purchase Warrant (Tranche 1), dated January 26, 2022</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27, 2022</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First Amendment to Form of Common Stock Purchase Warrant (Tranche 1), dated October 29, 2024</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30, 2024</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01formofrootinc2020equit.htm">
              <w:r>
                <w:rPr>
                  <w:rStyle w:val="InternetLink"/>
                  <w:rFonts w:ascii="Times New Roman;serif" w:hAnsi="Times New Roman;serif"/>
                  <w:b w:val="false"/>
                  <w:color w:val="0000FF"/>
                  <w:sz w:val="18"/>
                  <w:u w:val="single"/>
                </w:rPr>
                <w:t>Form of Root, Inc. 2020 Equity Incentive Plan Performance-Based RSU Award Grant Notice and Agreement (2026 Grant)</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02formofrootinc2020equit.htm">
              <w:r>
                <w:rPr>
                  <w:rStyle w:val="InternetLink"/>
                  <w:rFonts w:ascii="Times New Roman;serif" w:hAnsi="Times New Roman;serif"/>
                  <w:b w:val="false"/>
                  <w:color w:val="0000FF"/>
                  <w:sz w:val="18"/>
                  <w:u w:val="single"/>
                </w:rPr>
                <w:t>Form of Root, Inc. 2020 Equity Incentive Plan Performance-Based RSU Award Grant Notice and Agreement Retirement-Eligible (2026 Grant)</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1032026short-termincentiv.htm">
              <w:r>
                <w:rPr>
                  <w:rStyle w:val="InternetLink"/>
                  <w:rFonts w:ascii="Times New Roman;serif" w:hAnsi="Times New Roman;serif"/>
                  <w:b w:val="false"/>
                  <w:color w:val="0000FF"/>
                  <w:sz w:val="18"/>
                  <w:u w:val="single"/>
                </w:rPr>
                <w:t>2026 Short-Term Incentive Plan</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11certificationofprincip.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12certificationofprincip.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21certificationofprincip.htm">
              <w:r>
                <w:rPr>
                  <w:rStyle w:val="InternetLink"/>
                  <w:rFonts w:ascii="Times New Roman;serif" w:hAnsi="Times New Roman;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tbl>
      <w:tblPr>
        <w:tblW w:w="9249" w:type="dxa"/>
        <w:jc w:val="left"/>
        <w:tblInd w:w="0" w:type="dxa"/>
        <w:tblLayout w:type="fixed"/>
        <w:tblCellMar>
          <w:top w:w="28" w:type="dxa"/>
          <w:left w:w="28" w:type="dxa"/>
          <w:bottom w:w="28" w:type="dxa"/>
          <w:right w:w="28" w:type="dxa"/>
        </w:tblCellMar>
      </w:tblPr>
      <w:tblGrid>
        <w:gridCol w:w="141"/>
        <w:gridCol w:w="124"/>
        <w:gridCol w:w="126"/>
        <w:gridCol w:w="109"/>
        <w:gridCol w:w="109"/>
        <w:gridCol w:w="109"/>
        <w:gridCol w:w="2172"/>
        <w:gridCol w:w="2172"/>
        <w:gridCol w:w="2180"/>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 Indicates management contract or compensatory plan. </w:t>
      </w:r>
    </w:p>
    <w:p>
      <w:pPr>
        <w:pStyle w:val="TextBody"/>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360"/>
        <w:jc w:val="left"/>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r>
        <w:rPr>
          <w:rFonts w:ascii="Times New Roman;serif" w:hAnsi="Times New Roman;serif"/>
          <w:b/>
          <w:color w:val="000000"/>
          <w:sz w:val="20"/>
        </w:rPr>
        <w:t>.</w:t>
      </w:r>
    </w:p>
    <w:p>
      <w:pPr>
        <w:pStyle w:val="TextBody"/>
        <w:bidi w:val="0"/>
        <w:spacing w:before="0" w:after="0"/>
        <w:jc w:val="right"/>
        <w:rPr/>
      </w:pPr>
      <w:r>
        <w:rPr/>
      </w:r>
    </w:p>
    <w:tbl>
      <w:tblPr>
        <w:tblW w:w="6792" w:type="dxa"/>
        <w:jc w:val="right"/>
        <w:tblInd w:w="0" w:type="dxa"/>
        <w:tblLayout w:type="fixed"/>
        <w:tblCellMar>
          <w:top w:w="28" w:type="dxa"/>
          <w:left w:w="28" w:type="dxa"/>
          <w:bottom w:w="28" w:type="dxa"/>
          <w:right w:w="28" w:type="dxa"/>
        </w:tblCellMar>
      </w:tblPr>
      <w:tblGrid>
        <w:gridCol w:w="591"/>
        <w:gridCol w:w="520"/>
        <w:gridCol w:w="523"/>
        <w:gridCol w:w="109"/>
        <w:gridCol w:w="109"/>
        <w:gridCol w:w="109"/>
        <w:gridCol w:w="109"/>
        <w:gridCol w:w="109"/>
        <w:gridCol w:w="109"/>
        <w:gridCol w:w="134"/>
        <w:gridCol w:w="134"/>
        <w:gridCol w:w="136"/>
        <w:gridCol w:w="109"/>
        <w:gridCol w:w="109"/>
        <w:gridCol w:w="109"/>
        <w:gridCol w:w="109"/>
        <w:gridCol w:w="109"/>
        <w:gridCol w:w="109"/>
        <w:gridCol w:w="109"/>
        <w:gridCol w:w="109"/>
        <w:gridCol w:w="109"/>
        <w:gridCol w:w="910"/>
        <w:gridCol w:w="910"/>
        <w:gridCol w:w="129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8"/>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Root,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8"/>
            <w:tcBorders/>
            <w:tcMar>
              <w:top w:w="0" w:type="dxa"/>
              <w:left w:w="0" w:type="dxa"/>
              <w:bottom w:w="0" w:type="dxa"/>
              <w:right w:w="0" w:type="dxa"/>
            </w:tcMar>
            <w:vAlign w:val="center"/>
          </w:tcPr>
          <w:p>
            <w:pPr>
              <w:pStyle w:val="TableContents"/>
              <w:bidi w:val="0"/>
              <w:spacing w:before="0" w:after="0"/>
              <w:jc w:val="left"/>
              <w:rPr/>
            </w:pPr>
            <w:r>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8"/>
            <w:tcBorders/>
            <w:tcMar>
              <w:top w:w="0" w:type="dxa"/>
              <w:left w:w="0" w:type="dxa"/>
              <w:bottom w:w="0" w:type="dxa"/>
              <w:right w:w="0" w:type="dxa"/>
            </w:tcMar>
            <w:vAlign w:val="center"/>
          </w:tcPr>
          <w:p>
            <w:pPr>
              <w:pStyle w:val="TableContents"/>
              <w:bidi w:val="0"/>
              <w:spacing w:before="0" w:after="0"/>
              <w:jc w:val="left"/>
              <w:rPr/>
            </w:pPr>
            <w:r>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Forish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Ryan Forish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r>
    </w:tbl>
    <w:p>
      <w:pPr>
        <w:pStyle w:val="TextBody"/>
        <w:bidi w:val="0"/>
        <w:spacing w:before="0" w:after="18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95095"/>
                <wp:effectExtent l="0" t="0" r="0" b="0"/>
                <wp:wrapNone/>
                <wp:docPr id="49" name="Frame49"/>
                <a:graphic xmlns:a="http://schemas.openxmlformats.org/drawingml/2006/main">
                  <a:graphicData uri="http://schemas.microsoft.com/office/word/2010/wordprocessingShape">
                    <wps:wsp>
                      <wps:cNvSpPr txBox="1"/>
                      <wps:spPr>
                        <a:xfrm>
                          <a:off x="0" y="0"/>
                          <a:ext cx="6480175" cy="1395095"/>
                        </a:xfrm>
                        <a:prstGeom prst="rect"/>
                        <a:solidFill>
                          <a:srgbClr val="FFFFFF"/>
                        </a:solidFill>
                      </wps:spPr>
                      <wps:txbx>
                        <w:txbxContent>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 xml:space="preserve">ROOT, INC. </w:t>
      </w:r>
    </w:p>
    <w:p>
      <w:pPr>
        <w:pStyle w:val="TextBody"/>
        <w:bidi w:val="0"/>
        <w:spacing w:lineRule="auto" w:line="268" w:before="0" w:after="0"/>
        <w:ind w:left="0" w:right="0" w:firstLine="1260"/>
        <w:jc w:val="center"/>
        <w:rPr>
          <w:rFonts w:ascii="Times New Roman;serif" w:hAnsi="Times New Roman;serif"/>
          <w:b/>
          <w:color w:val="000000"/>
          <w:sz w:val="22"/>
        </w:rPr>
      </w:pPr>
      <w:r>
        <w:rPr>
          <w:rFonts w:ascii="Times New Roman;serif" w:hAnsi="Times New Roman;serif"/>
          <w:b/>
          <w:color w:val="000000"/>
          <w:sz w:val="22"/>
        </w:rPr>
        <w:t>2026 PERFORMANCE-BASED RSU AWARD GRANT NOTICE</w:t>
      </w:r>
    </w:p>
    <w:p>
      <w:pPr>
        <w:pStyle w:val="TextBody"/>
        <w:bidi w:val="0"/>
        <w:spacing w:lineRule="auto" w:line="268" w:before="0" w:after="0"/>
        <w:ind w:left="0" w:right="0" w:firstLine="1260"/>
        <w:jc w:val="center"/>
        <w:rPr>
          <w:rFonts w:ascii="Times New Roman;serif" w:hAnsi="Times New Roman;serif"/>
          <w:b/>
          <w:color w:val="000000"/>
          <w:sz w:val="22"/>
        </w:rPr>
      </w:pPr>
      <w:r>
        <w:rPr>
          <w:rFonts w:ascii="Times New Roman;serif" w:hAnsi="Times New Roman;serif"/>
          <w:b/>
          <w:color w:val="000000"/>
          <w:sz w:val="22"/>
        </w:rPr>
        <w:t xml:space="preserve">(2020 EQUITY INCENTIVE PLAN) </w:t>
      </w:r>
    </w:p>
    <w:p>
      <w:pPr>
        <w:pStyle w:val="TextBody"/>
        <w:bidi w:val="0"/>
        <w:spacing w:before="0" w:after="0"/>
        <w:ind w:left="0" w:right="0" w:firstLine="1260"/>
        <w:jc w:val="center"/>
        <w:rPr/>
      </w:pPr>
      <w:r>
        <w:rPr/>
      </w:r>
    </w:p>
    <w:p>
      <w:pPr>
        <w:pStyle w:val="TextBody"/>
        <w:bidi w:val="0"/>
        <w:spacing w:lineRule="auto" w:line="228" w:before="0" w:after="180"/>
        <w:jc w:val="both"/>
        <w:rPr/>
      </w:pPr>
      <w:r>
        <w:rPr>
          <w:rFonts w:ascii="Times New Roman;serif" w:hAnsi="Times New Roman;serif"/>
          <w:b w:val="false"/>
          <w:color w:val="000000"/>
          <w:sz w:val="22"/>
        </w:rPr>
        <w:t xml:space="preserve">Root, Inc. (the </w:t>
      </w:r>
      <w:r>
        <w:rPr>
          <w:color w:val="000000"/>
        </w:rPr>
        <w:t>“</w:t>
      </w:r>
      <w:r>
        <w:rPr>
          <w:rFonts w:ascii="Times New Roman;serif" w:hAnsi="Times New Roman;serif"/>
          <w:b/>
          <w:i/>
          <w:color w:val="000000"/>
          <w:sz w:val="22"/>
        </w:rPr>
        <w:t>Company”</w:t>
      </w:r>
      <w:r>
        <w:rPr>
          <w:rFonts w:ascii="Times New Roman;serif" w:hAnsi="Times New Roman;serif"/>
          <w:b w:val="false"/>
          <w:color w:val="000000"/>
          <w:sz w:val="22"/>
        </w:rPr>
        <w:t>) has awarded to you (the “</w:t>
      </w:r>
      <w:r>
        <w:rPr>
          <w:rFonts w:ascii="Times New Roman;serif" w:hAnsi="Times New Roman;serif"/>
          <w:b/>
          <w:i/>
          <w:color w:val="000000"/>
          <w:sz w:val="22"/>
        </w:rPr>
        <w:t>Participant</w:t>
      </w:r>
      <w:r>
        <w:rPr>
          <w:color w:val="000000"/>
        </w:rPr>
        <w:t>”</w:t>
      </w:r>
      <w:r>
        <w:rPr>
          <w:rFonts w:ascii="Times New Roman;serif" w:hAnsi="Times New Roman;serif"/>
          <w:b w:val="false"/>
          <w:color w:val="000000"/>
          <w:sz w:val="22"/>
        </w:rPr>
        <w:t xml:space="preserve">) the number of restricted stock units specified and on the terms set forth below in consideration of your services (the </w:t>
      </w:r>
      <w:r>
        <w:rPr>
          <w:color w:val="000000"/>
        </w:rPr>
        <w:t>“</w:t>
      </w:r>
      <w:r>
        <w:rPr>
          <w:rFonts w:ascii="Times New Roman;serif" w:hAnsi="Times New Roman;serif"/>
          <w:b/>
          <w:i/>
          <w:color w:val="000000"/>
          <w:sz w:val="22"/>
        </w:rPr>
        <w:t>RSU Award”</w:t>
      </w:r>
      <w:r>
        <w:rPr>
          <w:rFonts w:ascii="Times New Roman;serif" w:hAnsi="Times New Roman;serif"/>
          <w:b w:val="false"/>
          <w:color w:val="000000"/>
          <w:sz w:val="22"/>
        </w:rPr>
        <w:t xml:space="preserve">). Your RSU Award is subject to all of the terms and conditions as set forth herein and in the Company’s 2020 Equity Incentive Plan (the </w:t>
      </w:r>
      <w:r>
        <w:rPr>
          <w:color w:val="000000"/>
        </w:rPr>
        <w:t>“</w:t>
      </w:r>
      <w:r>
        <w:rPr>
          <w:rFonts w:ascii="Times New Roman;serif" w:hAnsi="Times New Roman;serif"/>
          <w:b/>
          <w:i/>
          <w:color w:val="000000"/>
          <w:sz w:val="22"/>
        </w:rPr>
        <w:t>Plan”</w:t>
      </w:r>
      <w:r>
        <w:rPr>
          <w:rFonts w:ascii="Times New Roman;serif" w:hAnsi="Times New Roman;serif"/>
          <w:b w:val="false"/>
          <w:color w:val="000000"/>
          <w:sz w:val="22"/>
        </w:rPr>
        <w:t>) and the Award Agreement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which are incorporated herein in their entirety. Capitalized terms not explicitly defined herein but defined in the Plan or the Agreement shall have the meanings set forth in the Plan or the Agreement. </w:t>
      </w:r>
    </w:p>
    <w:p>
      <w:pPr>
        <w:pStyle w:val="TextBody"/>
        <w:bidi w:val="0"/>
        <w:spacing w:lineRule="auto" w:line="268" w:before="0" w:after="180"/>
        <w:jc w:val="left"/>
        <w:rPr>
          <w:rFonts w:ascii="Times New Roman;serif" w:hAnsi="Times New Roman;serif"/>
          <w:b w:val="false"/>
          <w:color w:val="000000"/>
          <w:sz w:val="22"/>
        </w:rPr>
      </w:pPr>
      <w:r>
        <w:rPr>
          <w:rFonts w:ascii="Times New Roman;serif" w:hAnsi="Times New Roman;serif"/>
          <w:b w:val="false"/>
          <w:color w:val="000000"/>
          <w:sz w:val="22"/>
        </w:rPr>
        <w:t>Participant: PARTICIPANT</w:t>
      </w:r>
    </w:p>
    <w:p>
      <w:pPr>
        <w:pStyle w:val="TextBody"/>
        <w:bidi w:val="0"/>
        <w:spacing w:lineRule="auto" w:line="268" w:before="0" w:after="180"/>
        <w:jc w:val="left"/>
        <w:rPr>
          <w:rFonts w:ascii="Times New Roman;serif" w:hAnsi="Times New Roman;serif"/>
          <w:b w:val="false"/>
          <w:color w:val="000000"/>
          <w:sz w:val="22"/>
        </w:rPr>
      </w:pPr>
      <w:r>
        <w:rPr>
          <w:rFonts w:ascii="Times New Roman;serif" w:hAnsi="Times New Roman;serif"/>
          <w:b w:val="false"/>
          <w:color w:val="000000"/>
          <w:sz w:val="22"/>
        </w:rPr>
        <w:t>Date of Grant: GRANT DATE</w:t>
      </w:r>
    </w:p>
    <w:p>
      <w:pPr>
        <w:pStyle w:val="TextBody"/>
        <w:bidi w:val="0"/>
        <w:spacing w:lineRule="auto" w:line="268" w:before="0" w:after="180"/>
        <w:jc w:val="left"/>
        <w:rPr>
          <w:rFonts w:ascii="Times New Roman;serif" w:hAnsi="Times New Roman;serif"/>
          <w:b w:val="false"/>
          <w:color w:val="000000"/>
          <w:sz w:val="22"/>
        </w:rPr>
      </w:pPr>
      <w:r>
        <w:rPr>
          <w:rFonts w:ascii="Times New Roman;serif" w:hAnsi="Times New Roman;serif"/>
          <w:b w:val="false"/>
          <w:color w:val="000000"/>
          <w:sz w:val="22"/>
        </w:rPr>
        <w:t>Target Number of Restricted Stock Units: TARGET SHARES GRANTED</w:t>
      </w:r>
    </w:p>
    <w:p>
      <w:pPr>
        <w:pStyle w:val="TextBody"/>
        <w:bidi w:val="0"/>
        <w:spacing w:lineRule="auto" w:line="230" w:before="0" w:after="180"/>
        <w:jc w:val="left"/>
        <w:rPr/>
      </w:pPr>
      <w:r>
        <w:rPr>
          <w:rFonts w:ascii="Times New Roman;serif" w:hAnsi="Times New Roman;serif"/>
          <w:b/>
          <w:color w:val="000000"/>
          <w:sz w:val="22"/>
        </w:rPr>
        <w:t>Vesting Schedule</w:t>
      </w:r>
      <w:r>
        <w:rPr>
          <w:rFonts w:ascii="Times New Roman;serif" w:hAnsi="Times New Roman;serif"/>
          <w:b w:val="false"/>
          <w:color w:val="000000"/>
          <w:sz w:val="22"/>
        </w:rPr>
        <w:t xml:space="preserve">: The RSU Award shall be earned and vest as set forth on Exhibit A. </w:t>
      </w:r>
    </w:p>
    <w:p>
      <w:pPr>
        <w:pStyle w:val="TextBody"/>
        <w:bidi w:val="0"/>
        <w:spacing w:lineRule="auto" w:line="237" w:before="0" w:after="180"/>
        <w:jc w:val="left"/>
        <w:rPr/>
      </w:pPr>
      <w:r>
        <w:rPr>
          <w:rFonts w:ascii="Times New Roman;serif" w:hAnsi="Times New Roman;serif"/>
          <w:b/>
          <w:color w:val="000000"/>
          <w:sz w:val="22"/>
        </w:rPr>
        <w:t xml:space="preserve">Issuance Schedule: </w:t>
      </w:r>
      <w:r>
        <w:rPr>
          <w:rFonts w:ascii="Times New Roman;serif" w:hAnsi="Times New Roman;serif"/>
          <w:b w:val="false"/>
          <w:color w:val="000000"/>
          <w:sz w:val="22"/>
        </w:rPr>
        <w:t xml:space="preserve">One share of Common Stock will be issued for each restricted stock unit, with the right to earn up to 200% of the target number, which vests at the time set forth in Section 5 of the Agreement. </w:t>
      </w:r>
    </w:p>
    <w:p>
      <w:pPr>
        <w:pStyle w:val="TextBody"/>
        <w:bidi w:val="0"/>
        <w:spacing w:lineRule="auto" w:line="223" w:before="0" w:after="180"/>
        <w:jc w:val="left"/>
        <w:rPr/>
      </w:pPr>
      <w:r>
        <w:rPr>
          <w:rFonts w:ascii="Times New Roman;serif" w:hAnsi="Times New Roman;serif"/>
          <w:b/>
          <w:color w:val="000000"/>
          <w:sz w:val="22"/>
        </w:rPr>
        <w:t xml:space="preserve">Participant Acknowledgements: </w:t>
      </w:r>
      <w:r>
        <w:rPr>
          <w:rFonts w:ascii="Times New Roman;serif" w:hAnsi="Times New Roman;serif"/>
          <w:b w:val="false"/>
          <w:color w:val="000000"/>
          <w:sz w:val="22"/>
        </w:rPr>
        <w:t xml:space="preserve">By your signature below or by electronic acceptance or authentication in a form authorized by the Company, you understand and agree that: </w:t>
      </w:r>
    </w:p>
    <w:p>
      <w:pPr>
        <w:pStyle w:val="TextBody"/>
        <w:bidi w:val="0"/>
        <w:spacing w:lineRule="auto" w:line="223" w:before="0" w:after="180"/>
        <w:ind w:left="0" w:right="0" w:firstLine="720"/>
        <w:jc w:val="both"/>
        <w:rPr/>
      </w:pPr>
      <w:r>
        <w:rPr>
          <w:color w:val="000000"/>
        </w:rPr>
        <w:t xml:space="preserve">● </w:t>
      </w:r>
      <w:r>
        <w:rPr>
          <w:rFonts w:ascii="Times New Roman;serif" w:hAnsi="Times New Roman;serif"/>
          <w:b w:val="false"/>
          <w:color w:val="000000"/>
          <w:sz w:val="22"/>
        </w:rPr>
        <w:t>The RSU Award is governed by this RSU Award Grant Notice (the “</w:t>
      </w:r>
      <w:r>
        <w:rPr>
          <w:rFonts w:ascii="Times New Roman;serif" w:hAnsi="Times New Roman;serif"/>
          <w:b/>
          <w:i/>
          <w:color w:val="000000"/>
          <w:sz w:val="22"/>
        </w:rPr>
        <w:t>Grant Notice</w:t>
      </w:r>
      <w:r>
        <w:rPr>
          <w:color w:val="000000"/>
        </w:rPr>
        <w:t>”</w:t>
      </w:r>
      <w:r>
        <w:rPr>
          <w:rFonts w:ascii="Times New Roman;serif" w:hAnsi="Times New Roman;serif"/>
          <w:b w:val="false"/>
          <w:color w:val="000000"/>
          <w:sz w:val="22"/>
        </w:rPr>
        <w:t>), and the provisions of the Plan and the Agreement, all of which are made a part of this document. Unless otherwise provided in the Plan, this Grant Notice and the Agreement (together, the “</w:t>
      </w:r>
      <w:r>
        <w:rPr>
          <w:rFonts w:ascii="Times New Roman;serif" w:hAnsi="Times New Roman;serif"/>
          <w:b/>
          <w:i/>
          <w:color w:val="000000"/>
          <w:sz w:val="22"/>
        </w:rPr>
        <w:t>RSU Award Agreement</w:t>
      </w:r>
      <w:r>
        <w:rPr>
          <w:color w:val="000000"/>
        </w:rPr>
        <w:t>”</w:t>
      </w:r>
      <w:r>
        <w:rPr>
          <w:rFonts w:ascii="Times New Roman;serif" w:hAnsi="Times New Roman;serif"/>
          <w:b w:val="false"/>
          <w:color w:val="000000"/>
          <w:sz w:val="22"/>
        </w:rPr>
        <w:t xml:space="preserve">) may not be modified, amended or revised except in a writing signed by you and a duly authorized officer of the Company. </w:t>
      </w:r>
    </w:p>
    <w:p>
      <w:pPr>
        <w:pStyle w:val="TextBody"/>
        <w:bidi w:val="0"/>
        <w:spacing w:lineRule="auto" w:line="216" w:before="0" w:after="180"/>
        <w:ind w:left="0" w:right="0" w:firstLine="720"/>
        <w:jc w:val="both"/>
        <w:rPr>
          <w:color w:val="000000"/>
        </w:rPr>
      </w:pPr>
      <w:r>
        <w:rPr>
          <w:color w:val="000000"/>
        </w:rPr>
        <w:t xml:space="preserve">● </w:t>
      </w:r>
      <w:r>
        <w:rPr>
          <w:rFonts w:ascii="Times New Roman;serif" w:hAnsi="Times New Roman;serif"/>
          <w:b w:val="false"/>
          <w:color w:val="000000"/>
          <w:sz w:val="22"/>
        </w:rPr>
        <w:t xml:space="preserve">You have read and are familiar with the provisions of the Plan, the RSU Award Agreement and the Prospectus. In the event of any conflict between the provisions in the RSU Award Agreement, or the Prospectus and the terms of the Plan, the terms of the Plan shall control. </w:t>
      </w:r>
    </w:p>
    <w:p>
      <w:pPr>
        <w:pStyle w:val="TextBody"/>
        <w:bidi w:val="0"/>
        <w:spacing w:lineRule="auto" w:line="223" w:before="0" w:after="180"/>
        <w:ind w:left="0" w:right="0" w:firstLine="720"/>
        <w:jc w:val="both"/>
        <w:rPr>
          <w:color w:val="000000"/>
        </w:rPr>
      </w:pPr>
      <w:r>
        <w:rPr>
          <w:color w:val="000000"/>
        </w:rPr>
        <w:t xml:space="preserve">● </w:t>
      </w:r>
      <w:r>
        <w:rPr>
          <w:rFonts w:ascii="Times New Roman;serif" w:hAnsi="Times New Roman;serif"/>
          <w:b w:val="false"/>
          <w:color w:val="000000"/>
          <w:sz w:val="22"/>
        </w:rPr>
        <w:t xml:space="preserve">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 </w:t>
      </w:r>
    </w:p>
    <w:p>
      <w:pPr>
        <w:pStyle w:val="TextBody"/>
        <w:bidi w:val="0"/>
        <w:spacing w:lineRule="auto" w:line="268" w:before="0" w:after="180"/>
        <w:jc w:val="left"/>
        <w:rPr>
          <w:rFonts w:ascii="Times New Roman;serif" w:hAnsi="Times New Roman;serif"/>
          <w:b/>
          <w:color w:val="000000"/>
          <w:sz w:val="22"/>
        </w:rPr>
      </w:pPr>
      <w:r>
        <w:rPr>
          <w:rFonts w:ascii="Times New Roman;serif" w:hAnsi="Times New Roman;serif"/>
          <w:b/>
          <w:color w:val="000000"/>
          <w:sz w:val="22"/>
        </w:rPr>
        <w:t xml:space="preserve">ROOT, INC. PARTICIPANT: </w:t>
      </w:r>
    </w:p>
    <w:p>
      <w:pPr>
        <w:pStyle w:val="TextBody"/>
        <w:bidi w:val="0"/>
        <w:spacing w:lineRule="auto" w:line="268"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lineRule="auto" w:line="268"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Signature Signature </w:t>
      </w:r>
    </w:p>
    <w:p>
      <w:pPr>
        <w:pStyle w:val="TextBody"/>
        <w:bidi w:val="0"/>
        <w:spacing w:lineRule="auto" w:line="268"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Title: Date: </w:t>
      </w:r>
    </w:p>
    <w:p>
      <w:pPr>
        <w:pStyle w:val="TextBody"/>
        <w:bidi w:val="0"/>
        <w:spacing w:lineRule="auto" w:line="268" w:before="0" w:after="180"/>
        <w:jc w:val="left"/>
        <w:rPr>
          <w:rFonts w:ascii="Times New Roman;serif" w:hAnsi="Times New Roman;serif"/>
          <w:b w:val="false"/>
          <w:color w:val="000000"/>
          <w:sz w:val="22"/>
        </w:rPr>
      </w:pPr>
      <w:r>
        <w:rPr>
          <w:rFonts w:ascii="Times New Roman;serif" w:hAnsi="Times New Roman;serif"/>
          <w:b w:val="false"/>
          <w:color w:val="000000"/>
          <w:sz w:val="22"/>
        </w:rPr>
        <w:t>Date: GRANT DATE</w:t>
      </w:r>
    </w:p>
    <w:p>
      <w:pPr>
        <w:pStyle w:val="TextBody"/>
        <w:bidi w:val="0"/>
        <w:spacing w:lineRule="auto" w:line="276" w:before="0" w:after="180"/>
        <w:jc w:val="left"/>
        <w:rPr/>
      </w:pPr>
      <w:r>
        <w:rPr>
          <w:rFonts w:ascii="Times New Roman;serif" w:hAnsi="Times New Roman;serif"/>
          <w:b/>
          <w:color w:val="000000"/>
          <w:sz w:val="22"/>
        </w:rPr>
        <w:t>Attachments</w:t>
      </w:r>
      <w:r>
        <w:rPr>
          <w:rFonts w:ascii="Times New Roman;serif" w:hAnsi="Times New Roman;serif"/>
          <w:b w:val="false"/>
          <w:color w:val="000000"/>
          <w:sz w:val="22"/>
        </w:rPr>
        <w:t xml:space="preserve">: Award Agreement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 xml:space="preserve">ROOT, INC. </w:t>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 xml:space="preserve">2020 EQUITY INCENTIVE PLAN </w:t>
      </w:r>
    </w:p>
    <w:p>
      <w:pPr>
        <w:pStyle w:val="TextBody"/>
        <w:bidi w:val="0"/>
        <w:spacing w:lineRule="auto" w:line="276" w:before="0" w:after="180"/>
        <w:jc w:val="center"/>
        <w:rPr/>
      </w:pPr>
      <w:r>
        <w:rPr>
          <w:rFonts w:ascii="Times New Roman;serif" w:hAnsi="Times New Roman;serif"/>
          <w:b/>
          <w:color w:val="000000"/>
          <w:sz w:val="22"/>
        </w:rPr>
        <w:t>AWARD AGREEMENT (Performance-Based RSU AWARD)</w:t>
      </w:r>
      <w:r>
        <w:rPr>
          <w:color w:val="000000"/>
        </w:rPr>
        <w:t xml:space="preserve"> </w:t>
      </w:r>
    </w:p>
    <w:p>
      <w:pPr>
        <w:pStyle w:val="TextBody"/>
        <w:bidi w:val="0"/>
        <w:spacing w:lineRule="auto" w:line="276" w:before="0" w:after="180"/>
        <w:jc w:val="left"/>
        <w:rPr/>
      </w:pPr>
      <w:r>
        <w:rPr>
          <w:rFonts w:ascii="Times New Roman;serif" w:hAnsi="Times New Roman;serif"/>
          <w:b w:val="false"/>
          <w:color w:val="000000"/>
          <w:sz w:val="22"/>
        </w:rPr>
        <w:t>As reflected by your Restricted Stock Unit Grant Notice (“</w:t>
      </w:r>
      <w:r>
        <w:rPr>
          <w:rFonts w:ascii="Times New Roman;serif" w:hAnsi="Times New Roman;serif"/>
          <w:b/>
          <w:i/>
          <w:color w:val="000000"/>
          <w:sz w:val="22"/>
        </w:rPr>
        <w:t>Grant Notice</w:t>
      </w:r>
      <w:r>
        <w:rPr>
          <w:color w:val="000000"/>
        </w:rPr>
        <w:t>”</w:t>
      </w:r>
      <w:r>
        <w:rPr>
          <w:rFonts w:ascii="Times New Roman;serif" w:hAnsi="Times New Roman;serif"/>
          <w:b w:val="false"/>
          <w:color w:val="000000"/>
          <w:sz w:val="22"/>
        </w:rPr>
        <w:t>), Root,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has granted you a RSU Award under its 2020 Equity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for the number of performance-based restricted stock units as indicated in your Grant Notice (the “</w:t>
      </w:r>
      <w:r>
        <w:rPr>
          <w:rFonts w:ascii="Times New Roman;serif" w:hAnsi="Times New Roman;serif"/>
          <w:b/>
          <w:i/>
          <w:color w:val="000000"/>
          <w:sz w:val="22"/>
        </w:rPr>
        <w:t>RSU Award</w:t>
      </w:r>
      <w:r>
        <w:rPr>
          <w:color w:val="000000"/>
        </w:rPr>
        <w:t>”</w:t>
      </w:r>
      <w:r>
        <w:rPr>
          <w:rFonts w:ascii="Times New Roman;serif" w:hAnsi="Times New Roman;serif"/>
          <w:b w:val="false"/>
          <w:color w:val="000000"/>
          <w:sz w:val="22"/>
        </w:rPr>
        <w:t>). The terms of your RSU Award as specified in this Award Agreement for your RSU Award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and the Grant Notice constitute your “</w:t>
      </w:r>
      <w:r>
        <w:rPr>
          <w:rFonts w:ascii="Times New Roman;serif" w:hAnsi="Times New Roman;serif"/>
          <w:b/>
          <w:i/>
          <w:color w:val="000000"/>
          <w:sz w:val="22"/>
        </w:rPr>
        <w:t>RSU Award Agreement</w:t>
      </w:r>
      <w:r>
        <w:rPr>
          <w:color w:val="000000"/>
        </w:rPr>
        <w:t>”</w:t>
      </w:r>
      <w:r>
        <w:rPr>
          <w:rFonts w:ascii="Times New Roman;serif" w:hAnsi="Times New Roman;serif"/>
          <w:b w:val="false"/>
          <w:color w:val="000000"/>
          <w:sz w:val="22"/>
        </w:rPr>
        <w:t xml:space="preserve">. Defined terms not explicitly defined in this Agreement but defined in the Grant Notice or the Plan shall have the same definitions as in the Grant Notice or Plan, as applicable. </w:t>
      </w:r>
    </w:p>
    <w:p>
      <w:pPr>
        <w:pStyle w:val="TextBody"/>
        <w:bidi w:val="0"/>
        <w:spacing w:lineRule="auto" w:line="276"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The general terms applicable to your RSU Award are as follows: </w:t>
      </w:r>
    </w:p>
    <w:p>
      <w:pPr>
        <w:pStyle w:val="TextBody"/>
        <w:bidi w:val="0"/>
        <w:spacing w:lineRule="auto" w:line="276" w:before="0" w:after="180"/>
        <w:ind w:left="0" w:right="0" w:firstLine="720"/>
        <w:jc w:val="left"/>
        <w:rPr/>
      </w:pPr>
      <w:r>
        <w:rPr>
          <w:rFonts w:ascii="Times New Roman;serif" w:hAnsi="Times New Roman;serif"/>
          <w:b/>
          <w:color w:val="000000"/>
          <w:sz w:val="22"/>
        </w:rPr>
        <w:t xml:space="preserve">1. GOVERNING PLAN DOCUMENT. </w:t>
      </w:r>
      <w:r>
        <w:rPr>
          <w:rFonts w:ascii="Times New Roman;serif" w:hAnsi="Times New Roman;serif"/>
          <w:b w:val="false"/>
          <w:color w:val="000000"/>
          <w:sz w:val="22"/>
        </w:rPr>
        <w:t xml:space="preserve">Your RSU Award is subject to all the provisions of the Plan. 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w:t>
      </w:r>
    </w:p>
    <w:p>
      <w:pPr>
        <w:pStyle w:val="TextBody"/>
        <w:bidi w:val="0"/>
        <w:spacing w:lineRule="auto" w:line="276" w:before="0" w:after="180"/>
        <w:ind w:left="0" w:right="0" w:firstLine="720"/>
        <w:jc w:val="left"/>
        <w:rPr/>
      </w:pPr>
      <w:r>
        <w:rPr>
          <w:rFonts w:ascii="Times New Roman;serif" w:hAnsi="Times New Roman;serif"/>
          <w:b/>
          <w:color w:val="000000"/>
          <w:sz w:val="22"/>
        </w:rPr>
        <w:t xml:space="preserve">2. GRANT OF THE RSU AWARD. </w:t>
      </w:r>
      <w:r>
        <w:rPr>
          <w:rFonts w:ascii="Times New Roman;serif" w:hAnsi="Times New Roman;serif"/>
          <w:b w:val="false"/>
          <w:color w:val="000000"/>
          <w:sz w:val="22"/>
        </w:rPr>
        <w:t>This RSU Award represents your right to be issued on a future date the number of shares of the Company’s Common Stock that is equal to the number of restricted stock units indicated in the Grant Notice subject to your satisfaction of the vesting conditions set forth therein (the “</w:t>
      </w:r>
      <w:r>
        <w:rPr>
          <w:rFonts w:ascii="Times New Roman;serif" w:hAnsi="Times New Roman;serif"/>
          <w:b/>
          <w:i/>
          <w:color w:val="000000"/>
          <w:sz w:val="22"/>
        </w:rPr>
        <w:t>Restricted Stock Units</w:t>
      </w:r>
      <w:r>
        <w:rPr>
          <w:color w:val="000000"/>
        </w:rPr>
        <w:t>”</w:t>
      </w:r>
      <w:r>
        <w:rPr>
          <w:rFonts w:ascii="Times New Roman;serif" w:hAnsi="Times New Roman;serif"/>
          <w:b w:val="false"/>
          <w:color w:val="000000"/>
          <w:sz w:val="22"/>
        </w:rPr>
        <w:t xml:space="preserve">).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 </w:t>
      </w:r>
    </w:p>
    <w:p>
      <w:pPr>
        <w:pStyle w:val="TextBody"/>
        <w:bidi w:val="0"/>
        <w:spacing w:lineRule="auto" w:line="276" w:before="0" w:after="180"/>
        <w:ind w:left="0" w:right="0" w:firstLine="720"/>
        <w:jc w:val="left"/>
        <w:rPr/>
      </w:pPr>
      <w:r>
        <w:rPr>
          <w:rFonts w:ascii="Times New Roman;serif" w:hAnsi="Times New Roman;serif"/>
          <w:b/>
          <w:color w:val="000000"/>
          <w:sz w:val="22"/>
        </w:rPr>
        <w:t xml:space="preserve">3. DIVIDENDS. </w:t>
      </w:r>
      <w:r>
        <w:rPr>
          <w:rFonts w:ascii="Times New Roman;serif" w:hAnsi="Times New Roman;serif"/>
          <w:b w:val="false"/>
          <w:color w:val="000000"/>
          <w:sz w:val="22"/>
        </w:rPr>
        <w:t xml:space="preserve">You shall receive no benefit or adjustment to your RSU Award with respect to any cash dividend, 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 </w:t>
      </w:r>
    </w:p>
    <w:p>
      <w:pPr>
        <w:pStyle w:val="TextBody"/>
        <w:bidi w:val="0"/>
        <w:spacing w:lineRule="auto" w:line="276" w:before="0" w:after="18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4. WITHHOLDING OBLIGATIONS. </w:t>
      </w:r>
    </w:p>
    <w:p>
      <w:pPr>
        <w:pStyle w:val="TextBody"/>
        <w:bidi w:val="0"/>
        <w:spacing w:lineRule="auto" w:line="276" w:before="0" w:after="180"/>
        <w:ind w:left="0" w:right="0" w:firstLine="1440"/>
        <w:jc w:val="left"/>
        <w:rPr/>
      </w:pPr>
      <w:r>
        <w:rPr>
          <w:rFonts w:ascii="Times New Roman;serif" w:hAnsi="Times New Roman;serif"/>
          <w:b/>
          <w:color w:val="000000"/>
          <w:sz w:val="22"/>
        </w:rPr>
        <w:t xml:space="preserve">(a) </w:t>
      </w:r>
      <w:r>
        <w:rPr>
          <w:rFonts w:ascii="Times New Roman;serif" w:hAnsi="Times New Roman;serif"/>
          <w:b w:val="false"/>
          <w:color w:val="000000"/>
          <w:sz w:val="22"/>
        </w:rPr>
        <w:t>Regardless of any action taken by the Company or, if different, the Affiliate to which you provide Continuous Service (the “</w:t>
      </w:r>
      <w:r>
        <w:rPr>
          <w:rFonts w:ascii="Times New Roman;serif" w:hAnsi="Times New Roman;serif"/>
          <w:b/>
          <w:i/>
          <w:color w:val="000000"/>
          <w:sz w:val="22"/>
        </w:rPr>
        <w:t>Service Recipient</w:t>
      </w:r>
      <w:r>
        <w:rPr>
          <w:color w:val="000000"/>
        </w:rPr>
        <w:t>”</w:t>
      </w:r>
      <w:r>
        <w:rPr>
          <w:rFonts w:ascii="Times New Roman;serif" w:hAnsi="Times New Roman;serif"/>
          <w:b w:val="false"/>
          <w:color w:val="000000"/>
          <w:sz w:val="22"/>
        </w:rPr>
        <w:t>) with respect to any income tax, social insurance, payroll tax, fringe benefits tax, payment on account or other tax related items associated with the grant or vesting of the RSU Award or sale of the underlying Common Stock or other tax-related items related to your participation in the Plan and legally applicable to you (the “</w:t>
      </w:r>
      <w:r>
        <w:rPr>
          <w:rFonts w:ascii="Times New Roman;serif" w:hAnsi="Times New Roman;serif"/>
          <w:b/>
          <w:i/>
          <w:color w:val="000000"/>
          <w:sz w:val="22"/>
        </w:rPr>
        <w:t>Tax Liability</w:t>
      </w:r>
      <w:r>
        <w:rPr>
          <w:color w:val="000000"/>
        </w:rPr>
        <w:t>”</w:t>
      </w:r>
      <w:r>
        <w:rPr>
          <w:rFonts w:ascii="Times New Roman;serif" w:hAnsi="Times New Roman;serif"/>
          <w:b w:val="false"/>
          <w:color w:val="000000"/>
          <w:sz w:val="22"/>
        </w:rPr>
        <w:t xml:space="preserve">),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RSU Award, including, but not limited to, the grant or vesting of the RSU Award, the issuance of Common Stock pursuant to such vesting, the subsequent sale of shares of Common Stock, and the payment of any dividends on the Common Stock; and (ii) do not commit to and are under no obligation to structure the terms of the grant or any aspect of the RSU Award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1440"/>
        <w:jc w:val="left"/>
        <w:rPr/>
      </w:pPr>
      <w:r>
        <w:rPr>
          <w:rFonts w:ascii="Times New Roman;serif" w:hAnsi="Times New Roman;serif"/>
          <w:b/>
          <w:color w:val="000000"/>
          <w:sz w:val="22"/>
        </w:rPr>
        <w:t xml:space="preserve">(b) </w:t>
      </w:r>
      <w:r>
        <w:rPr>
          <w:rFonts w:ascii="Times New Roman;serif" w:hAnsi="Times New Roman;serif"/>
          <w:b w:val="false"/>
          <w:color w:val="000000"/>
          <w:sz w:val="22"/>
        </w:rPr>
        <w:t xml:space="preserve">Prior to any relevant taxable or tax withholding event, as applicable, you agree to make adequate arrangements satisfactory to the Company and/or the Service Recipient to satisfy all Tax Liability. As further provided in Section 8 of the Plan, you hereby authorize the Company and any applicable Service Recipient to satisfy any applicable withholding obligations with regard to the Tax Liability by any of the following means or by a combination of such means: (i) causing you to pay any portion of the Tax Liability in cash or cash equivalent in a form acceptable to the Company; (ii) withholding from any compensation otherwise payable to you by the Company or the Service Recipient; (iii) withholding shares of Common Stock from the shares of Common Stock issued or otherwise issuable to you in connection with the Award; </w:t>
      </w:r>
      <w:r>
        <w:rPr>
          <w:rFonts w:ascii="Times New Roman;serif" w:hAnsi="Times New Roman;serif"/>
          <w:b w:val="false"/>
          <w:i/>
          <w:color w:val="000000"/>
          <w:sz w:val="22"/>
        </w:rPr>
        <w:t>provided</w:t>
      </w:r>
      <w:r>
        <w:rPr>
          <w:rFonts w:ascii="Times New Roman;serif" w:hAnsi="Times New Roman;serif"/>
          <w:b w:val="false"/>
          <w:color w:val="000000"/>
          <w:sz w:val="22"/>
        </w:rPr>
        <w:t>, however, that to the extent necessary to qualify for an exemption from application of Section 16(b) of the Exchange Act, if applicable, such share withholding procedure will be subject to the express prior approval of the Board or the Company’s Compensation Committee; (iv) permitting or requiring you to enter into a “same day sale” commitment, if applicable, with a broker-dealer that is a member of the Financial Industry Regulatory Authority (a “</w:t>
      </w:r>
      <w:r>
        <w:rPr>
          <w:rFonts w:ascii="Times New Roman;serif" w:hAnsi="Times New Roman;serif"/>
          <w:b/>
          <w:i/>
          <w:color w:val="000000"/>
          <w:sz w:val="22"/>
        </w:rPr>
        <w:t>FINRA Dealer</w:t>
      </w:r>
      <w:r>
        <w:rPr>
          <w:color w:val="000000"/>
        </w:rPr>
        <w:t>”</w:t>
      </w:r>
      <w:r>
        <w:rPr>
          <w:rFonts w:ascii="Times New Roman;serif" w:hAnsi="Times New Roman;serif"/>
          <w:b w:val="false"/>
          <w:color w:val="000000"/>
          <w:sz w:val="22"/>
        </w:rPr>
        <w:t xml:space="preserve">), pursuant to this authorization and without further consent, whereby you irrevocably elect to sell a portion of the shares of Common Stock to be delivered in connection with your Restricted Stock Units to satisfy the Tax Liability and whereby the FINRA Dealer irrevocably commits to forward the proceeds necessary to satisfy the Tax Liability directly to the Company or the Service Recipient;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and/or the Service Recipient (as applicable), you agree to indemnify and hold the Company and/or the Service Recipient (as applicable) harmless from any failure by the Company or the applicable Service Recipient to withhold the proper amount. </w:t>
      </w:r>
    </w:p>
    <w:p>
      <w:pPr>
        <w:pStyle w:val="TextBody"/>
        <w:bidi w:val="0"/>
        <w:spacing w:lineRule="auto" w:line="276" w:before="0" w:after="180"/>
        <w:ind w:left="0" w:right="0" w:firstLine="1440"/>
        <w:jc w:val="left"/>
        <w:rPr/>
      </w:pPr>
      <w:r>
        <w:rPr>
          <w:rFonts w:ascii="Times New Roman;serif" w:hAnsi="Times New Roman;serif"/>
          <w:b/>
          <w:color w:val="000000"/>
          <w:sz w:val="22"/>
        </w:rPr>
        <w:t xml:space="preserve">(c) </w:t>
      </w:r>
      <w:r>
        <w:rPr>
          <w:rFonts w:ascii="Times New Roman;serif" w:hAnsi="Times New Roman;serif"/>
          <w:b w:val="false"/>
          <w:color w:val="000000"/>
          <w:sz w:val="22"/>
        </w:rPr>
        <w:t xml:space="preserve">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 Common Stock or (ii) minimum or such other applicable rates in your jurisdiction(s), in which case you may be solely 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vested portion of the RSU Award, notwithstanding that a number of the shares of Common Stock is held back solely for the purpose of paying such Tax Liability. </w:t>
      </w:r>
    </w:p>
    <w:p>
      <w:pPr>
        <w:pStyle w:val="TextBody"/>
        <w:bidi w:val="0"/>
        <w:spacing w:lineRule="auto" w:line="276" w:before="0" w:after="180"/>
        <w:ind w:left="0" w:right="0" w:firstLine="1440"/>
        <w:jc w:val="left"/>
        <w:rPr/>
      </w:pPr>
      <w:r>
        <w:rPr>
          <w:rFonts w:ascii="Times New Roman;serif" w:hAnsi="Times New Roman;serif"/>
          <w:b/>
          <w:color w:val="000000"/>
          <w:sz w:val="22"/>
        </w:rPr>
        <w:t xml:space="preserve">(d) </w:t>
      </w:r>
      <w:r>
        <w:rPr>
          <w:rFonts w:ascii="Times New Roman;serif" w:hAnsi="Times New Roman;serif"/>
          <w:b w:val="false"/>
          <w:color w:val="000000"/>
          <w:sz w:val="22"/>
        </w:rPr>
        <w:t xml:space="preserve">You acknowledge that you may not participate in the Plan and the Company shall have no obligation to deliver shares of Common Stock until you have fully satisfied the Tax Liability, as determined by the Company. Unless any withholding obligation for the Tax Liability is satisfied, the Company shall have no obligation to deliver to you any Common Stock in respect of the RSU Award. </w:t>
      </w:r>
    </w:p>
    <w:p>
      <w:pPr>
        <w:pStyle w:val="TextBody"/>
        <w:bidi w:val="0"/>
        <w:spacing w:lineRule="auto" w:line="276" w:before="0" w:after="18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5. DATE OF ISSUANCE. </w:t>
      </w:r>
    </w:p>
    <w:p>
      <w:pPr>
        <w:pStyle w:val="TextBody"/>
        <w:bidi w:val="0"/>
        <w:spacing w:lineRule="auto" w:line="276" w:before="0" w:after="180"/>
        <w:ind w:left="0" w:right="0" w:firstLine="1440"/>
        <w:jc w:val="left"/>
        <w:rPr/>
      </w:pPr>
      <w:r>
        <w:rPr>
          <w:rFonts w:ascii="Times New Roman;serif" w:hAnsi="Times New Roman;serif"/>
          <w:b/>
          <w:color w:val="000000"/>
          <w:sz w:val="22"/>
        </w:rPr>
        <w:t xml:space="preserve">(a) </w:t>
      </w:r>
      <w:r>
        <w:rPr>
          <w:rFonts w:ascii="Times New Roman;serif" w:hAnsi="Times New Roman;serif"/>
          <w:b w:val="false"/>
          <w:color w:val="000000"/>
          <w:sz w:val="22"/>
        </w:rPr>
        <w:t>The issuance of shares in respect of the Restricted Stock Units is intended to comply with U.S. Treasury Regulations Section 1.409A-3(a) and will be construed and administered in such a manner. Subject to the satisfaction of the Tax Liability withholding obligation, if any, in the event one or more Restricted Stock Units vests, the Company shall issue to you one (1) share of Common Stock for each vested Restricted Stock Unit. Each issuance date determined by this paragraph is referred to as an “</w:t>
      </w:r>
      <w:r>
        <w:rPr>
          <w:rFonts w:ascii="Times New Roman;serif" w:hAnsi="Times New Roman;serif"/>
          <w:b/>
          <w:i/>
          <w:color w:val="000000"/>
          <w:sz w:val="22"/>
        </w:rPr>
        <w:t>Original Issuance Date</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1440"/>
        <w:jc w:val="left"/>
        <w:rPr/>
      </w:pPr>
      <w:r>
        <w:rPr>
          <w:rFonts w:ascii="Times New Roman;serif" w:hAnsi="Times New Roman;serif"/>
          <w:b/>
          <w:color w:val="000000"/>
          <w:sz w:val="22"/>
        </w:rPr>
        <w:t xml:space="preserve">(b) </w:t>
      </w:r>
      <w:r>
        <w:rPr>
          <w:rFonts w:ascii="Times New Roman;serif" w:hAnsi="Times New Roman;serif"/>
          <w:b w:val="false"/>
          <w:color w:val="000000"/>
          <w:sz w:val="22"/>
        </w:rPr>
        <w:t xml:space="preserve">If the Original Issuance Date falls on a date that is not a business day, delivery shall instead occur on the next following business day. In addition, if: </w:t>
      </w:r>
    </w:p>
    <w:p>
      <w:pPr>
        <w:pStyle w:val="TextBody"/>
        <w:bidi w:val="0"/>
        <w:spacing w:lineRule="auto" w:line="276" w:before="0" w:after="180"/>
        <w:ind w:left="0" w:right="0" w:firstLine="2160"/>
        <w:jc w:val="left"/>
        <w:rPr/>
      </w:pPr>
      <w:r>
        <w:rPr>
          <w:rFonts w:ascii="Times New Roman;serif" w:hAnsi="Times New Roman;serif"/>
          <w:b/>
          <w:color w:val="000000"/>
          <w:sz w:val="22"/>
        </w:rPr>
        <w:t xml:space="preserve">(i) </w:t>
      </w:r>
      <w:r>
        <w:rPr>
          <w:rFonts w:ascii="Times New Roman;serif" w:hAnsi="Times New Roman;serif"/>
          <w:b w:val="false"/>
          <w:color w:val="000000"/>
          <w:sz w:val="22"/>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serif" w:hAnsi="Times New Roman;serif"/>
          <w:b/>
          <w:i/>
          <w:color w:val="000000"/>
          <w:sz w:val="22"/>
        </w:rPr>
        <w:t>10b5-1 Arrangement</w:t>
      </w:r>
      <w:r>
        <w:rPr>
          <w:rFonts w:ascii="Times New Roman;serif" w:hAnsi="Times New Roman;serif"/>
          <w:b w:val="false"/>
          <w:color w:val="000000"/>
          <w:sz w:val="22"/>
        </w:rPr>
        <w:t xml:space="preserve">)), </w:t>
      </w:r>
      <w:r>
        <w:rPr>
          <w:rFonts w:ascii="Times New Roman;serif" w:hAnsi="Times New Roman;serif"/>
          <w:b w:val="false"/>
          <w:i/>
          <w:color w:val="000000"/>
          <w:sz w:val="22"/>
        </w:rPr>
        <w:t xml:space="preserve">and </w:t>
      </w:r>
    </w:p>
    <w:p>
      <w:pPr>
        <w:pStyle w:val="TextBody"/>
        <w:bidi w:val="0"/>
        <w:spacing w:lineRule="auto" w:line="276" w:before="0" w:after="180"/>
        <w:ind w:left="0" w:right="0" w:firstLine="2160"/>
        <w:jc w:val="left"/>
        <w:rPr/>
      </w:pPr>
      <w:r>
        <w:rPr>
          <w:rFonts w:ascii="Times New Roman;serif" w:hAnsi="Times New Roman;serif"/>
          <w:b/>
          <w:color w:val="000000"/>
          <w:sz w:val="22"/>
        </w:rPr>
        <w:t xml:space="preserve">(ii) </w:t>
      </w:r>
      <w:r>
        <w:rPr>
          <w:rFonts w:ascii="Times New Roman;serif" w:hAnsi="Times New Roman;serif"/>
          <w:b w:val="false"/>
          <w:color w:val="000000"/>
          <w:sz w:val="22"/>
        </w:rPr>
        <w:t xml:space="preserve">either (1) a Tax Liability withholding obligation does not apply, or (2) the Company decides, prior to the Original Issuance Date, (A) not to satisfy the Tax Liability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Tax Liability in cash, </w:t>
      </w:r>
      <w:r>
        <w:rPr>
          <w:rFonts w:ascii="Times New Roman;serif" w:hAnsi="Times New Roman;serif"/>
          <w:b w:val="false"/>
          <w:color w:val="000000"/>
          <w:sz w:val="22"/>
          <w:u w:val="single"/>
        </w:rPr>
        <w:t>then</w:t>
      </w:r>
      <w:r>
        <w:rPr>
          <w:color w:val="000000"/>
        </w:rPr>
        <w:t xml:space="preserve"> </w:t>
      </w:r>
      <w:r>
        <w:rPr>
          <w:rFonts w:ascii="Times New Roman;serif" w:hAnsi="Times New Roman;serif"/>
          <w:b w:val="false"/>
          <w:color w:val="000000"/>
          <w:sz w:val="22"/>
        </w:rPr>
        <w:t xml:space="preserve">the shares that would otherwise be issued to you on the Original Issuance Date will not be delivered on such Original Issuance Date and will instead be delivered on the first business day when you are not prohibited from selling shares of the Common Stock in the open public market, but in no event later than December 31 of the calendar year in which the Original Issuance Date occurs (that is, the last day of your taxable year in which the Original Issuance Date occurs), or, </w:t>
      </w:r>
      <w:r>
        <w:rPr>
          <w:rFonts w:ascii="Times New Roman;serif" w:hAnsi="Times New Roman;serif"/>
          <w:b w:val="false"/>
          <w:color w:val="000000"/>
          <w:sz w:val="22"/>
          <w:u w:val="single"/>
        </w:rPr>
        <w:t>if and only if</w:t>
      </w:r>
      <w:r>
        <w:rPr>
          <w:color w:val="000000"/>
        </w:rPr>
        <w:t xml:space="preserve"> </w:t>
      </w:r>
      <w:r>
        <w:rPr>
          <w:rFonts w:ascii="Times New Roman;serif" w:hAnsi="Times New Roman;serif"/>
          <w:b w:val="false"/>
          <w:color w:val="000000"/>
          <w:sz w:val="22"/>
        </w:rPr>
        <w:t xml:space="preserve">permitted in a manner that complies with U.S.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U.S. Treasury Regulations Section 1.409A-1(d). </w:t>
      </w:r>
    </w:p>
    <w:p>
      <w:pPr>
        <w:pStyle w:val="TextBody"/>
        <w:bidi w:val="0"/>
        <w:spacing w:lineRule="auto" w:line="276" w:before="0" w:after="180"/>
        <w:ind w:left="0" w:right="0" w:firstLine="720"/>
        <w:jc w:val="left"/>
        <w:rPr/>
      </w:pPr>
      <w:r>
        <w:rPr>
          <w:rFonts w:ascii="Times New Roman;serif" w:hAnsi="Times New Roman;serif"/>
          <w:b/>
          <w:color w:val="000000"/>
          <w:sz w:val="22"/>
        </w:rPr>
        <w:t xml:space="preserve">6. TRANSFERABILITY. </w:t>
      </w:r>
      <w:r>
        <w:rPr>
          <w:rFonts w:ascii="Times New Roman;serif" w:hAnsi="Times New Roman;serif"/>
          <w:b w:val="false"/>
          <w:color w:val="000000"/>
          <w:sz w:val="22"/>
        </w:rPr>
        <w:t xml:space="preserve">Except as otherwise provided in the Plan, your RSU Award is not transferable, except by will or by the applicable laws of descent and distribution. </w:t>
      </w:r>
    </w:p>
    <w:p>
      <w:pPr>
        <w:pStyle w:val="TextBody"/>
        <w:bidi w:val="0"/>
        <w:spacing w:lineRule="auto" w:line="276" w:before="0" w:after="180"/>
        <w:ind w:left="0" w:right="0" w:firstLine="720"/>
        <w:jc w:val="left"/>
        <w:rPr/>
      </w:pPr>
      <w:r>
        <w:rPr>
          <w:rFonts w:ascii="Times New Roman;serif" w:hAnsi="Times New Roman;serif"/>
          <w:b/>
          <w:color w:val="000000"/>
          <w:sz w:val="22"/>
        </w:rPr>
        <w:t xml:space="preserve">7. CORPORATE TRANSACTION. </w:t>
      </w:r>
      <w:r>
        <w:rPr>
          <w:rFonts w:ascii="Times New Roman;serif" w:hAnsi="Times New Roman;serif"/>
          <w:b w:val="false"/>
          <w:color w:val="000000"/>
          <w:sz w:val="22"/>
        </w:rPr>
        <w:t xml:space="preserve">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w:t>
      </w:r>
    </w:p>
    <w:p>
      <w:pPr>
        <w:pStyle w:val="TextBody"/>
        <w:bidi w:val="0"/>
        <w:spacing w:lineRule="auto" w:line="276" w:before="0" w:after="180"/>
        <w:ind w:left="0" w:right="0" w:firstLine="720"/>
        <w:jc w:val="left"/>
        <w:rPr/>
      </w:pPr>
      <w:r>
        <w:rPr>
          <w:rFonts w:ascii="Times New Roman;serif" w:hAnsi="Times New Roman;serif"/>
          <w:b/>
          <w:color w:val="000000"/>
          <w:sz w:val="22"/>
        </w:rPr>
        <w:t>8. NO LIABILITY FOR TAXES</w:t>
      </w:r>
      <w:r>
        <w:rPr>
          <w:rFonts w:ascii="Times New Roman;serif" w:hAnsi="Times New Roman;serif"/>
          <w:b w:val="false"/>
          <w:color w:val="000000"/>
          <w:sz w:val="22"/>
        </w:rPr>
        <w:t xml:space="preserve">.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 </w:t>
      </w:r>
    </w:p>
    <w:p>
      <w:pPr>
        <w:pStyle w:val="TextBody"/>
        <w:bidi w:val="0"/>
        <w:spacing w:lineRule="auto" w:line="276" w:before="0" w:after="180"/>
        <w:ind w:left="0" w:right="0" w:firstLine="720"/>
        <w:jc w:val="left"/>
        <w:rPr/>
      </w:pPr>
      <w:r>
        <w:rPr>
          <w:rFonts w:ascii="Times New Roman;serif" w:hAnsi="Times New Roman;serif"/>
          <w:b/>
          <w:color w:val="000000"/>
          <w:sz w:val="22"/>
        </w:rPr>
        <w:t>9. SEVERABILITY</w:t>
      </w:r>
      <w:r>
        <w:rPr>
          <w:rFonts w:ascii="Times New Roman;serif" w:hAnsi="Times New Roman;serif"/>
          <w:b w:val="false"/>
          <w:color w:val="000000"/>
          <w:sz w:val="22"/>
        </w:rPr>
        <w:t xml:space="preserve">.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 </w:t>
      </w:r>
    </w:p>
    <w:p>
      <w:pPr>
        <w:pStyle w:val="TextBody"/>
        <w:bidi w:val="0"/>
        <w:spacing w:lineRule="auto" w:line="276" w:before="0" w:after="180"/>
        <w:ind w:left="0" w:right="0" w:firstLine="720"/>
        <w:jc w:val="left"/>
        <w:rPr/>
      </w:pPr>
      <w:r>
        <w:rPr>
          <w:rFonts w:ascii="Times New Roman;serif" w:hAnsi="Times New Roman;serif"/>
          <w:b/>
          <w:color w:val="000000"/>
          <w:sz w:val="22"/>
        </w:rPr>
        <w:t xml:space="preserve">10. OTHER DOCUMENTS. </w:t>
      </w:r>
      <w:r>
        <w:rPr>
          <w:rFonts w:ascii="Times New Roman;serif" w:hAnsi="Times New Roman;serif"/>
          <w:b w:val="false"/>
          <w:color w:val="000000"/>
          <w:sz w:val="22"/>
        </w:rPr>
        <w:t xml:space="preserve">You hereby acknowledge receipt of or the right to receive a document providing the information required by Rule 428(b)(1) promulgated under the Securities Act, which includes the Prospectus. In addition, you acknowledge receipt of the Company’s Trading Policy.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720"/>
        <w:jc w:val="left"/>
        <w:rPr/>
      </w:pPr>
      <w:r>
        <w:rPr>
          <w:rFonts w:ascii="Times New Roman;serif" w:hAnsi="Times New Roman;serif"/>
          <w:b/>
          <w:color w:val="000000"/>
          <w:sz w:val="22"/>
        </w:rPr>
        <w:t xml:space="preserve">11. QUESTIONS. </w:t>
      </w:r>
      <w:r>
        <w:rPr>
          <w:rFonts w:ascii="Times New Roman;serif" w:hAnsi="Times New Roman;serif"/>
          <w:b w:val="false"/>
          <w:color w:val="000000"/>
          <w:sz w:val="22"/>
        </w:rPr>
        <w:t xml:space="preserve">If you have questions regarding these or any other terms and conditions applicable to your RSU Award, including a summary of the applicable federal income tax consequences please see the Prospectus. </w:t>
      </w:r>
    </w:p>
    <w:p>
      <w:pPr>
        <w:pStyle w:val="TextBody"/>
        <w:bidi w:val="0"/>
        <w:spacing w:lineRule="auto" w:line="276" w:before="0" w:after="180"/>
        <w:ind w:left="0" w:right="0" w:firstLine="720"/>
        <w:jc w:val="left"/>
        <w:rPr/>
      </w:pPr>
      <w:r>
        <w:rPr>
          <w:rFonts w:ascii="Times New Roman;serif" w:hAnsi="Times New Roman;serif"/>
          <w:b/>
          <w:color w:val="000000"/>
          <w:sz w:val="22"/>
        </w:rPr>
        <w:t>12. Clawback/Recovery</w:t>
      </w:r>
      <w:r>
        <w:rPr>
          <w:rFonts w:ascii="Times New Roman;serif" w:hAnsi="Times New Roman;serif"/>
          <w:b w:val="false"/>
          <w:color w:val="000000"/>
          <w:sz w:val="22"/>
        </w:rPr>
        <w:t xml:space="preserve">. The RSU Award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(including via inclusion in an employment, severance or similar agreement with you), to the extent applicable and permissible under Applicable Law. No recovery of compensation under such a clawback policy will be an event giving rise to your right to voluntarily terminate employment upon a “resignation for good reason,” or for a “constructive termination” or any similar term under any plan of or agreement with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center"/>
        <w:rPr/>
      </w:pPr>
      <w:r>
        <w:rPr>
          <w:rFonts w:ascii="Times New Roman;serif" w:hAnsi="Times New Roman;serif"/>
          <w:b/>
          <w:color w:val="000000"/>
          <w:sz w:val="22"/>
        </w:rPr>
        <w:t>EXHIBIT A</w:t>
      </w:r>
      <w:r>
        <w:rPr>
          <w:color w:val="000000"/>
        </w:rPr>
        <w:t xml:space="preserve"> </w:t>
      </w:r>
    </w:p>
    <w:p>
      <w:pPr>
        <w:pStyle w:val="TextBody"/>
        <w:bidi w:val="0"/>
        <w:spacing w:lineRule="auto" w:line="276" w:before="0" w:after="180"/>
        <w:jc w:val="center"/>
        <w:rPr/>
      </w:pPr>
      <w:r>
        <w:rPr>
          <w:rFonts w:ascii="Times New Roman;serif" w:hAnsi="Times New Roman;serif"/>
          <w:b/>
          <w:color w:val="000000"/>
          <w:sz w:val="22"/>
        </w:rPr>
        <w:t>VESTING SCHEDULE</w:t>
      </w:r>
      <w:r>
        <w:rPr>
          <w:color w:val="000000"/>
        </w:rPr>
        <w:t xml:space="preserve"> </w:t>
      </w:r>
    </w:p>
    <w:p>
      <w:pPr>
        <w:pStyle w:val="TextBody"/>
        <w:bidi w:val="0"/>
        <w:spacing w:lineRule="auto" w:line="276"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The number of Restricted Stock Units that vest shall be determined in accordance with the following terms and conditions. Capitalized terms not otherwise defined herein have the meanings set forth in the Grant Notice, the Agreement or the Plan, as applicable. </w:t>
      </w:r>
    </w:p>
    <w:p>
      <w:pPr>
        <w:pStyle w:val="TextBody"/>
        <w:bidi w:val="0"/>
        <w:spacing w:lineRule="auto" w:line="276" w:before="0" w:after="180"/>
        <w:ind w:left="0" w:right="0" w:firstLine="720"/>
        <w:jc w:val="left"/>
        <w:rPr/>
      </w:pPr>
      <w:r>
        <w:rPr>
          <w:rFonts w:ascii="Times New Roman;serif" w:hAnsi="Times New Roman;serif"/>
          <w:b/>
          <w:color w:val="000000"/>
          <w:sz w:val="22"/>
        </w:rPr>
        <w:t>1.</w:t>
      </w:r>
      <w:r>
        <w:rPr>
          <w:rFonts w:ascii="Times New Roman;serif" w:hAnsi="Times New Roman;serif"/>
          <w:b/>
          <w:color w:val="000000"/>
          <w:sz w:val="22"/>
        </w:rPr>
        <w:t xml:space="preserve">Performance Period. </w:t>
      </w:r>
      <w:r>
        <w:rPr>
          <w:rFonts w:ascii="Times New Roman;serif" w:hAnsi="Times New Roman;serif"/>
          <w:b w:val="false"/>
          <w:color w:val="000000"/>
          <w:sz w:val="22"/>
        </w:rPr>
        <w:t>The “</w:t>
      </w:r>
      <w:r>
        <w:rPr>
          <w:rFonts w:ascii="Times New Roman;serif" w:hAnsi="Times New Roman;serif"/>
          <w:b/>
          <w:i/>
          <w:color w:val="000000"/>
          <w:sz w:val="22"/>
        </w:rPr>
        <w:t>Performance Period</w:t>
      </w:r>
      <w:r>
        <w:rPr>
          <w:color w:val="000000"/>
        </w:rPr>
        <w:t xml:space="preserve">” </w:t>
      </w:r>
      <w:r>
        <w:rPr>
          <w:rFonts w:ascii="Times New Roman;serif" w:hAnsi="Times New Roman;serif"/>
          <w:b w:val="false"/>
          <w:color w:val="000000"/>
          <w:sz w:val="22"/>
        </w:rPr>
        <w:t>shall begin on January 1, 2026 and shall end on December 31, 2028 (the “</w:t>
      </w:r>
      <w:r>
        <w:rPr>
          <w:rFonts w:ascii="Times New Roman;serif" w:hAnsi="Times New Roman;serif"/>
          <w:b/>
          <w:i/>
          <w:color w:val="000000"/>
          <w:sz w:val="22"/>
        </w:rPr>
        <w:t>Scheduled Performance Period End Date</w:t>
      </w:r>
      <w:r>
        <w:rPr>
          <w:color w:val="000000"/>
        </w:rPr>
        <w:t>”</w:t>
      </w:r>
      <w:r>
        <w:rPr>
          <w:rFonts w:ascii="Times New Roman;serif" w:hAnsi="Times New Roman;serif"/>
          <w:b w:val="false"/>
          <w:color w:val="000000"/>
          <w:sz w:val="22"/>
        </w:rPr>
        <w:t>). Notwithstanding the foregoing, in the event of a Change in Control prior to the Scheduled Performance Period End Date, the Performance Period shall be shortened and deemed to end immediately prior to the effective time of the Change in Control and the Award shall be treated as set forth in Section 4(a) of this Exhibit A.</w:t>
      </w:r>
      <w:r>
        <w:rPr>
          <w:color w:val="000000"/>
        </w:rPr>
        <w:t xml:space="preserve"> </w:t>
      </w:r>
    </w:p>
    <w:p>
      <w:pPr>
        <w:pStyle w:val="TextBody"/>
        <w:bidi w:val="0"/>
        <w:spacing w:lineRule="auto" w:line="276" w:before="0" w:after="180"/>
        <w:ind w:left="0" w:right="0" w:firstLine="720"/>
        <w:jc w:val="left"/>
        <w:rPr/>
      </w:pPr>
      <w:r>
        <w:rPr>
          <w:rFonts w:ascii="Times New Roman;serif" w:hAnsi="Times New Roman;serif"/>
          <w:b/>
          <w:color w:val="000000"/>
          <w:sz w:val="22"/>
        </w:rPr>
        <w:t>2.</w:t>
      </w:r>
      <w:r>
        <w:rPr>
          <w:rFonts w:ascii="Times New Roman;serif" w:hAnsi="Times New Roman;serif"/>
          <w:b/>
          <w:color w:val="000000"/>
          <w:sz w:val="22"/>
        </w:rPr>
        <w:t>Earning of Restricted Stock Units.</w:t>
      </w:r>
      <w:r>
        <w:rPr>
          <w:color w:val="000000"/>
        </w:rPr>
        <w:t xml:space="preserve"> </w:t>
      </w:r>
      <w:r>
        <w:rPr>
          <w:rFonts w:ascii="Times New Roman;serif" w:hAnsi="Times New Roman;serif"/>
          <w:b w:val="false"/>
          <w:color w:val="000000"/>
          <w:sz w:val="22"/>
        </w:rPr>
        <w:t xml:space="preserve">Restricted Stock Units will be earned and eligible to vest (the “Earned Units”), contingent upon achievement of the performance criteria during the Performance Period as described in Section 2(a) below. </w:t>
      </w:r>
    </w:p>
    <w:p>
      <w:pPr>
        <w:pStyle w:val="TextBody"/>
        <w:bidi w:val="0"/>
        <w:spacing w:lineRule="auto" w:line="276" w:before="0" w:after="180"/>
        <w:ind w:left="0" w:right="0" w:hanging="360"/>
        <w:jc w:val="left"/>
        <w:rPr/>
      </w:pPr>
      <w:r>
        <w:rPr>
          <w:rFonts w:ascii="Times New Roman;serif" w:hAnsi="Times New Roman;serif"/>
          <w:b/>
          <w:color w:val="000000"/>
          <w:sz w:val="22"/>
        </w:rPr>
        <w:t>(a)Performance Criteria.</w:t>
      </w:r>
      <w:r>
        <w:rPr>
          <w:color w:val="000000"/>
        </w:rPr>
        <w:t xml:space="preserve"> </w:t>
      </w:r>
      <w:r>
        <w:rPr>
          <w:rFonts w:ascii="Times New Roman;serif" w:hAnsi="Times New Roman;serif"/>
          <w:b w:val="false"/>
          <w:color w:val="000000"/>
          <w:sz w:val="22"/>
        </w:rPr>
        <w:t xml:space="preserve">For the purposes of this agreement, performance is subject to the achievement of both Policies-in-Force and Gross Accident Period Loss Ratio goals during the Performance period as outlined in the matrices set forth in </w:t>
      </w:r>
      <w:r>
        <w:rPr>
          <w:rFonts w:ascii="Times New Roman;serif" w:hAnsi="Times New Roman;serif"/>
          <w:b/>
          <w:color w:val="000000"/>
          <w:sz w:val="22"/>
        </w:rPr>
        <w:t>Appendix A</w:t>
      </w:r>
      <w:r>
        <w:rPr>
          <w:rFonts w:ascii="Times New Roman;serif" w:hAnsi="Times New Roman;serif"/>
          <w:b w:val="false"/>
          <w:color w:val="000000"/>
          <w:sz w:val="22"/>
        </w:rPr>
        <w:t xml:space="preserve">, as certified by the Compensation Committee. The Compensation Committee retains discretion to adjust the matrices as set forth in the Plan. If performance falls between any of the amounts set forth in the matrices, the number of Earned Units shall be determined by interpolation. Any portion of the target award not earned during the term of the Award based upon the Company’s actual performance as measured against the applicable performance criteria shall expire and be forfeited. </w:t>
      </w:r>
    </w:p>
    <w:p>
      <w:pPr>
        <w:pStyle w:val="TextBody"/>
        <w:bidi w:val="0"/>
        <w:spacing w:lineRule="auto" w:line="276" w:before="0" w:after="180"/>
        <w:ind w:left="0" w:right="0" w:hanging="567"/>
        <w:jc w:val="left"/>
        <w:rPr/>
      </w:pPr>
      <w:r>
        <w:rPr>
          <w:rFonts w:ascii="Times New Roman;serif" w:hAnsi="Times New Roman;serif"/>
          <w:b/>
          <w:color w:val="000000"/>
          <w:sz w:val="22"/>
        </w:rPr>
        <w:t>(i)</w:t>
      </w:r>
      <w:r>
        <w:rPr>
          <w:rFonts w:ascii="Times New Roman;serif" w:hAnsi="Times New Roman;serif"/>
          <w:b w:val="false"/>
          <w:color w:val="000000"/>
          <w:sz w:val="22"/>
        </w:rPr>
        <w:t xml:space="preserve">For the purposes of this Agreement, Policies-in-Force is defined as the number of current and active auto insurance policyholders underwritten by the Company as of the performance period </w:t>
      </w:r>
    </w:p>
    <w:p>
      <w:pPr>
        <w:pStyle w:val="TextBody"/>
        <w:bidi w:val="0"/>
        <w:spacing w:lineRule="auto" w:line="276" w:before="0" w:after="180"/>
        <w:ind w:left="0" w:right="0" w:hanging="628"/>
        <w:jc w:val="left"/>
        <w:rPr/>
      </w:pPr>
      <w:r>
        <w:rPr>
          <w:rFonts w:ascii="Times New Roman;serif" w:hAnsi="Times New Roman;serif"/>
          <w:b/>
          <w:color w:val="000000"/>
          <w:sz w:val="22"/>
        </w:rPr>
        <w:t>(ii)</w:t>
      </w:r>
      <w:r>
        <w:rPr>
          <w:rFonts w:ascii="Times New Roman;serif" w:hAnsi="Times New Roman;serif"/>
          <w:b w:val="false"/>
          <w:color w:val="000000"/>
          <w:sz w:val="22"/>
        </w:rPr>
        <w:t xml:space="preserve">For the purposes of this Agreement, Gross Accident Period Loss Ratio, expressed as a percentage, is defined as all losses and claims expected to arise from insured events that occurred during the applicable period regardless of when they are reported and finally settled divided by gross premiums earned for the same period. </w:t>
      </w:r>
    </w:p>
    <w:p>
      <w:pPr>
        <w:pStyle w:val="TextBody"/>
        <w:bidi w:val="0"/>
        <w:spacing w:lineRule="auto" w:line="276" w:before="0" w:after="180"/>
        <w:ind w:left="0" w:right="0" w:hanging="360"/>
        <w:jc w:val="left"/>
        <w:rPr/>
      </w:pPr>
      <w:r>
        <w:rPr>
          <w:rFonts w:ascii="Times New Roman;serif" w:hAnsi="Times New Roman;serif"/>
          <w:b/>
          <w:color w:val="000000"/>
          <w:sz w:val="22"/>
        </w:rPr>
        <w:t xml:space="preserve">(b)Annual Vesting Opportunity. </w:t>
      </w:r>
      <w:r>
        <w:rPr>
          <w:rFonts w:ascii="Times New Roman;serif" w:hAnsi="Times New Roman;serif"/>
          <w:b w:val="false"/>
          <w:color w:val="000000"/>
          <w:sz w:val="22"/>
        </w:rPr>
        <w:t xml:space="preserve">The Performance Period will consist of three subperiods ending on December 31st of 2026, 2027, and 2028 where a portion of the target award, as set forth in the table below, may be earned. Annual vesting opportunity is subject to the achievement of performance criteria as outlined in the matrices set forth in </w:t>
      </w:r>
      <w:r>
        <w:rPr>
          <w:rFonts w:ascii="Times New Roman;serif" w:hAnsi="Times New Roman;serif"/>
          <w:b/>
          <w:color w:val="000000"/>
          <w:sz w:val="22"/>
        </w:rPr>
        <w:t>Appendix A</w:t>
      </w:r>
      <w:r>
        <w:rPr>
          <w:rFonts w:ascii="Times New Roman;serif" w:hAnsi="Times New Roman;serif"/>
          <w:b w:val="false"/>
          <w:color w:val="000000"/>
          <w:sz w:val="22"/>
        </w:rPr>
        <w:t xml:space="preserve">. If performance is achieved at levels that fall in between the values set forth in the matrices, then linear interpolation shall be used to determine the achievement, except in the cases where performance is achieved at levels that fall in between a 0% payout and a non-0% payout at which point no units will be earned. </w:t>
      </w:r>
    </w:p>
    <w:p>
      <w:pPr>
        <w:pStyle w:val="TextBody"/>
        <w:bidi w:val="0"/>
        <w:spacing w:lineRule="auto" w:line="276"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Earned units, if any, at the end of each subperiod shall vest in the first quarter of the following year on the date that the Compensation Committee certifies performance as set forth in Section 2(a). In the event that performance in subperiods 2 or 3 is achieved at a level lower than the prior subperiod, no shares will be earned in such subperiod, and the earned units in the prior subperiod, if any, will be unchanged.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29" w:type="dxa"/>
        <w:jc w:val="left"/>
        <w:tblInd w:w="0" w:type="dxa"/>
        <w:tblLayout w:type="fixed"/>
        <w:tblCellMar>
          <w:top w:w="28" w:type="dxa"/>
          <w:left w:w="28" w:type="dxa"/>
          <w:bottom w:w="28" w:type="dxa"/>
          <w:right w:w="28" w:type="dxa"/>
        </w:tblCellMar>
      </w:tblPr>
      <w:tblGrid>
        <w:gridCol w:w="391"/>
        <w:gridCol w:w="344"/>
        <w:gridCol w:w="346"/>
        <w:gridCol w:w="579"/>
        <w:gridCol w:w="579"/>
        <w:gridCol w:w="582"/>
        <w:gridCol w:w="652"/>
        <w:gridCol w:w="652"/>
        <w:gridCol w:w="660"/>
        <w:gridCol w:w="1418"/>
        <w:gridCol w:w="1418"/>
        <w:gridCol w:w="200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Subperiod</w:t>
            </w:r>
          </w:p>
        </w:tc>
        <w:tc>
          <w:tcPr>
            <w:tcW w:w="17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Start Date</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End Date</w:t>
            </w:r>
          </w:p>
        </w:tc>
        <w:tc>
          <w:tcPr>
            <w:tcW w:w="48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of Target Award Eligible to be Earned</w:t>
            </w:r>
          </w:p>
        </w:tc>
      </w:tr>
      <w:tr>
        <w:trPr/>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17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January 01, 2026</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2026</w:t>
            </w:r>
          </w:p>
        </w:tc>
        <w:tc>
          <w:tcPr>
            <w:tcW w:w="48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17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January 01, 2026</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2027</w:t>
            </w:r>
          </w:p>
        </w:tc>
        <w:tc>
          <w:tcPr>
            <w:tcW w:w="48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 (minus amount earned in subperiod 1)</w:t>
            </w:r>
          </w:p>
        </w:tc>
      </w:tr>
      <w:tr>
        <w:trPr/>
        <w:tc>
          <w:tcPr>
            <w:tcW w:w="10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17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January 01, 2026</w:t>
            </w:r>
          </w:p>
        </w:tc>
        <w:tc>
          <w:tcPr>
            <w:tcW w:w="19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2028</w:t>
            </w:r>
          </w:p>
        </w:tc>
        <w:tc>
          <w:tcPr>
            <w:tcW w:w="48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 (minus amount earned in subperiods 1 &amp; 2)</w:t>
            </w:r>
          </w:p>
        </w:tc>
      </w:tr>
    </w:tbl>
    <w:p>
      <w:pPr>
        <w:pStyle w:val="TextBody"/>
        <w:bidi w:val="0"/>
        <w:spacing w:lineRule="auto" w:line="276" w:before="0" w:after="180"/>
        <w:ind w:left="0" w:right="0" w:firstLine="720"/>
        <w:jc w:val="left"/>
        <w:rPr/>
      </w:pPr>
      <w:r>
        <w:rPr>
          <w:rFonts w:ascii="Times New Roman;serif" w:hAnsi="Times New Roman;serif"/>
          <w:b/>
          <w:color w:val="000000"/>
          <w:sz w:val="22"/>
        </w:rPr>
        <w:t>3.</w:t>
      </w:r>
      <w:r>
        <w:rPr>
          <w:rFonts w:ascii="Times New Roman;serif" w:hAnsi="Times New Roman;serif"/>
          <w:b/>
          <w:color w:val="000000"/>
          <w:sz w:val="22"/>
        </w:rPr>
        <w:t>Termination of Continuous Service</w:t>
      </w:r>
      <w:r>
        <w:rPr>
          <w:color w:val="000000"/>
        </w:rPr>
        <w:t xml:space="preserve"> </w:t>
      </w:r>
    </w:p>
    <w:p>
      <w:pPr>
        <w:pStyle w:val="TextBody"/>
        <w:bidi w:val="0"/>
        <w:spacing w:lineRule="auto" w:line="276" w:before="0" w:after="180"/>
        <w:ind w:left="0" w:right="0" w:hanging="360"/>
        <w:jc w:val="left"/>
        <w:rPr/>
      </w:pPr>
      <w:r>
        <w:rPr>
          <w:rFonts w:ascii="Times New Roman;serif" w:hAnsi="Times New Roman;serif"/>
          <w:b/>
          <w:color w:val="000000"/>
          <w:sz w:val="22"/>
        </w:rPr>
        <w:t xml:space="preserve">(a)Impact of Change in Control. </w:t>
      </w:r>
      <w:r>
        <w:rPr>
          <w:rFonts w:ascii="Times New Roman;serif" w:hAnsi="Times New Roman;serif"/>
          <w:b w:val="false"/>
          <w:color w:val="000000"/>
          <w:sz w:val="22"/>
        </w:rPr>
        <w:t xml:space="preserve">If, during the Performance Period, a Change in Control occurs, then the Performance Period will be shortened such that the Performance Period will end as of immediately prior to the Change in Control and will vest at the greater of target or, to the extent that any of the Performance Criteria are achieved on a prorated basis based on the number of days in the Performance Period that have elapsed prior to the Change in Control, as certified by the Compensation Committee within five business days prior to the Change in Control, such higher amount and the Earned Units will become immediately vested. </w:t>
      </w:r>
    </w:p>
    <w:p>
      <w:pPr>
        <w:pStyle w:val="TextBody"/>
        <w:bidi w:val="0"/>
        <w:spacing w:lineRule="auto" w:line="276" w:before="0" w:after="180"/>
        <w:ind w:left="0" w:right="0" w:hanging="360"/>
        <w:jc w:val="left"/>
        <w:rPr/>
      </w:pPr>
      <w:r>
        <w:rPr>
          <w:rFonts w:ascii="Times New Roman;serif" w:hAnsi="Times New Roman;serif"/>
          <w:b/>
          <w:color w:val="000000"/>
          <w:sz w:val="22"/>
        </w:rPr>
        <w:t>(b)Termination other than Change in Control.</w:t>
      </w:r>
      <w:r>
        <w:rPr>
          <w:color w:val="000000"/>
        </w:rPr>
        <w:t xml:space="preserve"> </w:t>
      </w:r>
      <w:r>
        <w:rPr>
          <w:rFonts w:ascii="Times New Roman;serif" w:hAnsi="Times New Roman;serif"/>
          <w:b w:val="false"/>
          <w:color w:val="000000"/>
          <w:sz w:val="22"/>
        </w:rPr>
        <w:t xml:space="preserve">If, during the Performance Period, the Participant terminates his or her Continuous Service for reasons other than a Change in Control, the Award shall be canceled and forfeited as of the date of such termination, except as may be set forth in a written employment or severance arrangement between the Participant and the Company. </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right"/>
        <w:rPr/>
      </w:pPr>
      <w:r>
        <w:rPr/>
      </w:r>
    </w:p>
    <w:p>
      <w:pPr>
        <w:pStyle w:val="TextBody"/>
        <w:bidi w:val="0"/>
        <w:spacing w:before="0" w:after="180"/>
        <w:ind w:left="0" w:right="0" w:firstLine="20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 xml:space="preserve">ROOT, INC. </w:t>
      </w:r>
    </w:p>
    <w:p>
      <w:pPr>
        <w:pStyle w:val="TextBody"/>
        <w:bidi w:val="0"/>
        <w:spacing w:lineRule="auto" w:line="268" w:before="0" w:after="0"/>
        <w:ind w:left="0" w:right="0" w:firstLine="1260"/>
        <w:jc w:val="center"/>
        <w:rPr>
          <w:rFonts w:ascii="Times New Roman;serif" w:hAnsi="Times New Roman;serif"/>
          <w:b/>
          <w:color w:val="000000"/>
          <w:sz w:val="22"/>
        </w:rPr>
      </w:pPr>
      <w:r>
        <w:rPr>
          <w:rFonts w:ascii="Times New Roman;serif" w:hAnsi="Times New Roman;serif"/>
          <w:b/>
          <w:color w:val="000000"/>
          <w:sz w:val="22"/>
        </w:rPr>
        <w:t>2026 PERFORMANCE-BASED RSU AWARD GRANT NOTICE</w:t>
      </w:r>
    </w:p>
    <w:p>
      <w:pPr>
        <w:pStyle w:val="TextBody"/>
        <w:bidi w:val="0"/>
        <w:spacing w:lineRule="auto" w:line="268" w:before="0" w:after="0"/>
        <w:ind w:left="0" w:right="0" w:firstLine="1260"/>
        <w:jc w:val="center"/>
        <w:rPr>
          <w:rFonts w:ascii="Times New Roman;serif" w:hAnsi="Times New Roman;serif"/>
          <w:b/>
          <w:color w:val="000000"/>
          <w:sz w:val="22"/>
        </w:rPr>
      </w:pPr>
      <w:r>
        <w:rPr>
          <w:rFonts w:ascii="Times New Roman;serif" w:hAnsi="Times New Roman;serif"/>
          <w:b/>
          <w:color w:val="000000"/>
          <w:sz w:val="22"/>
        </w:rPr>
        <w:t xml:space="preserve">(2020 EQUITY INCENTIVE PLAN) </w:t>
      </w:r>
    </w:p>
    <w:p>
      <w:pPr>
        <w:pStyle w:val="TextBody"/>
        <w:bidi w:val="0"/>
        <w:spacing w:before="0" w:after="0"/>
        <w:ind w:left="0" w:right="0" w:firstLine="1260"/>
        <w:jc w:val="center"/>
        <w:rPr/>
      </w:pPr>
      <w:r>
        <w:rPr/>
      </w:r>
    </w:p>
    <w:p>
      <w:pPr>
        <w:pStyle w:val="TextBody"/>
        <w:bidi w:val="0"/>
        <w:spacing w:lineRule="auto" w:line="228" w:before="0" w:after="180"/>
        <w:jc w:val="both"/>
        <w:rPr/>
      </w:pPr>
      <w:r>
        <w:rPr>
          <w:rFonts w:ascii="Times New Roman;serif" w:hAnsi="Times New Roman;serif"/>
          <w:b w:val="false"/>
          <w:color w:val="000000"/>
          <w:sz w:val="22"/>
        </w:rPr>
        <w:t xml:space="preserve">Root, Inc. (the </w:t>
      </w:r>
      <w:r>
        <w:rPr>
          <w:color w:val="000000"/>
        </w:rPr>
        <w:t>“</w:t>
      </w:r>
      <w:r>
        <w:rPr>
          <w:rFonts w:ascii="Times New Roman;serif" w:hAnsi="Times New Roman;serif"/>
          <w:b/>
          <w:i/>
          <w:color w:val="000000"/>
          <w:sz w:val="22"/>
        </w:rPr>
        <w:t>Company”</w:t>
      </w:r>
      <w:r>
        <w:rPr>
          <w:rFonts w:ascii="Times New Roman;serif" w:hAnsi="Times New Roman;serif"/>
          <w:b w:val="false"/>
          <w:color w:val="000000"/>
          <w:sz w:val="22"/>
        </w:rPr>
        <w:t>) has awarded to you (the “</w:t>
      </w:r>
      <w:r>
        <w:rPr>
          <w:rFonts w:ascii="Times New Roman;serif" w:hAnsi="Times New Roman;serif"/>
          <w:b/>
          <w:i/>
          <w:color w:val="000000"/>
          <w:sz w:val="22"/>
        </w:rPr>
        <w:t>Participant</w:t>
      </w:r>
      <w:r>
        <w:rPr>
          <w:color w:val="000000"/>
        </w:rPr>
        <w:t>”</w:t>
      </w:r>
      <w:r>
        <w:rPr>
          <w:rFonts w:ascii="Times New Roman;serif" w:hAnsi="Times New Roman;serif"/>
          <w:b w:val="false"/>
          <w:color w:val="000000"/>
          <w:sz w:val="22"/>
        </w:rPr>
        <w:t xml:space="preserve">) the number of restricted stock units specified and on the terms set forth below in consideration of your services (the </w:t>
      </w:r>
      <w:r>
        <w:rPr>
          <w:color w:val="000000"/>
        </w:rPr>
        <w:t>“</w:t>
      </w:r>
      <w:r>
        <w:rPr>
          <w:rFonts w:ascii="Times New Roman;serif" w:hAnsi="Times New Roman;serif"/>
          <w:b/>
          <w:i/>
          <w:color w:val="000000"/>
          <w:sz w:val="22"/>
        </w:rPr>
        <w:t>RSU Award”</w:t>
      </w:r>
      <w:r>
        <w:rPr>
          <w:rFonts w:ascii="Times New Roman;serif" w:hAnsi="Times New Roman;serif"/>
          <w:b w:val="false"/>
          <w:color w:val="000000"/>
          <w:sz w:val="22"/>
        </w:rPr>
        <w:t xml:space="preserve">). Your RSU Award is subject to all of the terms and conditions as set forth herein and in the Company’s 2020 Equity Incentive Plan (the </w:t>
      </w:r>
      <w:r>
        <w:rPr>
          <w:color w:val="000000"/>
        </w:rPr>
        <w:t>“</w:t>
      </w:r>
      <w:r>
        <w:rPr>
          <w:rFonts w:ascii="Times New Roman;serif" w:hAnsi="Times New Roman;serif"/>
          <w:b/>
          <w:i/>
          <w:color w:val="000000"/>
          <w:sz w:val="22"/>
        </w:rPr>
        <w:t>Plan”</w:t>
      </w:r>
      <w:r>
        <w:rPr>
          <w:rFonts w:ascii="Times New Roman;serif" w:hAnsi="Times New Roman;serif"/>
          <w:b w:val="false"/>
          <w:color w:val="000000"/>
          <w:sz w:val="22"/>
        </w:rPr>
        <w:t>) and the Award Agreement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which are incorporated herein in their entirety. Capitalized terms not explicitly defined herein but defined in the Plan or the Agreement shall have the meanings set forth in the Plan or the Agreement. </w:t>
      </w:r>
    </w:p>
    <w:p>
      <w:pPr>
        <w:pStyle w:val="TextBody"/>
        <w:bidi w:val="0"/>
        <w:spacing w:lineRule="auto" w:line="268" w:before="0" w:after="180"/>
        <w:jc w:val="left"/>
        <w:rPr>
          <w:rFonts w:ascii="Times New Roman;serif" w:hAnsi="Times New Roman;serif"/>
          <w:b w:val="false"/>
          <w:color w:val="000000"/>
          <w:sz w:val="22"/>
        </w:rPr>
      </w:pPr>
      <w:r>
        <w:rPr>
          <w:rFonts w:ascii="Times New Roman;serif" w:hAnsi="Times New Roman;serif"/>
          <w:b w:val="false"/>
          <w:color w:val="000000"/>
          <w:sz w:val="22"/>
        </w:rPr>
        <w:t>Participant: PARTICIPANT</w:t>
      </w:r>
    </w:p>
    <w:p>
      <w:pPr>
        <w:pStyle w:val="TextBody"/>
        <w:bidi w:val="0"/>
        <w:spacing w:lineRule="auto" w:line="268" w:before="0" w:after="180"/>
        <w:jc w:val="left"/>
        <w:rPr>
          <w:rFonts w:ascii="Times New Roman;serif" w:hAnsi="Times New Roman;serif"/>
          <w:b w:val="false"/>
          <w:color w:val="000000"/>
          <w:sz w:val="22"/>
        </w:rPr>
      </w:pPr>
      <w:r>
        <w:rPr>
          <w:rFonts w:ascii="Times New Roman;serif" w:hAnsi="Times New Roman;serif"/>
          <w:b w:val="false"/>
          <w:color w:val="000000"/>
          <w:sz w:val="22"/>
        </w:rPr>
        <w:t>Date of Grant: GRANT DATE</w:t>
      </w:r>
    </w:p>
    <w:p>
      <w:pPr>
        <w:pStyle w:val="TextBody"/>
        <w:bidi w:val="0"/>
        <w:spacing w:lineRule="auto" w:line="268" w:before="0" w:after="180"/>
        <w:jc w:val="left"/>
        <w:rPr>
          <w:rFonts w:ascii="Times New Roman;serif" w:hAnsi="Times New Roman;serif"/>
          <w:b w:val="false"/>
          <w:color w:val="000000"/>
          <w:sz w:val="22"/>
        </w:rPr>
      </w:pPr>
      <w:r>
        <w:rPr>
          <w:rFonts w:ascii="Times New Roman;serif" w:hAnsi="Times New Roman;serif"/>
          <w:b w:val="false"/>
          <w:color w:val="000000"/>
          <w:sz w:val="22"/>
        </w:rPr>
        <w:t>Target Number of Restricted Stock Units: TARGET SHARES GRANTED</w:t>
      </w:r>
    </w:p>
    <w:p>
      <w:pPr>
        <w:pStyle w:val="TextBody"/>
        <w:bidi w:val="0"/>
        <w:spacing w:lineRule="auto" w:line="230" w:before="0" w:after="180"/>
        <w:jc w:val="left"/>
        <w:rPr/>
      </w:pPr>
      <w:r>
        <w:rPr>
          <w:rFonts w:ascii="Times New Roman;serif" w:hAnsi="Times New Roman;serif"/>
          <w:b/>
          <w:color w:val="000000"/>
          <w:sz w:val="22"/>
        </w:rPr>
        <w:t>Vesting Schedule</w:t>
      </w:r>
      <w:r>
        <w:rPr>
          <w:rFonts w:ascii="Times New Roman;serif" w:hAnsi="Times New Roman;serif"/>
          <w:b w:val="false"/>
          <w:color w:val="000000"/>
          <w:sz w:val="22"/>
        </w:rPr>
        <w:t xml:space="preserve">: The RSU Award shall be earned and vest as set forth on Exhibit A. </w:t>
      </w:r>
    </w:p>
    <w:p>
      <w:pPr>
        <w:pStyle w:val="TextBody"/>
        <w:bidi w:val="0"/>
        <w:spacing w:lineRule="auto" w:line="237" w:before="0" w:after="180"/>
        <w:jc w:val="left"/>
        <w:rPr/>
      </w:pPr>
      <w:r>
        <w:rPr>
          <w:rFonts w:ascii="Times New Roman;serif" w:hAnsi="Times New Roman;serif"/>
          <w:b/>
          <w:color w:val="000000"/>
          <w:sz w:val="22"/>
        </w:rPr>
        <w:t xml:space="preserve">Issuance Schedule: </w:t>
      </w:r>
      <w:r>
        <w:rPr>
          <w:rFonts w:ascii="Times New Roman;serif" w:hAnsi="Times New Roman;serif"/>
          <w:b w:val="false"/>
          <w:color w:val="000000"/>
          <w:sz w:val="22"/>
        </w:rPr>
        <w:t xml:space="preserve">One share of Common Stock will be issued for each restricted stock unit, with the right to earn up to 200% of the target number, which vests at the time set forth in Section 5 of the Agreement. </w:t>
      </w:r>
    </w:p>
    <w:p>
      <w:pPr>
        <w:pStyle w:val="TextBody"/>
        <w:bidi w:val="0"/>
        <w:spacing w:lineRule="auto" w:line="223" w:before="0" w:after="180"/>
        <w:jc w:val="left"/>
        <w:rPr/>
      </w:pPr>
      <w:r>
        <w:rPr>
          <w:rFonts w:ascii="Times New Roman;serif" w:hAnsi="Times New Roman;serif"/>
          <w:b/>
          <w:color w:val="000000"/>
          <w:sz w:val="22"/>
        </w:rPr>
        <w:t xml:space="preserve">Participant Acknowledgements: </w:t>
      </w:r>
      <w:r>
        <w:rPr>
          <w:rFonts w:ascii="Times New Roman;serif" w:hAnsi="Times New Roman;serif"/>
          <w:b w:val="false"/>
          <w:color w:val="000000"/>
          <w:sz w:val="22"/>
        </w:rPr>
        <w:t xml:space="preserve">By your signature below or by electronic acceptance or authentication in a form authorized by the Company, you understand and agree that: </w:t>
      </w:r>
    </w:p>
    <w:p>
      <w:pPr>
        <w:pStyle w:val="TextBody"/>
        <w:bidi w:val="0"/>
        <w:spacing w:lineRule="auto" w:line="223" w:before="0" w:after="180"/>
        <w:ind w:left="0" w:right="0" w:firstLine="720"/>
        <w:jc w:val="both"/>
        <w:rPr/>
      </w:pPr>
      <w:r>
        <w:rPr>
          <w:color w:val="000000"/>
        </w:rPr>
        <w:t xml:space="preserve">● </w:t>
      </w:r>
      <w:r>
        <w:rPr>
          <w:rFonts w:ascii="Times New Roman;serif" w:hAnsi="Times New Roman;serif"/>
          <w:b w:val="false"/>
          <w:color w:val="000000"/>
          <w:sz w:val="22"/>
        </w:rPr>
        <w:t>The RSU Award is governed by this RSU Award Grant Notice (the “</w:t>
      </w:r>
      <w:r>
        <w:rPr>
          <w:rFonts w:ascii="Times New Roman;serif" w:hAnsi="Times New Roman;serif"/>
          <w:b/>
          <w:i/>
          <w:color w:val="000000"/>
          <w:sz w:val="22"/>
        </w:rPr>
        <w:t>Grant Notice</w:t>
      </w:r>
      <w:r>
        <w:rPr>
          <w:color w:val="000000"/>
        </w:rPr>
        <w:t>”</w:t>
      </w:r>
      <w:r>
        <w:rPr>
          <w:rFonts w:ascii="Times New Roman;serif" w:hAnsi="Times New Roman;serif"/>
          <w:b w:val="false"/>
          <w:color w:val="000000"/>
          <w:sz w:val="22"/>
        </w:rPr>
        <w:t>), and the provisions of the Plan and the Agreement, all of which are made a part of this document. Unless otherwise provided in the Plan, this Grant Notice and the Agreement (together, the “</w:t>
      </w:r>
      <w:r>
        <w:rPr>
          <w:rFonts w:ascii="Times New Roman;serif" w:hAnsi="Times New Roman;serif"/>
          <w:b/>
          <w:i/>
          <w:color w:val="000000"/>
          <w:sz w:val="22"/>
        </w:rPr>
        <w:t>RSU Award Agreement</w:t>
      </w:r>
      <w:r>
        <w:rPr>
          <w:color w:val="000000"/>
        </w:rPr>
        <w:t>”</w:t>
      </w:r>
      <w:r>
        <w:rPr>
          <w:rFonts w:ascii="Times New Roman;serif" w:hAnsi="Times New Roman;serif"/>
          <w:b w:val="false"/>
          <w:color w:val="000000"/>
          <w:sz w:val="22"/>
        </w:rPr>
        <w:t xml:space="preserve">) may not be modified, amended or revised except in a writing signed by you and a duly authorized officer of the Company. </w:t>
      </w:r>
    </w:p>
    <w:p>
      <w:pPr>
        <w:pStyle w:val="TextBody"/>
        <w:bidi w:val="0"/>
        <w:spacing w:lineRule="auto" w:line="216" w:before="0" w:after="180"/>
        <w:ind w:left="0" w:right="0" w:firstLine="720"/>
        <w:jc w:val="both"/>
        <w:rPr>
          <w:color w:val="000000"/>
        </w:rPr>
      </w:pPr>
      <w:r>
        <w:rPr>
          <w:color w:val="000000"/>
        </w:rPr>
        <w:t xml:space="preserve">● </w:t>
      </w:r>
      <w:r>
        <w:rPr>
          <w:rFonts w:ascii="Times New Roman;serif" w:hAnsi="Times New Roman;serif"/>
          <w:b w:val="false"/>
          <w:color w:val="000000"/>
          <w:sz w:val="22"/>
        </w:rPr>
        <w:t xml:space="preserve">You have read and are familiar with the provisions of the Plan, the RSU Award Agreement and the Prospectus. In the event of any conflict between the provisions in the RSU Award Agreement, or the Prospectus and the terms of the Plan, the terms of the Plan shall control. </w:t>
      </w:r>
    </w:p>
    <w:p>
      <w:pPr>
        <w:pStyle w:val="TextBody"/>
        <w:bidi w:val="0"/>
        <w:spacing w:lineRule="auto" w:line="223" w:before="0" w:after="180"/>
        <w:ind w:left="0" w:right="0" w:firstLine="720"/>
        <w:jc w:val="both"/>
        <w:rPr>
          <w:color w:val="000000"/>
        </w:rPr>
      </w:pPr>
      <w:r>
        <w:rPr>
          <w:color w:val="000000"/>
        </w:rPr>
        <w:t xml:space="preserve">● </w:t>
      </w:r>
      <w:r>
        <w:rPr>
          <w:rFonts w:ascii="Times New Roman;serif" w:hAnsi="Times New Roman;serif"/>
          <w:b w:val="false"/>
          <w:color w:val="000000"/>
          <w:sz w:val="22"/>
        </w:rPr>
        <w:t xml:space="preserve">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 </w:t>
      </w:r>
    </w:p>
    <w:p>
      <w:pPr>
        <w:pStyle w:val="TextBody"/>
        <w:bidi w:val="0"/>
        <w:spacing w:lineRule="auto" w:line="268" w:before="0" w:after="180"/>
        <w:jc w:val="left"/>
        <w:rPr>
          <w:rFonts w:ascii="Times New Roman;serif" w:hAnsi="Times New Roman;serif"/>
          <w:b/>
          <w:color w:val="000000"/>
          <w:sz w:val="22"/>
        </w:rPr>
      </w:pPr>
      <w:r>
        <w:rPr>
          <w:rFonts w:ascii="Times New Roman;serif" w:hAnsi="Times New Roman;serif"/>
          <w:b/>
          <w:color w:val="000000"/>
          <w:sz w:val="22"/>
        </w:rPr>
        <w:t xml:space="preserve">ROOT, INC. PARTICIPANT: </w:t>
      </w:r>
    </w:p>
    <w:p>
      <w:pPr>
        <w:pStyle w:val="TextBody"/>
        <w:bidi w:val="0"/>
        <w:spacing w:lineRule="auto" w:line="268"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p>
      <w:pPr>
        <w:pStyle w:val="TextBody"/>
        <w:bidi w:val="0"/>
        <w:spacing w:lineRule="auto" w:line="268"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Signature Signature </w:t>
      </w:r>
    </w:p>
    <w:p>
      <w:pPr>
        <w:pStyle w:val="TextBody"/>
        <w:bidi w:val="0"/>
        <w:spacing w:lineRule="auto" w:line="268"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Title: Date: </w:t>
      </w:r>
    </w:p>
    <w:p>
      <w:pPr>
        <w:pStyle w:val="TextBody"/>
        <w:bidi w:val="0"/>
        <w:spacing w:lineRule="auto" w:line="268" w:before="0" w:after="180"/>
        <w:jc w:val="left"/>
        <w:rPr>
          <w:rFonts w:ascii="Times New Roman;serif" w:hAnsi="Times New Roman;serif"/>
          <w:b w:val="false"/>
          <w:color w:val="000000"/>
          <w:sz w:val="22"/>
        </w:rPr>
      </w:pPr>
      <w:r>
        <w:rPr>
          <w:rFonts w:ascii="Times New Roman;serif" w:hAnsi="Times New Roman;serif"/>
          <w:b w:val="false"/>
          <w:color w:val="000000"/>
          <w:sz w:val="22"/>
        </w:rPr>
        <w:t>Date: GRANT DATE</w:t>
      </w:r>
    </w:p>
    <w:p>
      <w:pPr>
        <w:pStyle w:val="TextBody"/>
        <w:bidi w:val="0"/>
        <w:spacing w:lineRule="auto" w:line="276" w:before="0" w:after="180"/>
        <w:jc w:val="left"/>
        <w:rPr/>
      </w:pPr>
      <w:r>
        <w:rPr>
          <w:rFonts w:ascii="Times New Roman;serif" w:hAnsi="Times New Roman;serif"/>
          <w:b/>
          <w:color w:val="000000"/>
          <w:sz w:val="22"/>
        </w:rPr>
        <w:t>Attachments</w:t>
      </w:r>
      <w:r>
        <w:rPr>
          <w:rFonts w:ascii="Times New Roman;serif" w:hAnsi="Times New Roman;serif"/>
          <w:b w:val="false"/>
          <w:color w:val="000000"/>
          <w:sz w:val="22"/>
        </w:rPr>
        <w:t xml:space="preserve">: Award Agreement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 xml:space="preserve">ROOT, INC. </w:t>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 xml:space="preserve">2020 EQUITY INCENTIVE PLAN </w:t>
      </w:r>
    </w:p>
    <w:p>
      <w:pPr>
        <w:pStyle w:val="TextBody"/>
        <w:bidi w:val="0"/>
        <w:spacing w:lineRule="auto" w:line="276" w:before="0" w:after="180"/>
        <w:jc w:val="center"/>
        <w:rPr/>
      </w:pPr>
      <w:r>
        <w:rPr>
          <w:rFonts w:ascii="Times New Roman;serif" w:hAnsi="Times New Roman;serif"/>
          <w:b/>
          <w:color w:val="000000"/>
          <w:sz w:val="22"/>
        </w:rPr>
        <w:t>AWARD AGREEMENT (Performance-Based RSU AWARD)</w:t>
      </w:r>
      <w:r>
        <w:rPr>
          <w:color w:val="000000"/>
        </w:rPr>
        <w:t xml:space="preserve"> </w:t>
      </w:r>
    </w:p>
    <w:p>
      <w:pPr>
        <w:pStyle w:val="TextBody"/>
        <w:bidi w:val="0"/>
        <w:spacing w:lineRule="auto" w:line="276" w:before="0" w:after="180"/>
        <w:jc w:val="left"/>
        <w:rPr/>
      </w:pPr>
      <w:r>
        <w:rPr>
          <w:rFonts w:ascii="Times New Roman;serif" w:hAnsi="Times New Roman;serif"/>
          <w:b w:val="false"/>
          <w:color w:val="000000"/>
          <w:sz w:val="22"/>
        </w:rPr>
        <w:t>As reflected by your Restricted Stock Unit Grant Notice (“</w:t>
      </w:r>
      <w:r>
        <w:rPr>
          <w:rFonts w:ascii="Times New Roman;serif" w:hAnsi="Times New Roman;serif"/>
          <w:b/>
          <w:i/>
          <w:color w:val="000000"/>
          <w:sz w:val="22"/>
        </w:rPr>
        <w:t>Grant Notice</w:t>
      </w:r>
      <w:r>
        <w:rPr>
          <w:color w:val="000000"/>
        </w:rPr>
        <w:t>”</w:t>
      </w:r>
      <w:r>
        <w:rPr>
          <w:rFonts w:ascii="Times New Roman;serif" w:hAnsi="Times New Roman;serif"/>
          <w:b w:val="false"/>
          <w:color w:val="000000"/>
          <w:sz w:val="22"/>
        </w:rPr>
        <w:t>), Root,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has granted you a RSU Award under its 2020 Equity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for the number of performance-based restricted stock units as indicated in your Grant Notice (the “</w:t>
      </w:r>
      <w:r>
        <w:rPr>
          <w:rFonts w:ascii="Times New Roman;serif" w:hAnsi="Times New Roman;serif"/>
          <w:b/>
          <w:i/>
          <w:color w:val="000000"/>
          <w:sz w:val="22"/>
        </w:rPr>
        <w:t>RSU Award</w:t>
      </w:r>
      <w:r>
        <w:rPr>
          <w:color w:val="000000"/>
        </w:rPr>
        <w:t>”</w:t>
      </w:r>
      <w:r>
        <w:rPr>
          <w:rFonts w:ascii="Times New Roman;serif" w:hAnsi="Times New Roman;serif"/>
          <w:b w:val="false"/>
          <w:color w:val="000000"/>
          <w:sz w:val="22"/>
        </w:rPr>
        <w:t>). The terms of your RSU Award as specified in this Award Agreement for your RSU Award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and the Grant Notice constitute your “</w:t>
      </w:r>
      <w:r>
        <w:rPr>
          <w:rFonts w:ascii="Times New Roman;serif" w:hAnsi="Times New Roman;serif"/>
          <w:b/>
          <w:i/>
          <w:color w:val="000000"/>
          <w:sz w:val="22"/>
        </w:rPr>
        <w:t>RSU Award Agreement</w:t>
      </w:r>
      <w:r>
        <w:rPr>
          <w:color w:val="000000"/>
        </w:rPr>
        <w:t>”</w:t>
      </w:r>
      <w:r>
        <w:rPr>
          <w:rFonts w:ascii="Times New Roman;serif" w:hAnsi="Times New Roman;serif"/>
          <w:b w:val="false"/>
          <w:color w:val="000000"/>
          <w:sz w:val="22"/>
        </w:rPr>
        <w:t xml:space="preserve">. Defined terms not explicitly defined in this Agreement but defined in the Grant Notice or the Plan shall have the same definitions as in the Grant Notice or Plan, as applicable. </w:t>
      </w:r>
    </w:p>
    <w:p>
      <w:pPr>
        <w:pStyle w:val="TextBody"/>
        <w:bidi w:val="0"/>
        <w:spacing w:lineRule="auto" w:line="276"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The general terms applicable to your RSU Award are as follows: </w:t>
      </w:r>
    </w:p>
    <w:p>
      <w:pPr>
        <w:pStyle w:val="TextBody"/>
        <w:bidi w:val="0"/>
        <w:spacing w:lineRule="auto" w:line="276" w:before="0" w:after="180"/>
        <w:ind w:left="0" w:right="0" w:firstLine="720"/>
        <w:jc w:val="left"/>
        <w:rPr/>
      </w:pPr>
      <w:r>
        <w:rPr>
          <w:rFonts w:ascii="Times New Roman;serif" w:hAnsi="Times New Roman;serif"/>
          <w:b/>
          <w:color w:val="000000"/>
          <w:sz w:val="22"/>
        </w:rPr>
        <w:t xml:space="preserve">1. GOVERNING PLAN DOCUMENT. </w:t>
      </w:r>
      <w:r>
        <w:rPr>
          <w:rFonts w:ascii="Times New Roman;serif" w:hAnsi="Times New Roman;serif"/>
          <w:b w:val="false"/>
          <w:color w:val="000000"/>
          <w:sz w:val="22"/>
        </w:rPr>
        <w:t xml:space="preserve">Your RSU Award is subject to all the provisions of the Plan. 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w:t>
      </w:r>
    </w:p>
    <w:p>
      <w:pPr>
        <w:pStyle w:val="TextBody"/>
        <w:bidi w:val="0"/>
        <w:spacing w:lineRule="auto" w:line="276" w:before="0" w:after="180"/>
        <w:ind w:left="0" w:right="0" w:firstLine="720"/>
        <w:jc w:val="left"/>
        <w:rPr/>
      </w:pPr>
      <w:r>
        <w:rPr>
          <w:rFonts w:ascii="Times New Roman;serif" w:hAnsi="Times New Roman;serif"/>
          <w:b/>
          <w:color w:val="000000"/>
          <w:sz w:val="22"/>
        </w:rPr>
        <w:t xml:space="preserve">2. GRANT OF THE RSU AWARD. </w:t>
      </w:r>
      <w:r>
        <w:rPr>
          <w:rFonts w:ascii="Times New Roman;serif" w:hAnsi="Times New Roman;serif"/>
          <w:b w:val="false"/>
          <w:color w:val="000000"/>
          <w:sz w:val="22"/>
        </w:rPr>
        <w:t>This RSU Award represents your right to be issued on a future date the number of shares of the Company’s Common Stock that is equal to the number of restricted stock units indicated in the Grant Notice subject to your satisfaction of the vesting conditions set forth therein (the “</w:t>
      </w:r>
      <w:r>
        <w:rPr>
          <w:rFonts w:ascii="Times New Roman;serif" w:hAnsi="Times New Roman;serif"/>
          <w:b/>
          <w:i/>
          <w:color w:val="000000"/>
          <w:sz w:val="22"/>
        </w:rPr>
        <w:t>Restricted Stock Units</w:t>
      </w:r>
      <w:r>
        <w:rPr>
          <w:color w:val="000000"/>
        </w:rPr>
        <w:t>”</w:t>
      </w:r>
      <w:r>
        <w:rPr>
          <w:rFonts w:ascii="Times New Roman;serif" w:hAnsi="Times New Roman;serif"/>
          <w:b w:val="false"/>
          <w:color w:val="000000"/>
          <w:sz w:val="22"/>
        </w:rPr>
        <w:t xml:space="preserve">).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 </w:t>
      </w:r>
    </w:p>
    <w:p>
      <w:pPr>
        <w:pStyle w:val="TextBody"/>
        <w:bidi w:val="0"/>
        <w:spacing w:lineRule="auto" w:line="276" w:before="0" w:after="180"/>
        <w:ind w:left="0" w:right="0" w:firstLine="720"/>
        <w:jc w:val="left"/>
        <w:rPr/>
      </w:pPr>
      <w:r>
        <w:rPr>
          <w:rFonts w:ascii="Times New Roman;serif" w:hAnsi="Times New Roman;serif"/>
          <w:b/>
          <w:color w:val="000000"/>
          <w:sz w:val="22"/>
        </w:rPr>
        <w:t xml:space="preserve">3. DIVIDENDS. </w:t>
      </w:r>
      <w:r>
        <w:rPr>
          <w:rFonts w:ascii="Times New Roman;serif" w:hAnsi="Times New Roman;serif"/>
          <w:b w:val="false"/>
          <w:color w:val="000000"/>
          <w:sz w:val="22"/>
        </w:rPr>
        <w:t xml:space="preserve">You shall receive no benefit or adjustment to your RSU Award with respect to any cash dividend, 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 </w:t>
      </w:r>
    </w:p>
    <w:p>
      <w:pPr>
        <w:pStyle w:val="TextBody"/>
        <w:bidi w:val="0"/>
        <w:spacing w:lineRule="auto" w:line="276" w:before="0" w:after="18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4. WITHHOLDING OBLIGATIONS. </w:t>
      </w:r>
    </w:p>
    <w:p>
      <w:pPr>
        <w:pStyle w:val="TextBody"/>
        <w:bidi w:val="0"/>
        <w:spacing w:lineRule="auto" w:line="276" w:before="0" w:after="180"/>
        <w:ind w:left="0" w:right="0" w:firstLine="1440"/>
        <w:jc w:val="left"/>
        <w:rPr/>
      </w:pPr>
      <w:r>
        <w:rPr>
          <w:rFonts w:ascii="Times New Roman;serif" w:hAnsi="Times New Roman;serif"/>
          <w:b/>
          <w:color w:val="000000"/>
          <w:sz w:val="22"/>
        </w:rPr>
        <w:t xml:space="preserve">(a) </w:t>
      </w:r>
      <w:r>
        <w:rPr>
          <w:rFonts w:ascii="Times New Roman;serif" w:hAnsi="Times New Roman;serif"/>
          <w:b w:val="false"/>
          <w:color w:val="000000"/>
          <w:sz w:val="22"/>
        </w:rPr>
        <w:t>Regardless of any action taken by the Company or, if different, the Affiliate to which you provide Continuous Service (the “</w:t>
      </w:r>
      <w:r>
        <w:rPr>
          <w:rFonts w:ascii="Times New Roman;serif" w:hAnsi="Times New Roman;serif"/>
          <w:b/>
          <w:i/>
          <w:color w:val="000000"/>
          <w:sz w:val="22"/>
        </w:rPr>
        <w:t>Service Recipient</w:t>
      </w:r>
      <w:r>
        <w:rPr>
          <w:color w:val="000000"/>
        </w:rPr>
        <w:t>”</w:t>
      </w:r>
      <w:r>
        <w:rPr>
          <w:rFonts w:ascii="Times New Roman;serif" w:hAnsi="Times New Roman;serif"/>
          <w:b w:val="false"/>
          <w:color w:val="000000"/>
          <w:sz w:val="22"/>
        </w:rPr>
        <w:t>) with respect to any income tax, social insurance, payroll tax, fringe benefits tax, payment on account or other tax related items associated with the grant or vesting of the RSU Award or sale of the underlying Common Stock or other tax-related items related to your participation in the Plan and legally applicable to you (the “</w:t>
      </w:r>
      <w:r>
        <w:rPr>
          <w:rFonts w:ascii="Times New Roman;serif" w:hAnsi="Times New Roman;serif"/>
          <w:b/>
          <w:i/>
          <w:color w:val="000000"/>
          <w:sz w:val="22"/>
        </w:rPr>
        <w:t>Tax Liability</w:t>
      </w:r>
      <w:r>
        <w:rPr>
          <w:color w:val="000000"/>
        </w:rPr>
        <w:t>”</w:t>
      </w:r>
      <w:r>
        <w:rPr>
          <w:rFonts w:ascii="Times New Roman;serif" w:hAnsi="Times New Roman;serif"/>
          <w:b w:val="false"/>
          <w:color w:val="000000"/>
          <w:sz w:val="22"/>
        </w:rPr>
        <w:t xml:space="preserve">),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RSU Award, including, but not limited to, the grant or vesting of the RSU Award, the issuance of Common Stock pursuant to such vesting, the subsequent sale of shares of Common Stock, and the payment of any dividends on the Common Stock; and (ii) do not commit to and are under no obligation to structure the terms of the grant or any aspect of the RSU Award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1440"/>
        <w:jc w:val="left"/>
        <w:rPr/>
      </w:pPr>
      <w:r>
        <w:rPr>
          <w:rFonts w:ascii="Times New Roman;serif" w:hAnsi="Times New Roman;serif"/>
          <w:b/>
          <w:color w:val="000000"/>
          <w:sz w:val="22"/>
        </w:rPr>
        <w:t xml:space="preserve">(b) </w:t>
      </w:r>
      <w:r>
        <w:rPr>
          <w:rFonts w:ascii="Times New Roman;serif" w:hAnsi="Times New Roman;serif"/>
          <w:b w:val="false"/>
          <w:color w:val="000000"/>
          <w:sz w:val="22"/>
        </w:rPr>
        <w:t xml:space="preserve">Prior to any relevant taxable or tax withholding event, as applicable, you agree to make adequate arrangements satisfactory to the Company and/or the Service Recipient to satisfy all Tax Liability. As further provided in Section 8 of the Plan, you hereby authorize the Company and any applicable Service Recipient to satisfy any applicable withholding obligations with regard to the Tax Liability by any of the following means or by a combination of such means: (i) causing you to pay any portion of the Tax Liability in cash or cash equivalent in a form acceptable to the Company; (ii) withholding from any compensation otherwise payable to you by the Company or the Service Recipient; (iii) withholding shares of Common Stock from the shares of Common Stock issued or otherwise issuable to you in connection with the Award; </w:t>
      </w:r>
      <w:r>
        <w:rPr>
          <w:rFonts w:ascii="Times New Roman;serif" w:hAnsi="Times New Roman;serif"/>
          <w:b w:val="false"/>
          <w:i/>
          <w:color w:val="000000"/>
          <w:sz w:val="22"/>
        </w:rPr>
        <w:t>provided</w:t>
      </w:r>
      <w:r>
        <w:rPr>
          <w:rFonts w:ascii="Times New Roman;serif" w:hAnsi="Times New Roman;serif"/>
          <w:b w:val="false"/>
          <w:color w:val="000000"/>
          <w:sz w:val="22"/>
        </w:rPr>
        <w:t>, however, that to the extent necessary to qualify for an exemption from application of Section 16(b) of the Exchange Act, if applicable, such share withholding procedure will be subject to the express prior approval of the Board or the Company’s Compensation Committee; (iv) permitting or requiring you to enter into a “same day sale” commitment, if applicable, with a broker-dealer that is a member of the Financial Industry Regulatory Authority (a “</w:t>
      </w:r>
      <w:r>
        <w:rPr>
          <w:rFonts w:ascii="Times New Roman;serif" w:hAnsi="Times New Roman;serif"/>
          <w:b/>
          <w:i/>
          <w:color w:val="000000"/>
          <w:sz w:val="22"/>
        </w:rPr>
        <w:t>FINRA Dealer</w:t>
      </w:r>
      <w:r>
        <w:rPr>
          <w:color w:val="000000"/>
        </w:rPr>
        <w:t>”</w:t>
      </w:r>
      <w:r>
        <w:rPr>
          <w:rFonts w:ascii="Times New Roman;serif" w:hAnsi="Times New Roman;serif"/>
          <w:b w:val="false"/>
          <w:color w:val="000000"/>
          <w:sz w:val="22"/>
        </w:rPr>
        <w:t xml:space="preserve">), pursuant to this authorization and without further consent, whereby you irrevocably elect to sell a portion of the shares of Common Stock to be delivered in connection with your Restricted Stock Units to satisfy the Tax Liability and whereby the FINRA Dealer irrevocably commits to forward the proceeds necessary to satisfy the Tax Liability directly to the Company or the Service Recipient;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and/or the Service Recipient (as applicable), you agree to indemnify and hold the Company and/or the Service Recipient (as applicable) harmless from any failure by the Company or the applicable Service Recipient to withhold the proper amount. </w:t>
      </w:r>
    </w:p>
    <w:p>
      <w:pPr>
        <w:pStyle w:val="TextBody"/>
        <w:bidi w:val="0"/>
        <w:spacing w:lineRule="auto" w:line="276" w:before="0" w:after="180"/>
        <w:ind w:left="0" w:right="0" w:firstLine="1440"/>
        <w:jc w:val="left"/>
        <w:rPr/>
      </w:pPr>
      <w:r>
        <w:rPr>
          <w:rFonts w:ascii="Times New Roman;serif" w:hAnsi="Times New Roman;serif"/>
          <w:b/>
          <w:color w:val="000000"/>
          <w:sz w:val="22"/>
        </w:rPr>
        <w:t xml:space="preserve">(c) </w:t>
      </w:r>
      <w:r>
        <w:rPr>
          <w:rFonts w:ascii="Times New Roman;serif" w:hAnsi="Times New Roman;serif"/>
          <w:b w:val="false"/>
          <w:color w:val="000000"/>
          <w:sz w:val="22"/>
        </w:rPr>
        <w:t xml:space="preserve">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 Common Stock or (ii) minimum or such other applicable rates in your jurisdiction(s), in which case you may be solely 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vested portion of the RSU Award, notwithstanding that a number of the shares of Common Stock is held back solely for the purpose of paying such Tax Liability. </w:t>
      </w:r>
    </w:p>
    <w:p>
      <w:pPr>
        <w:pStyle w:val="TextBody"/>
        <w:bidi w:val="0"/>
        <w:spacing w:lineRule="auto" w:line="276" w:before="0" w:after="180"/>
        <w:ind w:left="0" w:right="0" w:firstLine="1440"/>
        <w:jc w:val="left"/>
        <w:rPr/>
      </w:pPr>
      <w:r>
        <w:rPr>
          <w:rFonts w:ascii="Times New Roman;serif" w:hAnsi="Times New Roman;serif"/>
          <w:b/>
          <w:color w:val="000000"/>
          <w:sz w:val="22"/>
        </w:rPr>
        <w:t xml:space="preserve">(d) </w:t>
      </w:r>
      <w:r>
        <w:rPr>
          <w:rFonts w:ascii="Times New Roman;serif" w:hAnsi="Times New Roman;serif"/>
          <w:b w:val="false"/>
          <w:color w:val="000000"/>
          <w:sz w:val="22"/>
        </w:rPr>
        <w:t xml:space="preserve">You acknowledge that you may not participate in the Plan and the Company shall have no obligation to deliver shares of Common Stock until you have fully satisfied the Tax Liability, as determined by the Company. Unless any withholding obligation for the Tax Liability is satisfied, the Company shall have no obligation to deliver to you any Common Stock in respect of the RSU Award. </w:t>
      </w:r>
    </w:p>
    <w:p>
      <w:pPr>
        <w:pStyle w:val="TextBody"/>
        <w:bidi w:val="0"/>
        <w:spacing w:lineRule="auto" w:line="276" w:before="0" w:after="18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5. DATE OF ISSUANCE. </w:t>
      </w:r>
    </w:p>
    <w:p>
      <w:pPr>
        <w:pStyle w:val="TextBody"/>
        <w:bidi w:val="0"/>
        <w:spacing w:lineRule="auto" w:line="276" w:before="0" w:after="180"/>
        <w:ind w:left="0" w:right="0" w:firstLine="1440"/>
        <w:jc w:val="left"/>
        <w:rPr/>
      </w:pPr>
      <w:r>
        <w:rPr>
          <w:rFonts w:ascii="Times New Roman;serif" w:hAnsi="Times New Roman;serif"/>
          <w:b/>
          <w:color w:val="000000"/>
          <w:sz w:val="22"/>
        </w:rPr>
        <w:t xml:space="preserve">(a) </w:t>
      </w:r>
      <w:r>
        <w:rPr>
          <w:rFonts w:ascii="Times New Roman;serif" w:hAnsi="Times New Roman;serif"/>
          <w:b w:val="false"/>
          <w:color w:val="000000"/>
          <w:sz w:val="22"/>
        </w:rPr>
        <w:t>The issuance of shares in respect of the Restricted Stock Units is intended to comply with U.S. Treasury Regulations Section 1.409A-3(a) and will be construed and administered in such a manner. Subject to the satisfaction of the Tax Liability withholding obligation, if any, in the event one or more Restricted Stock Units vests, the Company shall issue to you one (1) share of Common Stock for each vested Restricted Stock Unit. Each issuance date determined by this paragraph is referred to as an “</w:t>
      </w:r>
      <w:r>
        <w:rPr>
          <w:rFonts w:ascii="Times New Roman;serif" w:hAnsi="Times New Roman;serif"/>
          <w:b/>
          <w:i/>
          <w:color w:val="000000"/>
          <w:sz w:val="22"/>
        </w:rPr>
        <w:t>Original Issuance Date</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1440"/>
        <w:jc w:val="left"/>
        <w:rPr/>
      </w:pPr>
      <w:r>
        <w:rPr>
          <w:rFonts w:ascii="Times New Roman;serif" w:hAnsi="Times New Roman;serif"/>
          <w:b/>
          <w:color w:val="000000"/>
          <w:sz w:val="22"/>
        </w:rPr>
        <w:t xml:space="preserve">(b) </w:t>
      </w:r>
      <w:r>
        <w:rPr>
          <w:rFonts w:ascii="Times New Roman;serif" w:hAnsi="Times New Roman;serif"/>
          <w:b w:val="false"/>
          <w:color w:val="000000"/>
          <w:sz w:val="22"/>
        </w:rPr>
        <w:t xml:space="preserve">If the Original Issuance Date falls on a date that is not a business day, delivery shall instead occur on the next following business day. In addition, if: </w:t>
      </w:r>
    </w:p>
    <w:p>
      <w:pPr>
        <w:pStyle w:val="TextBody"/>
        <w:bidi w:val="0"/>
        <w:spacing w:lineRule="auto" w:line="276" w:before="0" w:after="180"/>
        <w:ind w:left="0" w:right="0" w:firstLine="2160"/>
        <w:jc w:val="left"/>
        <w:rPr/>
      </w:pPr>
      <w:r>
        <w:rPr>
          <w:rFonts w:ascii="Times New Roman;serif" w:hAnsi="Times New Roman;serif"/>
          <w:b/>
          <w:color w:val="000000"/>
          <w:sz w:val="22"/>
        </w:rPr>
        <w:t xml:space="preserve">(i) </w:t>
      </w:r>
      <w:r>
        <w:rPr>
          <w:rFonts w:ascii="Times New Roman;serif" w:hAnsi="Times New Roman;serif"/>
          <w:b w:val="false"/>
          <w:color w:val="000000"/>
          <w:sz w:val="22"/>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serif" w:hAnsi="Times New Roman;serif"/>
          <w:b/>
          <w:i/>
          <w:color w:val="000000"/>
          <w:sz w:val="22"/>
        </w:rPr>
        <w:t>10b5-1 Arrangement</w:t>
      </w:r>
      <w:r>
        <w:rPr>
          <w:rFonts w:ascii="Times New Roman;serif" w:hAnsi="Times New Roman;serif"/>
          <w:b w:val="false"/>
          <w:color w:val="000000"/>
          <w:sz w:val="22"/>
        </w:rPr>
        <w:t xml:space="preserve">)), </w:t>
      </w:r>
      <w:r>
        <w:rPr>
          <w:rFonts w:ascii="Times New Roman;serif" w:hAnsi="Times New Roman;serif"/>
          <w:b w:val="false"/>
          <w:i/>
          <w:color w:val="000000"/>
          <w:sz w:val="22"/>
        </w:rPr>
        <w:t xml:space="preserve">and </w:t>
      </w:r>
    </w:p>
    <w:p>
      <w:pPr>
        <w:pStyle w:val="TextBody"/>
        <w:bidi w:val="0"/>
        <w:spacing w:lineRule="auto" w:line="276" w:before="0" w:after="180"/>
        <w:ind w:left="0" w:right="0" w:firstLine="2160"/>
        <w:jc w:val="left"/>
        <w:rPr/>
      </w:pPr>
      <w:r>
        <w:rPr>
          <w:rFonts w:ascii="Times New Roman;serif" w:hAnsi="Times New Roman;serif"/>
          <w:b/>
          <w:color w:val="000000"/>
          <w:sz w:val="22"/>
        </w:rPr>
        <w:t xml:space="preserve">(ii) </w:t>
      </w:r>
      <w:r>
        <w:rPr>
          <w:rFonts w:ascii="Times New Roman;serif" w:hAnsi="Times New Roman;serif"/>
          <w:b w:val="false"/>
          <w:color w:val="000000"/>
          <w:sz w:val="22"/>
        </w:rPr>
        <w:t xml:space="preserve">either (1) a Tax Liability withholding obligation does not apply, or (2) the Company decides, prior to the Original Issuance Date, (A) not to satisfy the Tax Liability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Tax Liability in cash, </w:t>
      </w:r>
      <w:r>
        <w:rPr>
          <w:rFonts w:ascii="Times New Roman;serif" w:hAnsi="Times New Roman;serif"/>
          <w:b w:val="false"/>
          <w:color w:val="000000"/>
          <w:sz w:val="22"/>
          <w:u w:val="single"/>
        </w:rPr>
        <w:t>then</w:t>
      </w:r>
      <w:r>
        <w:rPr>
          <w:color w:val="000000"/>
        </w:rPr>
        <w:t xml:space="preserve"> </w:t>
      </w:r>
      <w:r>
        <w:rPr>
          <w:rFonts w:ascii="Times New Roman;serif" w:hAnsi="Times New Roman;serif"/>
          <w:b w:val="false"/>
          <w:color w:val="000000"/>
          <w:sz w:val="22"/>
        </w:rPr>
        <w:t xml:space="preserve">the shares that would otherwise be issued to you on the Original Issuance Date will not be delivered on such Original Issuance Date and will instead be delivered on the first business day when you are not prohibited from selling shares of the Common Stock in the open public market, but in no event later than December 31 of the calendar year in which the Original Issuance Date occurs (that is, the last day of your taxable year in which the Original Issuance Date occurs), or, </w:t>
      </w:r>
      <w:r>
        <w:rPr>
          <w:rFonts w:ascii="Times New Roman;serif" w:hAnsi="Times New Roman;serif"/>
          <w:b w:val="false"/>
          <w:color w:val="000000"/>
          <w:sz w:val="22"/>
          <w:u w:val="single"/>
        </w:rPr>
        <w:t>if and only if</w:t>
      </w:r>
      <w:r>
        <w:rPr>
          <w:color w:val="000000"/>
        </w:rPr>
        <w:t xml:space="preserve"> </w:t>
      </w:r>
      <w:r>
        <w:rPr>
          <w:rFonts w:ascii="Times New Roman;serif" w:hAnsi="Times New Roman;serif"/>
          <w:b w:val="false"/>
          <w:color w:val="000000"/>
          <w:sz w:val="22"/>
        </w:rPr>
        <w:t xml:space="preserve">permitted in a manner that complies with U.S.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U.S. Treasury Regulations Section 1.409A-1(d). </w:t>
      </w:r>
    </w:p>
    <w:p>
      <w:pPr>
        <w:pStyle w:val="TextBody"/>
        <w:bidi w:val="0"/>
        <w:spacing w:lineRule="auto" w:line="276" w:before="0" w:after="180"/>
        <w:ind w:left="0" w:right="0" w:firstLine="720"/>
        <w:jc w:val="left"/>
        <w:rPr/>
      </w:pPr>
      <w:r>
        <w:rPr>
          <w:rFonts w:ascii="Times New Roman;serif" w:hAnsi="Times New Roman;serif"/>
          <w:b/>
          <w:color w:val="000000"/>
          <w:sz w:val="22"/>
        </w:rPr>
        <w:t xml:space="preserve">6. TRANSFERABILITY. </w:t>
      </w:r>
      <w:r>
        <w:rPr>
          <w:rFonts w:ascii="Times New Roman;serif" w:hAnsi="Times New Roman;serif"/>
          <w:b w:val="false"/>
          <w:color w:val="000000"/>
          <w:sz w:val="22"/>
        </w:rPr>
        <w:t xml:space="preserve">Except as otherwise provided in the Plan, your RSU Award is not transferable, except by will or by the applicable laws of descent and distribution. </w:t>
      </w:r>
    </w:p>
    <w:p>
      <w:pPr>
        <w:pStyle w:val="TextBody"/>
        <w:bidi w:val="0"/>
        <w:spacing w:lineRule="auto" w:line="276" w:before="0" w:after="180"/>
        <w:ind w:left="0" w:right="0" w:firstLine="720"/>
        <w:jc w:val="left"/>
        <w:rPr/>
      </w:pPr>
      <w:r>
        <w:rPr>
          <w:rFonts w:ascii="Times New Roman;serif" w:hAnsi="Times New Roman;serif"/>
          <w:b/>
          <w:color w:val="000000"/>
          <w:sz w:val="22"/>
        </w:rPr>
        <w:t xml:space="preserve">7. CORPORATE TRANSACTION. </w:t>
      </w:r>
      <w:r>
        <w:rPr>
          <w:rFonts w:ascii="Times New Roman;serif" w:hAnsi="Times New Roman;serif"/>
          <w:b w:val="false"/>
          <w:color w:val="000000"/>
          <w:sz w:val="22"/>
        </w:rPr>
        <w:t xml:space="preserve">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w:t>
      </w:r>
    </w:p>
    <w:p>
      <w:pPr>
        <w:pStyle w:val="TextBody"/>
        <w:bidi w:val="0"/>
        <w:spacing w:lineRule="auto" w:line="276" w:before="0" w:after="180"/>
        <w:ind w:left="0" w:right="0" w:firstLine="720"/>
        <w:jc w:val="left"/>
        <w:rPr/>
      </w:pPr>
      <w:r>
        <w:rPr>
          <w:rFonts w:ascii="Times New Roman;serif" w:hAnsi="Times New Roman;serif"/>
          <w:b/>
          <w:color w:val="000000"/>
          <w:sz w:val="22"/>
        </w:rPr>
        <w:t>8. NO LIABILITY FOR TAXES</w:t>
      </w:r>
      <w:r>
        <w:rPr>
          <w:rFonts w:ascii="Times New Roman;serif" w:hAnsi="Times New Roman;serif"/>
          <w:b w:val="false"/>
          <w:color w:val="000000"/>
          <w:sz w:val="22"/>
        </w:rPr>
        <w:t xml:space="preserve">.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 </w:t>
      </w:r>
    </w:p>
    <w:p>
      <w:pPr>
        <w:pStyle w:val="TextBody"/>
        <w:bidi w:val="0"/>
        <w:spacing w:lineRule="auto" w:line="276" w:before="0" w:after="180"/>
        <w:ind w:left="0" w:right="0" w:firstLine="720"/>
        <w:jc w:val="left"/>
        <w:rPr/>
      </w:pPr>
      <w:r>
        <w:rPr>
          <w:rFonts w:ascii="Times New Roman;serif" w:hAnsi="Times New Roman;serif"/>
          <w:b/>
          <w:color w:val="000000"/>
          <w:sz w:val="22"/>
        </w:rPr>
        <w:t>9. SEVERABILITY</w:t>
      </w:r>
      <w:r>
        <w:rPr>
          <w:rFonts w:ascii="Times New Roman;serif" w:hAnsi="Times New Roman;serif"/>
          <w:b w:val="false"/>
          <w:color w:val="000000"/>
          <w:sz w:val="22"/>
        </w:rPr>
        <w:t xml:space="preserve">.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 </w:t>
      </w:r>
    </w:p>
    <w:p>
      <w:pPr>
        <w:pStyle w:val="TextBody"/>
        <w:bidi w:val="0"/>
        <w:spacing w:lineRule="auto" w:line="276" w:before="0" w:after="180"/>
        <w:ind w:left="0" w:right="0" w:firstLine="720"/>
        <w:jc w:val="left"/>
        <w:rPr/>
      </w:pPr>
      <w:r>
        <w:rPr>
          <w:rFonts w:ascii="Times New Roman;serif" w:hAnsi="Times New Roman;serif"/>
          <w:b/>
          <w:color w:val="000000"/>
          <w:sz w:val="22"/>
        </w:rPr>
        <w:t xml:space="preserve">10. OTHER DOCUMENTS. </w:t>
      </w:r>
      <w:r>
        <w:rPr>
          <w:rFonts w:ascii="Times New Roman;serif" w:hAnsi="Times New Roman;serif"/>
          <w:b w:val="false"/>
          <w:color w:val="000000"/>
          <w:sz w:val="22"/>
        </w:rPr>
        <w:t xml:space="preserve">You hereby acknowledge receipt of or the right to receive a document providing the information required by Rule 428(b)(1) promulgated under the Securities Act, which includes the Prospectus. In addition, you acknowledge receipt of the Company’s Trading Policy.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720"/>
        <w:jc w:val="left"/>
        <w:rPr/>
      </w:pPr>
      <w:r>
        <w:rPr>
          <w:rFonts w:ascii="Times New Roman;serif" w:hAnsi="Times New Roman;serif"/>
          <w:b/>
          <w:color w:val="000000"/>
          <w:sz w:val="22"/>
        </w:rPr>
        <w:t xml:space="preserve">11. QUESTIONS. </w:t>
      </w:r>
      <w:r>
        <w:rPr>
          <w:rFonts w:ascii="Times New Roman;serif" w:hAnsi="Times New Roman;serif"/>
          <w:b w:val="false"/>
          <w:color w:val="000000"/>
          <w:sz w:val="22"/>
        </w:rPr>
        <w:t xml:space="preserve">If you have questions regarding these or any other terms and conditions applicable to your RSU Award, including a summary of the applicable federal income tax consequences please see the Prospectus. </w:t>
      </w:r>
    </w:p>
    <w:p>
      <w:pPr>
        <w:pStyle w:val="TextBody"/>
        <w:bidi w:val="0"/>
        <w:spacing w:lineRule="auto" w:line="276" w:before="0" w:after="180"/>
        <w:ind w:left="0" w:right="0" w:firstLine="720"/>
        <w:jc w:val="left"/>
        <w:rPr/>
      </w:pPr>
      <w:r>
        <w:rPr>
          <w:rFonts w:ascii="Times New Roman;serif" w:hAnsi="Times New Roman;serif"/>
          <w:b/>
          <w:color w:val="000000"/>
          <w:sz w:val="22"/>
        </w:rPr>
        <w:t>12. Clawback/Recovery</w:t>
      </w:r>
      <w:r>
        <w:rPr>
          <w:rFonts w:ascii="Times New Roman;serif" w:hAnsi="Times New Roman;serif"/>
          <w:b w:val="false"/>
          <w:color w:val="000000"/>
          <w:sz w:val="22"/>
        </w:rPr>
        <w:t xml:space="preserve">. The RSU Award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(including via inclusion in an employment, severance or similar agreement with you), to the extent applicable and permissible under Applicable Law. No recovery of compensation under such a clawback policy will be an event giving rise to your right to voluntarily terminate employment upon a “resignation for good reason,” or for a “constructive termination” or any similar term under any plan of or agreement with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center"/>
        <w:rPr/>
      </w:pPr>
      <w:r>
        <w:rPr>
          <w:rFonts w:ascii="Times New Roman;serif" w:hAnsi="Times New Roman;serif"/>
          <w:b/>
          <w:color w:val="000000"/>
          <w:sz w:val="22"/>
        </w:rPr>
        <w:t>EXHIBIT A</w:t>
      </w:r>
      <w:r>
        <w:rPr>
          <w:color w:val="000000"/>
        </w:rPr>
        <w:t xml:space="preserve"> </w:t>
      </w:r>
    </w:p>
    <w:p>
      <w:pPr>
        <w:pStyle w:val="TextBody"/>
        <w:bidi w:val="0"/>
        <w:spacing w:lineRule="auto" w:line="276" w:before="0" w:after="180"/>
        <w:jc w:val="center"/>
        <w:rPr/>
      </w:pPr>
      <w:r>
        <w:rPr>
          <w:rFonts w:ascii="Times New Roman;serif" w:hAnsi="Times New Roman;serif"/>
          <w:b/>
          <w:color w:val="000000"/>
          <w:sz w:val="22"/>
        </w:rPr>
        <w:t>VESTING SCHEDULE</w:t>
      </w:r>
      <w:r>
        <w:rPr>
          <w:color w:val="000000"/>
        </w:rPr>
        <w:t xml:space="preserve"> </w:t>
      </w:r>
    </w:p>
    <w:p>
      <w:pPr>
        <w:pStyle w:val="TextBody"/>
        <w:bidi w:val="0"/>
        <w:spacing w:lineRule="auto" w:line="276"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The number of Restricted Stock Units that vest shall be determined in accordance with the following terms and conditions. Capitalized terms not otherwise defined herein have the meanings set forth in the Grant Notice, the Agreement or the Plan, as applicable. </w:t>
      </w:r>
    </w:p>
    <w:p>
      <w:pPr>
        <w:pStyle w:val="TextBody"/>
        <w:bidi w:val="0"/>
        <w:spacing w:lineRule="auto" w:line="276" w:before="0" w:after="180"/>
        <w:ind w:left="0" w:right="0" w:firstLine="720"/>
        <w:jc w:val="left"/>
        <w:rPr/>
      </w:pPr>
      <w:r>
        <w:rPr>
          <w:rFonts w:ascii="Times New Roman;serif" w:hAnsi="Times New Roman;serif"/>
          <w:b/>
          <w:color w:val="000000"/>
          <w:sz w:val="22"/>
        </w:rPr>
        <w:t>1.</w:t>
      </w:r>
      <w:r>
        <w:rPr>
          <w:rFonts w:ascii="Times New Roman;serif" w:hAnsi="Times New Roman;serif"/>
          <w:b/>
          <w:color w:val="000000"/>
          <w:sz w:val="22"/>
        </w:rPr>
        <w:t xml:space="preserve">Performance Period. </w:t>
      </w:r>
      <w:r>
        <w:rPr>
          <w:rFonts w:ascii="Times New Roman;serif" w:hAnsi="Times New Roman;serif"/>
          <w:b w:val="false"/>
          <w:color w:val="000000"/>
          <w:sz w:val="22"/>
        </w:rPr>
        <w:t>The “</w:t>
      </w:r>
      <w:r>
        <w:rPr>
          <w:rFonts w:ascii="Times New Roman;serif" w:hAnsi="Times New Roman;serif"/>
          <w:b/>
          <w:i/>
          <w:color w:val="000000"/>
          <w:sz w:val="22"/>
        </w:rPr>
        <w:t>Performance Period</w:t>
      </w:r>
      <w:r>
        <w:rPr>
          <w:color w:val="000000"/>
        </w:rPr>
        <w:t xml:space="preserve">” </w:t>
      </w:r>
      <w:r>
        <w:rPr>
          <w:rFonts w:ascii="Times New Roman;serif" w:hAnsi="Times New Roman;serif"/>
          <w:b w:val="false"/>
          <w:color w:val="000000"/>
          <w:sz w:val="22"/>
        </w:rPr>
        <w:t>shall begin on January 1, 2026 and shall end on December 31, 2028 (the “</w:t>
      </w:r>
      <w:r>
        <w:rPr>
          <w:rFonts w:ascii="Times New Roman;serif" w:hAnsi="Times New Roman;serif"/>
          <w:b/>
          <w:i/>
          <w:color w:val="000000"/>
          <w:sz w:val="22"/>
        </w:rPr>
        <w:t>Scheduled Performance Period End Date</w:t>
      </w:r>
      <w:r>
        <w:rPr>
          <w:color w:val="000000"/>
        </w:rPr>
        <w:t>”</w:t>
      </w:r>
      <w:r>
        <w:rPr>
          <w:rFonts w:ascii="Times New Roman;serif" w:hAnsi="Times New Roman;serif"/>
          <w:b w:val="false"/>
          <w:color w:val="000000"/>
          <w:sz w:val="22"/>
        </w:rPr>
        <w:t>). Notwithstanding the foregoing, in the event of a Change in Control prior to the Scheduled Performance Period End Date, the Performance Period shall be shortened and deemed to end immediately prior to the effective time of the Change in Control and the Award shall be treated as set forth in Section 4(a) of this Exhibit A.</w:t>
      </w:r>
      <w:r>
        <w:rPr>
          <w:color w:val="000000"/>
        </w:rPr>
        <w:t xml:space="preserve"> </w:t>
      </w:r>
    </w:p>
    <w:p>
      <w:pPr>
        <w:pStyle w:val="TextBody"/>
        <w:bidi w:val="0"/>
        <w:spacing w:lineRule="auto" w:line="276" w:before="0" w:after="180"/>
        <w:ind w:left="0" w:right="0" w:firstLine="720"/>
        <w:jc w:val="left"/>
        <w:rPr/>
      </w:pPr>
      <w:r>
        <w:rPr>
          <w:rFonts w:ascii="Times New Roman;serif" w:hAnsi="Times New Roman;serif"/>
          <w:b/>
          <w:color w:val="000000"/>
          <w:sz w:val="22"/>
        </w:rPr>
        <w:t>2.</w:t>
      </w:r>
      <w:r>
        <w:rPr>
          <w:rFonts w:ascii="Times New Roman;serif" w:hAnsi="Times New Roman;serif"/>
          <w:b/>
          <w:color w:val="000000"/>
          <w:sz w:val="22"/>
        </w:rPr>
        <w:t>Earning of Restricted Stock Units.</w:t>
      </w:r>
      <w:r>
        <w:rPr>
          <w:color w:val="000000"/>
        </w:rPr>
        <w:t xml:space="preserve"> </w:t>
      </w:r>
      <w:r>
        <w:rPr>
          <w:rFonts w:ascii="Times New Roman;serif" w:hAnsi="Times New Roman;serif"/>
          <w:b w:val="false"/>
          <w:color w:val="000000"/>
          <w:sz w:val="22"/>
        </w:rPr>
        <w:t xml:space="preserve">Restricted Stock Units will be earned and eligible to vest (the “Earned Units”), contingent upon achievement of the performance criteria during the Performance Period as described in Section 2(a) below. </w:t>
      </w:r>
    </w:p>
    <w:p>
      <w:pPr>
        <w:pStyle w:val="TextBody"/>
        <w:bidi w:val="0"/>
        <w:spacing w:lineRule="auto" w:line="276" w:before="0" w:after="180"/>
        <w:ind w:left="0" w:right="0" w:hanging="360"/>
        <w:jc w:val="left"/>
        <w:rPr/>
      </w:pPr>
      <w:r>
        <w:rPr>
          <w:rFonts w:ascii="Times New Roman;serif" w:hAnsi="Times New Roman;serif"/>
          <w:b/>
          <w:color w:val="000000"/>
          <w:sz w:val="22"/>
        </w:rPr>
        <w:t>(a)Performance Criteria.</w:t>
      </w:r>
      <w:r>
        <w:rPr>
          <w:color w:val="000000"/>
        </w:rPr>
        <w:t xml:space="preserve"> </w:t>
      </w:r>
      <w:r>
        <w:rPr>
          <w:rFonts w:ascii="Times New Roman;serif" w:hAnsi="Times New Roman;serif"/>
          <w:b w:val="false"/>
          <w:color w:val="000000"/>
          <w:sz w:val="22"/>
        </w:rPr>
        <w:t xml:space="preserve">For the purposes of this agreement, performance is subject to the achievement of both Policies-in-Force and Gross Accident Period Loss Ratio goals during the Performance period as outlined in the matrices set forth in </w:t>
      </w:r>
      <w:r>
        <w:rPr>
          <w:rFonts w:ascii="Times New Roman;serif" w:hAnsi="Times New Roman;serif"/>
          <w:b/>
          <w:color w:val="000000"/>
          <w:sz w:val="22"/>
        </w:rPr>
        <w:t>Appendix A</w:t>
      </w:r>
      <w:r>
        <w:rPr>
          <w:rFonts w:ascii="Times New Roman;serif" w:hAnsi="Times New Roman;serif"/>
          <w:b w:val="false"/>
          <w:color w:val="000000"/>
          <w:sz w:val="22"/>
        </w:rPr>
        <w:t xml:space="preserve">, as certified by the Compensation Committee. The Compensation Committee retains discretion to adjust the matrices as set forth in the Plan. If performance falls between any of the amounts set forth in the matrices, the number of Earned Units shall be determined by interpolation. Any portion of the target award not earned during the term of the Award based upon the Company’s actual performance as measured against the applicable performance criteria shall expire and be forfeited. </w:t>
      </w:r>
    </w:p>
    <w:p>
      <w:pPr>
        <w:pStyle w:val="TextBody"/>
        <w:bidi w:val="0"/>
        <w:spacing w:lineRule="auto" w:line="276" w:before="0" w:after="180"/>
        <w:ind w:left="0" w:right="0" w:hanging="567"/>
        <w:jc w:val="left"/>
        <w:rPr/>
      </w:pPr>
      <w:r>
        <w:rPr>
          <w:rFonts w:ascii="Times New Roman;serif" w:hAnsi="Times New Roman;serif"/>
          <w:b/>
          <w:color w:val="000000"/>
          <w:sz w:val="22"/>
        </w:rPr>
        <w:t>(i)</w:t>
      </w:r>
      <w:r>
        <w:rPr>
          <w:rFonts w:ascii="Times New Roman;serif" w:hAnsi="Times New Roman;serif"/>
          <w:b w:val="false"/>
          <w:color w:val="000000"/>
          <w:sz w:val="22"/>
        </w:rPr>
        <w:t xml:space="preserve">For the purposes of this Agreement, Policies-in-Force is defined as the number of current and active auto insurance policyholders underwritten by the Company as of the performance period </w:t>
      </w:r>
    </w:p>
    <w:p>
      <w:pPr>
        <w:pStyle w:val="TextBody"/>
        <w:bidi w:val="0"/>
        <w:spacing w:lineRule="auto" w:line="276" w:before="0" w:after="180"/>
        <w:ind w:left="0" w:right="0" w:hanging="628"/>
        <w:jc w:val="left"/>
        <w:rPr/>
      </w:pPr>
      <w:r>
        <w:rPr>
          <w:rFonts w:ascii="Times New Roman;serif" w:hAnsi="Times New Roman;serif"/>
          <w:b/>
          <w:color w:val="000000"/>
          <w:sz w:val="22"/>
        </w:rPr>
        <w:t>(ii)</w:t>
      </w:r>
      <w:r>
        <w:rPr>
          <w:rFonts w:ascii="Times New Roman;serif" w:hAnsi="Times New Roman;serif"/>
          <w:b w:val="false"/>
          <w:color w:val="000000"/>
          <w:sz w:val="22"/>
        </w:rPr>
        <w:t xml:space="preserve">For the purposes of this Agreement, Gross Accident Period Loss Ratio, expressed as a percentage, is defined as all losses and claims expected to arise from insured events that occurred during the applicable period regardless of when they are reported and finally settled divided by gross premiums earned for the same period. </w:t>
      </w:r>
    </w:p>
    <w:p>
      <w:pPr>
        <w:pStyle w:val="TextBody"/>
        <w:bidi w:val="0"/>
        <w:spacing w:lineRule="auto" w:line="276" w:before="0" w:after="180"/>
        <w:ind w:left="0" w:right="0" w:hanging="360"/>
        <w:jc w:val="left"/>
        <w:rPr/>
      </w:pPr>
      <w:r>
        <w:rPr>
          <w:rFonts w:ascii="Times New Roman;serif" w:hAnsi="Times New Roman;serif"/>
          <w:b/>
          <w:color w:val="000000"/>
          <w:sz w:val="22"/>
        </w:rPr>
        <w:t xml:space="preserve">(b)Annual Vesting Opportunity. </w:t>
      </w:r>
      <w:r>
        <w:rPr>
          <w:rFonts w:ascii="Times New Roman;serif" w:hAnsi="Times New Roman;serif"/>
          <w:b w:val="false"/>
          <w:color w:val="000000"/>
          <w:sz w:val="22"/>
        </w:rPr>
        <w:t xml:space="preserve">The Performance Period will consist of three subperiods ending on December 31st of 2026, 2027, and 2028 where a portion of the target award, as set forth in the table below, may be earned. Annual vesting opportunity is subject to the achievement of performance criteria as outlined in the matrices set forth in </w:t>
      </w:r>
      <w:r>
        <w:rPr>
          <w:rFonts w:ascii="Times New Roman;serif" w:hAnsi="Times New Roman;serif"/>
          <w:b/>
          <w:color w:val="000000"/>
          <w:sz w:val="22"/>
        </w:rPr>
        <w:t>Appendix A</w:t>
      </w:r>
      <w:r>
        <w:rPr>
          <w:rFonts w:ascii="Times New Roman;serif" w:hAnsi="Times New Roman;serif"/>
          <w:b w:val="false"/>
          <w:color w:val="000000"/>
          <w:sz w:val="22"/>
        </w:rPr>
        <w:t xml:space="preserve">. If performance is achieved at levels that fall in between the values set forth in the matrices, then linear interpolation shall be used to determine the achievement, except in the cases where performance is achieved at levels that fall in between a 0% payout and a non-0% payout at which point no units will be earned. </w:t>
      </w:r>
    </w:p>
    <w:p>
      <w:pPr>
        <w:pStyle w:val="TextBody"/>
        <w:bidi w:val="0"/>
        <w:spacing w:lineRule="auto" w:line="276" w:before="0" w:after="180"/>
        <w:jc w:val="left"/>
        <w:rPr>
          <w:rFonts w:ascii="Times New Roman;serif" w:hAnsi="Times New Roman;serif"/>
          <w:b w:val="false"/>
          <w:color w:val="000000"/>
          <w:sz w:val="22"/>
        </w:rPr>
      </w:pPr>
      <w:r>
        <w:rPr>
          <w:rFonts w:ascii="Times New Roman;serif" w:hAnsi="Times New Roman;serif"/>
          <w:b w:val="false"/>
          <w:color w:val="000000"/>
          <w:sz w:val="22"/>
        </w:rPr>
        <w:t xml:space="preserve">Earned units, if any, at the end of each subperiod shall vest in the first quarter of the following year on the date that the Compensation Committee certifies performance as set forth in Section 2(a). In the event that performance in subperiods 2 or 3 is achieved at a level lower than the prior subperiod, no shares will be earned in such subperiod, and the earned units in the prior subperiod, if any, will be unchanged.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29" w:type="dxa"/>
        <w:jc w:val="left"/>
        <w:tblInd w:w="0" w:type="dxa"/>
        <w:tblLayout w:type="fixed"/>
        <w:tblCellMar>
          <w:top w:w="28" w:type="dxa"/>
          <w:left w:w="28" w:type="dxa"/>
          <w:bottom w:w="28" w:type="dxa"/>
          <w:right w:w="28" w:type="dxa"/>
        </w:tblCellMar>
      </w:tblPr>
      <w:tblGrid>
        <w:gridCol w:w="391"/>
        <w:gridCol w:w="344"/>
        <w:gridCol w:w="346"/>
        <w:gridCol w:w="579"/>
        <w:gridCol w:w="579"/>
        <w:gridCol w:w="582"/>
        <w:gridCol w:w="652"/>
        <w:gridCol w:w="652"/>
        <w:gridCol w:w="660"/>
        <w:gridCol w:w="1418"/>
        <w:gridCol w:w="1418"/>
        <w:gridCol w:w="200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Subperiod</w:t>
            </w:r>
          </w:p>
        </w:tc>
        <w:tc>
          <w:tcPr>
            <w:tcW w:w="17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Start Date</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End Date</w:t>
            </w:r>
          </w:p>
        </w:tc>
        <w:tc>
          <w:tcPr>
            <w:tcW w:w="48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of Target Award Eligible to be Earned</w:t>
            </w:r>
          </w:p>
        </w:tc>
      </w:tr>
      <w:tr>
        <w:trPr/>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w:t>
            </w:r>
          </w:p>
        </w:tc>
        <w:tc>
          <w:tcPr>
            <w:tcW w:w="17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January 01, 2026</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2026</w:t>
            </w:r>
          </w:p>
        </w:tc>
        <w:tc>
          <w:tcPr>
            <w:tcW w:w="48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w:t>
            </w:r>
          </w:p>
        </w:tc>
        <w:tc>
          <w:tcPr>
            <w:tcW w:w="17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January 01, 2026</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2027</w:t>
            </w:r>
          </w:p>
        </w:tc>
        <w:tc>
          <w:tcPr>
            <w:tcW w:w="484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55% (minus amount earned in subperiod 1)</w:t>
            </w:r>
          </w:p>
        </w:tc>
      </w:tr>
      <w:tr>
        <w:trPr/>
        <w:tc>
          <w:tcPr>
            <w:tcW w:w="10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17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January 01, 2026</w:t>
            </w:r>
          </w:p>
        </w:tc>
        <w:tc>
          <w:tcPr>
            <w:tcW w:w="19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December 31, 2028</w:t>
            </w:r>
          </w:p>
        </w:tc>
        <w:tc>
          <w:tcPr>
            <w:tcW w:w="484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 (minus amount earned in subperiods 1 &amp; 2)</w:t>
            </w:r>
          </w:p>
        </w:tc>
      </w:tr>
    </w:tbl>
    <w:p>
      <w:pPr>
        <w:pStyle w:val="TextBody"/>
        <w:bidi w:val="0"/>
        <w:spacing w:lineRule="auto" w:line="276" w:before="0" w:after="180"/>
        <w:ind w:left="0" w:right="0" w:firstLine="720"/>
        <w:jc w:val="left"/>
        <w:rPr/>
      </w:pPr>
      <w:r>
        <w:rPr>
          <w:rFonts w:ascii="Times New Roman;serif" w:hAnsi="Times New Roman;serif"/>
          <w:b/>
          <w:color w:val="000000"/>
          <w:sz w:val="22"/>
        </w:rPr>
        <w:t>3.</w:t>
      </w:r>
      <w:r>
        <w:rPr>
          <w:rFonts w:ascii="Times New Roman;serif" w:hAnsi="Times New Roman;serif"/>
          <w:b/>
          <w:color w:val="000000"/>
          <w:sz w:val="22"/>
        </w:rPr>
        <w:t>Termination of Continuous Service</w:t>
      </w:r>
      <w:r>
        <w:rPr>
          <w:color w:val="000000"/>
        </w:rPr>
        <w:t xml:space="preserve"> </w:t>
      </w:r>
    </w:p>
    <w:p>
      <w:pPr>
        <w:pStyle w:val="TextBody"/>
        <w:bidi w:val="0"/>
        <w:spacing w:lineRule="auto" w:line="276" w:before="0" w:after="180"/>
        <w:ind w:left="0" w:right="0" w:hanging="360"/>
        <w:jc w:val="left"/>
        <w:rPr/>
      </w:pPr>
      <w:r>
        <w:rPr>
          <w:rFonts w:ascii="Times New Roman;serif" w:hAnsi="Times New Roman;serif"/>
          <w:b/>
          <w:color w:val="000000"/>
          <w:sz w:val="22"/>
        </w:rPr>
        <w:t xml:space="preserve">(a)Impact of Change in Control. </w:t>
      </w:r>
      <w:r>
        <w:rPr>
          <w:rFonts w:ascii="Times New Roman;serif" w:hAnsi="Times New Roman;serif"/>
          <w:b w:val="false"/>
          <w:color w:val="000000"/>
          <w:sz w:val="22"/>
        </w:rPr>
        <w:t xml:space="preserve">If, during the Performance Period, a Change in Control occurs, then the Performance Period will be shortened such that the Performance Period will end as of immediately prior to the Change in Control and will vest at the greater of target or, to the extent that any of the Performance Criteria are achieved on a prorated basis based on the number of days in the Performance Period that have elapsed prior to the Change in Control, as certified by the Compensation Committee within five business days prior to the Change in Control, such higher amount and the Earned Units will become immediately vested. </w:t>
      </w:r>
    </w:p>
    <w:p>
      <w:pPr>
        <w:pStyle w:val="TextBody"/>
        <w:bidi w:val="0"/>
        <w:spacing w:lineRule="auto" w:line="268" w:before="0" w:after="0"/>
        <w:ind w:left="0" w:right="0" w:hanging="360"/>
        <w:jc w:val="both"/>
        <w:rPr/>
      </w:pPr>
      <w:r>
        <w:rPr>
          <w:rFonts w:ascii="Times New Roman;serif" w:hAnsi="Times New Roman;serif"/>
          <w:b/>
          <w:color w:val="000000"/>
          <w:sz w:val="22"/>
        </w:rPr>
        <w:t xml:space="preserve">(b)Impact of Retirement. </w:t>
      </w:r>
      <w:r>
        <w:rPr>
          <w:rFonts w:ascii="Times New Roman;serif" w:hAnsi="Times New Roman;serif"/>
          <w:b w:val="false"/>
          <w:color w:val="000000"/>
          <w:sz w:val="22"/>
        </w:rPr>
        <w:t>If, during the Performance Period the Participant terminates his or her Continuous Service by reason of Retirement, the Award shall remain outstanding and eligible to be earned and to vest pursuant to the foregoing provisions of this Exhibit A (including the provisions with respect to a Change in Control) and the number of Earned Units shall be equal to the number of Earned Units (if any) determined pursuant to the foregoing provisions of this Exhibit A based on the Company’s actual performance as measured against the applicable performance criteria multiplied by a fraction, the numerator of which is the number of days in the Performance Period that the Participant was in Continuous Service with the Company and the denominator of which is 365.“Retirement” shall mean a termination of Continuous Service with the Company (including a termination by reason of death or Disability) that is not a termination for Cause and that occurs (i) upon or following the attainment of age of 55 with 10 years of service with the Company, (ii) more than six months following the date of grant of this Award and (iii) where the termination is initiated by the Participant, upon no less than six months’ advance written notice by the Participant. “Retirement” shall not mean a termination of Continuous Service that results from an act or omission permitting the Compensation Committee to exercise its discretion to seek recovery of Incentive-Based Compensation under any of the clawback policies and provisions described in Section 12 of the Agreement.</w:t>
      </w:r>
    </w:p>
    <w:p>
      <w:pPr>
        <w:pStyle w:val="TextBody"/>
        <w:bidi w:val="0"/>
        <w:spacing w:before="0" w:after="0"/>
        <w:jc w:val="both"/>
        <w:rPr/>
      </w:pPr>
      <w:r>
        <w:rPr/>
      </w:r>
    </w:p>
    <w:p>
      <w:pPr>
        <w:pStyle w:val="TextBody"/>
        <w:bidi w:val="0"/>
        <w:spacing w:lineRule="auto" w:line="276" w:before="0" w:after="180"/>
        <w:ind w:left="0" w:right="0" w:hanging="360"/>
        <w:jc w:val="left"/>
        <w:rPr/>
      </w:pPr>
      <w:r>
        <w:rPr>
          <w:rFonts w:ascii="Times New Roman;serif" w:hAnsi="Times New Roman;serif"/>
          <w:b/>
          <w:color w:val="000000"/>
          <w:sz w:val="22"/>
        </w:rPr>
        <w:t>(c)Termination other than Retirement.</w:t>
      </w:r>
      <w:r>
        <w:rPr>
          <w:color w:val="000000"/>
        </w:rPr>
        <w:t xml:space="preserve"> </w:t>
      </w:r>
      <w:r>
        <w:rPr>
          <w:rFonts w:ascii="Times New Roman;serif" w:hAnsi="Times New Roman;serif"/>
          <w:b w:val="false"/>
          <w:color w:val="000000"/>
          <w:sz w:val="22"/>
        </w:rPr>
        <w:t xml:space="preserve">If, during the Performance Period, the Participant terminates his or her Continuous Service for reasons other than a Retirement, the Award shall be canceled and forfeited as of the date of such termination, except as may be set forth in a written employment or severance arrangement between the Participant and the Company. </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right"/>
        <w:rPr/>
      </w:pPr>
      <w:r>
        <w:rPr/>
      </w:r>
    </w:p>
    <w:p>
      <w:pPr>
        <w:pStyle w:val="TextBody"/>
        <w:bidi w:val="0"/>
        <w:spacing w:before="0" w:after="180"/>
        <w:ind w:left="0" w:right="0" w:firstLine="20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2362200" cy="676275"/>
            <wp:effectExtent l="0" t="0" r="0" b="0"/>
            <wp:docPr id="6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 descr=""/>
                    <pic:cNvPicPr>
                      <a:picLocks noChangeAspect="1" noChangeArrowheads="1"/>
                    </pic:cNvPicPr>
                  </pic:nvPicPr>
                  <pic:blipFill>
                    <a:blip r:embed="rId10"/>
                    <a:stretch>
                      <a:fillRect/>
                    </a:stretch>
                  </pic:blipFill>
                  <pic:spPr bwMode="auto">
                    <a:xfrm>
                      <a:off x="0" y="0"/>
                      <a:ext cx="2362200" cy="676275"/>
                    </a:xfrm>
                    <a:prstGeom prst="rect">
                      <a:avLst/>
                    </a:prstGeom>
                  </pic:spPr>
                </pic:pic>
              </a:graphicData>
            </a:graphic>
          </wp:inline>
        </w:drawing>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3.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rFonts w:ascii="Times New Roman;serif" w:hAnsi="Times New Roman;serif"/>
          <w:b/>
          <w:color w:val="000000"/>
          <w:sz w:val="24"/>
        </w:rPr>
      </w:pPr>
      <w:r>
        <w:rPr>
          <w:rFonts w:ascii="Times New Roman;serif" w:hAnsi="Times New Roman;serif"/>
          <w:b/>
          <w:color w:val="000000"/>
          <w:sz w:val="24"/>
        </w:rPr>
        <w:t>2026 Root Short-Term Incentive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This 2026 Short-Term Incentive Plan (the “Plan”) of Root, Inc. (the “Company”) covers the period from January 1, 2026 through December 31, 2026. The purpose of the Plan is to promote the success of the Company by rewarding eligible employees for outstanding business results and to motivate employees in a high-performance culture.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 2026, incentive payments under the Plan will be awarded by a pool that is funded based on the measurement of identified company measure(s). Using this pool, leaders will be making awards to eligible employees based on their respective targets and performance ratings for the year.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Each eligible employee’s performance objectives may change from year to year as the Company continues to evolve and establish different priorities. The objectives will remain subject to the review and approval of the CEO and/or the Compensation Committee of the Board of Directors.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Plan details are as follows: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1. Company Measures (funding the pool) </w:t>
      </w:r>
    </w:p>
    <w:p>
      <w:pPr>
        <w:pStyle w:val="TextBody"/>
        <w:bidi w:val="0"/>
        <w:spacing w:before="0" w:after="0"/>
        <w:jc w:val="left"/>
        <w:rPr/>
      </w:pPr>
      <w:r>
        <w:rPr/>
      </w:r>
    </w:p>
    <w:tbl>
      <w:tblPr>
        <w:tblW w:w="4456" w:type="dxa"/>
        <w:jc w:val="left"/>
        <w:tblInd w:w="0" w:type="dxa"/>
        <w:tblLayout w:type="fixed"/>
        <w:tblCellMar>
          <w:top w:w="28" w:type="dxa"/>
          <w:left w:w="28" w:type="dxa"/>
          <w:bottom w:w="28" w:type="dxa"/>
          <w:right w:w="28" w:type="dxa"/>
        </w:tblCellMar>
      </w:tblPr>
      <w:tblGrid>
        <w:gridCol w:w="1199"/>
        <w:gridCol w:w="1053"/>
        <w:gridCol w:w="1063"/>
        <w:gridCol w:w="334"/>
        <w:gridCol w:w="334"/>
        <w:gridCol w:w="473"/>
      </w:tblGrid>
      <w:tr>
        <w:trPr/>
        <w:tc>
          <w:tcPr>
            <w:tcW w:w="119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4"/>
              </w:rPr>
            </w:pPr>
            <w:r>
              <w:rPr>
                <w:rFonts w:ascii="Times New Roman;serif" w:hAnsi="Times New Roman;serif"/>
                <w:b w:val="false"/>
                <w:color w:val="000000"/>
                <w:sz w:val="24"/>
              </w:rPr>
              <w:t>Measure</w:t>
            </w:r>
          </w:p>
        </w:tc>
        <w:tc>
          <w:tcPr>
            <w:tcW w:w="11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Times New Roman;serif" w:hAnsi="Times New Roman;serif"/>
                <w:b w:val="false"/>
                <w:color w:val="000000"/>
                <w:sz w:val="24"/>
              </w:rPr>
            </w:pPr>
            <w:r>
              <w:rPr>
                <w:rFonts w:ascii="Times New Roman;serif" w:hAnsi="Times New Roman;serif"/>
                <w:b w:val="false"/>
                <w:color w:val="000000"/>
                <w:sz w:val="24"/>
              </w:rPr>
              <w:t>Weighting</w:t>
            </w:r>
          </w:p>
        </w:tc>
      </w:tr>
      <w:tr>
        <w:trPr/>
        <w:tc>
          <w:tcPr>
            <w:tcW w:w="33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4"/>
              </w:rPr>
              <w:t>Gross Written Premium Growth</w:t>
            </w:r>
            <w:r>
              <w:rPr>
                <w:rFonts w:ascii="Times New Roman;serif" w:hAnsi="Times New Roman;serif"/>
                <w:b w:val="false"/>
                <w:color w:val="000000"/>
                <w:sz w:val="16"/>
              </w:rPr>
              <w:t>[1]</w:t>
            </w:r>
          </w:p>
        </w:tc>
        <w:tc>
          <w:tcPr>
            <w:tcW w:w="114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left"/>
              <w:rPr>
                <w:rFonts w:ascii="Times New Roman;serif" w:hAnsi="Times New Roman;serif"/>
                <w:b w:val="false"/>
                <w:color w:val="000000"/>
                <w:sz w:val="24"/>
              </w:rPr>
            </w:pPr>
            <w:r>
              <w:rPr>
                <w:rFonts w:ascii="Times New Roman;serif" w:hAnsi="Times New Roman;serif"/>
                <w:b w:val="false"/>
                <w:color w:val="000000"/>
                <w:sz w:val="24"/>
              </w:rPr>
              <w:t>80%</w:t>
            </w:r>
          </w:p>
        </w:tc>
      </w:tr>
      <w:tr>
        <w:trPr/>
        <w:tc>
          <w:tcPr>
            <w:tcW w:w="33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24"/>
              </w:rPr>
              <w:t>Gross Combined Ratio</w:t>
            </w:r>
            <w:r>
              <w:rPr>
                <w:rFonts w:ascii="Times New Roman;serif" w:hAnsi="Times New Roman;serif"/>
                <w:b w:val="false"/>
                <w:color w:val="000000"/>
                <w:sz w:val="16"/>
              </w:rPr>
              <w:t>1</w:t>
            </w:r>
          </w:p>
        </w:tc>
        <w:tc>
          <w:tcPr>
            <w:tcW w:w="114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83"/>
              <w:jc w:val="left"/>
              <w:rPr>
                <w:rFonts w:ascii="Times New Roman;serif" w:hAnsi="Times New Roman;serif"/>
                <w:b w:val="false"/>
                <w:color w:val="000000"/>
                <w:sz w:val="24"/>
              </w:rPr>
            </w:pPr>
            <w:r>
              <w:rPr>
                <w:rFonts w:ascii="Times New Roman;serif" w:hAnsi="Times New Roman;serif"/>
                <w:b w:val="false"/>
                <w:color w:val="000000"/>
                <w:sz w:val="24"/>
              </w:rPr>
              <w:t>20%</w:t>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 xml:space="preserve">Under the plan, Company performance may fund the pool up to 300%. </w:t>
      </w:r>
      <w:r>
        <w:rPr>
          <w:rFonts w:ascii="Times New Roman;serif" w:hAnsi="Times New Roman;serif"/>
          <w:b w:val="false"/>
          <w:color w:val="000000"/>
          <w:sz w:val="24"/>
        </w:rPr>
        <w:t xml:space="preserve">However, the pool will not be funded if Gross Written Premium Growth falls below a specified threshold or if the Gross Combined Ratio is above a specified threshold. The pool funding may also be adjusted based on predetermined qualitative factors. The Compensation Committee will assess the Company’s performance against the measures and predetermined qualitative factors and reserves the right to adjust pool funding at its discretion. The maximum payment which can be made under the Plan based on the measures above and individual performance is 300%.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2. Payout Schedule: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If approved, the 2026 payments under the Plan will be paid out during the first quarter of 2027.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3. Eligibility: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Eligibility for the Plan is role-specific, as determined and communicated by management. To qualify for a payment under the Plan, an employee must be: </w:t>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a.hired on or prior to September 30, 2026 working in an award-eligible role; and</w:t>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b.actively employed at the time the payment processing is initiated.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180"/>
        <w:jc w:val="left"/>
        <w:rPr>
          <w:rFonts w:ascii="Arial;sans-serif" w:hAnsi="Arial;sans-serif"/>
          <w:b w:val="false"/>
          <w:color w:val="000000"/>
          <w:sz w:val="24"/>
        </w:rPr>
      </w:pPr>
      <w:r>
        <w:rPr>
          <w:rFonts w:ascii="Arial;sans-serif" w:hAnsi="Arial;sans-serif"/>
          <w:b w:val="false"/>
          <w:color w:val="000000"/>
          <w:sz w:val="24"/>
        </w:rPr>
        <w:t>______________</w:t>
      </w:r>
    </w:p>
    <w:p>
      <w:pPr>
        <w:pStyle w:val="TextBody"/>
        <w:bidi w:val="0"/>
        <w:spacing w:lineRule="auto" w:line="268"/>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Gross Written Premium Growth and Gross Combined Ratio are defined in Exhibit A.</w:t>
      </w:r>
    </w:p>
    <w:p>
      <w:pPr>
        <w:pStyle w:val="TextBody"/>
        <w:bidi w:val="0"/>
        <w:spacing w:before="0" w:after="0"/>
        <w:jc w:val="center"/>
        <w:rPr/>
      </w:pPr>
      <w:r>
        <w:rPr/>
        <w:drawing>
          <wp:inline distT="0" distB="0" distL="0" distR="0">
            <wp:extent cx="2362200" cy="676275"/>
            <wp:effectExtent l="0" t="0" r="0" b="0"/>
            <wp:docPr id="6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 descr=""/>
                    <pic:cNvPicPr>
                      <a:picLocks noChangeAspect="1" noChangeArrowheads="1"/>
                    </pic:cNvPicPr>
                  </pic:nvPicPr>
                  <pic:blipFill>
                    <a:blip r:embed="rId11"/>
                    <a:stretch>
                      <a:fillRect/>
                    </a:stretch>
                  </pic:blipFill>
                  <pic:spPr bwMode="auto">
                    <a:xfrm>
                      <a:off x="0" y="0"/>
                      <a:ext cx="2362200" cy="676275"/>
                    </a:xfrm>
                    <a:prstGeom prst="rect">
                      <a:avLst/>
                    </a:prstGeom>
                  </pic:spPr>
                </pic:pic>
              </a:graphicData>
            </a:graphic>
          </wp:inline>
        </w:drawing>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33.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4. Eligible Earnings: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 payment will be based on the eligible employee’s target expressed as a percentage of base salary and an individual performance factor between 0% and an amount that will not result in a total payout of more than 300% of the employee’s target. Except where an employee has had a change to their target percentage during the year, payment will be made based on the employee’s target percentage multiplied by base salary as of December 31, 2026, multiplied by the individual performance factor.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For an employee whose target percentage changed during the year, payment will be made based on the sum of (i) the employee’s base salary immediately before the change to the target percentage multiplied by the prior target percentage and (ii) the employee’s base salary as of December 31, 2026 multiplied by the year-end target percentage, with each such component prorated by the number of days in each period, multiplied by the individual performance factor. This does not include broader, role-specific target percentage increases or decreases. In the event of broader changes, the new target percentage will replace the existing target and will be applied retroactively.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For an employee whose role became newly award-eligible during the performance year when the employee was working in such role, payment will be made based on the employee’s newly approved target percentage multiplied by base salary as of December 31, 2026, multiplied by the individual performance factor. If the employee has any subsequent target percentage changes during the performance year, then payment will be prorated as noted above.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Eligible earnings generally include all elements of base salary and hours worked including pay for regular hours worked, overtime, holidays, and PTO. Other bonus or incentive earnings are not included in eligible earnings for purposes of the Plan. Eligible earnings will also be prorated, based on hire date, for award-eligible employees that were not employed for the entire duration of the performance period.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5. Terms and Conditions: </w:t>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 xml:space="preserve">Actively employed” means that the employee is a current employee of the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intends for the benefits provided under the Plan to comply with, or be exempt from, the requirements of Internal Revenue Code Section 409A, the state and federal Family Medical Leave Act, the Americans with Disabilities Act, USERRA, and all other applicable state and federal laws, and the Plan will be interpreted to that end. The Company reserves the right to amend the Plan as necessary to comply with applicable federal and state laws.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Payments made under the Plan are offered at the sole discretion of the Company. The Company reserves the right to change, modify, or eliminate any provision of the Plan at any time, without notice. The Plan is not intended as a contract or a contract of employment. All employment with the Company is “at will,” which means that the Company or an employee may terminate the employment relationship at any time, with or without cause, and with or without notice.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ind w:left="0" w:right="0" w:hanging="270"/>
        <w:jc w:val="center"/>
        <w:rPr/>
      </w:pPr>
      <w:r>
        <w:rPr/>
        <w:drawing>
          <wp:inline distT="0" distB="0" distL="0" distR="0">
            <wp:extent cx="2362200" cy="676275"/>
            <wp:effectExtent l="0" t="0" r="0" b="0"/>
            <wp:docPr id="6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 descr=""/>
                    <pic:cNvPicPr>
                      <a:picLocks noChangeAspect="1" noChangeArrowheads="1"/>
                    </pic:cNvPicPr>
                  </pic:nvPicPr>
                  <pic:blipFill>
                    <a:blip r:embed="rId12"/>
                    <a:stretch>
                      <a:fillRect/>
                    </a:stretch>
                  </pic:blipFill>
                  <pic:spPr bwMode="auto">
                    <a:xfrm>
                      <a:off x="0" y="0"/>
                      <a:ext cx="2362200" cy="676275"/>
                    </a:xfrm>
                    <a:prstGeom prst="rect">
                      <a:avLst/>
                    </a:prstGeom>
                  </pic:spPr>
                </pic:pic>
              </a:graphicData>
            </a:graphic>
          </wp:inline>
        </w:drawing>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7.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Exhibit A – Company Measures Defined </w:t>
      </w:r>
    </w:p>
    <w:p>
      <w:pPr>
        <w:pStyle w:val="TextBody"/>
        <w:bidi w:val="0"/>
        <w:spacing w:before="0" w:after="0"/>
        <w:jc w:val="left"/>
        <w:rPr/>
      </w:pPr>
      <w:r>
        <w:rPr/>
      </w:r>
    </w:p>
    <w:p>
      <w:pPr>
        <w:pStyle w:val="TextBody"/>
        <w:bidi w:val="0"/>
        <w:spacing w:lineRule="auto" w:line="256" w:before="0" w:after="180"/>
        <w:jc w:val="left"/>
        <w:rPr>
          <w:rFonts w:ascii="Times New Roman;serif" w:hAnsi="Times New Roman;serif"/>
          <w:b/>
          <w:i/>
          <w:color w:val="000000"/>
          <w:sz w:val="24"/>
          <w:u w:val="single"/>
        </w:rPr>
      </w:pPr>
      <w:r>
        <w:rPr>
          <w:rFonts w:ascii="Times New Roman;serif" w:hAnsi="Times New Roman;serif"/>
          <w:b/>
          <w:i/>
          <w:color w:val="000000"/>
          <w:sz w:val="24"/>
          <w:u w:val="single"/>
        </w:rPr>
        <w:t xml:space="preserve">Gross Written Premium Growth </w:t>
      </w:r>
    </w:p>
    <w:p>
      <w:pPr>
        <w:pStyle w:val="TextBody"/>
        <w:bidi w:val="0"/>
        <w:spacing w:lineRule="auto" w:line="256" w:before="0" w:after="180"/>
        <w:jc w:val="left"/>
        <w:rPr>
          <w:rFonts w:ascii="Times New Roman;serif" w:hAnsi="Times New Roman;serif"/>
          <w:b w:val="false"/>
          <w:color w:val="000000"/>
          <w:sz w:val="24"/>
        </w:rPr>
      </w:pPr>
      <w:r>
        <w:rPr>
          <w:rFonts w:ascii="Times New Roman;serif" w:hAnsi="Times New Roman;serif"/>
          <w:b w:val="false"/>
          <w:color w:val="000000"/>
          <w:sz w:val="24"/>
        </w:rPr>
        <w:t>We define gross written premium growth, as the growth in the total amount of gross premium on policies that were bound during the period less the prorated impact of policy cancellations. Gross written premiums growth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loss adjustment expense, or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pStyle w:val="TextBody"/>
        <w:bidi w:val="0"/>
        <w:spacing w:lineRule="auto" w:line="256" w:before="0" w:after="180"/>
        <w:jc w:val="left"/>
        <w:rPr>
          <w:rFonts w:ascii="Times New Roman;serif" w:hAnsi="Times New Roman;serif"/>
          <w:b/>
          <w:i/>
          <w:color w:val="000000"/>
          <w:sz w:val="24"/>
          <w:u w:val="single"/>
        </w:rPr>
      </w:pPr>
      <w:r>
        <w:rPr>
          <w:rFonts w:ascii="Times New Roman;serif" w:hAnsi="Times New Roman;serif"/>
          <w:b/>
          <w:i/>
          <w:color w:val="000000"/>
          <w:sz w:val="24"/>
          <w:u w:val="single"/>
        </w:rPr>
        <w:t>Gross Combined Ratio</w:t>
      </w:r>
    </w:p>
    <w:p>
      <w:pPr>
        <w:pStyle w:val="TextBody"/>
        <w:bidi w:val="0"/>
        <w:spacing w:lineRule="auto" w:line="256" w:before="0" w:after="0"/>
        <w:jc w:val="left"/>
        <w:rPr>
          <w:rFonts w:ascii="Times New Roman;serif" w:hAnsi="Times New Roman;serif"/>
          <w:b w:val="false"/>
          <w:color w:val="000000"/>
          <w:sz w:val="24"/>
        </w:rPr>
      </w:pPr>
      <w:r>
        <w:rPr>
          <w:rFonts w:ascii="Times New Roman;serif" w:hAnsi="Times New Roman;serif"/>
          <w:b w:val="false"/>
          <w:color w:val="000000"/>
          <w:sz w:val="24"/>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 The Compensation Committee has the discretion to modify the definition of GCR for purposes of Root’s STI payout for unusual and/or one-time items (potentially including but not limited to incremental expense related to STI and PSU payouts above plan, and potential release of valuation allowance on deferred tax assets) as they arise and determine the appropriateness of adjustments to GCR.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Alexander Timm,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2"/>
        <w:gridCol w:w="1807"/>
        <w:gridCol w:w="25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5080"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910"/>
        <w:gridCol w:w="910"/>
        <w:gridCol w:w="129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rPr/>
        <w:tc>
          <w:tcPr>
            <w:tcW w:w="163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60"/>
        <w:jc w:val="center"/>
        <w:rPr/>
      </w:pPr>
      <w:r>
        <w:rPr/>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Megan Binkley,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2"/>
        <w:gridCol w:w="1807"/>
        <w:gridCol w:w="25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4481"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736"/>
        <w:gridCol w:w="736"/>
        <w:gridCol w:w="104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rPr/>
        <w:tc>
          <w:tcPr>
            <w:tcW w:w="163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br/>
        <w:t>Pursuant to 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set forth in Rule 13a-14(b) of the Securities Exchange Act of 1934, as amended (the “Exchange Act”), and Section 1350 of Chapter 63 of Title 18 of the United States Code (“18 U.S.C. 1350”), Alexander Timm, Chief Executive Officer of Root, Inc. (the “Company”) and Megan Binkley, Chief Financial Officer of the Company, each hereby certifies that, to the best of his or her knowledge:</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35"/>
        <w:gridCol w:w="1535"/>
        <w:gridCol w:w="1535"/>
        <w:gridCol w:w="1535"/>
        <w:gridCol w:w="1535"/>
        <w:gridCol w:w="2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period ended March 31, 2026 to which this certification is attached as Exhibit 32.1 (the “Periodic Report”), fully complies with the requirements of Section 13(a) or Section 15(d) of the Exchange Act;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Periodic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Date: May 6, 2026</w:t>
      </w:r>
    </w:p>
    <w:tbl>
      <w:tblPr>
        <w:tblW w:w="444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910"/>
        <w:gridCol w:w="910"/>
        <w:gridCol w:w="1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rP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rP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47"/>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8882/000162828020015173/exhibit31-8xkxamendeda.htm" TargetMode="External"/><Relationship Id="rId3" Type="http://schemas.openxmlformats.org/officeDocument/2006/relationships/hyperlink" Target="https://www.sec.gov/Archives/edgar/data/1788882/000178888222000026/a31rootcharteramendment.htm" TargetMode="External"/><Relationship Id="rId4" Type="http://schemas.openxmlformats.org/officeDocument/2006/relationships/hyperlink" Target="https://www.sec.gov/Archives/edgar/data/1788882/000162828023004580/a33amendedandrestatedbylaws.htm" TargetMode="External"/><Relationship Id="rId5" Type="http://schemas.openxmlformats.org/officeDocument/2006/relationships/hyperlink" Target="https://www.sec.gov/Archives/edgar/data/0001788882/000119312521289291/d236036dex31.htm" TargetMode="External"/><Relationship Id="rId6" Type="http://schemas.openxmlformats.org/officeDocument/2006/relationships/hyperlink" Target="https://www.sec.gov/Archives/edgar/data/1788882/000162828020014581/exhibit41-sx1a1xformof.htm" TargetMode="External"/><Relationship Id="rId7" Type="http://schemas.openxmlformats.org/officeDocument/2006/relationships/hyperlink" Target="https://www.sec.gov/Archives/edgar/data/0001788882/000119312521289291/d236036dex41.htm" TargetMode="External"/><Relationship Id="rId8" Type="http://schemas.openxmlformats.org/officeDocument/2006/relationships/hyperlink" Target="https://www.sec.gov/Archives/edgar/data/1788882/000119312522018949/d295910dex41.htm" TargetMode="External"/><Relationship Id="rId9" Type="http://schemas.openxmlformats.org/officeDocument/2006/relationships/hyperlink" Target="https://www.sec.gov/Archives/edgar/data/1788882/000162828024044321/a45firstamendmenttoformofc.htm" TargetMode="External"/><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26524</Words>
  <Characters>144164</Characters>
  <CharactersWithSpaces>169215</CharactersWithSpaces>
  <Paragraphs>2675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