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ANNUAL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180"/>
        <w:jc w:val="center"/>
        <w:rPr>
          <w:color w:val="000000"/>
        </w:rPr>
      </w:pPr>
      <w:r>
        <w:rPr>
          <w:color w:val="000000"/>
        </w:rPr>
        <w:t xml:space="preserve">☐ </w:t>
      </w:r>
      <w:r>
        <w:rPr>
          <w:rFonts w:ascii="Times New Roman;serif" w:hAnsi="Times New Roman;serif"/>
          <w:b/>
          <w:color w:val="000000"/>
          <w:sz w:val="18"/>
        </w:rPr>
        <w:t>TRANSITION REPORT PURSUANT TO SECTION 13 OR 15(d)OF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from_____to_____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Commission file number 001-39658</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ROOT,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left"/>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 E. Rich Street, Suite 500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ind w:left="0" w:right="0" w:firstLine="360"/>
        <w:jc w:val="center"/>
        <w:rPr/>
      </w:pPr>
      <w:r>
        <w:rPr>
          <w:rFonts w:ascii="Times New Roman;serif" w:hAnsi="Times New Roman;serif"/>
          <w:b/>
          <w:color w:val="000000"/>
          <w:sz w:val="18"/>
        </w:rPr>
        <w:t>(</w:t>
      </w:r>
      <w:r>
        <w:rPr>
          <w:rFonts w:ascii="Times New Roman;serif" w:hAnsi="Times New Roman;serif"/>
          <w:b w:val="false"/>
          <w:color w:val="000000"/>
          <w:sz w:val="18"/>
        </w:rPr>
        <w:t>866</w:t>
      </w:r>
      <w:r>
        <w:rPr>
          <w:rFonts w:ascii="Times New Roman;serif" w:hAnsi="Times New Roman;serif"/>
          <w:b/>
          <w:color w:val="000000"/>
          <w:sz w:val="18"/>
        </w:rPr>
        <w:t xml:space="preserve">) </w:t>
      </w:r>
      <w:r>
        <w:rPr>
          <w:rFonts w:ascii="Times New Roman;serif" w:hAnsi="Times New Roman;serif"/>
          <w:b w:val="false"/>
          <w:color w:val="000000"/>
          <w:sz w:val="18"/>
        </w:rPr>
        <w:t>980-9431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6837" w:type="dxa"/>
        <w:jc w:val="center"/>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7"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7"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7" w:before="0" w:after="283"/>
              <w:jc w:val="center"/>
              <w:rPr>
                <w:rFonts w:ascii="Times New Roman;serif" w:hAnsi="Times New Roman;serif"/>
                <w:b w:val="false"/>
                <w:color w:val="000000"/>
                <w:sz w:val="16"/>
              </w:rPr>
            </w:pPr>
            <w:r>
              <w:rPr>
                <w:rFonts w:ascii="Times New Roman;serif" w:hAnsi="Times New Roman;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7"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15(d) of the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83" w:type="dxa"/>
        <w:jc w:val="left"/>
        <w:tblInd w:w="0" w:type="dxa"/>
        <w:tblLayout w:type="fixed"/>
        <w:tblCellMar>
          <w:top w:w="28" w:type="dxa"/>
          <w:left w:w="28" w:type="dxa"/>
          <w:bottom w:w="28" w:type="dxa"/>
          <w:right w:w="28" w:type="dxa"/>
        </w:tblCellMar>
      </w:tblPr>
      <w:tblGrid>
        <w:gridCol w:w="695"/>
        <w:gridCol w:w="611"/>
        <w:gridCol w:w="613"/>
        <w:gridCol w:w="662"/>
        <w:gridCol w:w="662"/>
        <w:gridCol w:w="94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Large accelerated filer </w:t>
            </w:r>
            <w:r>
              <w:rPr>
                <w:color w:val="000000"/>
              </w:rPr>
              <w:t>☒</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Accelerated filer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registrant's Class A common stock, par value $0.0001 per share (the “Class A common stock”) held by non-affiliates was approximately $1.6 billion based upon the June 30, 2025, closing price of $127.97 as reported by the Nasdaq Global Select Market.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There were 13,748,408 shares of Class A common stock and 1,806,236 shares of Class B common stock outstanding as of February 18, 2026.</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Part III of this report incorporates by reference specific portions of the Registrant’s Notice of Annual Meeting and Proxy Statement relating to the Annual Meeting of Stockholders to be held on or about June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ROOT,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 of and For the Year Ended December 31,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719"/>
        <w:gridCol w:w="631"/>
        <w:gridCol w:w="631"/>
        <w:gridCol w:w="2610"/>
        <w:gridCol w:w="2497"/>
        <w:gridCol w:w="2544"/>
        <w:gridCol w:w="167"/>
        <w:gridCol w:w="167"/>
        <w:gridCol w:w="239"/>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0">
              <w:r>
                <w:rPr>
                  <w:rStyle w:val="InternetLink"/>
                  <w:rFonts w:ascii="Times New Roman;serif" w:hAnsi="Times New Roman;serif"/>
                  <w:b w:val="false"/>
                  <w:color w:val="0000FF"/>
                  <w:sz w:val="20"/>
                  <w:u w:val="single"/>
                </w:rPr>
                <w:t>Special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3">
              <w:r>
                <w:rPr>
                  <w:rStyle w:val="InternetLink"/>
                  <w:rFonts w:ascii="Times New Roman;serif" w:hAnsi="Times New Roman;serif"/>
                  <w:b w:val="false"/>
                  <w:color w:val="0000FF"/>
                  <w:sz w:val="20"/>
                  <w:u w:val="single"/>
                </w:rPr>
                <w:t>Risk Factors Summary</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6">
              <w:r>
                <w:rPr>
                  <w:rStyle w:val="InternetLink"/>
                  <w:rFonts w:ascii="Times New Roman;serif" w:hAnsi="Times New Roman;serif"/>
                  <w:b w:val="false"/>
                  <w:color w:val="0000FF"/>
                  <w:sz w:val="20"/>
                  <w:u w:val="single"/>
                </w:rPr>
                <w:t>Part I</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9">
              <w:r>
                <w:rPr>
                  <w:rStyle w:val="InternetLink"/>
                  <w:rFonts w:ascii="Times New Roman;serif" w:hAnsi="Times New Roman;serif"/>
                  <w:b w:val="false"/>
                  <w:color w:val="0000FF"/>
                  <w:sz w:val="20"/>
                  <w:u w:val="single"/>
                </w:rPr>
                <w:t>Item 1.</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9">
              <w:r>
                <w:rPr>
                  <w:rStyle w:val="InternetLink"/>
                  <w:rFonts w:ascii="Times New Roman;serif" w:hAnsi="Times New Roman;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9">
              <w:r>
                <w:rPr>
                  <w:rStyle w:val="InternetLink"/>
                  <w:rFonts w:ascii="Times New Roman;serif" w:hAnsi="Times New Roman;serif"/>
                  <w:b w:val="false"/>
                  <w:color w:val="0000FF"/>
                  <w:sz w:val="20"/>
                  <w:u w:val="single"/>
                </w:rPr>
                <w:t>1</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58">
              <w:r>
                <w:rPr>
                  <w:rStyle w:val="InternetLink"/>
                  <w:rFonts w:ascii="Times New Roman;serif" w:hAnsi="Times New Roman;serif"/>
                  <w:b w:val="false"/>
                  <w:color w:val="0000FF"/>
                  <w:sz w:val="20"/>
                  <w:u w:val="single"/>
                </w:rPr>
                <w:t>Item 1A.</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58">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58">
              <w:r>
                <w:rPr>
                  <w:rStyle w:val="InternetLink"/>
                  <w:rFonts w:ascii="Times New Roman;serif" w:hAnsi="Times New Roman;serif"/>
                  <w:b w:val="false"/>
                  <w:color w:val="0000FF"/>
                  <w:sz w:val="20"/>
                  <w:u w:val="single"/>
                </w:rPr>
                <w:t>17</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61">
              <w:r>
                <w:rPr>
                  <w:rStyle w:val="InternetLink"/>
                  <w:rFonts w:ascii="Times New Roman;serif" w:hAnsi="Times New Roman;serif"/>
                  <w:b w:val="false"/>
                  <w:color w:val="0000FF"/>
                  <w:sz w:val="20"/>
                  <w:u w:val="single"/>
                </w:rPr>
                <w:t xml:space="preserve">Item 1B.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61">
              <w:r>
                <w:rPr>
                  <w:rStyle w:val="InternetLink"/>
                  <w:rFonts w:ascii="Times New Roman;serif" w:hAnsi="Times New Roman;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61">
              <w:r>
                <w:rPr>
                  <w:rStyle w:val="InternetLink"/>
                  <w:rFonts w:ascii="Times New Roman;serif" w:hAnsi="Times New Roman;serif"/>
                  <w:b w:val="false"/>
                  <w:color w:val="0000FF"/>
                  <w:sz w:val="20"/>
                  <w:u w:val="single"/>
                </w:rPr>
                <w:t>58</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64">
              <w:r>
                <w:rPr>
                  <w:rStyle w:val="InternetLink"/>
                  <w:rFonts w:ascii="Times New Roman;serif" w:hAnsi="Times New Roman;serif"/>
                  <w:b w:val="false"/>
                  <w:color w:val="0000FF"/>
                  <w:sz w:val="20"/>
                  <w:u w:val="single"/>
                </w:rPr>
                <w:t>Item 1C.</w:t>
              </w:r>
            </w:hyperlink>
            <w:r>
              <w:rPr>
                <w:color w:val="000000"/>
              </w:rPr>
              <w:t xml:space="preserve"> </w:t>
            </w:r>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64">
              <w:r>
                <w:rPr>
                  <w:rStyle w:val="InternetLink"/>
                  <w:rFonts w:ascii="Times New Roman;serif" w:hAnsi="Times New Roman;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64">
              <w:r>
                <w:rPr>
                  <w:rStyle w:val="InternetLink"/>
                  <w:rFonts w:ascii="Times New Roman;serif" w:hAnsi="Times New Roman;serif"/>
                  <w:b w:val="false"/>
                  <w:color w:val="0000FF"/>
                  <w:sz w:val="20"/>
                  <w:u w:val="single"/>
                </w:rPr>
                <w:t>59</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67">
              <w:r>
                <w:rPr>
                  <w:rStyle w:val="InternetLink"/>
                  <w:rFonts w:ascii="Times New Roman;serif" w:hAnsi="Times New Roman;serif"/>
                  <w:b w:val="false"/>
                  <w:color w:val="0000FF"/>
                  <w:sz w:val="20"/>
                  <w:u w:val="single"/>
                </w:rPr>
                <w:t>Item 2.</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67">
              <w:r>
                <w:rPr>
                  <w:rStyle w:val="InternetLink"/>
                  <w:rFonts w:ascii="Times New Roman;serif" w:hAnsi="Times New Roman;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67">
              <w:r>
                <w:rPr>
                  <w:rStyle w:val="InternetLink"/>
                  <w:rFonts w:ascii="Times New Roman;serif" w:hAnsi="Times New Roman;serif"/>
                  <w:b w:val="false"/>
                  <w:color w:val="0000FF"/>
                  <w:sz w:val="20"/>
                  <w:u w:val="single"/>
                </w:rPr>
                <w:t>61</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70">
              <w:r>
                <w:rPr>
                  <w:rStyle w:val="InternetLink"/>
                  <w:rFonts w:ascii="Times New Roman;serif" w:hAnsi="Times New Roman;serif"/>
                  <w:b w:val="false"/>
                  <w:color w:val="0000FF"/>
                  <w:sz w:val="20"/>
                  <w:u w:val="single"/>
                </w:rPr>
                <w:t xml:space="preserve">Item 3.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70">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70">
              <w:r>
                <w:rPr>
                  <w:rStyle w:val="InternetLink"/>
                  <w:rFonts w:ascii="Times New Roman;serif" w:hAnsi="Times New Roman;serif"/>
                  <w:b w:val="false"/>
                  <w:color w:val="0000FF"/>
                  <w:sz w:val="20"/>
                  <w:u w:val="single"/>
                </w:rPr>
                <w:t>62</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73">
              <w:r>
                <w:rPr>
                  <w:rStyle w:val="InternetLink"/>
                  <w:rFonts w:ascii="Times New Roman;serif" w:hAnsi="Times New Roman;serif"/>
                  <w:b w:val="false"/>
                  <w:color w:val="0000FF"/>
                  <w:sz w:val="20"/>
                  <w:u w:val="single"/>
                </w:rPr>
                <w:t xml:space="preserve">Item 4.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73">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73">
              <w:r>
                <w:rPr>
                  <w:rStyle w:val="InternetLink"/>
                  <w:rFonts w:ascii="Times New Roman;serif" w:hAnsi="Times New Roman;serif"/>
                  <w:b w:val="false"/>
                  <w:color w:val="0000FF"/>
                  <w:sz w:val="20"/>
                  <w:u w:val="single"/>
                </w:rPr>
                <w:t>63</w:t>
              </w:r>
            </w:hyperlink>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76">
              <w:r>
                <w:rPr>
                  <w:rStyle w:val="InternetLink"/>
                  <w:rFonts w:ascii="Times New Roman;serif" w:hAnsi="Times New Roman;serif"/>
                  <w:b w:val="false"/>
                  <w:color w:val="0000FF"/>
                  <w:sz w:val="20"/>
                  <w:u w:val="single"/>
                </w:rPr>
                <w:t>Part II</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79">
              <w:r>
                <w:rPr>
                  <w:rStyle w:val="InternetLink"/>
                  <w:rFonts w:ascii="Times New Roman;serif" w:hAnsi="Times New Roman;serif"/>
                  <w:b w:val="false"/>
                  <w:color w:val="0000FF"/>
                  <w:sz w:val="20"/>
                  <w:u w:val="single"/>
                </w:rPr>
                <w:t>Item 5.</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79">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79">
              <w:r>
                <w:rPr>
                  <w:rStyle w:val="InternetLink"/>
                  <w:rFonts w:ascii="Times New Roman;serif" w:hAnsi="Times New Roman;serif"/>
                  <w:b w:val="false"/>
                  <w:color w:val="0000FF"/>
                  <w:sz w:val="20"/>
                  <w:u w:val="single"/>
                </w:rPr>
                <w:t>64</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82">
              <w:r>
                <w:rPr>
                  <w:rStyle w:val="InternetLink"/>
                  <w:rFonts w:ascii="Times New Roman;serif" w:hAnsi="Times New Roman;serif"/>
                  <w:b w:val="false"/>
                  <w:color w:val="0000FF"/>
                  <w:sz w:val="20"/>
                  <w:u w:val="single"/>
                </w:rPr>
                <w:t>Item 6</w:t>
              </w:r>
            </w:hyperlink>
            <w:r>
              <w:rPr>
                <w:rFonts w:ascii="Times New Roman;serif" w:hAnsi="Times New Roman;serif"/>
                <w:b w:val="false"/>
                <w:color w:val="000000"/>
                <w:sz w:val="20"/>
              </w:rPr>
              <w:t>.</w:t>
            </w:r>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82">
              <w:r>
                <w:rPr>
                  <w:rStyle w:val="InternetLink"/>
                  <w:rFonts w:ascii="Times New Roman;serif" w:hAnsi="Times New Roman;serif"/>
                  <w:b w:val="false"/>
                  <w:color w:val="000080"/>
                  <w:sz w:val="20"/>
                  <w:u w:val="single"/>
                </w:rPr>
                <w:t>[Reserved</w:t>
              </w:r>
            </w:hyperlink>
            <w:hyperlink w:anchor="i7aa2498cbf6b469b80433040e8780d1c_82">
              <w:r>
                <w:rPr>
                  <w:rStyle w:val="InternetLink"/>
                  <w:rFonts w:ascii="Times New Roman;serif" w:hAnsi="Times New Roman;serif"/>
                  <w:b w:val="false"/>
                  <w:color w:val="000080"/>
                  <w:sz w:val="20"/>
                  <w:u w:val="single"/>
                </w:rPr>
                <w:t>.</w:t>
              </w:r>
            </w:hyperlink>
            <w:hyperlink w:anchor="i7aa2498cbf6b469b80433040e8780d1c_82">
              <w:r>
                <w:rPr>
                  <w:rStyle w:val="InternetLink"/>
                  <w:rFonts w:ascii="Times New Roman;serif" w:hAnsi="Times New Roman;serif"/>
                  <w:b w:val="false"/>
                  <w:color w:val="000080"/>
                  <w:sz w:val="20"/>
                  <w:u w:val="single"/>
                </w:rPr>
                <w: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82">
              <w:r>
                <w:rPr>
                  <w:rStyle w:val="InternetLink"/>
                  <w:rFonts w:ascii="Times New Roman;serif" w:hAnsi="Times New Roman;serif"/>
                  <w:b w:val="false"/>
                  <w:color w:val="0000FF"/>
                  <w:sz w:val="20"/>
                  <w:u w:val="single"/>
                </w:rPr>
                <w:t>65</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85">
              <w:r>
                <w:rPr>
                  <w:rStyle w:val="InternetLink"/>
                  <w:rFonts w:ascii="Times New Roman;serif" w:hAnsi="Times New Roman;serif"/>
                  <w:b w:val="false"/>
                  <w:color w:val="0000FF"/>
                  <w:sz w:val="20"/>
                  <w:u w:val="single"/>
                </w:rPr>
                <w:t>Item 7.</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85">
              <w:r>
                <w:rPr>
                  <w:rStyle w:val="InternetLink"/>
                  <w:rFonts w:ascii="Times New Roman;serif" w:hAnsi="Times New Roman;serif"/>
                  <w:b w:val="false"/>
                  <w:color w:val="0000FF"/>
                  <w:sz w:val="20"/>
                  <w:u w:val="single"/>
                </w:rPr>
                <w:t>66</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15">
              <w:r>
                <w:rPr>
                  <w:rStyle w:val="InternetLink"/>
                  <w:rFonts w:ascii="Times New Roman;serif" w:hAnsi="Times New Roman;serif"/>
                  <w:b w:val="false"/>
                  <w:color w:val="0000FF"/>
                  <w:sz w:val="20"/>
                  <w:u w:val="single"/>
                </w:rPr>
                <w:t>Item 7A.</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15">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15">
              <w:r>
                <w:rPr>
                  <w:rStyle w:val="InternetLink"/>
                  <w:rFonts w:ascii="Times New Roman;serif" w:hAnsi="Times New Roman;serif"/>
                  <w:b w:val="false"/>
                  <w:color w:val="0000FF"/>
                  <w:sz w:val="20"/>
                  <w:u w:val="single"/>
                </w:rPr>
                <w:t>85</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24">
              <w:r>
                <w:rPr>
                  <w:rStyle w:val="InternetLink"/>
                  <w:rFonts w:ascii="Times New Roman;serif" w:hAnsi="Times New Roman;serif"/>
                  <w:b w:val="false"/>
                  <w:color w:val="0000FF"/>
                  <w:sz w:val="20"/>
                  <w:u w:val="single"/>
                </w:rPr>
                <w:t xml:space="preserve">Item 8.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24">
              <w:r>
                <w:rPr>
                  <w:rStyle w:val="InternetLink"/>
                  <w:rFonts w:ascii="Times New Roman;serif" w:hAnsi="Times New Roman;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24">
              <w:r>
                <w:rPr>
                  <w:rStyle w:val="InternetLink"/>
                  <w:rFonts w:ascii="Times New Roman;serif" w:hAnsi="Times New Roman;serif"/>
                  <w:b w:val="false"/>
                  <w:color w:val="0000FF"/>
                  <w:sz w:val="20"/>
                  <w:u w:val="single"/>
                </w:rPr>
                <w:t>87</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44">
              <w:r>
                <w:rPr>
                  <w:rStyle w:val="InternetLink"/>
                  <w:rFonts w:ascii="Times New Roman;serif" w:hAnsi="Times New Roman;serif"/>
                  <w:b w:val="false"/>
                  <w:color w:val="0000FF"/>
                  <w:sz w:val="20"/>
                  <w:u w:val="single"/>
                </w:rPr>
                <w:t>Item 9.</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4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44">
              <w:r>
                <w:rPr>
                  <w:rStyle w:val="InternetLink"/>
                  <w:rFonts w:ascii="Times New Roman;serif" w:hAnsi="Times New Roman;serif"/>
                  <w:b w:val="false"/>
                  <w:color w:val="0000FF"/>
                  <w:sz w:val="20"/>
                  <w:u w:val="single"/>
                </w:rPr>
                <w:t>133</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47">
              <w:r>
                <w:rPr>
                  <w:rStyle w:val="InternetLink"/>
                  <w:rFonts w:ascii="Times New Roman;serif" w:hAnsi="Times New Roman;serif"/>
                  <w:b w:val="false"/>
                  <w:color w:val="0000FF"/>
                  <w:sz w:val="20"/>
                  <w:u w:val="single"/>
                </w:rPr>
                <w:t>Item 9A.</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47">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47">
              <w:r>
                <w:rPr>
                  <w:rStyle w:val="InternetLink"/>
                  <w:rFonts w:ascii="Times New Roman;serif" w:hAnsi="Times New Roman;serif"/>
                  <w:b w:val="false"/>
                  <w:color w:val="0000FF"/>
                  <w:sz w:val="20"/>
                  <w:u w:val="single"/>
                </w:rPr>
                <w:t>134</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53">
              <w:r>
                <w:rPr>
                  <w:rStyle w:val="InternetLink"/>
                  <w:rFonts w:ascii="Times New Roman;serif" w:hAnsi="Times New Roman;serif"/>
                  <w:b w:val="false"/>
                  <w:color w:val="0000FF"/>
                  <w:sz w:val="20"/>
                  <w:u w:val="single"/>
                </w:rPr>
                <w:t>Item 9B.</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53">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53">
              <w:r>
                <w:rPr>
                  <w:rStyle w:val="InternetLink"/>
                  <w:rFonts w:ascii="Times New Roman;serif" w:hAnsi="Times New Roman;serif"/>
                  <w:b w:val="false"/>
                  <w:color w:val="0000FF"/>
                  <w:sz w:val="20"/>
                  <w:u w:val="single"/>
                </w:rPr>
                <w:t>137</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59">
              <w:r>
                <w:rPr>
                  <w:rStyle w:val="InternetLink"/>
                  <w:rFonts w:ascii="Times New Roman;serif" w:hAnsi="Times New Roman;serif"/>
                  <w:b w:val="false"/>
                  <w:color w:val="0000FF"/>
                  <w:sz w:val="20"/>
                  <w:u w:val="single"/>
                </w:rPr>
                <w:t>Item 9C.</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59">
              <w:r>
                <w:rPr>
                  <w:rStyle w:val="InternetLink"/>
                  <w:rFonts w:ascii="Times New Roman;serif" w:hAnsi="Times New Roman;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59">
              <w:r>
                <w:rPr>
                  <w:rStyle w:val="InternetLink"/>
                  <w:rFonts w:ascii="Times New Roman;serif" w:hAnsi="Times New Roman;serif"/>
                  <w:b w:val="false"/>
                  <w:color w:val="0000FF"/>
                  <w:sz w:val="20"/>
                  <w:u w:val="single"/>
                </w:rPr>
                <w:t>138</w:t>
              </w:r>
            </w:hyperlink>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62">
              <w:r>
                <w:rPr>
                  <w:rStyle w:val="InternetLink"/>
                  <w:rFonts w:ascii="Times New Roman;serif" w:hAnsi="Times New Roman;serif"/>
                  <w:b w:val="false"/>
                  <w:color w:val="0000FF"/>
                  <w:sz w:val="20"/>
                  <w:u w:val="single"/>
                </w:rPr>
                <w:t>Part III</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65">
              <w:r>
                <w:rPr>
                  <w:rStyle w:val="InternetLink"/>
                  <w:rFonts w:ascii="Times New Roman;serif" w:hAnsi="Times New Roman;serif"/>
                  <w:b w:val="false"/>
                  <w:color w:val="0000FF"/>
                  <w:sz w:val="20"/>
                  <w:u w:val="single"/>
                </w:rPr>
                <w:t xml:space="preserve">Item 10.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65">
              <w:r>
                <w:rPr>
                  <w:rStyle w:val="InternetLink"/>
                  <w:rFonts w:ascii="Times New Roman;serif" w:hAnsi="Times New Roman;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65">
              <w:r>
                <w:rPr>
                  <w:rStyle w:val="InternetLink"/>
                  <w:rFonts w:ascii="Times New Roman;serif" w:hAnsi="Times New Roman;serif"/>
                  <w:b w:val="false"/>
                  <w:color w:val="0000FF"/>
                  <w:sz w:val="20"/>
                  <w:u w:val="single"/>
                </w:rPr>
                <w:t>139</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68">
              <w:r>
                <w:rPr>
                  <w:rStyle w:val="InternetLink"/>
                  <w:rFonts w:ascii="Times New Roman;serif" w:hAnsi="Times New Roman;serif"/>
                  <w:b w:val="false"/>
                  <w:color w:val="0000FF"/>
                  <w:sz w:val="20"/>
                  <w:u w:val="single"/>
                </w:rPr>
                <w:t xml:space="preserve">Item 11.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68">
              <w:r>
                <w:rPr>
                  <w:rStyle w:val="InternetLink"/>
                  <w:rFonts w:ascii="Times New Roman;serif" w:hAnsi="Times New Roman;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68">
              <w:r>
                <w:rPr>
                  <w:rStyle w:val="InternetLink"/>
                  <w:rFonts w:ascii="Times New Roman;serif" w:hAnsi="Times New Roman;serif"/>
                  <w:b w:val="false"/>
                  <w:color w:val="0000FF"/>
                  <w:sz w:val="20"/>
                  <w:u w:val="single"/>
                </w:rPr>
                <w:t>140</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71">
              <w:r>
                <w:rPr>
                  <w:rStyle w:val="InternetLink"/>
                  <w:rFonts w:ascii="Times New Roman;serif" w:hAnsi="Times New Roman;serif"/>
                  <w:b w:val="false"/>
                  <w:color w:val="0000FF"/>
                  <w:sz w:val="20"/>
                  <w:u w:val="single"/>
                </w:rPr>
                <w:t xml:space="preserve">Item 12.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7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71">
              <w:r>
                <w:rPr>
                  <w:rStyle w:val="InternetLink"/>
                  <w:rFonts w:ascii="Times New Roman;serif" w:hAnsi="Times New Roman;serif"/>
                  <w:b w:val="false"/>
                  <w:color w:val="0000FF"/>
                  <w:sz w:val="20"/>
                  <w:u w:val="single"/>
                </w:rPr>
                <w:t>141</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74">
              <w:r>
                <w:rPr>
                  <w:rStyle w:val="InternetLink"/>
                  <w:rFonts w:ascii="Times New Roman;serif" w:hAnsi="Times New Roman;serif"/>
                  <w:b w:val="false"/>
                  <w:color w:val="0000FF"/>
                  <w:sz w:val="20"/>
                  <w:u w:val="single"/>
                </w:rPr>
                <w:t xml:space="preserve">Item 13.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74">
              <w:r>
                <w:rPr>
                  <w:rStyle w:val="InternetLink"/>
                  <w:rFonts w:ascii="Times New Roman;serif" w:hAnsi="Times New Roman;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74">
              <w:r>
                <w:rPr>
                  <w:rStyle w:val="InternetLink"/>
                  <w:rFonts w:ascii="Times New Roman;serif" w:hAnsi="Times New Roman;serif"/>
                  <w:b w:val="false"/>
                  <w:color w:val="0000FF"/>
                  <w:sz w:val="20"/>
                  <w:u w:val="single"/>
                </w:rPr>
                <w:t>142</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77">
              <w:r>
                <w:rPr>
                  <w:rStyle w:val="InternetLink"/>
                  <w:rFonts w:ascii="Times New Roman;serif" w:hAnsi="Times New Roman;serif"/>
                  <w:b w:val="false"/>
                  <w:color w:val="0000FF"/>
                  <w:sz w:val="20"/>
                  <w:u w:val="single"/>
                </w:rPr>
                <w:t xml:space="preserve">Item 14.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77">
              <w:r>
                <w:rPr>
                  <w:rStyle w:val="InternetLink"/>
                  <w:rFonts w:ascii="Times New Roman;serif" w:hAnsi="Times New Roman;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77">
              <w:r>
                <w:rPr>
                  <w:rStyle w:val="InternetLink"/>
                  <w:rFonts w:ascii="Times New Roman;serif" w:hAnsi="Times New Roman;serif"/>
                  <w:b w:val="false"/>
                  <w:color w:val="0000FF"/>
                  <w:sz w:val="20"/>
                  <w:u w:val="single"/>
                </w:rPr>
                <w:t>143</w:t>
              </w:r>
            </w:hyperlink>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80">
              <w:r>
                <w:rPr>
                  <w:rStyle w:val="InternetLink"/>
                  <w:rFonts w:ascii="Times New Roman;serif" w:hAnsi="Times New Roman;serif"/>
                  <w:b w:val="false"/>
                  <w:color w:val="0000FF"/>
                  <w:sz w:val="20"/>
                  <w:u w:val="single"/>
                </w:rPr>
                <w:t>Part IV</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83">
              <w:r>
                <w:rPr>
                  <w:rStyle w:val="InternetLink"/>
                  <w:rFonts w:ascii="Times New Roman;serif" w:hAnsi="Times New Roman;serif"/>
                  <w:b w:val="false"/>
                  <w:color w:val="0000FF"/>
                  <w:sz w:val="20"/>
                  <w:u w:val="single"/>
                </w:rPr>
                <w:t xml:space="preserve">Item 15.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83">
              <w:r>
                <w:rPr>
                  <w:rStyle w:val="InternetLink"/>
                  <w:rFonts w:ascii="Times New Roman;serif" w:hAnsi="Times New Roman;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83">
              <w:r>
                <w:rPr>
                  <w:rStyle w:val="InternetLink"/>
                  <w:rFonts w:ascii="Times New Roman;serif" w:hAnsi="Times New Roman;serif"/>
                  <w:b w:val="false"/>
                  <w:color w:val="0000FF"/>
                  <w:sz w:val="20"/>
                  <w:u w:val="single"/>
                </w:rPr>
                <w:t>144</w:t>
              </w:r>
            </w:hyperlink>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86">
              <w:r>
                <w:rPr>
                  <w:rStyle w:val="InternetLink"/>
                  <w:rFonts w:ascii="Times New Roman;serif" w:hAnsi="Times New Roman;serif"/>
                  <w:b w:val="false"/>
                  <w:color w:val="0000FF"/>
                  <w:sz w:val="20"/>
                  <w:u w:val="single"/>
                </w:rPr>
                <w:t xml:space="preserve">Item 16. </w:t>
              </w:r>
            </w:hyperlink>
          </w:p>
        </w:tc>
        <w:tc>
          <w:tcPr>
            <w:tcW w:w="76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86">
              <w:r>
                <w:rPr>
                  <w:rStyle w:val="InternetLink"/>
                  <w:rFonts w:ascii="Times New Roman;serif" w:hAnsi="Times New Roman;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86">
              <w:r>
                <w:rPr>
                  <w:rStyle w:val="InternetLink"/>
                  <w:rFonts w:ascii="Times New Roman;serif" w:hAnsi="Times New Roman;serif"/>
                  <w:b w:val="false"/>
                  <w:color w:val="0000FF"/>
                  <w:sz w:val="20"/>
                  <w:u w:val="single"/>
                </w:rPr>
                <w:t>148</w:t>
              </w:r>
            </w:hyperlink>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89">
              <w:r>
                <w:rPr>
                  <w:rStyle w:val="InternetLink"/>
                  <w:rFonts w:ascii="Times New Roman;serif" w:hAnsi="Times New Roman;serif"/>
                  <w:b w:val="false"/>
                  <w:color w:val="0000FF"/>
                  <w:sz w:val="20"/>
                  <w:u w:val="single"/>
                </w:rPr>
                <w:t>Signatures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future financial performance, including total revenue, gross profit, net income (loss),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drive a significant long-term competitive advantage through our partnership with Carvana Group, LLC, or Carvana, and other partnerships, such as our partnerships with Hyundai Capital America, Toyota and Experian;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for embedded insurance and other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remain profitable and extend our capital runway;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and efficiency of our telematics and behavioral data, and our ability to gather and leverage existing and additional data;</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the growth of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future performance of the markets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operate a “capital-efficient” business and obtain and maintain desirable levels of reinsurance;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deliver a vertically integrated customer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our intellectual property and any costs associated therewith;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an autonomous claims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meet risk-based capital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benefits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comply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regulations, or changes in the interpretation of laws or regulations by a regulatory authority, specific to the use of artificial intelligence, or AI, telematics data and the consent to use telematics data, connected car data, and other sources of data, or relating to taxation, including changes in tax regulations, or guidance promulgated pursuant to the new legislation implemented in the One Big Beautiful Bill Act, or the OBBBA;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moratoriums, mandates and similar regulations or requests related to federal government shutdowns or other economic disruptions that negatively impact our ability to charge or increase premiums or result in increased premium write-offs;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interest rates on our available cash and our ability to maintain compliance with our Amended Term Loan (as defined 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proper and effective internal control over financial reporting;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rates of the markets in which we compete.</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report to the terms “Root,” “the Company,” “we,” “our” and “us” refer to Root, Inc. and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Class A common stock involves numerous risks and uncertainties, as more fully described below. You should read these risks before you invest in our Class A common stock. In particular, risks associated with our business include, but are not limited to,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a history of net losses and could incur substantial net losses in the future. We may not be able to grow, achieve or maintain profitability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lose our existing customers or fail to acquire new customers, including through our partnership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require additional capital to support business growth or to satisfy our regulatory capital and surplus requirements, and this capital might not be available on acceptable terms, if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will be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fail to maintain an effective partnership channel offering, including our embedded insurance product and our independent agent platform and/or fail to perform under the associated commercial arrangements.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depend on search engines (including generative AI-driven search and discovery tools such as ChatGPT, Gemini, and Perplexity),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 and prospects.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expansion within the United States will subject us to additional regulatory approvals and costs and risks, and our plans may not be successful.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technology platform may not operate properly or as we expect it to operate and/or regulators may limit our ability to develop or implement our telematics-based pricing model and/or may eliminate or restrict the confidentiality of our proprietary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full scope financial examinations by state insurance regulatory authorities in each state in which our domestic insurance company subsidiaries are domiciled, and market conduct examinations by state insurance regulatory authorities in any state in which our insurance subsidiaries issue insurance policies, either of which could result in adverse examination findings and necessitate remedial 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exposure to loss activity and regulation may be greater in states where we currently have most of our customers: Texas, Georgia, Florida, and California.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are subject to complex and evolving privacy, data security and cybersecurity laws, regulations, and standards, increasing the burden of compliance. Our actual or perceived failure to comply with such obligations could harm our reputation, subject us to significant fines and liability, or adversely affect our business. In addition, cybersecurity incidents, or real or perceived errors, failures or bugs in our or our vendors’ systems or our website or mobile app could impair our operations, compromise our confidential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or our customers’ personal information, damage our reputation and brand, and harm our business, financial condition, operating results and prospects.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brand may not become as widely known or accepted as our competitors’ brands or our brand may become tarnished.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on highly skilled and experienced personnel, and if we are unable to attract, retain or motivate key personnel or hire qualified personnel, our business may be seriously harmed. In addition, the loss of key senior management personnel could harm our business, results of operations, financial conditions and prospects.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New legislation or legal requirements may affect how we use AI and/or impact how we communicate with our customers, which could have an adverse effect on our business, financial condition, results of operations and prospects.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Denial of claims or our failure to accurately and timely pay claims could materially and adversely affect our business, results of operations, financial condition and prospects.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Unexpected increases in the frequency or severity of claims, as well as increasing costs of social inflation and the legal environment, may adversely affect our business, results of operations, financial condition and prospects.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to maintain our risk-based capital at the required levels could adversely affect our ability to maintain regulatory authority to conduct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prevent, monitor or detect fraudulent activity, including policy acquisitions or payments of claims that are fraudulent in nature, or fraud that may be perpetrated by employees or external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on our mobile app to execute our business strategy. Government regulation of the internet and the use of mobile apps in particular is evolving, and unfavorable changes could seriously harm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intellectual property rights are valuable, and any inability to protect them could reduce the value of our products, services and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and legal proceedings filed by or against us and our subsidiaries could have a material adverse effect on our business, results of operations, financial condition and prospects, and may divert management’s attention and resources away from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utilize our net operating loss carryforwards may be limited.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insurance business, including the market for automobile and renters insurance, is historically cyclical in nature, and we may experience periods with excess underwriting capacity and unfavorable premium rates, which could adversely affect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Retention of business written by us or through our Texas county mutual arrangement could expose us to potential losses. Further, reinsurance may be unavailable at current levels and prices, subjects us to counterparty risk and may not be adequate to protect us against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inability to access our cash accounts or to convert investments into cash on favorable terms when we desire to do so may materially and adversely affect our business, cash flows and capital position.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meet the continued listing requirements of Nasdaq Global Select Market, or Nasdaq, could result in delisting of our Class A common stock, which in turn would negatively affect the price of our Class A common stock and limit investors’ ability to trade in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Amended Term Loan includes a floating interest rate that exposes us to interest rate risk, and the terms of our Amended Term Loan place restrictions on our operating and financial flexibility. Our failure to comply with covenants contained in the Amended Term Loan may result in acceleration of our repayment obligations, which could harm our liquidity, financial condition, operating results, business and prospects and cause the price of our Class A common stock to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is a technology insurance company founded on the idea that car insurance rates should be based primarily on driving behaviors, not demographics. We are revolutionizing the archaic car insurance industry by using modern technology, data science, and telematics to offer fair, personalized rates to good drivers. We primarily reach customers through two channels: our direct channel, where we target consumers with what we believe to be a great insurance product at a great price, and through our partnership channel, where we meet consumers at contextually relevant times, such as during the car purchasing experience or through independent insurance agents.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focus is the United States personal auto insurance market. We have built our company around the principle that each individual has unique behaviors and that customers should be in control and rewarded for their actions. For centuries, traditional insurance companies have grouped people into risk pools and long relied on the ‘law of large numbers’ to produce acceptable pricing on an aggregate basis. Root is different—we have the ability to use technology to measure risk based on individual driving performance, prioritizing fairness to the customer. We are fundamentally reinventing insurance through technology, data science, and a strong focus on the customer experience.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approximately $350 billion United States personal auto insurance market is ripe for disruption. Traditional methods of pooled risk assessment are not personalized and inherently less precise given individual behavioral data is underutilized or not widely measured as a component of the insurance risk assessment process. We believe traditional systems and processes have become outdated and are increasingly disconnected from the needs and expectations of modern consumers. Our initial focus on auto insurance reflects how well-suited we believe the product is for fundamental improvement through technology and we believe Root is the innovator best positioned to drive this transformation.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Auto insurance is required for the vast majority of United States drivers, and we believe it is typically the first insurance product purchased by consumers. As a result, our auto-first strategy establishes the foundation for an expansive lifetime relationship with the opportunity to add other personal insurance lines as customer needs evolve. Our technology platform is scalable and supports future product expansion.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advantage is derived from our technology-enabled approach to the customer lifecycle. We engage customers at a point of high intent across multiple channels, provide a seamless and intuitive product experience, and utilize sophisticated data science to fairly price our policies. As a full-stack insurance carrier, we have the infrastructure and flexibility to design products and to distribute, underwrite, administer, and pay claims. Our model, supported by proprietary technology, allows us to adapt more quickly across the value chain, provides design and feature discretion, and we believe enables us to innovate and iterate with more speed than any of our major competitors. We see this flexibility as critical to introducing new capabilities, responding to macroeconomic conditions, reinforcing customer centricity and driving growth at favorable unit economics. In practice this means we own and control an end-to-end insurance experience and have near complete operating autonomy, subject to regulation and agreements with our partners, to grow our business.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we continue to mature, we expect an increasing proportion of our premiums to be earned from customer renewals. Renewal premiums, referring to premiums from a customer’s second term and beyond, generally have lower loss ratios as compared to new premiums in the customer’s first term. As a young insurance company, our results are disproportionately weighted toward new customers. Our technology and data science-driven approach allows for rapid response to macroeconomic trends through quick, appropriate rate actions. This, paired with our ability to continually enhance underwriting and segmentation to price better drivers more fairly has contributed to stability in our gross loss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is one of the oldest and largest markets in the world, touching every corner of the world and protecting many of our most important assets. Our primary addressable market today is United States personal lines insurance. This market exceeded $552 billion in 2024 premiums and has grown at a 6% compound annual growth rate, or CAGR, since 2016.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century, there have been only a few waves of innovative disruption within insurance. Perhaps the most disruptive was the advent of the internet as a distribution channel in the late 1990s, which redefined the personal auto insurance market. We believe the next technology-driven structural shift is underway—a large secular shift in distribution with embedded insurance and a holistic change in the way insurance is priced and delivered, to include individualized pricing based on telematics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innovation has been slow within the property and casualty insurance industry, in part, because legacy systems are difficult to build upon and nearly impossible to replace. Also impacting the pace of innovation is institutional friction generated by the cost and perceived risk of a requisite ground-up technology rebuild, disruption of carrier-agent relationships and the business model implications of replacing broad pool-based pricing. Our proprietary technology and business model enable us to bypass these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Customer Experience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strive to meet customers where they are while delivering a user-friendly interface and convenient, efficient experience. This is the mantra that drives our user experience and our business model. Initial engagement, which may include app installation, is designed to be intuitive so that customers can easily identify the coverage they need.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 engagement extends across the customer experience and value chain:</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Engagement.</w:t>
      </w:r>
      <w:r>
        <w:rPr>
          <w:color w:val="000000"/>
        </w:rPr>
        <w:t xml:space="preserve"> </w:t>
      </w:r>
      <w:r>
        <w:rPr>
          <w:rFonts w:ascii="Times New Roman;serif" w:hAnsi="Times New Roman;serif"/>
          <w:b w:val="false"/>
          <w:color w:val="000000"/>
          <w:sz w:val="20"/>
        </w:rPr>
        <w:t xml:space="preserve">We acquire customers through our two distribution channels: direct and partnership. The direct channel delivers a seamless, digital-first experience supported by performance marketing and organic traffic, connecting consumers directly to our product. The partnership channel integrates our insurance offering within trusted third-party ecosystems, providing access to customers at the moment of need. Together, these channels drive higher-quality customer engagement and expands our overall reach.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Profile Creation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Root app is available for both iOS and Android operating systems making it available to 99% of United States smartphone users. A prospective customer can quickly and easily complete a profile, part of an on-boarding process that takes mere minutes to complete.</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Underwriting</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test drive is a key component of the underwriting process for certain channels. A two-to-four week test drive gathers and analyzes an individual’s data from smartphone sensors measuring braking, consistency, turning, time of day, driver attentiveness, and other performance and contextual data. For customers with an immediate insurance need; we are able to offer insurance products where we leverage our data science advantage and utilize data from traditional underwriting variables to offer a bindable quote. As we collect more data, our predictive power increases, enabling further refinement of our segmentation over time.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Coverage Selection.</w:t>
      </w:r>
      <w:r>
        <w:rPr>
          <w:color w:val="000000"/>
        </w:rPr>
        <w:t xml:space="preserve"> </w:t>
      </w:r>
      <w:r>
        <w:rPr>
          <w:rFonts w:ascii="Times New Roman;serif" w:hAnsi="Times New Roman;serif"/>
          <w:b w:val="false"/>
          <w:color w:val="000000"/>
          <w:sz w:val="20"/>
        </w:rPr>
        <w:t>As part of profile setup, our app is designed to pre-populate with a customer’s owned automobiles and existing or prior coverage terms, allowing easy and seamless selection of policy terms.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Policy Management.</w:t>
      </w:r>
      <w:r>
        <w:rPr>
          <w:color w:val="000000"/>
        </w:rPr>
        <w:t xml:space="preserve"> </w:t>
      </w:r>
      <w:r>
        <w:rPr>
          <w:rFonts w:ascii="Times New Roman;serif" w:hAnsi="Times New Roman;serif"/>
          <w:b w:val="false"/>
          <w:color w:val="000000"/>
          <w:sz w:val="20"/>
        </w:rPr>
        <w:t xml:space="preserve">Once purchased, customers can perform all policy management functions seamlessly from our app, including profile or coverage adjustments, obtaining proof of insurance or chatting with an automated assistant or human.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Claims.</w:t>
      </w:r>
      <w:r>
        <w:rPr>
          <w:color w:val="000000"/>
        </w:rPr>
        <w:t xml:space="preserve"> </w:t>
      </w:r>
      <w:r>
        <w:rPr>
          <w:rFonts w:ascii="Times New Roman;serif" w:hAnsi="Times New Roman;serif"/>
          <w:b w:val="false"/>
          <w:color w:val="000000"/>
          <w:sz w:val="20"/>
        </w:rPr>
        <w:t xml:space="preserve">We make it easy to file a claim and track adjusting status through to settlement via the app, allowing us to administer claims more rapidly.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distribute largely through our direct and partnership channels. The direct channel includes mobile, which is one of the fastest growing retail channels in the United States, as customers spend less time in front of computers and utilize smart phones for more convenient shopping. To further differentiate access to our products, we are continuing to develop our partnership channel. The partnership channel emphasizes ease of use and minimal separation between intent and bind while leveraging the platforms of our strategic partners or network of independent agents. We believe that through a diverse customer acquisition strategy we can meet customers at a high point of intent with a pleasant experience.</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Direct: </w:t>
      </w:r>
      <w:r>
        <w:rPr>
          <w:rFonts w:ascii="Times New Roman;serif" w:hAnsi="Times New Roman;serif"/>
          <w:b w:val="false"/>
          <w:i/>
          <w:color w:val="000000"/>
          <w:sz w:val="20"/>
        </w:rPr>
        <w:t>seamless experiences driven by performance marketing and organic traffic connecting consumers directly to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Digital</w:t>
      </w:r>
      <w:r>
        <w:rPr>
          <w:rFonts w:ascii="Times New Roman;serif" w:hAnsi="Times New Roman;serif"/>
          <w:b w:val="false"/>
          <w:color w:val="000000"/>
          <w:sz w:val="20"/>
        </w:rPr>
        <w:t xml:space="preserve">. Our direct digital channel is designed to drive volume by efficiently capturing high-intent customers. We accomplish this by meeting our customers within platforms they use extensively such as search engines or select marketplace platforms where consumers are actively shopping for insurance. We deploy dynamic data science models to optimize advertising, targeting, and bidding strategies across our digital platforms, aligning customer acquisition cost to expected lifetime value of the potential customer.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Referral</w:t>
      </w:r>
      <w:r>
        <w:rPr>
          <w:rFonts w:ascii="Times New Roman;serif" w:hAnsi="Times New Roman;serif"/>
          <w:b w:val="false"/>
          <w:color w:val="000000"/>
          <w:sz w:val="20"/>
        </w:rPr>
        <w:t xml:space="preserve">. We encourage our existing customers to spread our value proposition. Our referral channel compensates existing customers who refer new customers who subsequently complete a test drive. This channel facilitates community-based growth to those who value our fair and transparent approach to insurance. This is our lowest cost acquisition channel and an important aspect of our ongoing distribution and brand strategy.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Channel Media</w:t>
      </w:r>
      <w:r>
        <w:rPr>
          <w:rFonts w:ascii="Times New Roman;serif" w:hAnsi="Times New Roman;serif"/>
          <w:b w:val="false"/>
          <w:color w:val="000000"/>
          <w:sz w:val="20"/>
        </w:rPr>
        <w:t xml:space="preserve">. We build consideration and drive intent through household-level targeted media channels including direct mail, social media, and digital media. We conduct experimental structured tests across media channels and geographies through a disciplined test-and-learn approach to evaluate new tactics. These efforts are intended to support expansion beyond high-intent acquisition channels while maintaining focus on efficiency and long-term value creation. We utilize these media channels to drive awareness when launching in new markets and to target prospective customers in active states.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Partnership:</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rPr>
        <w:t>wide array of integrations, spanning early-stage marketing partnerships through fully embedded user experiences</w:t>
      </w:r>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Automotive &amp; Financial Services</w:t>
      </w:r>
      <w:r>
        <w:rPr>
          <w:rFonts w:ascii="Times New Roman;serif" w:hAnsi="Times New Roman;serif"/>
          <w:b w:val="false"/>
          <w:color w:val="000000"/>
          <w:sz w:val="20"/>
        </w:rPr>
        <w:t>. We build upon or within the mobile and web customer experiences of our automotive and financial services distribution partners to reach a captive customer base with an integrated solution. Our flexible technology stack allows us to meet our partners where they are with the best solution for them with varying levels of connectivity, including our proprietary and fully-integrated application which removes the need for the customer to ever visit a Root website to purchase and bind a policy. While these partnerships take time to onboard and launch, over the long term, we believe our platform will deliver a seamless bind experience, creating a differentiated customer experience in this channel. We expect increased penetration of this channel over time as we seek to grow relationships with other automotive and financial service companies with relevant customer bases.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Independent Agent</w:t>
      </w:r>
      <w:r>
        <w:rPr>
          <w:rFonts w:ascii="Times New Roman;serif" w:hAnsi="Times New Roman;serif"/>
          <w:b w:val="false"/>
          <w:color w:val="000000"/>
          <w:sz w:val="20"/>
        </w:rPr>
        <w:t xml:space="preserve">. We continue to invest in a product to bring the speed and ease of our technology to the independent agent channel. This channel provides access to a larger demographic of customers and we believe it has staying power. We developed an efficient quote and bind process through our independent agent platform that enables simplified distribution from independent agents to their customers. Technology is at the core of the experience, enabling licensed independent agents to onboard quickly and seamlessly integrate with the comparative raters that many are already using. This allows us to offer our insurance products to customers alongside other established insurance carriers. The technology driven approach makes this an appealing platform for independent agents and an efficient acquisition channel for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 acquisition costs can vary due to channel mix, state, seasonality, or the competitive environment. We believe our distribution channels allow us to efficiently acquire customers in a contextually relevant, data-centric way. Our marketing spend is grounded in a disciplined data-science approach, targeting customers that align with our lifetime expected returns. Furthermore, we continue to invest in the technology and data science behind our distribution with A/B tests, dynamic bidding models, and rapid updates and iterations, supporting differentiated cost of customer acquisition over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Reinsurance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the impact of large losses or catastrophic events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continuously evaluate our utilization of third-party reinsurance in order to operate a capital-efficient business model. As our gross loss ratios have stabilized we strategically reduced the utilization of external quota share to balance the cost of reinsurance with capital-efficiency. Over the long-term, we expect to maintain the flexibility to modify our reinsurance program.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Reinsurance is a cornerstone of our capital management framework. We utilize a wholly-owned, Cayman Islands-based reinsurer, Root Reinsurance Company, Ltd., or Root Re. Several leading global reinsurers participate in our external reinsurance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Behavioral Data and Proprietary Data Models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certain of our customers, we use technology to measure risk based on transparent collection and analysis of individual driving performance, which we believe is the most powerful predictor of losses and the leading variable in our underwriting model. By collecting and synthesizing massive amounts of rich, sensory behavioral data across thousands of driving variables, including distracted driving and braking patterns, we strive to price auto insurance based more on causality than correlation. While the notion of telematics has been around for decades, only recently has mobile technology made the concept adoptable at large scale.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expanded beyond just traditional telematics to include various other means of measuring risk. This includes traditional underwriting variables, continuous telematics, which facilitates ongoing policyholder engagement, and third-party telematics. We have built a data platform capable of ingesting multiple data sources to continuously optimize our pricing engine. By using a high quantity of differentiated data and continuously retraining our models, we are able to write profitable business at great prices for customers, regardless of their telematics preference.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hallmark of our data advantage is our integrated set of actual claims and associated proprietary telematics, which we believe to be one of the largest in the market. We match miles tracked, on an individual basis, with actual claims and identify a set of driving performance factors that cause, or on a relative basis are more likely to cause, losses. The collection of the high quantity of differentiated data paired with our internally developed claims infrastructure contributes to our data advantage, which continues to iterate over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model uses integrated data and technology to create a pricing advantage through segmentation and has allowed us to respond quickly to macroeconomic trends. The data we collect feeds proprietary risk scoring models which assist us in identifying what we believe to be the riskiest drivers on the road, a group we have elected not to quote, thus avoiding a risk segment that is up to two times more likely to get in an accident than our average targeted customer. By using such powerful segmentation, we can price better drivers more fairly, resulting in a stronger conversion of customers whose behavioral data indicates lower risk than a market-standard demographic rating alone. This data advantage, combined with the machine learning approach to core elements of our technology stack, allows us to quickly identify loss trends and reflect this information faster in our rate filings. The resulting segmentation benefit allows for a better risk profile of our book over time, while delivering consistent value to our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focused on the following strategies to continue penetrating the approximately $350 billion United States personal auto insurance market. In the near term, our primary focus is to execute on the auto opportunity at hand. In the longer-term, we plan to continue to develop additional growth opportunities through the expansion of product offerings.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Accurate pricing.</w:t>
      </w:r>
      <w:r>
        <w:rPr>
          <w:color w:val="000000"/>
        </w:rPr>
        <w:t xml:space="preserve"> </w:t>
      </w:r>
      <w:r>
        <w:rPr>
          <w:rFonts w:ascii="Times New Roman;serif" w:hAnsi="Times New Roman;serif"/>
          <w:b w:val="false"/>
          <w:color w:val="000000"/>
          <w:sz w:val="20"/>
        </w:rPr>
        <w:t>We will never stop working to improve our ability to segment risk by increasing the influence of behavioral factors in our underwriting and pricing models. We are constantly iterating on our models with the most up to date information. Our primary tool for improvement is to continue applying data science. Over time, we hope that we can replace most correlation-related inputs to our pricing model, such as credit scores, with causal inputs like driving behavior. We believe that modern quantitative methods combined with systematic decision-making leads to more effective risk management and, ultimately, lower prices for our customers.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Enhance direct marketing efficiency. </w:t>
      </w:r>
      <w:r>
        <w:rPr>
          <w:rFonts w:ascii="Times New Roman;serif" w:hAnsi="Times New Roman;serif"/>
          <w:b w:val="false"/>
          <w:color w:val="000000"/>
          <w:sz w:val="20"/>
        </w:rPr>
        <w:t xml:space="preserve">We will continue to enhance the efficiency of our marketing spend through data science and dynamic bidding and targeting strategies.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Expand partnership network.</w:t>
      </w:r>
      <w:r>
        <w:rPr>
          <w:color w:val="000000"/>
        </w:rPr>
        <w:t xml:space="preserve"> </w:t>
      </w:r>
      <w:r>
        <w:rPr>
          <w:rFonts w:ascii="Times New Roman;serif" w:hAnsi="Times New Roman;serif"/>
          <w:b w:val="false"/>
          <w:color w:val="000000"/>
          <w:sz w:val="20"/>
        </w:rPr>
        <w:t xml:space="preserve">We will continue to leverage our technology to embed with prospective strategic partners and bring the speed and ease of our technology to multiple channels, including independent agents. Integrating our auto insurance solutions into partner platforms allows us to engage prospective customers at contextually relevant times. These arrangements involve varying degrees of integration, including our fully integrated embedded product utilized with some partners, such as Carvana. Over time, we expect increased penetration of this channel as we seek to partner across additional automotive, financial services, and affinity channels. Additionally, by continuing to invest in our independent agent product with quick onboarding and seamless integration with comparative raters, we expect to drive growth through a well-established independent agent network.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Grow national auto insurance presence.</w:t>
      </w:r>
      <w:r>
        <w:rPr>
          <w:color w:val="000000"/>
        </w:rPr>
        <w:t xml:space="preserve"> </w:t>
      </w:r>
      <w:r>
        <w:rPr>
          <w:rFonts w:ascii="Times New Roman;serif" w:hAnsi="Times New Roman;serif"/>
          <w:b w:val="false"/>
          <w:color w:val="000000"/>
          <w:sz w:val="20"/>
        </w:rPr>
        <w:t xml:space="preserve">We will continue to focus on domestic growth by diversifying distribution channels and launching additional states.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selectively pursue additional investments, acquisitions and partnerships to accelerate any of our growth and profitability objectives or to improve our competitive positioning within existing and new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portfolio of investable assets is primarily held in cash, cash equivalents, and available-for-sale fixed maturity securities, including United States Treasury and agency securities, corporate debt securities, asset-backed securities, and municipal securities. We manage the portfolio in accordance with investment policies and guidelines approved by our board of directors. We have designed our investment policy and guidelines to provide a balance between current yield, conservation of capital, and liquidity requirements of our operations. We set guidelines that provide for a well-diversified investment portfolio that is compliant with insurance regulations applicable to the states in which we operate. For further information, see Note 3, “Investments,” in the Notes to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insurance industry in which we operate is highly competitive. Several of our primary competitors spend billions of dollars on annual marketing initiatives to create well-established national brands. Our competitors include large national insurance companies such as GEICO, Progressive and Allstate, as well as new market entrants in the insurtech industry, some of which also utilize telematics and offer forms of usage-based insurance. The established national insurance companies have increased name recognition, higher financial ratings, greater resources, additional access to capital, and more lines of insurance coverage to offer due to their time in market. Many of these competitors offer consumers the ability to purchase multiple other lines of insurance coverage and “bundle” them together for discounts and, in certain circumstances, include an umbrella liability policy for additional coverage at competitive prices. Moreover, as we expand into new lines of business and offer additional products, we could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intense competition from traditional insurance companies that are already established in such markets and product offerings.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is based on many factors, including the reputation and experience of the insurer, coverages offered, pricing and other terms and conditions, customer service, claims experiences, size, and financial strength ratings, among other considerations. We believe that we compete favorably across many of these factors and have developed a platform and business model based on behavioral data collection and machine learning that will be difficult for incumbent insurance providers to emulate.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platform are larger contributors to our success in the marketplace.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13 issued patents, four non-provisional patent applications and six continuation applications pending examination in the United States. We continually review our development efforts to assess the existence and patentability of new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trademark rights in our name, our logo, and other brand indicia, and have trademark registrations for select markets in the United States and Canada. We also have registered domain names for websites that we use in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pursue additional intellectual property protection to the extent we believe it would be beneficial and cost-effective. Despite our efforts to protect our intellectual property rights, they may not be respected in the future or may be invalidated, infringed, circumvented, or challenged. For additional information, see the section titled “Risk Factors—Risks Related to Our Business—Our intellectual property rights are valuable, and any inability to protect them could reduce the value of our products, services and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technology company, our people are central to our success and differentiation. We believe our employees’ expertise, creativity, and shared purpose are what enable us to innovate, execute with speed and discipline, and deliver value to our customers and shareholders.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mission to reinvent insurance through technology and data science comes to life through our people. We believe we empower better lives through better insurance by cultivating an environment where employees are encouraged to think boldly, act with accountability, and continuously learn and grow. Our people strategy is built around four guiding pillars: Customer Value, Experimentation and Innovation, Disciplined Thinking, and Operational Excellence. These principles shape how we hire, develop, manage performance, and build leadership capabilities across the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an empowering, inclusive, and high-performance culture. We recognize that diverse backgrounds, experiences, and perspectives strengthen our business and foster innovation. Our inclusion strategy is embedded across the employee lifecycle from talent acquisition and onboarding to development, feedback, and advancement, ensuring equitable outcomes for all team members.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1,256 full-time employees. None of our employees are represented by a labor union or covered by collective bargaining agreements. In 2025, we focused on executing our people strategy by aligning talent and capability development with our business priorities. This included retaining and developing talent critical to executing our strategic plan, improving our operating efficiency, underwriting foundation, and continuing development and distribution of our insurance products. We are enhancing organizational effectiveness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streamlined processes and clearer accountability structures and building leadership capability through a monthly management skills series training, covering topics such as performance feedback, difficult conversations, and employment law. We have invested in learning and development, with plans to expand offerings in 2026 to support continuous growth and career mobility. These initiatives are designed to ensure our people have the clarity, resources, and skills needed to deliver exceptional results and drive long-term value creation.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Ethics and Company Values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culture is grounded in integrity, accountability, and transparency. Our Code of Conduct, values, and policies establish the ethical framework for how we operate. We encourage employees to report any unusual behavior or any non-compliant activities through multiple channels, including an anonymous reporting system designed to allow employees to raise concerns confidentially, and maintain an open-door policy that allows employees to connect with leaders, our People, Legal, Compliance, or Internal Audit teams directly.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Every employee completes annual compliance and ethics training, including acknowledgment of our Code of Conduct and related policies. We are committed to maintaining a workplace built on trust, where employees feel empowered to speak up and where we act with integrity in everything we do.</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Hiring and Retaining Talent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intentional about attracting, engaging, and retaining top talent nationally. Our hiring strategy focuses on sourcing high-performing, diverse talent capable of driving innovation and operational excellence.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Employee engagement remains a key priority. We regularly collect feedback through engagement surveys and listening mechanisms to identify opportunities for improvement and take meaningful action. We have also been recognized as a Great Place to Work by Great Place To Work</w:t>
      </w:r>
      <w:r>
        <w:rPr>
          <w:rFonts w:ascii="Times New Roman;serif" w:hAnsi="Times New Roman;serif"/>
          <w:b w:val="false"/>
          <w:color w:val="000000"/>
          <w:sz w:val="13"/>
        </w:rPr>
        <w:t>®</w:t>
      </w:r>
      <w:r>
        <w:rPr>
          <w:rFonts w:ascii="Times New Roman;serif" w:hAnsi="Times New Roman;serif"/>
          <w:b w:val="false"/>
          <w:color w:val="000000"/>
          <w:sz w:val="20"/>
        </w:rPr>
        <w:t>. Our performance and development process ensures that employees receive timely, actionable feedback, are clear on expectations, and can align their growth aspirations with business needs.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competitive compensation and benefits designed to support the overall well-being of our employees and are intended to align rewards with company performance. This includes competitive fixed- and variable-pay programs benchmarked to market data, annual short-term incentives and long-term, equity-based programs that are designed to align leadership and key roles with shareholder outcomes, and comprehensive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Insurance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insurance regulation in the jurisdictions in which we hold licenses and transact insurance through our licensed insurance carriers and producer subsidiaries in the United States. Insurance regulatory authorities have broad authority to regulate all aspects of an insurance carrier or producer’s business in each state, including the powers to restrict or revoke licenses to transact business, to levy fines and monetary penalties against insurers and insurance producers found to be in violation of applicable laws and regulations, and, in certain jurisdictions, to require insurers to return excess profits to policyholders if specified regulatory thresholds are exceeded; and, in some cases, to require insurers transacting business in their jurisdiction to maintain statutory capital and surplus, deposits, or other financial security in excess of the minimum risk-based capital or solvency standards required by the insurer’s domiciliary regulator, which may require the insurer to allocate additional capital or modify business operations to continue operations in that jurisdiction.. Regulations to which our licensed insurance carriers and producer subsidiaries are subject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prior approval of transactions resulting in a change of “control” (as such term is defined under Ohio or Florida law);</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approval of policy forms, underwriting rules/guidelines, rates and premiums;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approval of intercompany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statutory and risk-based capital solvency requirements, including the minimum capital and surplus our regulated insurance subsidiaries must maintain;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requirements imposed by non-domiciliary regulators to maintain additional statutory capital and surplus, deposits, or other financial security in excess of domiciliary standards as a condition of transacting business in their jurisdictions;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required minimum reserves that insurance carriers must hold to pay projected insurance claims;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required participation by our regulated insurance subsidiaries in state guaranty funds;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type and concentration of our regulated insurance subsidiaries’ investments;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advertising and marketing of insurance;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adjustment and settlement of insurance claims;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servicing and management of policies;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use of rebates to induce a policyholder to purchase insurance;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sale, solicitation and negotiation of insurance;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restrictions on the sharing of insurance commissions and payment of referral fees;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prohibitions on the underwriting of insurance on the basis of race, sex, religion and other protected classes;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our ability to use or to operate our telematics program to underwrite and price insurance policies consistently across jurisdictions, particularly in California, which prohibits any use of telematics, as well as other jurisdictions, which impose unique telematics-related requirements, some of which we have elected not to meet at this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ability of our regulated insurance subsidiaries to pay dividends to us or enter into certain related-party transactions without prior regulatory approval;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rules requiring the maintenance of statutory deposits for the benefit of policyholders;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privacy regulations, model governance, and data security regulations;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regulations on data and records storage and retention;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regulation of corporate governance and risk management;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consumer protection regulations, including regulations on management of consumer grievances;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periodic examinations of operations, finances, market conduct and claims practices;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required periodic financial reporting.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of insurance continues to evolve in response to emerging industry practices and developments. In recent years, regulators have shown increasing scrutiny and interest in the use of AI, predictive and automated decisioning models, particularly those that may affect pricing, underwriting, claims, or customer treatment, as well as in the use and disclosure of consumer information, cybersecurity and privacy practices, investment risks, restrictions on nonrenewal and cancellation, and concerns regarding unfair or discriminatory pricing. This heightened focus may slow the further development of our advanced analytics capabilities and delay the deployment of new model-driven products features.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business of insurance is almost entirely regulated at the state level, and the laws and regulations to which we are subject vary depending on the state. Unless the context otherwise requires, references herein to “state” include any of the 50 states, the District of Columbia and certain United States territories. These laws and regulations are subject to change as state legislatures and regulatory agencies update their authority to address real and perceived issues and concerns. These laws and regulations are also subject to interpretation by courts.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National Association of Insurance Commissioners, or NAIC, and the National Council of Insurance Legislators, are the principal organizations tasked with establishing standards and best practices across the various states, the District of Columbia and five United States territories, and from time to time promulgate model rules and regulations that often are the basis for insurance rules and regulations adopted by such jurisdictions. While we currently operate in 36 states, we would need to obtain regulatory approval, including with respect to the regulations described above, before offering our products in new markets. We cannot predict precisely whether or when regulatory actions may be taken that could adversely affect us, the operations of our regulated insurance subsidiaries, or our ability to expand our operations into new markets. Interpretations by regulators may change and laws, regulations and interpretations may be applied with retroactive effect, particularly in areas such as accounting or reserve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Required Licensing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three wholly-owned regulated United States insurance subsidiaries, Root Insurance Company, Root Property &amp; Casualty Insurance Company, or Root Property &amp; Casualty, and Root Florida Insurance Company, or Root Florida. Collectively, these are our insurance subsidiaries. Root Insurance Company, an Ohio-domiciled insurer, is licensed to transact certain lines of property and casualty insurance in Alabama, Alaska, Arizona, Arkansas, California, Colorado, Connecticut, Delaware, District of Columbia, Florida, Georgia, Hawaii, Illinois, Indiana, Iowa, Kentucky, Louisiana, Maryland, Mississippi, Missouri, Montana, Nebraska, Nevada, New Hampshire, New Mexico, North Carolina, North Dakota, Ohio, Oklahoma, Oregon, Pennsylvania, South Carolina, Tennessee, Texas, Utah, Virginia, Washington and West Virginia. Root Property &amp; Casualty is also domiciled in Ohio and licensed in all 50 states and the District of Columbia to transact certain lines of property and casualty insurance. Root Florida is domiciled in Florida and was formed to transact certain lines of property and casualty insurance and maintains a license to transact insurance in the state of Florida only. Root Florida was incorporated in early 2025 and is a wholly-owned subsidiary of Root Property &amp; Casualty. The Ohio Department of Insurance, or the Ohio DOI, is the primary state insurance regulator for Root Insurance Company and Root Property &amp; Casualty and Root Florida’s primary regulator is the Florida Office of Insurance Regulation, or the Florida OIR.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have a reinsurance captive subsidiary, Root Re, domiciled in the Cayman Islands.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licensed insurance producer subsidiaries, Root Insurance Agency, LLC, Root Lone Star Insurance Agency, Inc., Root Scout, LLC, Root Republic Managing General Agency, LLC, and Root Texas Managing General Agency, LLC, must maintain an insurance producer license in every state in which they sell, solicit or negotiate insurance. Root Insurance Agency, LLC currently holds a resident insurance producer license in Ohio and a non-resident license in the District of Columbia and 48 states, which does not include Massachusetts and New York. In Florida, Root Insurance Agency, LLC holds an agency license and an independent adjusting firm license and is appointed as a managing general agent for Root Florida. Root Lone Star Insurance Agency, Inc., Root Republic Managing General Agency, LLC, and Root Texas Managing General Agency, LLC each hold a resident managing general agency license in Texas. Root Scout, LLC currently holds a resident insurance producer license in Ohio.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regulators have broad authority to restrict or revoke licenses of insurance carriers and producers who are found to be in violation of any applicable laws and regulations. In addition, we must obtain additional regulatory approvals before offering our products in markets where we do not currently operate.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Required Licensing of Independent Agents and 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independent agents who sell, solicit or negotiate insurance on our behalf must be licensed and appointed insurance producers and must fulfill annual continuing education requirements. Similarly, any of our employees who sell, solicit or negotiate insurance must be licensed and appointed insurance producers and must fulfill annual continuing education requirements. In certain states in which we operate, insurance claims adjusters are also required to be licensed, appointed and fulfill annual continuing education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Insurance Holding Company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the ultimate controlling person in the “insurance holding company system” under state insurance holding company laws, we are required to file annual enterprise risk reports, corporate governance disclosures and Own Risk and Solvency Assessments, or ORSAs, with our domiciliary regulators.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also mandate that all inter-affiliate transactions within a holding company system meet the following conditions: (i) the terms must be fair and reasonable; (ii) charges or fees for services performed must be fair and reasonable; and (iii) expenses incurred and payments received must be allocated to the insurer in conformity with customary insurance accounting practices consistently applied. We generally must disclose any transaction between our regulated insurance subsidiaries and our other affiliates to the supervisory Department of Insurance, or DOI, and obtain prior approval from such DOI before entering into certain material inter-affiliate transactions, including, but not limited to, management agreements, tax allocation agreements, service contracts, cost-sharing arrangements, extraordinary dividends, certain reinsurance transactions and certain loan agreements.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 of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insurance holding company laws of the states in which our insurance subsidiaries are domiciled, including Ohio and Florida, a person must obtain regulatory approval from the supervisory DOI prior to acquiring direct or indirect “control” of a domestic insurer by filing a Form A Statement Regarding the Acquisition of Control of or Merger with a Domestic Insurer. As part of this Form A application, the entity acquiring control (as well as any controlling shareholders of such entity) must submit, along with other documents and disclosures, its financial statements, organizational charts and biographical affidavits for any officers, directors and controlling shareholders of each applicable entity. The DOI will grant approval of an application to acquire control of a domestic insurer unless the DOI finds that any of the following apply: (i) after the change of control, the domestic insurer would not be able to satisfy the requirements for the issuance of a license to write the line or lines of insurance for which it is presently licensed; (ii) the effect of the merger or other acquisition of control would be substantially to lessen competition in insurance in the applicable state or tend to create a monopoly; (iii) the financial condition of any acquiring party is such as might jeopardize the financial stability of the domestic insurer, or prejudice the interests of its policyholders; (iv) the plans or proposals that the acquiring party has to liquidate the domestic insurer, sell its assets, or consolidate or merge it with any person, or to make any other material change in its business or corporate structure or management, are unfair and unreasonable to policyholders of the domestic insurer and not in the public interest; (v) the competence, experience and integrity of the persons that would control the operation of the domestic insurer are such that it would not be in the interest of policyholders of the domestic insurer and of the public to permit the merger or other acquisition of control; or (vi) the acquisition is likely to be hazardous or prejudicial to the insurance-buying public.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State insurance holding company laws provide that control over a domestic insurer is presumed to exist if any person, directly or indirectly, owns, controls, holds with the power to vote, or holds proxies representing, ten percent or more of the voting securities of the domestic insurer. A person may rebut this statutory presumption of control by submitting a disclaimer of affiliation with the supervisory DOI, disclosing all material relationships and bases for affiliation between the person and the insurer as well as the basis for disclaiming such affiliation. The state regulators, however, may also find that “control” exists in circumstances in which a person owns or controls less than ten percent of the voting securities of the domestic insurer.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in both Ohio and Florida, any person divesting control of an insurer must provide 30 days’ notice to the regulator and the insurer.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change of control regulations may dissuade investors from acquiring a controlling stake in our company, including through transactions that some or all of our stockholders might consider to be desirable. Such regulations may also inhibit our ability to acquire an insurance company should we wish to do so in the future. See the section titled “Risk Factors—Risks Related to Ownership of Our Class A Common Stock—Applicable insurance laws may make it difficult to effect a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ORSA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Own Risk and Solvency Assessment, or ORSA, an insurance company with gross written and unaffiliated assumed premium of more than $500 million or that is part of an insurance group with gross written and unaffiliated assumed premium of more than $1 billion must maintain a risk management framework to assist the insurer with identifying, assessing, monitoring, managing, and reporting on its material and relevant risks. In addition, the insurer must regularly conduct an own risk and solvency assessment in accordance with NAIC’s ORSA Guidance Manual. Upon the request of the superintendent of the Ohio DOI, and not more than once a year, an insurer must submit an ORSA summary report, or any combination of reports that together contain the information described in the ORSA Guidance Manual, with respect to the insurer and the insurance group of which it is a member. We have filed ORSA summary reports annually since 2021 and, since the formation of Root Florida, have likewise submitted it to the Florida Office of Insurance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Restrictions on Paying Dividends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holding company that transacts a majority of its business through operating subsidiaries. Consequently, our ability to pay dividends to stockholders and meet our debt payment obligations depends on the results of operations of our operating subsidiaries and on the ability of such subsidiaries to provide us with cash, whether in the form of dividends, distributions, loans or otherwise. The payment of any extraordinary dividend by one of our regulated insurance subsidiaries requires the prior approval of the superintendent of the supervisory DOI. “Extraordinary dividend” is defined under applicable state law as: (i) any dividend or distribution of cash or other property whose fair market value, together with that of other dividends or distributions made within the preceding twelve months, exceeds the greater of (a) ten percent of an insurer’s policyholder surplus as of December 31 of the preceding year, or (b) an insurer’s net income for the twelve-month period ending December 31 of the preceding year or (ii) any dividend or distribution paid by an insurer from a source other than earned surplus. To date, our subsidiary boards of directors have declared and executed dividends on an intercompany basis, in the exercise of their respective discretion and subject to regulatory approval, after considering a variety of factors, including our results of operations, capital and liquidity needs, and applicable regulatory requirements. See the section titled “Risk Factors—Risks Related to Our Business—Failure to maintain our risk-based capital at the required levels could adversely affect our ability to maintain regulatory authority to conduct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Ohio DOI or Florida OIR may in the future adopt statutory provisions more restrictive than those currently in effect.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domestic insurance subsidiaries are required to hold reserves to cover projected losses under their policies, in accordance with actuarial principles. In accordance with NAIC’s property and casualty statement instructions, they must submit an annual Statement of Actuarial Opinion from a qualified actuary appointed by the Company, certifying that their reserves are reasonable.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Risk-Based Capital and Group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State insurance regulators establish and monitor compliance with capital and surplus requirements. Our domestic insurance subsidiaries are therefore subject to certain capital restrictions and requirements of their domiciliary states, including risk-based capital, or RBC, developed by the NAIC and adopted by state insurance regulators to support their overall business operations and minimize the risk of insolvency. RBC is calculated using a series of factors applied against financial balances and activity. State insurance regulators use RBC to set capital requirements, based on the size and degree of risk taken by the insurer, taking into account various risk factors including asset risk, credit risk, underwriting risk, and interest rate risk. If the ratio of an insurer’s total adjusted capital and surplus decreases relative to its RBC, the RBC laws provide for increasing levels of regulatory scrutiny and intervention. In addition to domiciliary state RBC requirements, some states may impose extraterritorial surplus and capital restrictions on insurance companies, which limit our ability to move capital freely among subsidiaries and restrict our ability to deploy excess funds for operational or strategic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insurance company with total adjusted capital that is less than 200% of its authorized control level RBC is at a company action level, which would require the insurance company to file a RBC plan that, among other things, contains proposals of corrective actions the Company intends to take that are reasonably expected to result in the elimination of the company action level event. Given the relatively short operating history of our insurance subsidiaries, certain state insurance regulators require our insurance subsidiaries to maintain RBC levels in excess of 200% of its authorized control level. As of December 31, 2025, Root Insurance Company, Root Florida, and Root Property &amp; Casualty had RBC levels above the company action levels.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NAIC has developed a group capital calculation covering all entities in our insurance company group. The group capital calculation provides regulators with an additional analytical tool for conducting supervisory activities. Ohio adopted the model legislation, which became effective June 1, 2025, for insurance holding company systems like ours that do not write business outside of the United States, and the Company has made the required group capital calculation filing.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Hazardous Financial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insurance regulatory authorities have the authority to deem our domestic insurance subsidiaries to be in a hazardous financial condition such that the insurer’s continued operation may be hazardous to its policyholders, creditors, or the general public. A finding of a hazardous condition can be based upon a number of factors, including, but not limited to: (i) adverse findings in a financial, market conduct or other examination; (ii) failure to maintain adequate reserves in accordance with presently accepted actuarial standards of practice; (iii) net loss or negative net income in the last twelve month period or any shorter period of time; (iv) failure to meet financial and holding company filing requirements; (v) insolvencies with a company’s reinsurer(s) or within the insurer’s insurance holding company system; (vi) a finding of incompetent or unfit management of the insurer; (vii) a failure to furnish requested information or provide accurate information in relation to a response to an inquiry or filing of a financial statement; and (viii) any other finding determined by the commissioner to be hazardous to the insurer’s policyholders, creditors or general public.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insurance regulatory authority finds one of our domestic insurance subsidiaries to be in hazardous condition it has the authority, in lieu of placing the insurer into supervision, rehabilitation or liquidation, to enter into a memorandum of understanding with the insurer or issue an order to require the insurer to remedy the hazard. This would include, but is not limited to, ordering the insurer to: (i) increase its capital and surplus, (ii) suspend payments of dividends, (iii) limit or withdraw from certain investments, (iv) correct corporate governance deficiencies and (v) take any other action necessary to cure the hazardous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Periodic Examinations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insurance subsidiaries are subject to on-site visits and financial and/or market conduct examinations by state insurance regulatory authorities. We are subject to financial condition examinations in any state in which one of our insurance company subsidiaries is domiciled. Root Insurance Company and Root Property &amp; Casualty are domiciled in Ohio and subject to a financial condition examination by the Ohio DOI at least every three to five years, during which the Ohio DOI reviews the Company’s financials, governance, and operations, including its relationships and transactions with affiliates. The most recent financial condition examinations of Root Insurance Company and Root Property &amp; Casualty by the Ohio DOI covered the periods of January 1, 2020 through December 31, 2022 and January 1, 2021 through December 31, 2022, respectively. The examination reports were completed on June 14, 2024, and are available to the public. There were no formal findings or financial statement adjustments. Root Florida is also subject to financial examinations by the state of Florida. As a new underwriting company in the state of Florida, we expect Root Florida will be subject to financial examinations in each of the next three years, starting with the examination of its financial condition to begin in 2026. In addition, Root Re, our Cayman Islands subsidiary, is subject to inspections by the Cayman Islands Monetary Authority, or CIMA, on an ad-hoc basis and typically every three to five years. An inspection of Root Re was completed in 2025 and resulted in no formal findings or financial statement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market conduct examinations in any state in which one of our insurance subsidiaries issues policies. Market conduct examinations examine an insurer’s conduct toward policyholders,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complaint handling, marketing, claims, policyholder notice, rate and form filing, and customer service. These examinations can result in fines and other monetary penalties, as well as other regulatory orders requiring remedial, injunctive, or other corrective action. Previously, we have been subject to such fines, although the amounts have been immaterial, and are subject to consent orders concerning certain of our business practices. Final market conduct examinations are public records and can be found on examining state websites.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Statutory Accounting Principles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United States licensed insurance carrier’s financial statements must be completed in accordance with statutory accounting principles, or SAP. SAP was developed by United States insurance regulators as a method of accounting used to monitor and regulate the solvency of insurance companies. In developing SAP, insurance regulators were primarily concerned with evaluating an insurer’s ability to pay all its current and future obligations to customers. As a result, statutory accounting focuses on conservatively valuing the assets and liabilities of insurers, generally in accordance with standards specified by the insurer’s domiciliary jurisdiction.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Uniform statutory accounting practices are established by the NAIC and generally adopted by regulators in the various United States jurisdictions. These accounting principles and related regulations differ somewhat from generally accepted accounting principles in the United States, or GAAP, which are designed to measure a business on a going-concern basis. GAAP gives consideration to matching of revenue and expenses and, as a result, certain costs are capitalized when incurred and then amortized over the life of the associated policies where SAP generally recognizes those costs as expenses when incurred. Other assets such as fixed assets are accounted for under GAAP financial statements, but are not admitted under SAP. As a result, the values for assets, liabilities, and equity reflected in financial statements prepared in accordance with GAAP may be different from those reflected in financial statements prepared under SAP.</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for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wholly-owned regulated United States insurance subsidiaries, Root Insurance Company, Root Property &amp; Casualty and Root Florida, are currently parties to a number of reinsurance agreements under which they have ceded a portion of their risk they are insuring to various reinsurers, including but not limited to Root Re. State insurance laws permit United States insurance companies, as ceding insurers, to take financial statement credit for reinsurance that is ceded, so long as the assuming reinsurer satisfies the state’s credit for reinsurance laws. Once an insurance carrier has received credit for reinsurance it does not need to hold separate reserves to cover claims on the risks that it has ceded to the reinsurer. There are several different ways in which the credit for reinsurance laws may be satisfied by an assuming reinsurer, including being licensed in the state, being accredited in the state, or maintaining certain types of qualifying collateral.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Rate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states require personal property and casualty insurers to file rating plans, policy or coverage forms, and other information with the state’s regulatory authority. Some states may also require the filing of underwriting guidelines, and in certain cases, such rating plans, policy forms, and/or underwriting guidelines, must be approved prior to use.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speed with which an insurer can change rates in response to competition or increasing costs depends, in part, on whether the rating laws are (i) prior approval, (ii) file-and-use or (iii) use-and-file laws. In states having prior approval laws, the regulator must approve a rate before the insurer may use it. In states having file-and-use laws, the insurer does not have to wait for the regulator’s approval to use a rate, but the rate must be filed with the regulatory authority prior to being used. A use-and-file law requires an insurer to file rates within a certain period of time after the insurer begins using them. Under all three types of rating laws, the regulator has the authority to disapprove a rate filing. In addition, when a regulator disapproves a rate filing that the company has already implemented, the regulator may require the company to issue refunds to insureds who purchased or renewed a product sold pursuant to that rate filing.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 insurer’s ability to adjust its rates in response to competition or to changing costs depends on an insurer’s ability to demonstrate to the regulator that its rates or proposed rating plan meet the requirements of the rating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those states that significantly restrict an insurer’s discretion in selecting the business that it wants to underwrite, an insurer can manage its risk of loss by charging a rate to reflect the cost and expense of providing the insurance. In those states that significantly restrict an insurer’s ability to charge a rate that reflects the cost and expense of providing the insurance, the insurer can manage its risk of loss by being more selective in the type of business it underwrites. When a state significantly restricts both underwriting and pricing, it becomes more difficult for an insurer to maintain its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personal lines insurance industry comes under pressure from state regulators, legislators, and special-interest groups to reduce, freeze, or set rates at levels that do not correspond with our analysis of underlying costs and expenses. In recent years, auto insurers in particular have come under increasing pressure because of inflation and other macroeconomic factors. Whether this pressure continues to exist depends on the macroeconomic environment. State regulators may interpret existing law or rely on future legislation or regulations to impose new restrictions that adversely affect profitability or growth. In addition, certain regulators may institute moratoriums that prohibit or limit an insurer’s ability to cancel or non-renew an insurance policy or require an insurer to defer the collection of past-due premiums to the end of the moratorium period. These moratoriums may lead to an increase in earned, but not collected premium, thereby adversely impacting the insurer. We cannot predict with precision the impact on our business of possible future legislative and regulatory measures regarding insurance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Insolvency Funds and Associations, Guarantee Funds, Assigned Risk Plans, Mandatory Pools, and Insurance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states require admitted property and casualty insurance companies to become members of insolvency funds or associations, which they fund through an annual assessment. In addition, certain states have enacted laws that require an insurer conducting business in that state to participate in     assigned risk plans, reinsurance facilities and joint underwriting associations. These funds cover payments of claims of state policyholders whose admitted insurance carriers have become insolvent. The annual assessments required in any one year will vary from state to state and are subject to various maximum assessments per line of insurance.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Insurance Company and Root Property &amp; Casualty are subject to Ohio’s rules and regulations governing the investment of assets, while Root Florida is subject to Florida’s rules and regulations. These laws generally require that an insurance company invest in a diverse portfolio and limit its investments in certain asset categories. Failure to comply with these laws and regulations would cause non-conforming investments to be treated as non-admitted assets for purposes of measuring statutory surplus and, in certain circumstances, we would be required to dispose of those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Trade Practices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producers are subject to regulation on how they may sell, solicit or negotiate insurance and conduct their business, with state laws prohibiting certain unfair trade practices. Such practices include, but are not limited to, false advertising, making false statements to regulators, unfair discrimination and rebating premium to policyholders above certain de minimis amounts. We set business conduct policies and provide training to make our employee-agents and other customer service personnel aware of these prohibitions and require them to conduct their activities in compliance with these statutes.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Unfair Claims Practices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companies, third-party administrators and individual claims adjusters are prohibited by state statutes from engaging in unfair claims practices. Unfair claims practices include, but are not limited to, misrepresenting pertinent facts or insurance policy provisions, failing to acknowledge and act reasonably promptly upon communications with respect to claims arising under insurance policies, failing to adopt reasonable standards for the investigation and adjustment of a claim and attempting to settle a claim for less than the amount to which a reasonable person would have believed such person was entitled. We set business conduct policies to make claims adjusters aware of these prohibitions and to require them to conduct their activities in compliance with these statutes.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Commission Sharing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producers cannot share insurance commissions with any person for selling, soliciting or negotiating insurance unless such person holds an insurance producer license in the lines of insurance that are being transacted. Under the insurance laws of most states, there is a limited exception to this prohibition on commission sharing for the payment of referral fees to unlicensed persons, provided that the fee is a flat fee that is not contingent on the purchase of insurance and the referral does not involve the discussion of the terms or conditions of the policy. We set business conduct policies to make appropriate employees aware of these rules and the policies require them to conduct their activities in compliance with these statutes.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Privacy and Cybersecurity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non-public personal information in the insurance industry is subject to regulation under the privacy provisions of the Gramm-Leach Bliley Act and the NAIC Insurance Information and Privacy Act, as adopted and implemented by the various state legislatures and insurance regulators, including through the California Financial Information Privacy Act. Pursuant to these laws and regulations, among other things, an insurance carrier or producer must disclose its consumer privacy notice to all of its applicants and policyholders and must also provide either an opt-in or opt-out, depending on the state, to the sharing of non-public personal information with unaffiliated third parties, where applicable. Under these rules and regulations, insurance companies and producers must also establish a program of administrative, technical, and physical safeguards designed to address the security and confidentiality of customer information, protect against anticipated threats or hazards to the security or integrity of customer information, and protect against unauthorized access to or use of customer information that could result in substantial harm or inconvenience to the customers.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collection and processing of personal information makes us subject to the California Consumer Privacy Act, or CCPA, which took effect on January 1, 2020, as amended by the California Privacy Rights Act, or CPRA, effective January 1, 2023, and numerous other comprehensive consumer privacy laws that have gone into effect since then. These state consumer privacy laws give residents of certain states the right to access and require correction and/or deletion of certain of their personal information, opt out of certain personal information sharing and other processing activities, and receive detailed disclosures about how their personal information is used and shared. These state consumer privacy laws often exempt certain information that is collected, processed, or disclosed pursuant to the California Financial Information Privacy Act, the Gramm-Leach-Bliley Act, the federal Driver’s Privacy Protection Act or the Fair Credit Reporting Act, which also apply to us. However, the definition of “personal information” in each of these laws is broad and encompasses other information that we process beyond the scope of this exemption. In addition, we are subject to multiple state requirements pertaining to how insurers handle their customers’ non-public personal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response to the growing threat of cybersecurity attacks and cybersecurity incidents in the insurance industry, several jurisdictions have adopted, or have begun to consider adopting, cybersecurity regulations that establish requirements and standards for safeguarding non-public personal information, including the New York Department of Financial Services. In 2017, the NAIC adopted the Insurance Data Security Model Law, intended to serve as model legislation for states to enact in order to govern the cybersecurity and data protection practices of insurers, insurance agents, and other licensed entities registered under state insurance laws. A number of states have adopted versions of the Insurance Data Security Model Law, each with a different effective date. Additional state laws impose notification requirements in the event of cybersecurity breaches affecting their residents. Root takes steps to comply with applicable cybersecurity regulations, but the patchwork nature of the laws in this area currently makes it more costly and difficult to ensure compliance.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Federal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regulation of insurance companies is principally a matter of state law, and the federal government does not directly regulate the transaction of insurance. However, federal regulation and initiatives do have an impact on the insurance industry. In particular, the Federal Insurance Office, or FIO, was established within the United States Department of the Treasury by the Dodd-Frank Act in July 2010 to monitor and coordinate the regulation of the insurance industry across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FIO has limited direct regulatory authority over insurance companies or other insurance industry participants, it does represent the United States on prudential aspects of international insurance matters, including at the International Association of Insurance Supervisors, or IAIS. In addition, the FIO serves as an advisory member of the Financial Stability Oversight Council, or FSOC, assists the Secretary of the United States Department of the Treasury with administration of the Terrorism Risk Insurance Program, monitors trends in the insurance industry and advises the Secretary of the United States Department of the Treasury on important national and international insurance matters. The FIO has the ability to make a recommendation to the FSOC to designate an insurer as “systemically important,” subjecting the insurer to regulation by the Federal Reserve as a bank holding company, which in some cases could lead to higher capital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 number of federal laws affect and apply to the insurance industry, including various privacy laws, false advertising laws, anti-money laundering laws, the Fair Credit Reporting Act, or FCRA, and the economic and trade sanctions implemented by the Office of Foreign Assets Control, or OFAC. We acquire consumer reports, including credit reports and driving data about applicants with their consent, which are governed by the FCRA. OFAC has in the past imposed civil penalties on persons, including insurance and reinsurance companies, arising from violations of its economic sanctions program.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information about Root, Inc., including our Corporate Governance Guidelines and our Code of Business Conduct and Ethics, can be found at ir.joinroot.com under the “Governance” tab by selecting “Documents &amp; Charters.” We will post on our website any amendments to, or waivers from, our Code of Business Conduct and Ethics requiring disclosure under applicable rules within four business days of the amendment or waiver. Charters for the Audit, Risk and Finance Committee, Compensation Committee, and Nominating and Governance Committee are also available at this location. Root, Inc. uses its website, ir.joinroot.com, as a channel for routine distribution of important information, including news releases and other investor communications. While not our primary means of communication, investors can also learn more about us by visiting our LinkedIn account (linkedin.com/company/rootinsurance), and we may disclose material non-public information through our LinkedIn account. Our Annual Report on Form 10-K, Quarterly Reports on Form 10-Q and Current Reports on Form 8-K, as well as any amendments and exhibits to those reports, are available free of charge through our website as soon as reasonably practicable after the reports are filed with or furnished to the SEC. These documents are also available in hard copy, free of charge, by contacting our Investor Relations office. Additionally, the SEC maintains a website (www.sec.gov) that contains the reports, proxy statements and information statements, and other information regarding issuers that file or furnish electronically with the SEC. In addition, our website allows investors and other interested persons to sign up to automatically receive email alerts when we post news releases and financial information on our website. Information contained on our website or our LinkedIn account is not incorporated into this Annual Report on Form 10-K or other securities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are certain risk factors that could affect our business, results of operations, financial condition and prospects. Although the risks are organized by headings and each risk is described separately, many of the risks are interrelated. The risks that we have highlighted in the following section of this Annual Report on Form 10-K are not the only ones that we face. Our business involves various risks and uncertainties as well as those associated with the general business and insurance industry environments.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results of operations, financial condition or prospects could be materially and adversely affected by any of these risks or uncertainties, as well as by risks or uncertainties not currently known to us, or that we do not currently believe are material. In that case, the trading price of our Class A common stock could decline, and you may lose all or part of your investment.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net losses and could incur substantial net losses in the future. We may not be able to grow, achieve or maintain profitability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incurred net losses on an annual basis from our incorporation in 2015 through the second quarter of 2024, and we may incur significant net losses in the future. We incurred net losses of $147.4 million and $297.7 million for the years ended December 31, 2023 and 2022, respectively. While we recorded a net profit of $40.3 million and $30.9 million for 2025 and 2024, respectively, we had an accumulated loss of $1,641.6 million and $1,681.9 million as of December 31, 2025 and December 31,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driver of our historical losses has been our loss ratios associated with accidents by our customers. As a newer and historically high growth-focused full-stack insurance company, we have a higher proportion of new customers and/or customers who are inclined to more regularly shop for insurance relative to longer-tenured insurance companies. This higher proportion of new and shopper customers typically generates proportionately greater losses, thus impacting our loss ratio. Like with other more-tenured insurance companies, over time we expect a greater proportion of all customers will be renewal customers. Establishing adequate premium rates is necessary, together with investment income, if any, to generate sufficient revenue to offset losses, loss adjustment expenses, or LAE, and other costs. When we do not accurately assess the risks that we underwrite, the premiums that we charge may not be adequate to cover our losses and expenses, which adversely affects our results of operations and our profitability.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Despite posting a net profit for 2025 and 2024, our accumulated net loss may increase as we continue to make investments in the development and expansion of our business or if we suffer adverse business results or other losses. Expenses in the areas of building partnership products, telematics, digital marketing, brand advertising, consumer-facing technologies, core insurance operations services and lines of insurance not presently offered by Root contribute to net losses. We have in the past encountered, and will continue to encounter, unforeseen or unpredictable factors, including, but not limited to, elevated operating expenses, complications or delays, or other losses (for example, litigation losses), which have and may in the future result in increased costs, contributing to our net losses and impacting our ability to grow. It is difficult to predict the size and growth rate of our market, demand for our services and success of current or potential future competitors and our investments to grow our business may not result in increased or sufficient revenue or growth for several years or at all. Additionally, we will continue to incur significant expenses in connection with the repayment of the outstanding principal and accrued interest on our Amended Term Loan (as defined herein), and we will also incur significant legal, accounting and other expenses as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limited operating history makes it difficult to evaluate our current business and our future prospects. While our revenue has grown in certain recent periods and contracted in others, our historic growth rate may not be sustainable. With changes to our focus areas of growth, our historic growth rates should not be considered indicative of future performance, and we may not realize sufficient revenue to maintain profitability. Revenue growth rates may slow in future periods due to a number of reasons including increased competition and market changes.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choose to preserve capital, change our focus areas of growth, reinvest in the business, or encounter unforeseen or unpredictable factors, which may, and in certain cases will, result in increased operating expenses, other losses, complications or delays slowing demand for our services, increasing competition, a decrease in the growth of our overall market, and our failure to capitalize on growth opportunities or the maturation of our business. If we fail to manage our losses or to grow our revenue sufficiently to keep pace with our investments and other expenses, our business will be seriously harmed, and we may not maintain profitability in future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lose existing customers or fail to acquire new customers, including through our partnership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lose customers, our value will diminish. In addition, we may fail to accurately predict risk segmentation of new customers or potential customers, which could also reduce our profitability. While our loss performance has generally improved over time, loss performance is influenced by a number of factors, including inflation, and as more customers renew their policies and remain policyholders for longer, a future loss of customers could lead to higher loss ratios or loss ratios that cease to decline, which would adversely impact our profitability. Further, our ability to attract and retain customers depends, in part, on our ability to successfully expand geographically, grow our business in the markets we currently serve, expand into new lines of business and offer additional products beyond automobile and renters insurance. Expanding into new geographic markets takes time, requires investment in technology, places us in unfamiliar competitive and regulatory environments, requires us to navigate and comply with extensive regulations and may occur more slowly than we expect and we may be unsuccessful at expanding nationwide.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insurance industry in which we operate is highly competitive. Many of our primary competitors have well-established national brands and market similar products. Our competitors include large national insurance companies,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better name recognition, higher financial ratings, greater resources, additional access to capital, and more types of insurance coverage to offer, such as health and life. In particular, many of our competitors offer consumers the ability to purchase multiple types of insurance coverage and “bundle” them together for discounts under one policy and, in certain circumstances, include an umbrella liability policy for additional coverage at competitive prices. To the extent we expand into new lines of business and offer additional products, we will face intense competition from traditional insurance companies that are already established in such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model and technology are still developing compared to the established business models of the well-established incumbents in the insurance market.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requires substantial investments of time and resources, and we may not be successful. In addition to the need for substantial resources, insurance regulation could limit our ability to introduce new product offerings. New insurance products could take an extended amount of time to be approved by regulatory authorities or may not be approved at all. If we fail to penetrate new vertical markets successfully, our revenue may grow at a slower rate, and our business, results of operations, financial condition and prospects could be materially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invested in growth strategies by utilizing unique customer value propositions, differentiated product offerings and distinctive advertising campaigns. In addition, we have invested in and are actively attempting to expand our partnership channel, including our embedded insurance offering and our independent agent platform. If we are unsuccessful through these strategies in generating new business, retaining a sufficient number of customers or retaining or acquiring key relationships, our ability to maintain or increase premiums written or the ability to sell our products will be adversely impacted. Because of the competitive nature of the insurance industry, there can be no assurance that we will continue to compete effectively within our industry, or that competitive pressures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have a material effect on our business, results of operations, financial condition and prospects. If we fail to remain competitive on customer experience, pricing, and insurance coverage options, our ability to grow our business will also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many other factors that could negatively affect our ability to maintain or grow our customer base, including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fail to offer new and competitive products, or fail to maintain or obtain regulatory approvals necessary for expansion into new markets or in relation to our products (such as underwriting and rating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fail to realize profits, retain customers, contract with additional partners to utilize products, or achieve other benefits related to our partnership channel, including our embedded insurance offering and our independent agent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fail to effectively use search engines, social media platforms, digital app stores, content-based online advertising, and other online sources for generating traffic to our website and our mobile app;</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digital platform experiences disruptions;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technical or other problems frustrate the customer experience, particularly if those problems prevent us from generating quotes or paying claims in a fast and reliable manner;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fail to provide effective updates to our existing products or to keep pace with technological improvements in our industry, including generative AI and machine learning technology;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customers have difficulty installing, updating or otherwise accessing our app or website on mobile devices or web browsers as a result of actions by us or third parties;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suffer reputational harm to our brand including from negative publicity, whether accurate or inaccurate;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customers are unable or unwilling to adopt or embrace new technology or the perception emerges that purchasing insurance products online is not as effective as purchasing those products through traditional offline methods;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experience cybersecurity incidents or are unable to address customer concerns regarding the content, privacy, and security of our digital platform and our customers’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overcome these challenges will impair our ability to attract new customers and retain existing customers and could have a material adverse effect on our business, operating results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business growth or to satisfy our regulatory capital and surplus requirements, and this capital might not be available on acceptable terms, if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which will require us to use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Further, if the trading price of our Class A common stock is depressed or declines, the potential magnitude of this dilution will increase. As an insurance company, we are subject to extensive laws and regulations in every jurisdiction in which we conduct business. Any such issuances of equity or convertible debt securities to secure additional funds may be impeded by regulatory approvals or requirements imposed by such regulatory authorities if such issuances are deemed to result in a person acquiring “control” of our company under applicable insurance laws and regulations. Such regulatory requirements may require potential investors to disclose their organizational structure and detailed financial statements, as well as require managing partners, directors and/or senior officers to submit biographical affidavits which may deter investment in our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are restricted by covenants in our Amended Term Loan. These covenants restrict, among other things, our ability to incur additional debt without lender consent or grant liens over our assets, which may limit our ability to obtain additional funds.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will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obtain or use driving behavior data and utilize telematics. If legislation, judicial or regulatory intervention were to restrict our ability to collect or use driving behavior data, it would impair our capacity to underwrite insurance cost effectively, negatively impacting our revenue and earnings. Further, if federal, state or international regulators were to determine that the type of data we collect or obtain, the process we use for collecting or obtaining this data or how we use this data is unfairly discriminatory or otherwise violates one or more laws, our ability to collect, obtain and use this data will be seriously impaired.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Proposition 103 in California, we are currently limited in our ability to use telematics data beyond miles driven to underwrite insurance. Additionally, restrictions in Maryland are currently limiting our ability to operate a consistent telematics program across jurisdictions. These constraints hinder our ability to offer cost-competitive insurance in these states, and if other states were to adopt comparable laws or regulatory positions, our ability to underwrite and price insurance policies effectively in those markets will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there is relatively limited federal and state legislation outside of these states restricting our ability to collect driving behavior data and operate a consistent telematics program, private organizations are implementing principles and guidelines to protect driver privacy. The Alliance for Automotive Innovation established their Consumer Privacy Protection Principles to provide member automobile manufacturers with a framework with which to consider privacy and build privacy into their products and services. Additionally, the National Automobile Dealers Association has partnered with the Future of Privacy Forum to produce consumer education guidelines that explain the kinds of information that may be collected by consumers’ cars, the guidelines that govern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or obtain driver data, particularly through drivers’ smartphones, such legislation would have a material adverse effect on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Recent news reports about certain automobile manufacturers’ collection of driving behavioral data, and the means of obtaining consent for the same, and the subsequent sale of this vehicle-derived telematics data to third-party brokers, and then eventually to insurers, continues to draw national attention. State attorneys general and private companies and litigants initiated investigative activities and/or litigation against certain of these manufacturers and brokers under consumer protection and privacy laws. If consumer sentiment,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litigation, or a combination of these, were to materially impact our ability to collect, obtain and use telematics data, or if such factors encouraged automobile manufacturers to move away from offering usage-based insurance programs to their customers, it would have a material adverse effect on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regulators have expressed interest in the use of external data sources, algorithms and/or predictive models in insurance underwriting or rating. Specifically, regulators have raised questions about the potential for unfair discrimination, adequacy of consent and lack of transparency associated with the use of external consumer data. A determination by federal or state regulators that the data points we collect or obtain, and the process we use for collecting or obtaining data, unfairly discriminates against a protected class of people could subject us to fines and other sanctions, including, but not limited to, disciplinary action, revocation and suspension of licenses, regulatory fines and other sanctions, and withdrawal of product forms. Any such event could, in turn, materially and adversely affect our business, results of operations, financial condition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Regulators may also require us to disclose the external data we use from third parties, algorithms and/or predictive models prior to approving our underwriting models and rates. Such disclosures, if mandated, could put our intellectual property at risk. While we take steps to protect our intellectual property when seeking approvals as required from regulators, and in responding to periodic requests for information and examinations, certain regulators have already sought such information to a limited extent, and we cannot assure you that our intellectual property will be protected in all instances.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existing laws, future laws, and evolving attitudes about privacy protection may impair our ability to collect, obtain, use, and maintain data points of sufficient type or quantity to develop and train our algorithms. If such laws or regulations were enacted federally or in a large number of states in which we operate, it would impact the integrity and quality of our pricing and underwriting processes, as it already has in California and Maryland.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fail to maintain an effective partnership channel offering, including our embedded insurance product and our independent agent platform, and/or fail to perform under the associated commercial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entered into a commercial agreement with Carvana on October 1, 2021, in which the parties agreed to develop an integrated automobile insurance solution for Carvana’s online car buying platform, and we pay commissions to Carvana for insurance policies purchased by Carvana customers. The commercial agreement includes exclusivity rights to offer automobile insurance on Carvana’s platform, and we will partner exclusively with Carvana for an enterprise total loss replacement vehicle solution. The commercial agreement is set to expire on September 1, 2027. In addition, we are a party to and are pursuing commercial arrangements with other potential partners with varying levels of integration, including utilization of an embedded insurance offering. If we or our commercial counterparties, including Carvana, are unable to satisfy obligations under commercial arrangements, if we are unable to maintain effective partnership arrangements, including an embedded insurance product and our independent agent platform, if we are unable to renew or extend the term of any of our commercial agreements on terms attractive to us or at all, if we are unable to contract with additional partners to utilize these products, or if our partners experience difficulty with their businesses or if they or we are unable to attract insurance customers, that could have a material and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on search engines (including generative AI–driven search and discovery tools such as ChatGPT, Gemini, and Perplexity),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attract consumers to our website and mobile app and convert them into customers in a rapid and cost-effective manner through our mobile app. We depend in large part on search engines, social media platforms, digital app stores, content-based online advertising and other online sources for traffic to our website and our mobile app, which are material sources for new consumers.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we have to pay a higher price for such listings or if the alternatives we find are more expensive, our expenses have in the past and may again in the future rise, or we could lose consumers and traffic to our website, any of which could have a material adverse effect on our business, results of operations, financial condition and prospects. For free search listings, if search engines on which we rely for algorithmic listings modify their algorithms, our website may appear less prominently or not at all in search results, which could result in reduced traffic to our website and our mobile app and fewer new customers.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will suffer. In addition, if our online display advertisements are no longer effective or are not able to reach certain consumers due to consumers’ use of ad-blocking software, our business and operating results will suffer.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Act would mandate annual disclosure to the SEC of the type and “aggregate value” of user data used by harvesting companies, such as Facebook, Google and Amazon, including how revenue is generated by user data and what measures are taken to protect such data. If the costs of advertising on search engines and social media platforms increase, we have in the past and may again in the future incur additional marketing expenses and be required to allocate a larger portion of our marketing spend to other channels and our business and operating results could be 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(including in 2025), competition for limited and/or high-value advertising space from our competitors or other companies can result in increases in the costs we incur in our marketing efforts. Our customer acquisition costs can vary by channel mix, by state, due to seasonality, or due to the competitive environment. These increases to our customer acquisition costs depend on a number of factors outside of our control and can negatively affect our business and operating results. As we grow, we may struggle to maintain cost-effective marketing strategies, and our customer acquisition costs could rise substantially.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marketing of our insurance products depends on our ability to cultivate and maintain rapid, cost-effective and otherwise satisfactory relationships with digital app stores, in particular, those operated by Google and Apple. Because many of our customers access our insurance products through a mobile app, we depend on the Apple App Store and the Google Play Store to distribute our mobile app.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terms of service and policies governing the operating system platforms on which our mobile app runs and the application stores through which we distribute our mobile app, in particular,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access to sensors contained on the mobile devices, restrict how that data is or may be used and shared, and limit how mobile app publishers advertise online.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limitations on our ability to collect, obtain or use telematics and other data derived from customer activities on smartphones, as well as new technologies that block our ability to collect or use such data, would significantly diminish the value of our platform and have an adverse effect on our business, operating results, financial condition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Limitations or blockages on our ability to collect, obtain, use or share data derived from use of our mobile app would also restrict our ability to analyze such data to facilitate our product improvement, research and development and advertising activities. These and other restrictions that have been or could be implemented in the future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financial condition and prospects would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one of the factors we use to evaluate our customer satisfaction and market position is our Apple App Store and Google Play Store ratings. This rating may not be a reliable indicator of our customer satisfaction relative to other companies who are rated in the app stores since, to date, we have received a fraction of the number of reviews compared to the companies we benchmark against, and thus our number of positive reviews is not as meaningful.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expansion within the United States will subject us to additional regulatory approvals and costs and risks, and our plans may not be successful. </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success depends in significant part on our ability to expand into additional markets in the United States. We currently hold Certificates of Authority in</w:t>
      </w:r>
      <w:r>
        <w:rPr>
          <w:color w:val="000000"/>
          <w:shd w:fill="FFFFFF" w:val="clear"/>
        </w:rPr>
        <w:t xml:space="preserve"> </w:t>
      </w:r>
      <w:r>
        <w:rPr>
          <w:rFonts w:ascii="Times New Roman;serif" w:hAnsi="Times New Roman;serif"/>
          <w:b w:val="false"/>
          <w:color w:val="000000"/>
          <w:sz w:val="20"/>
          <w:shd w:fill="FFFFFF" w:val="clear"/>
        </w:rPr>
        <w:t>50 s</w:t>
      </w:r>
      <w:r>
        <w:rPr>
          <w:rFonts w:ascii="Times New Roman;serif" w:hAnsi="Times New Roman;serif"/>
          <w:b w:val="false"/>
          <w:color w:val="000000"/>
          <w:sz w:val="20"/>
        </w:rPr>
        <w:t>tates and the District of Columbia and operate in 36</w:t>
      </w:r>
      <w:r>
        <w:rPr>
          <w:color w:val="000000"/>
          <w:shd w:fill="FFFFFF" w:val="clear"/>
        </w:rPr>
        <w:t xml:space="preserve"> </w:t>
      </w:r>
      <w:r>
        <w:rPr>
          <w:rFonts w:ascii="Times New Roman;serif" w:hAnsi="Times New Roman;serif"/>
          <w:b w:val="false"/>
          <w:color w:val="000000"/>
          <w:sz w:val="20"/>
        </w:rPr>
        <w:t>of those jurisdictions. We plan to have a presence in all 50 states and the District of Columbia but cannot and do not guarantee that we will be able to provide nationwide coverage on any particular timeline or at all. In order to gain approval to operate in certain states, we have agreed to certain limitations on our licenses, and we may need to agree to additional limitations imposed by other states. Generally, regulators in states (i) in which we have valid licenses but are not selling insurance or (ii) into which we are considering entering with an affiliated underwriting company, have preferred that we only begin selling insurance or entering the state with an affiliated underwriting company at such time that we can demonstrate that we have met certain financial performance metrics.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we seek to expand in the United States, we will incur significant incremental operating expenses, including expenses in connection with securing applicable regulatory approvals, establishing new underwriting entities, marketing, hiring additional personnel, engaging third-party service providers and other research and development costs. We have invested and expect to continue to invest substantial time and resources to expand our operations and revenues from those additional operations, and we may not exceed the expense of establishing and maintaining them. In addition, these efforts compete for Company resources and may require the Company to forgo other projects that could be more profitable, including expansion into new states. If we are unable to manage these risks effectively, our business, results of operations, financial condition and prospects will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our countrywide expansion has taken a substantial number of years to date, and may not be successful for a variety of reasons,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one or more states could revoke our license to operate, or implement additional regulatory or financial requirements that could preclude or inhibit our ability to obtain or maintain our license in such state;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failures in identifying and entering into joint ventures with strategic partners, or entering into joint ventures that do not produce the desired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challenges in, and the cost of, complying with various laws and regulatory standards, including with respect to the insurance business and insurance distribution, capital and outsourcing requirements, data privacy, tax, litigation and local regulatory restrictions;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difficulty in recruiting and retaining licensed (where required), talented and capable employees;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competition from local incumbents that already own market share and better understand the local market, may operate more effectively and may enjoy greater local affinity or awareness with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differing demand dynamics, which may make our product offerings less successful;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limitations on the repatriation and investment of 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grow our geographic footprint or geographic growth occurs at a slower rate than expected, our business, results of operations, financial condition and prospects could be materially and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technology platform may not operate properly or as we expect it to operate.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difficulties including material performance problems or defects or errors. We may encounter technical obstacles, and it is possible that we may discover additional problems that prevent our technology from operating properly. If our platform does not function reliably, we may incorrectly select our customers, incorrectly price insurance products for our customers or incorrectly pay or deny claims made by our customers. These errors could cause us to select an uneconomic mix of customers or encounter customer dissatisfaction, which could lead customers to cancel or fail to renew their insurance policies with us or make it less likely that prospective customers obtain new insurance policies, underprice policies or overpay claims, or incorrectly adjust or deny policyholder claims and become subject to liability. Additionally, technology platform errors may lead to unintentional variations and anomalies in the underwriting and claims process, which would subject us to legal or regulatory liability and harm our brand and reputation. Any of these alone or in combination could result in a material adverse effect on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believe our telematics-based pricing model is more fair for consumers when compared to traditional insurers’ offerings, it may also yield results that customers themselves nonetheless find unfair. For instance, we may quote certain drivers higher premiums than our competitors, if our model determines that the driver is higher risk even though their higher-risk driving has not resulted in a claim. Such a perception of unfairness could negatively impact our brand and reputation.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Regulators may limit our ability to develop or implement our telematics-based pricing model and/or may eliminate or restrict the confidentiality of our proprietary technology.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continue to develop and implement our telematics-based pricing model, and to maintain the confidentiality of our proprietary technology. Changes to existing regulations, the interpretation or implementation of such regulations, or new regulations could impede our use of this technology or require that we disclose our proprietary technology to our competitors and/or regulators, which would negatively impact our competitive position and result in a material adverse effect on our business, results of operations, financial condition and prospects. For example, as explained above, the matters involving certain automobile manufacturers’ and third-party brokers’ collection and sharing of telematics data may prompt changes in the quality and availability of telematics data for use by us and others in the insurance industry, as well as changes to existing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their interpretation or implementation. Our business, results of operations, financial condition and prospects could be adversely affected by any of these factors. </w:t>
      </w:r>
    </w:p>
    <w:p>
      <w:pPr>
        <w:pStyle w:val="TextBody"/>
        <w:bidi w:val="0"/>
        <w:spacing w:lineRule="auto" w:line="288" w:before="0" w:after="180"/>
        <w:jc w:val="left"/>
        <w:rPr/>
      </w:pPr>
      <w:r>
        <w:rPr>
          <w:rFonts w:ascii="Times New Roman;serif" w:hAnsi="Times New Roman;serif"/>
          <w:b/>
          <w:i/>
          <w:color w:val="000000"/>
          <w:sz w:val="20"/>
        </w:rPr>
        <w:t>We are subject to full scope financial examinations by state insurance regulatory authorities in each state in which our insurance company subsidiaries are domiciled, which could result in adverse examination findings and necessitate remedial actions.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State insurance regulators perform examinations of insurance companies under their jurisdiction to assess compliance with applicable laws and regulations, financial condition and the conduct of regulated activities at least every three to five years. Root Insurance Company is Ohio-domiciled and has completed financial examinations with the Ohio DOI, which includes a review of the Company’s financials, governance, and operations, including its relationships and transactions with affiliates, and a specific examination of our pricing and underwriting methodologies and our regulatory capital, and was most recently reviewed in 2024 resulting in no material findings. Root Property &amp; Casualty is also Ohio-domiciled but completed a similar financial examination by the Delaware DOI prior to its redomestication as an Ohio-domiciled insurer. It also underwent a financial examination with the Ohio DOI resulting in no material findings. Newly formed Root Florida is Florida-domiciled and will be subject to an initial financial examination, which is customary for newly-licensed insurance subsidiaries and which the Florida OIR has notified us will begin in June 2026. If, as a result of examinations, our regulators determine that our financial condition, capital resources or other aspects of any of our operations are not satisfactory, or that we have violated applicable laws or regulations, such regulator may subject us to fines or other penalties and/or require us to take one or more remedial actions or otherwise subject us to regulatory scrutiny, such as an enforcement action or, in the case of regulatory capital, require us to maintain additional capital. The results of the examinations are a matter of public record, and our reputation may also be harmed by penalties. For more information regarding our financial condition examinations, see the section titled “Periodic Examinations” in the “Insurance Regulation” section of Item 1.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market conduct examinations by state insurance regulatory authorities in any state in which our insurance subsidiaries issue insurance policies, which could result in adverse examination findings and necessitate remedial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insurance subsidiaries are also subject to other investigations or inquiries, including market conduct examinations, in any state in which they issue policies. These examinations have resulted in, and could in the future result in, fines and other monetary penalties, as well as other regulatory orders requiring remedial, injunctive, or other corrective action. Certain of our insurance subsidiaries are undergoing examinations and will be subject to such examinations in the future. Any regulatory or enforcement action or any regulatory order imposing remedial, injunctive, or other corrective action against us resulting from an examination could have a material adverse effect on our business, reputation, financial condition, results of operations or prospects. For more information regarding our previous and ongoing market conduct examinations, see the section titled “Periodic Examinations” in the “Insurance Regulation” section of Item 1.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exposure to loss activity and regulation may be greater in states where we currently have most of our customers, including Texas, Georgia, Florida, and California. </w:t>
      </w:r>
    </w:p>
    <w:p>
      <w:pPr>
        <w:pStyle w:val="TextBody"/>
        <w:bidi w:val="0"/>
        <w:spacing w:lineRule="auto" w:line="288" w:before="0" w:after="180"/>
        <w:ind w:left="0" w:right="0" w:firstLine="360"/>
        <w:jc w:val="left"/>
        <w:rPr/>
      </w:pPr>
      <w:r>
        <w:rPr>
          <w:rFonts w:ascii="Times New Roman;serif" w:hAnsi="Times New Roman;serif"/>
          <w:b w:val="false"/>
          <w:color w:val="000000"/>
          <w:sz w:val="20"/>
        </w:rPr>
        <w:t>Approximately 46.9% of our gross premiums written for the year ended December 31, 2025 originated from customers in</w:t>
      </w:r>
      <w:r>
        <w:rPr>
          <w:color w:val="000000"/>
        </w:rPr>
        <w:t xml:space="preserve"> </w:t>
      </w:r>
      <w:r>
        <w:rPr>
          <w:rFonts w:ascii="Times New Roman;serif" w:hAnsi="Times New Roman;serif"/>
          <w:b w:val="false"/>
          <w:color w:val="000000"/>
          <w:sz w:val="20"/>
        </w:rPr>
        <w:t>Texas</w:t>
      </w:r>
      <w:r>
        <w:rPr>
          <w:rFonts w:ascii="Times New Roman;serif" w:hAnsi="Times New Roman;serif"/>
          <w:b/>
          <w:i/>
          <w:color w:val="000000"/>
          <w:sz w:val="20"/>
        </w:rPr>
        <w:t xml:space="preserve">, </w:t>
      </w:r>
      <w:r>
        <w:rPr>
          <w:rFonts w:ascii="Times New Roman;serif" w:hAnsi="Times New Roman;serif"/>
          <w:b w:val="false"/>
          <w:color w:val="000000"/>
          <w:sz w:val="20"/>
        </w:rPr>
        <w:t>Georgia,</w:t>
      </w:r>
      <w:r>
        <w:rPr>
          <w:color w:val="000000"/>
        </w:rPr>
        <w:t xml:space="preserve"> </w:t>
      </w:r>
      <w:r>
        <w:rPr>
          <w:rFonts w:ascii="Times New Roman;serif" w:hAnsi="Times New Roman;serif"/>
          <w:b w:val="false"/>
          <w:color w:val="000000"/>
          <w:sz w:val="20"/>
        </w:rPr>
        <w:t>Florida, and California. As a result of this concentration of customers, if a significant catastrophic event or series of catastrophic events occur and cause material losses in</w:t>
      </w:r>
      <w:r>
        <w:rPr>
          <w:color w:val="000000"/>
        </w:rPr>
        <w:t xml:space="preserve"> </w:t>
      </w:r>
      <w:r>
        <w:rPr>
          <w:rFonts w:ascii="Times New Roman;serif" w:hAnsi="Times New Roman;serif"/>
          <w:b w:val="false"/>
          <w:color w:val="000000"/>
          <w:sz w:val="20"/>
        </w:rPr>
        <w:t>Texas</w:t>
      </w:r>
      <w:r>
        <w:rPr>
          <w:rFonts w:ascii="Times New Roman;serif" w:hAnsi="Times New Roman;serif"/>
          <w:b/>
          <w:i/>
          <w:color w:val="000000"/>
          <w:sz w:val="20"/>
        </w:rPr>
        <w:t xml:space="preserve">, </w:t>
      </w:r>
      <w:r>
        <w:rPr>
          <w:rFonts w:ascii="Times New Roman;serif" w:hAnsi="Times New Roman;serif"/>
          <w:b w:val="false"/>
          <w:color w:val="000000"/>
          <w:sz w:val="20"/>
        </w:rPr>
        <w:t>Georgia,</w:t>
      </w:r>
      <w:r>
        <w:rPr>
          <w:color w:val="000000"/>
        </w:rPr>
        <w:t xml:space="preserve"> </w:t>
      </w:r>
      <w:r>
        <w:rPr>
          <w:rFonts w:ascii="Times New Roman;serif" w:hAnsi="Times New Roman;serif"/>
          <w:b w:val="false"/>
          <w:color w:val="000000"/>
          <w:sz w:val="20"/>
        </w:rPr>
        <w:t>Florida, or California, our business, results of operation, financial condition and prospects would be materially adversely affected. Further, as compared to our competitors who operate on a wider geographic scale, any adverse changes in the legal and regulatory environment affecting property and casualty insurance in</w:t>
      </w:r>
      <w:r>
        <w:rPr>
          <w:color w:val="000000"/>
        </w:rPr>
        <w:t xml:space="preserve"> </w:t>
      </w:r>
      <w:r>
        <w:rPr>
          <w:rFonts w:ascii="Times New Roman;serif" w:hAnsi="Times New Roman;serif"/>
          <w:b w:val="false"/>
          <w:color w:val="000000"/>
          <w:sz w:val="20"/>
        </w:rPr>
        <w:t>Texas</w:t>
      </w:r>
      <w:r>
        <w:rPr>
          <w:rFonts w:ascii="Times New Roman;serif" w:hAnsi="Times New Roman;serif"/>
          <w:b/>
          <w:i/>
          <w:color w:val="000000"/>
          <w:sz w:val="20"/>
        </w:rPr>
        <w:t xml:space="preserve">, </w:t>
      </w:r>
      <w:r>
        <w:rPr>
          <w:rFonts w:ascii="Times New Roman;serif" w:hAnsi="Times New Roman;serif"/>
          <w:b w:val="false"/>
          <w:color w:val="000000"/>
          <w:sz w:val="20"/>
        </w:rPr>
        <w:t>Georgia,</w:t>
      </w:r>
      <w:r>
        <w:rPr>
          <w:color w:val="000000"/>
        </w:rPr>
        <w:t xml:space="preserve"> </w:t>
      </w:r>
      <w:r>
        <w:rPr>
          <w:rFonts w:ascii="Times New Roman;serif" w:hAnsi="Times New Roman;serif"/>
          <w:b w:val="false"/>
          <w:color w:val="000000"/>
          <w:sz w:val="20"/>
        </w:rPr>
        <w:t xml:space="preserve">Florida, or California may expose us to more significant risks.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complex and evolving privacy, data security and cybersecurity laws, regulations, and standards increasing the burden of compliance. Our actual or perceived failure to comply with such obligations could harm our reputation, subject us to significant fines and liability, or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United States,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 companies to disclose their privacy practices to consumers, allow them to opt-in or opt-out, of the sharing of certain personal information with unaffiliated third parties, and maintain certain security controls to protect their information. Violators of these laws face regulatory enforcement action, substantial civil penalties, injunctions, and in certain states, private lawsuits for damages. Insurance companies are also subject to state-specific privacy laws governing the use of particular data. For instance, the Illinois Biometric Information Privacy Act regulates the use and storage of biometric data, such as fingerprints, in the insurance industry and requires the informed written consent from policyholders if the insurance company intends to collect or disclose their personal biometric identifiers.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Privacy and data security regulation in the United States is rapidly evolving. For example, existing laws, such as the CCPA, which became effective January 1, 2020, future laws, and evolving attitudes about privacy protection may impair our ability to collect, obtain, use, and maintain data points of sufficient type or quantity to develop and train our algorithms. The CCPA gives California residents expanded rights to access, correct, delete and transfer certain of their personal information, opt out of certain personal information sharing and other processing activities, and receive detailed information about how their personal information is used. The CCPA provides for civil penalties for violations, as well as a private right of action for certain data breaches, which increases the risk of class action data breach litigation. In addition to increasing our compliance costs and potential liability, the CCPA’s restrictions on the “sharing”/”sale” of personal information restricts our use of cookies and similar technologies for cross-advertising purposes. The CCPA excludes certain personal information covered by Gramm-Leach-Bliley Act, Fair Credit Reporting Act, the Driver’s Privacy Protection Act or the California Financial Information Privacy Act from the CCPA’s scope, but the CCPA’s definition of “personal information” is broad and may encompass other information that we collect and/or maintain.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requirements of the CCPA expanded substantially in January 2023 as a result of California voters approving the CPRA in November 2020. The CPRA, which went into effect on January 1, 2023, gives California residents the ability to: limit use of precise geolocation information and other categories of information classified as “sensitive”; and add e-mail addresses and passwords to the list of personal information data fields that, if lost or breached, would entitle affected individuals to bring private lawsuits. The CPRA also established the California Privacy Protection Agency to implement and enforce the new law, as well as impose administrative fines. The effects of the CCPA, the CPRA, and other similar state or federal laws, are significant and may require us to further modify our data processing practices and policies, incur substantial compliance costs and subject us to increased potential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Importantly, the CCPA and the CPRA marked the beginning of a trend toward more stringent privacy legislation in the United States. At present, there are numerous comprehensive state privacy laws in effect, which mirror—and sometimes expand upon—the obligations and restrictions present in the CCPA and CPRA. There also continues to be discussion in Congress of new comprehensive federal data protection and privacy laws to which we likely would be subject if enacted. Until an overarching federal privacy law is passed, however, it is anticipated that individual states will continue to adopt or amend state laws and regulations governing data privacy and cybersecurity, which will increase the cost and complexity of our compliance efforts and impact the integrity and quality of our pricing and underwriting processes.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response to the growing threat of cyberattacks in the insurance industry, certain jurisdictions have begun to impose new cybersecurity laws and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At least 26 states have adopted the same or substantially similar versions of the Insurance Data Security Model Law, each with a different effective date, and other states may adopt versions of the Insurance Data Security Model Law in the future. Also in 2017, the New York State Department of Financial Services adopted regulations providing minimum standards for insurance companies’ cybersecurity programs, requiring an annual certification confirming compliance. In May 2018, South Carolina passed a cybersecurity bill requiring, among other things, any insurance entity operating in the state to establish and implement a cybersecurity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protecting their business and their customers from a data breach, to investigate data breaches and to notify regulators of a cybersecurity event. Today, all 50 states have enacted some type of cybersecurity and data protection regulation, and around 19 jurisdictions have comprehensive privacy regulations that may apply to certain consumer data that we possess. Additionally, some of the enacted regulations have since been amended to expand and strengthen established cybersecurity requirements in response to the evolving cybersecurity landscape. Although we take steps to comply with applicable cybersecurity regulations and data security laws, our failure to comply with new or existing cybersecurity regulations could result in material legal and/or regulatory actions and other penalties and/or damages. In addition, efforts to comply with new or existing cybersecurity regulations could impose significant costs on our business, which could materially and adversely affect our business, results of operations, financial condition or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are bound by the terms of our privacy policies, privacy-related disclosures, and contractual and other privacy-related obligations to our customers and other third parties. We have in the past, and may in the future experience, cybersecurity incidents that have resulted in threat actors obtaining customer personal information and some of these events have caused us to incur losses, including regulatory penalties, costs and attorneys fees, and expend resources to modify our systems. Any failure or perceived failure by us or third parties we work with to comply with privacy policies, disclosures, and obligations to customers or other third parties, or privacy or data security laws may result in governmental or regulatory investigations, enforcement actions, regulatory fines, criminal compliance orders, private litigation or public statements against us by consumer advocacy groups or others, and could cause customers to lose trust in us, any of which could materially and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Cybersecurity incidents, or real or perceived errors, failures or bugs in our or our vendors’ systems, or our website or mobile app could impair our operations, compromise our confidential information or our customers’ personal information, damage our reputation and brand, and harm our business, financial condition, operating results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systems and environment and those of our service providers and business partners have in the past experienced and may contain or develop material errors, failures, vulnerabilities or bugs, particularly when new features or capabilities are released, and are subject to fraud, malicious code, phishing attacks or other social engineering attempts, system intrusion, exfiltration, theft, web application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mobile app slowdowns or shutdowns. Third parties could misappropriate our data through website scraping, bots or other means and aggregate this data on their websites with data from other companies. Many of our services are provided through the internet which increases our exposure to potential cybersecurity attacks. In addition, we utilize a workforce that is largely remote and may exacerbate exposure to cybersecurity incidents. The rapid evolution and increased adoption of generative AI technologies may also increase our cybersecurity risks and the cybersecurity risks of our business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to our information technology infrastructure, and we have experienced cybersecurity incidents that have resulted in threat actors obtaining customer personal information, attempts to breach our systems, fraudulent activity and other incidents, and some of these events have caused us to incur losses, including regulatory penalties, costs and expend resources to modify our systems. We continue to expend resources to address past incidents and would expend resources in the future to respond to incidents if they again occur. In addition, we utilize vendors (and our vendors utilize vendors), some of which have also experienced cybersecurity breaches and other incidents. Publicized threats, incidents or events could cause harm to our business and our reputation and challenge our ability to provide reliable service, as well as negatively impact our results of operations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copycat websites or mobile apps have in the past, and may in the future, attempt to misappropriate data and imitate our brand or the functionality of our website or our mobile app. When we become aware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websites or mobile apps, we have employed technological or legal measures in an attempt to halt their operations and intend to do so in the future. However, we may be unable to detect all such websites or mobile apps in a timely manner and, even if we could, technological and legal measures may be insufficient to halt their operations. Regardless of whether we can successfully enforce our rights against the operators of these websites or mobile apps, any measures that we may take could require us to expend significant financial or other resources, which could harm our business, results of operations, financial condition or prospects. In addition, to the extent that such activity creates confusion among consumers or advertisers, our brand and business would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have been and may again be compromised as a result of computer malware, viruses, social engineering, ransomware attacks, credential stuffing attacks, hacking and cyberattacks, including by state-sponsored and other sophisticated organizations, and other cybersecurity incidents. Such incidents have become more prevalent in recent years. For example, attempts to fraudulently induce our personnel into disclosing usernames, passwords or other information that can be used to access our systems and the information in them have increased. Cybersecurity incidents can also result from malfeasance of our personnel, theft, errors, data leaks, and security vulnerabilities or bugs in our website, mobile app or the software or systems on which we rely. Cybersecurity incidents have in the past resulted in unauthorized access to certain personal information that we handle, and may again in the future result in unauthorized, unlawful or inappropriate use, destruction or disclosure of, access to, or inability to access the sensitive, proprietary and confidential information that we handle. These incidents may remain undetected for extended periods of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to provide critical services that help us deliver our solutions and operate our business. These third parties support or operate critical business systems for us or store or process the same sensitive, proprietary and confidential information that we handle. They may not have adequate security measures and may experience a cybersecurity incident that compromises the confidentiality, integrity or availability of the systems they operate for us or the information they process on our behalf. Some of our vendors have experienced cybersecurity breaches and other incidents. Such past or future occurrences could adversely affect our business to the same degree as if we had experienced these occurrences directly, and we may not have recourse to the responsible third parties for any resulting liability that we incur.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many different cybercrime and hacking techniques, and such techniques continue to evolve. As such, we may be unable to anticipate security breaches or incidents, react to cybersecurity incidents in a timely manner, implement adequate preventative measures or completely mitigate the effects of any such attack or incidents. While we have developed systems and processes designed to protect the integrity, confidentiality and security of the confidential and personal information under our control, we cannot guarantee that any security measures we or our third-party business partners have implemented will be effective against all current or future security threats.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security breach or other cybersecurity incident, or the perception that one has occurred, could result in a loss of customer confidence in the security of our platform; damage our reputation and brand; reduce demand for our insurance products; disrupt normal business operations; require us to expend significant resources to investigate and remedy the incident and prevent recurrence; and subject us to litigation, regulatory enforcement action, fines, costs, penalties, and other liability, which could have a material adverse effect on our business, results of operations, financial condition and prospects. Even if we take steps that we believe are adequate to protect us from cybersecurity threats, hacking against our competitors or other companies in our industry could create the perception among our customers or potential customers that our digital platform is not safe to use. Cybersecurity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insurance coverage may not be adequate to cover all cybersecurity liabilities, including the costs, fines and/or damages related to cybersecurity attacks, associated privacy litigation or regulatory actions, or disruptions resulting from such events. In addition, we cannot be certain that insurance coverage will continue to be available to us on economically reasonable terms, or at all, or that any insurer will not deny coverage as to any future claim.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successful assertion of one or more large claims against us that exceed available insurance coverage, or changes in our insurance policies, including premium increases or the imposition of large deductible or co-insurance requirements, could adversely affect our reputation, business, results of operations, financial condition and prospects. In some cases, particularly in the case of websites or mobile apps operating outside of the United States,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and harm our business, results of operations, financial condition and prospects. In addition, to the extent that such activity creates confusion among consumers or advertisers, our brand and business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brand may not become as widely known or accepted as our competitors’ brands or our brand may become tarnished.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brands that are well-recognized. As a newer entrant into the insurance market, we have spent, and expect to continue to spend for the foreseeable future, considerable amounts of money and other resources on creating brand awareness and building our reputation. We may not be able to build brand awareness to levels matching our competitors, and our efforts at building, maintaining and enhancing our reputation could fail and/or may not be cost-effective. Complaints or negative publicity, whether accurate or inaccurate,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would adversely affect our reputation and business. As we expand our product offerings and enter new markets, we will need to establish our reputation with new customers, and to the extent we are not successful in creating positive impressions, our business in these newer markets could be adversely affected. We may choose to engage in a broader marketing campaign to further promote our brand, this effort may not be successful or cost effective. If we are unable to maintain or enhance our reputation or enhance consumer awareness of our brand in a cost-effective manner, our business, results of operations, financial condition and prospects would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highly skilled and experienced personnel, and if we are unable to attract, retain or motivate key personnel or hire qualified personnel, our business may be seriously harmed. In addition, the loss of key senior management personnel could harm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on the talents and efforts of highly skilled individuals. Our future success depends on continuing to identify, hire, develop, motivate and retain highly skilled and experienced personnel and, if we are unable to hire and train a sufficient number of qualified employees for any reason, we may not be able to maintain or implement our current initiatives, or our business may contract and we may lose market share. We have implemented involuntary workforce reductions in the past, which may have harmed our reputation and relationship with our employees and may make it more difficult for us to recruit top talent, and we may implement workforce reductions in the future to support other business objectives. We have experienced the effects of a competitive labor market and prior workforce reductions and have responded by increasing wages and/or benefits in certain circumstances and provided cash and equity to certain employees in order to attract and retain them, all of which may continue to negatively impact our business, results of operations, financial condition and prospects. Moreover, certain of our competitors or other insurance or technology businesses may seek to hire our employees. We cannot guarantee that our cash and equity incentives and other compensation and benefits will provide adequate incentives to attract, retain and motivate employees in the future, particularly if the market price of our Class A common stock declines or remains challenged. If we do not succeed in attracting, retaining and motivating highly qualified personnel, our business may be seriously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senior management, including Alexander Timm, our Chief Executive Officer. We have experienced turnover among our senior management and employees. We may not be able to retain the services of any of our senior management or other key personnel, as their employment is at-will, and they could leave at any time. If we lose the services of one or more of our senior management or other key personnel, including as a result of our workforce reductions or our business results, we may not be able to successfully manage our business, meet competitive challenges or achieve our business objectives. Further, to the extent that our business grows,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need to attract and retain additional qualified management personnel in a timely manner, and we may not be able to do so. Our success depends on continuing to identify, hire, develop, motivate, retain and integrate highly skilled personnel in all areas of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New legislation or legal requirements may affect how we use AI and /or may impact how we communicate with our customers, which could have an adverse effect on our business, financial condition, results of operations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develop and implement applications of AI, a term we use broadly to refer to computational systems that learn from data, identify patterns, and generate insights that can automate decision-making. This term is also inclusive of classical supervised machine learning, in which models are trained to faithfully mimic patterns observed in data sets. Applications of AI implemented by the Company include but are not limited to our pricing and underwriting models, claims process decisioning and marketing bid models, though in these instances the AI deployed is static and deterministic. As with many innovations, AI presents risks, and there is no guarantee that our use of AI or incorporation of AI capabilities into our business will benefit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State and federal lawmakers and insurance regulators are focusing on the use of AI broadly, including, in particular, concerns about transparency, deception, and fairness. For instance, on August 24, 2020, the NAIC adopted guiding principles on AI developed by the NAIC’s AI Working Group to provide guidance to regulators on the use of AI in the insurance industry, and on December 4, 2023, the NAIC issued a model bulletin on AI, Use of Artificial Intelligence Systems by Insurers, which is intended to be used by state departments of insurance to set forth regulatory expectations as to how insurers should govern the development, acquisition, and use of AI. Subsequently, many state insurance regulators have promulgated that model bulletin through their own departments of insurance, occasionally modifying the model template to highlight state-specific concerns or positions.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legislation regulating the use of AI has been enacted in several states (but recently challenged by the executive order on “Ensuring a National Policy Framework for Artificial Intelligence”) and has been proposed on the federal level. Changes in laws or regulations, or changes in the interpretation of laws or regulations by a regulatory authority, specific to the use of AI, may decrease our revenues and earnings and may require us to change the manner in which we conduct some aspects of our business. We may also be required to disclose our proprietary software to regulators, putting our confidential intellectual property at risk, in order to receive regulatory approval to use such AI in the underwriting of insurance and/or the payment of claims. In addition, our business and operations are subject to various United States federal, state, and local consumer protection laws, including laws which place restrictions on the use of automated tools and technologies to communicate with wireless telephone subscribers or consumers generally. Colorado’s requirements on an insurance company’s use of external consumer data and information sources, algorithms, and predictive models, which such requirements include additional documentation, oversight, testing, and reporting obligations, were extended to private passenger automobile insurers by regulation effective October 15, 2025. Although we have taken steps to mitigate our liability for violations of this and other laws restricting the use of electronic communication tools, we cannot guarantee that we will not be exposed to civil litigation or regulatory enforcement for actual or perceived failures in this respect. Further, to the extent that any changes in law or regulation further restrict the ways in which we communicate with prospective or current customers before or during onboarding, customer care, or claims management, these restrictions could result in a material reduction in our customer acquisition and retention, and our business, results of operations, financial condition and prospects would be materially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Denial of claims or our failure to accurately and timely pay claims could materially and adversely affect our business, results of operations, financial condition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policies, we are required to accurately and timely evaluate and pay covered claims. We have settled claims and actions related to allegations that we did not timely or accurately pay claims and have been assessed market conduct fines and penalties by regulatory authorities. Our ability to accurately and timely evaluate and pay claims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marketplace. If our claims adjusters or third-party claims administrators are unable to effectively process our volume of claims, our ability to grow our business while maintaining high levels of customer satisfaction will be compromised, which in turn, would adversely affect our business, results of operations, financial condition and prospects. Any failure to pay claims accurately or timely could also lead to regulatory and administrative actions or other legal proceedings and litigation against us, or result in damage to our reputation, any one of which could materially and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Unexpected increases in the frequency or severity of claims, as well as increasing costs of social inflation and the legal environment, may adversely affect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experiences volatility in claim frequency from time to time, and short-term trends may not continue over the longer term. Changes in claim frequency may result from changes in mix of business, miles driven, distracted driving, weather, pandemics, the macroeconomic environment, including inflation, or other factors. A significant increase in claim frequency or severity could have an adverse effect on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bodily injury claim severity specifically are impacted by inflation in medical costs, litigation trends and precedents, regulation and the overall safety of automobile travel. Changes in auto property damage claim severity are driven primarily by inflation in the cost to repair or replace vehicles, including parts and labor rates, the mix of vehicles that are declared total losses, model year mix as well as used car values. An increase in tariffs, or the implementation of new tariffs, including retaliatory tariffs, would likely drive an increase in auto property damage claim severity.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social inflation may materially and adversely affect our financial condition. Social inflation is a term used to describe how insurers’ costs may be increasing at a rate higher than other economic inflation, generally due to trends in increasing litigation costs brought by insureds and claimants seeking larger settlement amounts, as well as the proliferation of litigation-financing firms, the hiring of testifying expert witnesses, and the use of costly, sophisticated technology to aid trial presentations. Considered part of social inflation are nuclear verdicts, which are generally considered to be jury verdicts exceeding $10 million in punitive and compensatory awards and have recently become more common.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actuarial models for pricing and reserving typically include an expected level of inflation (including social inflation), unanticipated increases in claim severity can arise from events that are inherently difficult to predict, such as inflationary shocks or surges in health care costs. Implementation of tariffs and changes in trade policies could also contribute to claim severity. Although we pursue various loss management initiatives to mitigate future increases in claim severity, we cannot guarantee that these initiatives will successfully identify or reduce the effect of future increases in claim severity, and our failure to do so would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Failure to maintain our risk-based capital at the required levels could adversely affect our ability to maintain regulatory authority to conduct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maintain sufficient capital and surplus in order to comply with insurance regulatory requirements, support our business operations and minimize our risk of insolvency. The NAIC has developed a system to test the adequacy of statutory capital and surplus of United States-based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 risk-based capital.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 insurer’s risk-based capital ratio measures the relationship between its total adjusted capital and its authorized control level risk-based capital. Insurers with a ratio falling below certain calculated thresholds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varying degrees of regulatory action, including heightened supervision, examination, rehabilitation or liquidation.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insurer’s total adjusted capital falls below 70% of its authorized control level risk-based capital), an insurer’s primary regulator is required to take steps to place the insurer into receivership.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NAIC Insurance Regulatory Information System, or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NAIC for any number of reasons, it could subject us to heightened regulatory scrutiny or measures or create investor uncertainty around the stability of our financial condition, which could harm our business. We previously disclosed to the Ohio DOI that certain of our ratios fall outside the usual range for one or more IRIS ratio factors. The Ohio DOI has acknowledged this and taken no regulatory action, although we cannot guarantee that the Ohio DOI will not do so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 Standards, it could subject us to heightened regulatory scrutiny or measures or create uncertainty around the stability of our financial condition, which would harm our business. The Florida OIR requires the provision of monthly financial reports.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Similarly, our wholly-owned, Cayman Islands-based captive reinsurer, Root Re, is subject to additional capital and other regulatory requirements imposed by the CIMA. Although these capital requirements are generally less constraining than United States capital requirements, failure to satisfy these requirements could result in regulatory actions from the CIMA or loss of or modification of Root Re’s Class B(iii) insurer license, which would adversely impact our ability to improve our overall capital efficiency and support our “capital-efficient”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newer entrant to the insurance industry, we may face additional capital and surplus requirements as compared to those of our larger and more established competitors, including requirements imposed by non-domiciliary regulators to maintain statutory capital and surplus, deposits, or other financial security in excess of domiciliary standards as a condition of transacting business in their jurisdictions. Failure to maintain adequate risk-based capital, or other capital requirements, at the required levels could result in limited state operations expansion, withdrawal from a state, and/or increasingly onerous reporting and examination requirements and could adversely affect our ability to maintain regulatory authority to conduct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prevent, monitor or detect fraudulent activity, including policy acquisitions or payments of claims that are fraudulent in nature, or fraud that may be perpetrated by employees or external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by customers, purported customers and/or claimants have been relatively isolated, we cannot guarantee that our systems and processes will always be adequate in the face of increasingly sophisticated and ever-changing fraud schemes. We use a variety of tools to protect against fraud, but these tools may not always be successful. Instances of fraud may result in increased costs, including possible settlement and litigation expenses, and could have a material adverse effect on our business and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filed suit against a former senior marketing employee and other defendants to recover approximately $10 million of funds we believe were misappropriated. A confidential settlement was reached with certain of these parties and the litigation continues as to others. It is unlikely that we will be able to recover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funds from such former employee or the other defendants. While we maintain insurance coverage to protect us against such loss, our coverage was less than the amount of that loss and may be insufficient or inadequate to cover future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our mobile app to execute our business strategy. Government regulation of the internet and the use of mobile apps in particular is evolving, and unfavorable changes could seriously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mobile app to execute our business strategy. We are subject to general business regulations and laws, as well as federal and state regulations and laws specifically governing the internet and the use of mobile apps in particular. Existing and future laws and regulations may impede the growth of the internet or other online services and increase the cost of providing online services. These regulations and laws may involve taxes, tariffs, trade policies, privacy and data security, anti-spam, content protection, electronic contracts and communications, electronic signatures and consents, consumer protection and social media marketing. It is at times not clear how existing laws governing issues such as property ownership, sales and other taxes and consumer privacy apply to the internet and the use of mobile apps in particular, as the vast majority of these laws were adopted prior to the advent of the internet and the use of mobile apps and do not contemplate or address the unique issues raised by the internet. It is possible that general business regulations and laws, or those specifically governing the internet and the use of mobile apps in particular, may be interpreted and applied in a manner that is inconsistent from one jurisdiction to another and may conflict with other rules or our practices. We cannot guarantee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 or website by consumers and suppliers and may result in the imposition of monetary liability. We may also be contractually liable to indemnify and hold harmless third parties from the costs or consequences of non-compliance with any such laws or regulations.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intellectual property rights are valuable, and any inability to protect them could reduce the value of our products, services and brand.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trade secrets, trademarks, copyrights, patents, know-how, and other intellectual property rights are important assets for us, in the United States and other jurisdictions.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accessible. Also, the efforts we have taken to protect our intellectual property rights may not be sufficient or effective, especially in foreign jurisdictions, and any of our intellectual property rights may be challenged, which could result in them being narrowed in scope or declared invalid or unenforceable. Despite our efforts to protect our proprietary rights, we cannot guarantee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 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contract counterparties and other third parties that place restrictions on the use and disclosure of this intellectual property. These agreements may not adequately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protect our trade secrets, these agreements may be breached, or this intellectual property, including trade secrets, may otherwise be disclosed or become known to our competitors, which would likely cause us to lose any competitive advantage resulting from this intellectual property. To the extent that our employees, independent contractors, contract counterparties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 and services by copying functionality.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 In addition, other parties may independently develop similar or competing technologies designed around any patents or patent applications that we hold. Some of our products and technologies are not covered by any patent or patent application. A failure to timely seek patent protection on products or technologies generally precludes us from seeking future patent protection on these products or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hold various domain names relating to our brand, including root.com, joinroot.com, rootinsurance.com and root-enterprise.com. Third parties have in the past registered domain names confusingly similar to domain names we currently hold, and our failure to protect our domain names could adversely affect our reputation and brand and make it more difficult for customers to find our website and our mobile app. We may be unable, without significant cost or at all, to prevent third parties from acquiring domain names that are similar to, infringe upon or otherwise decrease the value of our trademarks and other proprietary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 from third parties to develop and market new offerings or platform features, which may not be on commercially reasonable terms or at all and could adversely affect our ability to compete.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attract customers may be adversely affected. Any inability or failure to protect our intellectual property could adversely impact our business, results of operations, financial condition and prospects.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contract counterparties, we cannot guarantee that these agreements will be effective in controlling access to, and use and distribution of, our products and proprietary information. Further, these agreements do not prevent our competitors from independently developing technologies that are substantially equivalent or superior to our offerings.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Some of our products and services contain open source software, which may pose particular risks to our proprietary software, products, and services in a manner that could have a negative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and services and anticipate that we will continue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United States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would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operating results,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Claims by others that we infringed proprietary technology or other intellectual property rights could harm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Companies in the telematics,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intellectual property rights claims against us may become more frequent. From time to time, third parties have, and may in the future, assert claims of infringement of intellectual property rights against us. Although we believe that we have meritorious defenses, we cannot guarantee that we will be successful in defending against these allegations or in reaching a business resolution that is satisfactory to us. Our competitors and others may now and in the future have significantly larger and more mature patent portfolios than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licensing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financial condition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any intellectual property rights claim, we may have to seek out a license to continue operations found or alleged to violate such rights, which may not be available on favorable or commercially reasonable terms, or at all,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our customers were to claim that the insurance policies they purchased failed to provide adequate or appropriate coverage, we could face claims that could harm our business, results of operations, financial condition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endeavor to provide adequate and appropriate coverage under each of our policies, customers could purchase policies that prove to be inadequate or inappropriate. Customers have from time to time made claims, and may continue to do so in the future, alleging that we or our appointed insurance producers failed in our responsibilities to provide them with the type or amount of coverage that they sought to purchase. We have settled some such claims in the past, and we could in the future be found liable for amounts significantly in excess of the policy limit, resulting in an adverse effect on our business, results of operations, financial condition and prospects. While we maintain errors and omissions insurance coverage to protect us against such liability, such coverage may be insufficient or inadequate, or may be unavailable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underwrite risks accurately or charge competitive yet profitable rates to our customers, our business, results of operations, financial condition and prospects will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and about our customers with their consent, as evaluated and curated by our technology-based pricing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business, results of operations, financial condition and prospects.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 customers and lower revenues, which would likely have a material adverse effect on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collect and properly analyze a substantial volume of data about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develop, test and apply appropriate actuarial projections and rating formulas;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review and evaluate competitive product offerings and pricing dynamics;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closely monitor and timely recognize changes in trends; and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project both frequency and severity of our customers’ losses with reasonable accuracy.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no guarantees that we be successful in implementing our pricing methodology accurately in accordance with our assumptions. Our ability to accurately price our policies is subject to a number of risks and uncertainties,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insufficient, inaccurate or unreliable data;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incorrect or incomplete analysis of available data;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uncertainties generally inherent in estimates and assumptions;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failure to implement appropriate actuarial projections and rating formulas or other pricing methodologies;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incorrect or incomplete analysis of the competitive environment;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regulatory constraints on rate increases;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to accurately estimate investment yields and the duration of our liability for loss and LAE, as well as unanticipated court decisions, legislation or regulatory action;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unexpected or unanticipated changes in auto repair costs, auto parts prices, used car prices, labor and materials costs, tariffs, trade policies, rising medical costs, or changes in national or state healthcare laws or regulations.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address the potential actual or perceived inadequacy of our current business model, we may be compelled to increase the amount allocated to cover policy claims, increase premium rates or adopt stricter underwriting standards, any of which would likely result in a decline in new business and renewals and, as a result,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insurance operating results have been, and will likely continue to be, materially adversely affected by severe weather or other catastrophic events, and climate change may be exacerbating these events and their impacts.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insurance operating results have periodically been, and in the future will likely continue to be, materially adversely affected by natural events, such as hurricanes, tornadoes, windstorms, floods, fires, hailstorms, and severe winter weather. The frequency, severity, duration, and geographic location and scope of such events are inherently unpredictable. Moreover, climate change may be contributing to the increase in frequency of severe weather events and other natural disasters, how long they last, and how much insured damage they cause, and may change where the events occur.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extent of losses from a catastrophic event is a function of our exposure in the area affected by the event, the nature, severity, and duration of the event, and the extent of our excess of loss reinsurance that we have obtained with respect to such an event. As a result, an increase in the frequency, severity or duration, or unanticipated changes in geographic location or scope, of severe weather or other catastrophes could materially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assessments and other surcharges from state guaranty funds from time to time, which may materially reduce our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statutory property and casualty guaranty fund assessments in many states in which we do business. The purpose of a guaranty fund is to protect customers in a particular state by requiring that solvent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and casualty insurers pay the insurance claims of insolvent insurers in such state. These guaranty associations generally pay these claims by assessing solvent insurers proportionately based on each insurer's share of voluntary premiums written in the state. During the year ended December 31, 2025, the amounts we contributed to such funds were immaterial; however, as we enter new markets, the amounts we are required to contribute may increase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Maximum contributions required by law in any one year vary by state. We cannot predict with certainty the amounts of future assessments because they depend on factors outside our control, such as insolvencies of other insurance companies. Significant assessments due to a rise in insurance insolvencies could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 and legal proceedings filed by or against us and our subsidiaries could have a material adverse effect on our business, results of operations, financial condition and prospects, and may divert management’s attention and resources away from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allegations, and are party to litigation and legal proceedings relating to our business operations. Litigation and other proceedings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Members of the insurance industry are periodically the target of class action lawsuits and other types of litigation, some of which involve claims for substantial or indeterminate amounts, and the outcomes of which are unpredictable. Claims against insurers could be based on a variety of issues, including the sale of insurance policies and claim settlement practices. In addition, because we employ a technology platform to collect customer data, it is possible that customers, regulators or consumer groups could bring individual or class action claims alleging that our methods of obtaining consent and collecting data and pricing risk are improper and/or impermissibly discriminatory. We cannot guarantee we will not be involved in such litigation in the future or what impact such litigation would have on our business. We have successfully defended against some class action lawsuits in the past, and settled others. If we were to be involved in future litigation and it was determined adversely, it could require us to pay significant damages or to change aspects of our operations, either of which would likely have a material adverse effect on our business. Even claims without merit can be time-consuming and costly to defend and may divert management’s attention and resources away from implementing our strategy and adversely affect our business, results of operations, financial condition and prospects.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While we maintain excess of loss and insurance company professional liability insurance coverage to protect us against such liability, such coverage may be insufficient or inadequate, or may be unavailable in the future. We cannot predict the costs of defense, the costs of prosecution, insurance coverage or the ultimate outcome of litigation or other proceedings filed by or against us, including remedies or damage awards, and adverse results in such litigation, and other proceedings may harm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federal income tax net operating losses, or NOLs, of approximately $1,284.7 million, and state and local income tax NOLs of approximately $487.3 million, available to offset our future taxable income, if any, prior to consideration of annual limitations that may be imposed under Section 382 of the Internal Revenue Code, or the Code, or otherwise. Of our federal and state and local NOLs, $629.6 million and $232.1 million of losses will begin to expire in tax years 2038 through 2046 and 2026 through 2045, respectively, and $655.1 million and $255.2 million, respectively, of losses can be carried forward indefinitely.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 future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Tax Cuts and Jobs Act, or the Tax Act, as modified by the Coronavirus Aid, Relief, and Economic Security Act, or the CARES Act, among other things, includes changes to United States federal tax rates and the rules governing NOL carryforwards. For federal NOLs arising in tax years beginning after December 31, 2017, the Tax Act as modified by the CARES Act limits a taxpayer’s ability to utilize non-P&amp;C NOL carryforwards in taxable years beginning after December 31, 2020, to 80% of taxable income. In addition, federal non-P&amp;C NOLs arising in tax years beginning after 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when the NOLs are expected to be utilized. This limitation on use of NOLs may significantly impact our ability to utilize our NOLs to offset taxable income in the future.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in tax years beginning after 2019 and before 2023.</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manner in which we fund tax withholding obligations that will arise upon vesting of outstanding restricted stock awards may require us to use a substantial amount of cash, which would reduce our liquidity, or may result in sales of shares of our Class A common stock into the market, which could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executive officers and other employees held an aggregate of 1.3 million unvested equity awards, including up to a maximum of 0.6 million unvested equity awards that are scheduled to vest in the ordinary course during 2026. Tax withholding obligations arise upon vesting of equity awards and these obligations must be satisfied at the time they arise through cash payments remitted to the relevant tax authorities. To the extent we satisfy our tax withholding obligations with respect to these equity awards by withholding shares and remitting cash to the relevant tax authorities, the net cash payments due for taxes upon the vesting of such equity compensation awards is dependent on the price of our Class A common stock on the applicable vesting dates and could be substantial. Net tax withholding obligations will vary based upon, among other things: the price of our Class A common stock at the time of vesting; the applicable tax withholding rates then in effect; the number of employees electing to pay us an amount in cash, via a broker, sufficient to cover their applicable tax withholding obligations; whether we continue to arrange for withholding in respect of vesting; the number of equity awards that may be forfeited prior to vesting; the level of achievement with respect to performance- or market-based awards; and the timing and amounts of future equity awards.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to implement “sell-to-cover” arrangements with one or more holders of equity awards to minimize our expenditure of cash to satisfy tax withholding obligations. Under such arrangements, a broker would assist the holder in selling, in the open market, all or a portion of the shares subject to the equity award vesting and would remit a portion of the sales proceeds to us. We would in turn remit such amounts to the taxing authorities. Such “sell-to-cover” arrangements would enable us to satisfy tax withholding obligations and remain in a net neutral cash position, but would result in sales of shares of our Class A common stock into the market, and such sales could cause the market price of our Class A common stock to decline. In addition, if the price of our Class A common stock appreciates rapidly or experiences temporary dislocations that coincide with vesting dates, we may not be able to change our withholding methodology prior to vesting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Future obligations could have a negative impact on our liquidity and ability to use funds for operational purposes and could have a material adverse effect on our business, results of operations, financial condition and prospects.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Model and Industry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insurance business, including the market for automobile and renters insurance, is historically cyclical in nature, and we may experience periods with excess underwriting capacity and unfavorable premium rates, which could adversely affect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Retention of business written by us or through our Texas county mutual arrangement could expose us to potential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retain risk for business underwritten by our insurance company subsidiaries, including business assumed through our Texas county mutual arrangement. The determination to retain risk by reducing the amount of external reinsurance, by being unwilling or unable to obtain reinsurance, or by not purchasing reinsurance for a particular risk, customer segment or niche, is based on a complex variety of factors, including market conditions, strategy, pricing, availability of reinsurance, our capital levels, loss experience and tolerance. Historically, we have utilized reinsurance to expand our capacity to write more business than our insurance subsidiaries’ surplus would have otherwise supported. A determination by us to continue to retain risk increases our financial exposure to losses and significant losses could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Reinsurance may be unavailable at current levels and prices, which may limit our ability to underwrite new policies. Furthermore, reinsurance subjects us to counterparty risk and may not be adequate to protect us against losses, which could have an adverse effect on our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subsidiaries obtain reinsurance to help manage exposure to property and casualty insurance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our reinsurance counterparties are liable to us according to the terms of the reinsurance treaties,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 unsound by the time that they are called upon to pay amounts due, which may not occur for many years. At such time, we may have no legal ability to recover what is due to us under our agreement with such reinsurers. Any disputes with reinsurers regarding coverage under reinsurance contracts could be time consuming, costly, and uncertain of success.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 conditions beyond our control impact the availability and cost of the reinsurance we purchase. No guarantee can be made that reinsurance will remain continuously available to us to the same extent and on the same terms and rates as is currently available, as such availability depends in part on factors outside of our control.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would have a material adverse effect upon our business and profitability. Alternatively, we could elect to pay higher than reasonable rates for reinsurance coverage, which would have a material adverse effect upon our profitability unless policy premium rates could be raised, in most cases subject to approval by state regulators, to offset this additional cost.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Reinsurance subjects us to risks of our reinsurers and may not be adequate to protect us against losses arising from ceded insurance, which could have an adverse effect on our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 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At such time, we may have no legal ability to recover what is due to us under our agreement with such reinsurer. For instance, certain reinsurers, including reinsurers utilized by us, have become financially unsound in the past. In addition, any disputes with reinsurers regarding coverage under reinsurance contracts could be time consuming, costly, and uncertain of success. Our inability to collect a material recovery from a reinsurer could have a material effect on our business, results of operations, financial condition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extensive regulation, and potential further restrictive regulation may increase our operating costs and limit our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extensive laws, regulations and various approvals by the individual state insurance departments in the states in which we transact business and the CIMA as it pertains to our captive reinsurance company. These laws, regulations and approvals are complex and subject to change. Changes may sometimes lead to additional expenses, increased legal exposure, increased required reserves or capital and surplus, and additional limits on our ability to grow or to achieve targeted profitability. Regulations to which our licensed insurance carriers and producer subsidiaries are subject include, but are not limited to: prior approval of transactions resulting in a change of “control”; approval of policy forms and premiums; approval of intercompany service agreements and reinsurance agreements; statutory and risk-based capital solvency requirements, including the minimum capital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surplus our regulated insurance subsidiary must maintain; restrictions on, and regulatory approval requirements for, the payment of dividends, or other capital distributions, by and among our insurance subsidiaries; and establishing minimum reserves that insurance carriers must hold to pay projected insurance claims. To date, our subsidiary boards of directors have declared dividends on an intercompany basis only, in the exercise of their respective discretion and subject to regulatory approval, after considering a variety of factors, including our results of operations, capital and liquidity needs, and applicable regulatory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we decide to expand our current product offerings to include other insurance products, this would subject us to additional regulatory requirements and scrutiny in each state in which we elect to offer such products. Most states have also adopted legislation prohibiting unfair methods of competition and unfair or deceptive acts and practices in the business of insurance as well as prohibiting unfair claims practices. Prohibited practices include, but are not limited to, misrepresentations, false advertising, coercion, disparaging other insurers, unfair claims settlement procedures, and discrimination in the business of insurance. Noncompliance with any of such state statutes may subject us to legal and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state insurance regulators have primary responsibility for administering and enforcing insurance regulations in the United States,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United States Department of Labor, the United States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and rapid rate of growth, we are more vulnerable to regulators identifying errors in the policy forms we use, the rates we charge, or with respect to our customer communications, and consumer-initiated litigation, including class action litigation, pursuant to regulations providing a private right of action. As a result of such noncompliance, regulators have in the past imposed non-material fines and penalties and could in the future impose fines, rebates or other penalties, including cease-and-desist orders with respect to our operations in an individual state, or all states, until the identified noncompliance is rectified.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risk that any particular regulator’s or enforcement authority’s interpretation of a legal issue or the scope of a regulator’s authority may change over time, or may change due to a court order or judgment,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Failure to comply with other state insurance laws and regulations in the future could also have a material adverse effect on our business, operating results, financial condition and prospects. As another example, the federal government could pass a law expanding its authority to regulate the insurance industry, expanding federal regulation over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our detriment. These laws and regulations may limit our ability to grow, raise additional capital or improve the profitability of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 license suspended, or be subject to the seizure of assets. Any such events could adversely affect our business, results of operations, financial condition and prospects. See the sections titled “Regulation — Insurance Regulation”, “Regulation — Insurance Holding Company Regulation” and “Regulation — Required Licensing” in Item 1. Business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regulatory environment that requires rate increases to be approved or that can dictate underwriting practices, mandate participation in loss sharing arrangements, or require insurers to lower rates and/or disgorge profits may adversely affect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 of insurance frequently changes as regulators respond to new, emerging, or perceived issues within the insurance market. From time to time, political events and pressures also affect the insurance market, including efforts to suppress rates to a level that may not allow us to reach targeted levels of profitability. Regulatory authorities may impose rate rollbacks, require premium refunds to policyholders or otherwise challenge or delay our efforts to raise rates even when rate increases may be actuarially justified. Such challenges affect our ability to obtain approval for rate changes necessary to achieve targeted levels of profitability and returns on equity and may result in our pricing being inadequate, which could adversely impact our underwriting results. This could also negatively impact our cash flows and deteriorate our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business, results of operations, financial condition and prospects could be adversely affected by any of these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State insurance regulators impose additional reporting requirements regarding enterprise risk on insurance holding company systems, and we must comply as an insurance holding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decade, various state insurance regulators have increased their focus on risks within an insurer’s holding company system that may pose enterprise risk to the insurer. For example, an insurance holding company system’s ultimate controlling person is required to annually submit an “enterprise risk report” to its primary state insurance regulator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On behalf of Root Insurance Company, Root Property &amp; Casualty, and Root Florida, Root, Inc. submitted its annual enterprise risk report with Ohio and Florida on May 30, 2025, as required by applicable laws. Other changes include the requirement that a controlling person submit prior notice to its supervisory insurance regulator of a divestiture of control, having detailed minimum requirements for cost sharing and management agreements between an insurer and its affiliates and expansion of the agreements between an insurer and its affiliates to be filed with its supervisory insurance regulator.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Own Risk and Solvency Assessment, or ORSA, requirements, which require an insurer to conduct an internal assessment of material and relevant risks associated with its business plans and the sufficiency of its capital and liquidity under normal and stressed conditions. ORSA summary reports must be filed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annually with the lead state insurance regulator. We conduct an ORSA review annually, and we last submitted our report to Ohio on April 2, 2025. There is also risk that insurance holding company systems may become subject to group capital requirements at the holding company level. The NAIC has developed a group capital calculation covering all entities in our insurance company group for us in solvency monitoring activities. The group capital calculation provides regulators with an additional analytical tool for conducting supervisory activities. We filed a group capital calculation in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rely on technology and intellectual property from third parties to operate our business, including for pricing and underwriting our insurance policies, handling claims and maximizing automation, the unavailability or inaccuracy of which could limit the functionality of our products and disrupt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highly dependent upon our ability to perform necessary business functions in an efficient and uninterrupted manner. The shut-down, disruption, degradation or unavailability of one or more of our systems or facilities, or the inability of our employees to communicate in a largely work-from-home environment, for any reason could significantly impair our ability to perform critical business functions on a timely basis. In addition, many of our critical business systems interface with and depend on third-party systems.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offer our products through our website and mobile app using third-party data centers and a leading provider of cloud infrastructure services. We do not have control over the operations or facilities of these third parties. Such facilities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services, prevent customers from accessing our products, destroy customer data, or prevent us from being able to continuously back up and record data. In the event of significant physical damage to one of these data centers, it may take a significant period of time to achieve full resumption of our services, and our disaster recovery planning may not account for all eventualities. If the data centers we utilize or related systems fail to operate properly, or become disabled even for a brief period of time, we could suffer financial loss, a disruption of our business, liability to customers or damage to our reputation. We may not be able to easily switch our operations to another cloud or data center provider if there are disruptions or interference, and, even if we do switch our operations, other cloud and data center providers are subject to the same risks. Moreover, negative publicity arising from these types of disruptions could damage our reputation and may adversely impact the use of our website and mobile app.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We may not carry sufficient business interruption insurance, it may not be sufficient to compensate us for the potentially significant losses, including the potential harm to the future growth of our business that may result from interruptions in our services or products. Any of these results could harm our business, results of operations,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payment processing risk and risk related to the availability of consumer credit.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In addition, if the availability of consumer credit decreases, including as a result of the imposition of caps on credit card interest rates as has been proposed, customers may lose access to payment methods and we may experience difficulty collecting payments. If we or our processing vendor fail to maintain adequate systems for the authorization and processing of credit card transactions, it could cause one or more of the major credit card companies to disallow our continued use of their payment products. The failure to do so could result in contractual fines or disruption of our ability to receive credit card payments, harming our reputation and financial condition. Data security standards for merchants and service providers that accept credit card payments are prescribed by the PCI Security Standards Council, or PCI, an independent body formed by an association of the major credit card vendors. These standards are intended to promote a common set of data security measures to help ensure the safe handling of sensitive information by companies accepting credit card payments. The PCI data security standards, however, will likely evolve over time to address emerging payment security risks and other issues requiring additional compliance efforts by us. Our intention is to maintain compliance with PCI’s data security standards, but such compliance cannot be guaranteed.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methods that we offer also subject us to potential fraud and theft by criminals, who are becoming increasingly sophisticated, seeking to obtain unauthorized access to or exploit weaknesses that may exist in payment systems. If we fail to comply with applicable rules or requirements for the payment methods we accept, including the Payment Card Industry Data Security Standard, a self-regulatory standard that requires companies that process payment card data to implement certain data security measures,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in addition to other disruptions in our ability to accept or collect credit card payments, could harm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success depends upon the insurance industry continuing to move online at its current pace and the continued growth and acceptance of online and mobile app-based products and services as effective alternatives to traditional offline products and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automobile and renters insurance products primarily through our websites, mobile app, and partnership channel, including our embedded insurance product and our independent agent platform, which compete with traditional offline insurance counterparts. We believe that the continued growth and acceptance of online products and services, as well as those offered through mobile devices generally will depend, to a large extent, on the continued growth in commercial use of the internet and mobile apps, and the continued migration of traditional offline markets and industries online.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prefer. Moreover, if, for any reason, an unfavorable perception generally develops that telematics, mobile engagement, a technology-based platform, AI and/or bots are less efficacious than traditional offline methods of purchasing insurance, underwriting, claims processing, and other functions that do not use data automation, AI and/or bots, or that our processes lead to unfair outcomes, our business, results of operations, financial condition and prospects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actual incurred losses and LAE may be greater than our loss and LAE reserves, which could have a material adverse effect on our business, results of operations, financial condition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condition and results of operations depend on our ability to accurately price risk and assess potential losses and LAE under the terms of the policies we underwrite. Reserves do not represent an exact calculation of the unpaid claims liability. Rather, reserves represent an estimate of what the expected ultimate settlement and administration of claims will cost, and the ultimate liability may be greater or less than the current estimate. In our industry, there is always a risk that reserves may prove inadequate or redundant since we will likely misestimate the exact cost of claims and claims administration.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economic and judicial trends and legislative and regulatory changes. Moreover, changing climate conditions, whether due to global climate change or other causes, may increase how often severe weather events and other natural disasters occur, how long they last, and how much insured damage they cause, and may change where events occur. We regularly monitor reserves using new information on reported claims and a variety of statistical techniques to update estimates. Our estimates could prove to be inadequate, and this underestimation could have a material adverse effect on our business, results of operations, financial condition and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Recorded claim reserves, including case reserves, salvage and subrogation and incurred but not reported, or IBNR, claims reserves, are based on our estimates of losses after considering known facts and interpretations of the circumstances, including settlement agreements. Additionally, models are used that rely on the assumption that past loss development patterns will persist into the future.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changes in claim reporting, and settlement practices. External factors are also considered, such as court decisions, as well as changes in law and litigation imposing unintended coverage. We also consider benefits, such as requiring the availability of multiple limits for a single loss occurrence. Regulatory requirements and economic conditions are also considered.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modern estimation processes and practices. The ultimate cost of losses may vary materially from recorded reserves and such variance may adversely affect our business, results of operations, financial condition and prospects as the reserves and reinsurance recoverables are reestimated.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could affect our ability to attract new business or to retain existing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Performance of our investment portfolio is subject to a variety of investment risks that may adversely affect our financial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depend, in part, on the performance of our investment portfolio. We seek to hold a diversified portfolio of investments in accordance with our investment policy, which is routinely reviewed by the Audit, Risk and Finance Committee. However, our investments are subject to general economic and market risks as well as risks inherent to particular securities and classes of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market risk exposures are to changes in interest rates. See the section titled “Quantitative and Qualitative Disclosures about Market Risk” in Item 7. Management’s Discussion and Analysis of Financial Condition and Results of Operations. In recent years, interest rates have been at or near historic lows although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have been slightly higher of late. A protracted low interest rate environment would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asset-backed securities, carry prepayment risk or, in a rising interest rate environment, may not prepay as quickly as expected.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and do change. Failure to comply with these laws and regulations would cause non-conforming investments to be treated as non-admitted assets for purposes of measuring statutory surplus and, in certain circumstances, we would be required to dispose of such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seek to preserve our capital, we cannot guarantee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inability to access our cash accounts or to convert investments into cash on favorable terms when we desire to do so may materially and adversely affect our business, cash flows and capital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ability to access our cash accounts at banks and other financial institutions to operate our business. If we are unable to access the cash in those accounts as needed, whether due to our own systems’ difficulties, an institution-specific issue at the bank or financial institution (such as a bank failure, cybersecurity incident, severe weather or other catastrophe impacting their operations), a broader disruption in banking, financial or wire transfer systems, or otherwise, our ability to pay insurance claims and other financial obligations when due and otherwise operate our business could be materially adversely affected. In the recent past, certain banks, including a bank utilized by the Company, have failed and depositors, including the Company, were unable to access funds in those banks for a period of time. Likewise, our investment portfolios are subject to risks inherent in the nation’s and world’s capital markets, including the United States continuing to honor its outstanding debt and other obligations. Any disruption in the functioning of those markets or in our ability to liquidate investments or specific categories of investments on favorable terms when desired, or a default by the United States in its obligations, could impair our ability to pay claims or other financial obligations when due and could result in a significant decline in the value of our investment portfolio and have a material adverse impact on our cash flows and capital position. Any such event or series of such events could also result in significant operational difficulties, reputational harm and adverse actions by regulators and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Unexpected changes in the interpretation of our coverage or provisions, including loss limitations and exclusions, in our policies could have a material adverse effect on our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guarantees that specifically negotiated loss limitations or exclusions in our policies will be enforceable in the manner we or our customers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business, results of operations, financial condition or prospects. In addition, court decisions, such as the 1995 Montrose decision in California, could read policy exclusions so as to expand coverage, thereby requiring insurers to create and write new exclusions. Under insurance laws, the insurer typically has the burden of proving an exclusion applies and any ambiguities in the terms of a loss limitation or exclusion provision are typically construed against the insurer. These issues may adversely affect our business by either broadening coverage beyond our underwriting intent, by increasing the frequency or severity of claims or both. In some instances, these changes may not become apparent until sometime after we have issued insurance contracts that are affected by the changes. As a result, the full extent of liability under our insurance contracts may not be known for many years after a contract is issued and may subject us to aggregated class action litigation.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meet the continued listing requirements of Nasdaq could result in delisting of our Class A common stock, which in its turn would negatively affect the price of our Class A common stock and limit investors’ ability to trade in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trades on Nasdaq. Nasdaq rules impose certain continued listing requirements, including the minimum $1 bid price, corporate governance standards and number of public stockholders. If we fail to meet these continued listing requirements, Nasdaq may take steps to delist our Class A common stock. If our Class A common stock is delisted from The Nasdaq Global Select Market, we could face significant material adverse consequences,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a limited availability of market quotations for our Class A common stock;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a reduced liquidity with respect to our Class A 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determination that shares of our Class A common stock are a “penny stock,” which will require broker-dealers trading in our Class A common stock to adhere to more stringent rules, possibly resulting in a reduced level of trading activity in the secondary trading market for our Class A common stock;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a limited amount of news and analyst coverage for our Company; and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a limited ability to issue additional securities or obtain additional financing in the future.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dual class structure of our common stock will have the effect of concentrating voting control with our executive officers, directors and their affiliates, which will limit your ability to influence the outcome of important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has ten votes per share and our Class A common stock has one vote per share. As of February 18, 2026, holders of our Class B common stock collectively beneficially own shares representing approximately 55.4% of the voting power of our outstanding capital stock. Our directors and executive officers and their affiliates collectively beneficially own, in the aggregate, shares representing approximately 34.3% of the voting power of our outstanding capital stock. As a result, the holders of our Class B common stock are able to exercise considerable influence over matters requiring stockholder approval, including the election of directors and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including our directors and executive officers and their affiliates, who retain their shares in the long term.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Applicable insurance laws may make it difficult to effect a change of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applicable state insurance laws and regulations, no person may acquire “control” of an insurer until written approval is obtained from the state insurance commissioner. Applicable law provides for a rebuttable presumption of “control” by any person which owns or acquires, directly or indirectly, 10% or more of the voting stock of the insurance company, and a person must seek regulatory approval from the superintendent of the supervisory DOI prior to acquiring direct or indirect “control” of an insurer by filing a Form A Statement Regarding the Acquisition of Control of or Merger with a Domestic Insurer, or Form A. As part of this Form A,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acquirers may find these 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Class A common stock so any returns will be limited to the value of our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subsidiaries to declare extraordinary stockholder dividends and require insurance companies to maintain specified levels of statutory capital and surplus. Insurance regulators have broad powers to prevent reduction of statutory surplus to inadequate levels, and there is no guarantee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any appreciation of their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 a public company, we are subject to more stringent federal and state law requirements. We incur significant increased costs as a result of operating as a public company, and our management devotes substantial time to compliance initiatives.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subject to the reporting requirements of the Exchange Act, the Sarbanes-Oxley Act, the Dodd-Frank Act, the listing requirements of Nasdaq, and other applicable securities rules and regulations. Compliance with these rules and regulations has increased, and may continue to increase, our legal, accounting, investor relations, financial and other costs and expenses, make some activities more difficult, time-consuming or costly and increase demand on our systems and resources. The Exchange Act requires, among other things, that we file annual, quarterly and current reports with respect to our business and operating results. In addition, the Sarbanes-Oxley Act and rules subsequently implemented by the SEC and Nasdaq have imposed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requirements on public companies, including establishment and maintenance of effective disclosure and financial controls and corporate governance practices. Stockholder activism, the current political environment and the current high level of United States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 Being a public company and the associated rules and regulations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Risk and Finance Committee, on our Compensation Committee, and as qualified executive officers.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Actions and changing expectations from investors, clients, regulators and our employees with respect to environmental, social and governance matters may impose additional costs on us, impact our access to capital, or expose us to new or additional risks.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Changing expectations, including from governmental organizations, investors, advisory firms, employees and clients, on environmental, social and governance matters, such as environmental stewardship, climate change, diversity, equity and inclusion, pay equity, racial justice, workplace conduct and cybersecurity and data privacy, may result in increased costs (including but not limited to increased costs related to compliance and stakeholder engagement), impact our reputation, or otherwise affect our business performance. Conflicting environmental, social and governance policies within jurisdictions, such as between federal and some state policies in the United States, is leading to a complex and fragmented regulatory environment, which may be difficult to navigate, and we may not effectively anticipate or respond to regulatory changes. Negative public perception, adverse publicity or negative comments in social media, whether accurate or inaccurate, could damage our reputation or harm our relationships with regulators, investors and the communities in which we operate, if we do not, or are not perceived to, adequately address these issues, including if we fail to demonstrate progress towards any current or future environmental, social and governance goals. Any harm to our reputation could negatively impact employee engagement and retention and the willingness of customers to do business with us. We could also incur additional costs and require additional resources to monitor, report, and comply with various environmental, social and governance practices.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 variety of organizations have developed ratings to measure the performance of companies on environmental, social and governance topics, and the results of some of these assessments are widely publicized. Such ratings are used by certain investors to inform their investment and voting decisions. In addition, many investors have created their own proprietary ratings that inform their investment and voting decisions. Unfavorable ratings of the Company or our industry, as well as omission of inclusion of our stock into environmental, social and governance-oriented investment funds may lead to negative investor sentiment and the diversion of investment to other companies or industries, which could have a negative impact on our stock price and our access to and cost of capital.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our financial reporting, as such term is defined in Rules 13a-15(f) and 15d-15(f) under the Exchange Act. Internal control over financial reporting is a process designed to provide reasonable assurance regarding the reliability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reporting and the preparation of financial statements for external purposes in accordance with GAAP. Our management does not expect that our internal control over financial reporting will prevent or detect all errors and all fraud. A control system, no matter how well designed and operated, can provide only reasonable assurance, not absolute assurance, that the control system’s objective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 the future,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capital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are unable to hire the additional accounting and finance staff necessary to comply with these requirements, we may need to retain additional outside consultants. If we or our auditors are unable to conclude that our internal control over financial reporting is effective, investors may lose confidence in our financial reporting and the trading price of our Class A common stock may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establish a classified board of directors such that not all members of the board are elected at one time;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allow the authorized number of our directors to be changed only by resolution of our board of directors;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limit the manner in which stockholders can remove directors from the board;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advance notice requirements for stockholder proposals that can be acted on at stockholder meetings and nominations to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that stockholder actions must be effected at a duly called stockholder meeting and prohibit actions by our stockholders by written consent;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prohibit our stockholders from calling a special meeting of our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our board of directors to issue preferred stock without stockholder approval, which could be used to institute a stockholder rights plan, or so-called “poison pill,” that would work to dilute the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ownership of a potential hostile acquirer, effectively preventing acquisitions that have not been approved by our board of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the approval of the holders of at least 66 2⁄3% of the votes that all our stockholders would be entitled to cast to amend or repeal certain provisions of our charter or bylaws.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the DGCL. The DGCL provides that directors of a corporation will not be personally liable for monetary damages for any breach of fiduciary duties as directors, except liability for:</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any breach of the director’s duty of loyalty to the corporation or its stockholders;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any act or omission not in good faith or that involves intentional misconduct or a knowing violation of law;</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unlawful payments of dividends or unlawful stock repurchases or redemptions; or</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any transaction from which the director derived an improper personal benefit.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we are required to indemnify our directors and officers to the fullest extent permitted by the DGCL and may indemnify our other employees and agents. Our amended and restated bylaws also provide that, on satisfaction of certain conditions, we will advance expenses incurred by a director or officer in advance of the final disposition of any action or proceeding, and secure insurance on behalf of any officer, director, employee or other agent for any liability arising out of his or her actions in that capacity regardless of whether we would otherwise be permitted to indemnify him or her under the provisions of the DGCL.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maintain directors’ and officers’ liability insurance, such insurance may not be adequate to cover all liabilities that we may incur, which may reduce our available funds to satisfy third-party claims and may adversely impact our cash position.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provides that the Court of Chancery of the State of Delaware and the federal district courts of the United States are the exclusive forums for substantially all disputes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derivative claim or cause of action brought on our behalf;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claim or cause of action for breach of a fiduciary duty owed by any of our current or former directors, officers or other employees to us or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claim or cause of action against us or any of our current or former directors, officers or other employees, arising out of or pursuant to any provision of the DGCL, our certificate of incorporation or our bylaws;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claim or cause of action seeking to interpret, apply, enforce or determine the validity of our certificate of incorporation or our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action or proceeding as to which the DGCL confers jurisdiction to the Court of Chancery of the State of Delaware;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 forum provision in our amended and restated certificate of incorporation to be inapplicable or unenforceable in an action, we may encounter additional costs associated with resolving the dispute in other jurisdictions, which could seriously harm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Amended Term Loan includes a floating interest rate that exposes us to interest rate risk, and the terms of our Amended Term Loan place restrictions on our operating and financial flexibility. Our failure to comply with covenants contained in the Amended Term Loan may result in acceleration of our repayment obligations, which could harm our liquidity, financial condition, operating results, business and prospects and cause the price of our Class A common stock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Root is a party to a term loan agreement by and among Root, Caret Holdings, Inc., or Caret, as borrower, and other subsidiary loan parties, the lenders party thereto, or the Lenders, and Acquiom Agency Services LLC, as the administrative agent for the Lenders, as amended, or the Amended Term Loan. Under the terms of the Amended Term Loan, Caret has borrowed a principal amount of $200 million, all of which is currently outstanding. Interest is determined on a floating interest rate calculated on the Secured Overnight Financing Rate, or SOFR, with a 1.0% floor, plus an applicable margin ranging from 5.25% to 6.00%, based upon the debt-to-capital ratio payable quarterly. Rising interest rates have an adverse impact on the cost of debt and results in less cash available to utilize in our operations and could have a material adverse effect on our business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Amended Term Loan includes limitations that restrict and limit, among other things, our ability to incur other indebtedness and liens, make restricted payments and investments, transfer or sell certain assets, engage in transactions with affiliates, and includes covenants requiring our cash and cash equivalents held in entities other than our insurance subsidiaries to be at least $50 million at all times, direct contribution margin on a rolling twelve months to be at least 20% at the end of each fiscal quarter and the surplus of our insurance subsidiaries to be at least $125.0 million at the end of each fiscal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Term Loan also contains customary events of default, including, among others, payment default, bankruptcy events, cross-default, breaches of covenants and representations and warranties, change of control and judgment defaults. A breach of any of these covenants could result in default under our Amended Term Loan, which could prompt lenders to declare all amounts outstanding under the Amended Term Loan to be immediately due and payable. A repayment of our debt would materially reduce our cash position and may cause insurance regulators to review our financial condition and require us to take actions to raise additional funds via equity or debt, which may be at less favorable terms than under the Amended Term Loan. If we do not have sufficient cash or reserves, insurance regulators could take regulatory action. If we were unable to repay those amounts, the lenders could proceed against the collateral granted to them to secure that indebtedness. An acceleration of our outstanding indebtedness could have serious consequences to our financial condition, operating results, and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stockholders may attempt to effect changes at our company or acquire control over our company, which could impact the pursuit of business strategies and adversely affect our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stockholders may from time to time engage in proxy solicitations, advance stockholder proposals or otherwise attempt to effect changes or acquire control over our company. Campaigns by stockholders to effect changes at publicly 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divert the attention of our board of directors and senior management from the management of our operations and the pursuit of our business strategies. As a result, stockholder campaigns could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Future acquisitions or investments could disrupt our business and harm our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future we may pursue acquisitions or investments that we believe will help us achieve our strategic objectives. There is no guarantee that such acquisitions or investments will perform as expected or will be successfully integrated into our business or generate substantial revenue, and we may overestimate cash flow, underestimate costs or fail to understand the risks of or related to any investment or acquired business. The process of acquiring a business, product or technology can also cause us to incur various expenses and create unforeseen operating difficulties, expenditures and other challenges, whether or not those acquisitions are consummated, such 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inadequacy of reserves for losses and LAE;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or material delay in closing a transaction, including as a result of regulatory review and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conditions attached to the approval of the acquisition and other regulatory hurdles;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need for additional capital that was not anticipated at the time of the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anticipated benefits not materializing or being lower than anticipated;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addressing acquisition integration challenges;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transition of the acquired company’s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retention of employees or business partners of an acquired company;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cultural challenges associated with integrating employees from the acquired company into our organization;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integration of the acquired company’s accounting, management information, human resources and other administrative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coordination of product development and sales and marketing functions;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offerings cannibalizes a portion of our existing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liability for activities of the acquired company before the acquisition, including patent and trademark infringement claims, violations of laws, commercial disputes, tax liabilities and other known and unknown liabilities;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other claims in connection with the acquired company, including claims from terminated employees, users, former stockholders or other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that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increased interest expenses or impairment charges against goodwill in our consolidated balance sheet, any of which could seriously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expect a number of factors to cause our results of operations to fluctuate on a quarterly and annual basis, which may make it difficult to predict our future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who may adversely change their recommendation regarding our stock or provide more favorable relative recommendations about our competitors, or decline or cease to cover the Company or fail to publish regular reports on us, any of which may adversely affect our stock price. In addition to other risk factors discussed in this “Risk Factors” section and elsewhere in this Annual Report on Form 10-K, factors that may contribute to the variability of our quarterly and annual results include: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attract new customers and retain existing customers, including in a cost-effective manner;</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accurately forecast revenue and losses and appropriately plan our expenses;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effects of changes in search engine placement and prominence;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effects of increased competition on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maintain our position in and expand in existing markets as well as successfully enter new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our existing intellectual property and to create new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 adequate rate of growth and effectively manage that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keep pace with technology changes in the insurance, mobile and automobile industries;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sales and marketing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partnership channel, including our embedded insurance platform;</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the success of our agency channel, including our independent agent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associated with defending claims, including accident and coverage claims, intellectual property infringement claims, misclassifications and related judgments or settlements;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of, and changes in, governmental or other regulation affecting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attraction and retention of qualified employees and key personnel;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choose and effectively manage third-party service providers;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identify and engage in joint ventures and strategic partnerships;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of litigation or other losses;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effect of increasing interest rates on our available cash;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effects of natural or man-made catastrophic events, including those caused by global climate change;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effectiveness of our internal controls;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changes in our tax rates or exposure to additional tax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New or changing technologies, including those impacting personal transportation, could cause a disruption in our business model, which may materially impact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anticipate the impact on our business of changing technology, including automotive technology, our ability to successfully operate may be materially impaired. Our business could also be affected by potential technological changes, such as autonomous or partially autonomous vehicles or technologies that facilitate ride, car or home sharing, the more widespread adoption of electric vehicles (including potentially as a result of climate change or regulatory responses to it),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 economic downturn and economic uncertainty may adversely affect demand for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indications of increased economic uncertainty in the United States, including the potential for an economic recession. Impacts of such general economic weakness include, without limitation: reduced credit availability; reduced liquidity; volatility in credit and equity markets; contentious trade markets, including changes to tariffs and trade policy; increasing job losses, bankruptcies and rising interest rates. In recent years, there have been instances of Congress and the President failing to reach agreement on federal budgetary and spending matters. A government shutdown, a default by the United States government on its debt obligations, credit-rating downgrades or a weakened dollar relative to other currencies could also have adverse effects on the broader global economy and contribute to, or worsen, an economic recession or create recessionary conditions. In addition, certain regulators may institute moratoriums that prohibit or limit an insurer’s ability to cancel or non-renew an insurance policy or require an insurer to defer the collection of past-due premiums to the end of the moratorium period. These moratoriums may lead to an increase in earned, but not collected premium, thereby adversely impacting the insurer. Certain of the jurisdictions in which we operate instituted moratoriums during the COVID-19 pandemic, and could do so again in adverse economic conditions. In addition, adverse economic conditions have included or resulted in, and could continue to include or result in, a significant increase in inflation. We may not be able to respond effectively to these challenges, which could have a material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of our Class A common stock in the public market by current shareholders could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has processes in place designed to protect its information systems and to assess, identify and manage material risks from cybersecurity threats. </w:t>
      </w:r>
      <w:r>
        <w:rPr>
          <w:rFonts w:ascii="Times New Roman;serif" w:hAnsi="Times New Roman;serif"/>
          <w:b w:val="false"/>
          <w:color w:val="000000"/>
          <w:sz w:val="20"/>
          <w:shd w:fill="FFFFFF" w:val="clear"/>
        </w:rPr>
        <w:t>Accordingly, the Company has designed and implemented an Information Security Program, designed to protect the confidentiality, integrity, and availability of its information systems and data (including nonpublic information in its possession, custody, or control), as well as to comply with privacy and Information Security Program requirements for insurers as set forth in applicable state laws and regulations. As part of the Information Security Program, the Company has implemented an information security and privacy training and awareness program for Root employees, which includes new-hire training, ongoing periodic training, security tabletop exercises and regular phishing simulation and exercises. In addition, the Company engages third parties as necessary in connection with these processes.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engaged third parties to perform information security risk assessments and testing on a periodic basis. It also has engaged third parties to provide a variety of services, including providing hosted security products as well as services to support cybersecurity incident detection and response activities. In order to identify and manage risk from third parties, the Company has implemented a third-party cybersecurity risk management program involving the assessment of information security risk related to the third-party, with consideration given to the inherent risk level, the adequacy of the third-party’s control environment to mitigate those risks, and areas of residual risk. The breadth and depth of the assessment activities are designed to be commensurate with the nature and scope of the services provided by the third party.</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cybersecurity risk management processes are integrated into the Company’s enterprise risk management process. Our board of directors oversees an enterprise-wide approach to risk management, designed to support the achievement of organizational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 In connection with its reviews of the operations of our business, the board of directors addresses the primary risks associated with our business including cybersecurity. In particular, our board of directors is committed to the prevention, timely detection and mitigation of the effects of cybersecurity threats or incidents.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previously experienced cybersecurity threats to our information technology infrastructure and have experienced cybersecurity incidents that have resulted in threat actors obtaining customer personal information, attempts to breach our systems, fraudulent activity and other incidents. As of the filing of this Annual Report on Form 10-K, however, we are not aware of any risks from cybersecurity threats, including as a result of any previous cybersecurity incidents, that have occurred that have materially affected, or are reasonably likely to materially affect, the Company, including its business strategy, results of operations or financial condition. However, future threats could materially affect our business strategy, results of operations or financial condition. </w:t>
      </w:r>
      <w:r>
        <w:rPr>
          <w:rFonts w:ascii="Times New Roman;serif" w:hAnsi="Times New Roman;serif"/>
          <w:b w:val="false"/>
          <w:color w:val="000000"/>
          <w:sz w:val="20"/>
          <w:shd w:fill="FFFFFF" w:val="clear"/>
        </w:rPr>
        <w:t>Risks related to cybersecurity events are detailed in the section of this Annual Report on Form 10-K titled “Risk Factors—Risks Related to Our Business—Cybersecurity incidents, or real or perceived errors, failures or bugs in our or our vendors’ systems, or our website or mobile app could impair our operations, compromise our confidential information or our customers’ personal information, damage our reputation and brand, and harm our business, financial condition, operating results and prospects.”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Cybersecurity Governance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our full board of directors has overall responsibility for risk oversight, it has delegated oversight of certain risks to its committees, including the oversight of risks from cybersecurity threats. The board of directors delegated the oversight of cybersecurity risks to the Audit, Risk and Finance Committee, which oversees controls for the Company’s major financial and security risk exposures. The board of directors, through the Audit, Risk and Finance Committee, oversees the design and implementation of the Information Security Program. The board of directors and the Audit, Risk and Finance Committee are informed about these risks through regular reports from the Chief Information Security Officer, or CISO, about the Information Security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the board of directors is informed of significant cybersecurity incidents, as needed, by the Computer Security Incident Response Team, which is led by the Company’s General Counsel.</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Company’s CISO is responsible for assessing and managing risks from cybersecurity threats. The Company’s CISO also leads the Information Security group and is responsible for the day-to-day management of the Information Security Program. </w:t>
      </w:r>
      <w:r>
        <w:rPr>
          <w:rFonts w:ascii="Times New Roman;serif" w:hAnsi="Times New Roman;serif"/>
          <w:b w:val="false"/>
          <w:color w:val="000000"/>
          <w:sz w:val="20"/>
        </w:rPr>
        <w:t>Srini Srinivasan is the Company’s CISO and reports directly to the Company’s President and Chief Technology Officer. Mr. Srinivasan has an extensive background in cybersecurity, technology, and risk management across a variety of industries, including financial services, healthcare, retail, e-commerce and technology. Additionally, Mr. Srinivasan holds various information security certifications.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Information Security group, senior leadership and the CISO are informed </w:t>
      </w:r>
      <w:r>
        <w:rPr>
          <w:rFonts w:ascii="Times New Roman;serif" w:hAnsi="Times New Roman;serif"/>
          <w:b w:val="false"/>
          <w:color w:val="000000"/>
          <w:sz w:val="20"/>
        </w:rPr>
        <w:t>about and monitor the prevention, detection, mitigation, and remediation of cybersecurity incidents</w:t>
      </w:r>
      <w:r>
        <w:rPr>
          <w:color w:val="000000"/>
          <w:shd w:fill="FFFFFF" w:val="clear"/>
        </w:rPr>
        <w:t xml:space="preserve"> </w:t>
      </w:r>
      <w:r>
        <w:rPr>
          <w:rFonts w:ascii="Times New Roman;serif" w:hAnsi="Times New Roman;serif"/>
          <w:b w:val="false"/>
          <w:color w:val="000000"/>
          <w:sz w:val="20"/>
        </w:rPr>
        <w:t>through the Information Security Program.</w:t>
      </w:r>
      <w:r>
        <w:rPr>
          <w:color w:val="000000"/>
          <w:shd w:fill="FFFFFF" w:val="clear"/>
        </w:rPr>
        <w:t xml:space="preserve"> </w:t>
      </w:r>
      <w:r>
        <w:rPr>
          <w:rFonts w:ascii="Times New Roman;serif" w:hAnsi="Times New Roman;serif"/>
          <w:b w:val="false"/>
          <w:color w:val="000000"/>
          <w:sz w:val="20"/>
          <w:shd w:fill="FFFFFF" w:val="clear"/>
        </w:rPr>
        <w:t xml:space="preserve">At least quarterly, the CISO provides updates to the Audit, Risk and Finance Committee, which includes updates on the overall Information Security Program status and compliance, cybersecurity related risks, and recommended changes to the Information Security Program. </w:t>
      </w:r>
      <w:r>
        <w:rPr>
          <w:rFonts w:ascii="Times New Roman;serif" w:hAnsi="Times New Roman;serif"/>
          <w:b w:val="false"/>
          <w:color w:val="000000"/>
          <w:sz w:val="20"/>
        </w:rPr>
        <w:t xml:space="preserve">Senior members of our Information Security, Internal Audit and Legal functions also provide detailed, regular reports on information security and privacy to the </w:t>
      </w:r>
      <w:r>
        <w:rPr>
          <w:rFonts w:ascii="Times New Roman;serif" w:hAnsi="Times New Roman;serif"/>
          <w:b w:val="false"/>
          <w:color w:val="000000"/>
          <w:sz w:val="20"/>
          <w:shd w:fill="FFFFFF" w:val="clear"/>
        </w:rPr>
        <w:t>Audit, Risk and Finance Committee</w:t>
      </w:r>
      <w:r>
        <w:rPr>
          <w:rFonts w:ascii="Times New Roman;serif" w:hAnsi="Times New Roman;serif"/>
          <w:b w:val="false"/>
          <w:color w:val="000000"/>
          <w:sz w:val="20"/>
        </w:rPr>
        <w:t>.</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is located in Columbus, Ohio, and consists of 43,228 square feet that we occupy under a lease agreement that expires in 2027, but which could be terminated early under certain circumstances. We lease all of our facilities and do not currently own any real property. We also sublease certain office space to the extent we no longer need that space for current and anticipated future needs. We believe our facilities are adequate and suitable for our current needs and that suitable additional or alternative space will be available through a lease or purchase to accommodate our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leases, refer to Note 8, “Leases,” in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party to litigation and legal proceedings relating to our business operations. While the outcome of all legal actions is not presently determinable, except as noted in Note 13, “Commitments and Contingencies,” in the Notes to Consolidated Financial Statements, we do not believe that we are party to any current or pending legal action that, if concluded adversely, could reasonably be expected to have a material adverse effect on our financial condition or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traded on The Nasdaq Global Select Market, or Nasdaq, under the symbol “ROOT.” Our Class A common stock began trading on Nasdaq on October 28, 2020. Prior to that date, there was no public trading market for our Class A common stock. 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February 18, 2026, Root had 33 common stockholders of record of Class A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18, 2026, Root had 28 common stockholders of record of Class B common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Annual Report on Form 10-K. Additionally, our historical results are not necessarily indicative of the results that may be expected for any period in the future. This Management’s Discussion and Analysis does not discuss 2023 performance or a comparison of 2024 versus 2023 performance for select areas where we have determined the omitted information is not necessary to understand our current period financial condition, changes in our financial condition, or our results. The omitted information may be found in our Annual Report on Form 10-K for the year ended December 31, 2024 filed with the Securities and Exchange Commission, or the SEC, on 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Root is a technology insurance company founded on the idea that car insurance rates should be based primarily on driving behaviors, not demographics. We are revolutionizing the archaic car insurance industry by using modern technology, telematics, and data science to offer fair, personalized rates to good drivers.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competitive advantage is derived from our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and ongoing customer engagement. This unified platform enhances pricing accuracy, strengthens operating efficiency, and supports a more seamless customer experience, while creating a defensible, technology- and data-driven advantage that compounds over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scale the business, we aim to drive new customer growth and optimize unit economics via our two distribution channels: direct and partnership. The direct channel efficiently drives volume from high-intent customers by reaching them where they are already shopping for insurance, such as search engines or select marketplaces they actively use. The data science model continuously seeks to optimize bidding strategies that fine tunes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to drive efficiency across the organization within distribution, underwriting, policy administration, and claims. Although we believe we are priced adequately in a majority of the states in which we operate, our technology- and data-driven approach to pricing and underwriting allows for rapid response to macroeconomic trends and competitive dynamics through quick, timely, and appropriate rate actions. We continue to release iterations of our pricing models that incorporate enhanced telematics features, new rating variables, upgraded loss models, and improved risk segmentation. These enhancements strengthen our ability to select risks more precisely and maintain pricing accuracy as conditions evolve.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Claims operations remain a critical driver of our unit economics and long-term competitiveness. We continue to invest in automation, workflow optimization, and advanced analytical tools designed to improve accuracy, speed, and consistency in claims handling. Improvements to the claim process not only supports customer satisfaction but also reinforces the stability of loss ratios and improves long-term cost efficiency by reducing operating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continued investment in and diversification of our distribution channels, leveraging our proprietary technology and data science and focusing on partnerships with automotive, financial services, and independent agents, we believe this will position us for a sustainable, long-term and profitable path for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impact of large losses or tail events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continuously evaluate our utilization of third-party reinsurance in order to operate a capital-efficient business model. As our gross loss ratios have stabilized we strategically reduced the utilization of external quota share to balance the cost of reinsurance with capital-efficiency. Over the long-term, we expect to maintain the flexibility to modify our reinsurance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and Trends Affecting our Operating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results of operations have been, and will continue to be, affected by a number of factors, including the following:</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Our Ability to Manage and Price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leverage technology to help manage risk. For instance, we leverage machine learning to “clean” behavioral data obtained through a customer’s mobile device, and we use advanced statistical methods to model data into usable behavior scores. We leverage intelligent chat functions and various forms of machine learning and advanced automation to help power our claims function. Technology is a key differentiator in managing risk across our key functions. Our success depends on our ability to adequately and competitively price risk.</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Our Ability to Attract New Customers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long-term growth will depend, in large part, on our continued ability to attract new customers to our platform. We intend to continue to drive new customer growth by leveraging our differentiated consumer experience, our partnership channel, direct performance marketing driven by dynamic data science models, machine learning loss models and our telematics-based pricing models. Additionally, our proprietary dataset will continue to scale as we grow, enabling us to enhance our predictive models to further improve pricing and attract potential new customers. We will also continue to target attractive potential customer segments through a diverse distribution strategy, which includes direct and partnership channels. </w:t>
      </w:r>
      <w:r>
        <w:rPr>
          <w:rFonts w:ascii="Times New Roman;serif" w:hAnsi="Times New Roman;serif"/>
          <w:b w:val="false"/>
          <w:color w:val="000000"/>
          <w:sz w:val="20"/>
          <w:shd w:fill="FFFFFF" w:val="clear"/>
        </w:rPr>
        <w:t xml:space="preserve">Our ability to attract new customers will depend on a number of factors, including the pricing of our products, offerings of our competitors, success of our partnership channel and the effectiveness of our marketing efforts, and our ability to expand into new markets. </w:t>
      </w:r>
      <w:r>
        <w:rPr>
          <w:rFonts w:ascii="Times New Roman;serif" w:hAnsi="Times New Roman;serif"/>
          <w:b w:val="false"/>
          <w:color w:val="000000"/>
          <w:sz w:val="20"/>
        </w:rPr>
        <w:t>Our ability to attract and retain customers depends on maintaining and strengthening our brand by providing superior customer experiences and competitive pricing. In particular, we are challenged by traditional insurers who have more diverse product offerings and longer established operating histories. These competitors can mimic certain aspects of our digital platform and offerings, and as they have more types of insurance products, can offer customers the ability to “bundle” multiple coverage types together, which may be attractive to many customers.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Our Ability to Retain Customers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ability to derive significant lifetime value from our customer relationships depends, in part, on our ability to retain our customers over time. Strong retention allows us to build a recurring revenue base, generating additional premiums term over term without material incremental marketing and underwriting costs. As we broadly retain customers and our book of business evolves to be more weighted towards renewals versus new business, as is the case with our mature competitors, we will benefit from the inherently lower loss ratios that characterize renewed premiums. </w:t>
      </w:r>
      <w:r>
        <w:rPr>
          <w:rFonts w:ascii="Times New Roman;serif" w:hAnsi="Times New Roman;serif"/>
          <w:b w:val="false"/>
          <w:color w:val="000000"/>
          <w:sz w:val="20"/>
          <w:shd w:fill="FFFFFF" w:val="clear"/>
        </w:rPr>
        <w:t>Our ability to retain customers will depend on a number of factors, including our customers’ satisfaction with our products, offerings of our competitors and pricing of products.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Our Ability to be Licensed in All States in the United States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long-term growth opportunity will benefit from our ability to provide insurance across more states in the United States. Today, we are currently licensed in 50 states and the District of Columbia and operate in 36 of those states. Our state expansion has unlocked a large total addressable market for sustained growth, made our direct targeted marketing more efficient and created an opportunity to build a national brand, supporting our marketing holistically.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Our Ability to Expand Premiums Through Cross-Selling and Fee Income Per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the early stages of cross-selling non-auto products across our customer base. Cross-sales of renters policies will allow us to generate additional premiums without material incremental marketing spend, and ultimately higher revenue per customer. We have also observed that bundling products with auto insurance improves retention as the relationship with our customer expands. Our success in expanding revenues through cross-sales and greater fee income per policy depends on our marketing efforts with new products, continuous state expansion of these offerings and the pricing of our bundled products and continuing to refine the fee schedules in our policyholder contracts to be more consistent with industry norms. The success of our renters insurance offering is also subject to our ability to develop underwriting capabilities to adequately price renters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 Affecting Comparability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Macroeconomic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Changing global economic conditions has resulted in inflationary pressures, supply chain disruptions, changes in interest rates and changes in equity markets. In addition, economic uncertainty has developed as a result of changes in tariff policy, including the imposition of new, increased or retaliatory tariffs. There remains uncertainty around the future of inflation, including as a result of evolving tariffs and trade policy;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Additionally, we continue to file in multiple states to establish rates that more closely follow the evolving loss cost trends. Fluctuations in interest rates could impact our cost of capital and may limit our ability to raise additional capital.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Comprehensive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In addition to our financial results prepared in accordance with accounting principles generally accepted in the United States, or GAAP, we believe these non-GAAP and operational measures are useful in evaluating our performance. See the section titled “—Non-GAAP Financial Measures” for additional information regarding our use of direct contribution and adjusted EBITDA and their reconciliations to the most directly comparable GAAP measures.</w:t>
      </w:r>
    </w:p>
    <w:tbl>
      <w:tblPr>
        <w:tblW w:w="7022" w:type="dxa"/>
        <w:jc w:val="left"/>
        <w:tblInd w:w="0" w:type="dxa"/>
        <w:tblLayout w:type="fixed"/>
        <w:tblCellMar>
          <w:top w:w="28" w:type="dxa"/>
          <w:left w:w="28" w:type="dxa"/>
          <w:bottom w:w="28" w:type="dxa"/>
          <w:right w:w="28" w:type="dxa"/>
        </w:tblCellMar>
      </w:tblPr>
      <w:tblGrid>
        <w:gridCol w:w="960"/>
        <w:gridCol w:w="845"/>
        <w:gridCol w:w="849"/>
        <w:gridCol w:w="211"/>
        <w:gridCol w:w="766"/>
        <w:gridCol w:w="271"/>
        <w:gridCol w:w="109"/>
        <w:gridCol w:w="109"/>
        <w:gridCol w:w="109"/>
        <w:gridCol w:w="211"/>
        <w:gridCol w:w="766"/>
        <w:gridCol w:w="271"/>
        <w:gridCol w:w="109"/>
        <w:gridCol w:w="109"/>
        <w:gridCol w:w="109"/>
        <w:gridCol w:w="211"/>
        <w:gridCol w:w="691"/>
        <w:gridCol w:w="316"/>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481,869 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414,862 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341,764 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Policies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per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loss adjustment expense, or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profit as total revenue minus net loss and LAE and other insurance expense. We view gross profit as an important metric because we believe it is informative of the financial performance of our core insurance business.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direct contribution, a non-GAAP financial measure, as gross profit excluding net investment income, net realized gains on investments, acquisition expenses which include report costs and refunds related to these expenses and commission expenses related to our partnership channel, and fixed expenses, which include certain warrant compensation expense related to policies originating through the integrated automobile insurance solution for Carvana’s online buying platform, or Integrated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and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profitability of our total policy portfolio prior to the impact of reinsurance.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total revenue to direct contribution.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 non-GAAP financial measure, as net income (loss) excluding interest expense, income tax expense, depreciation and amortization, share-based compensation, loss on extinguishment of debt,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in accordance with GAAP, and other companies may define adjusted EBITDA differently.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net income (loss) to adjusted EBITDA.</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Loss and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we believe it is useful for investors to evaluate those separately from other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LAE ratio, expressed as a percentage, as the ratio of gross LAE to gross premiums earned. We view gross LAE ratio as an important metric because it allows us to evaluate incurred losses and LAE separately prior to the impact of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Accident Period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The gross accident period loss ratio is remeasured each reporting period to reflect updated estimates of ultimate losses as they develop. Changes to our loss reserves are the primary driver of differences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revenue from net premiums earned, net investment income, fee income and other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investment income represents interest earned from our cash, cash equivalents, restricted cash and restricted cash equivalents, fixed maturities, and short-term investments less investment expenses. Investment expenses include costs associated with the management of our investment portfolio, including Personnel Costs. Net investment income also includes impairments related to low income housing tax credits investments in limited liability entities to offset certain state premium taxes. These tax credits are recognized when utilized.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Fee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loss and LAE, sales and marketing, other insurance expense, technology and development, and general and administrative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expenses. Sales and marketing are expensed as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long-term we expect it will decrease as a percentage of revenue as the proportion of renewals to our total business increases.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Insurance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includes expenses primarily related to insurance and underwriting operations of the business and is comprised of acquisition, variable and fixed expenses. We view report costs and refunds related to these expenses and commission expenses related to our partnership channel as acquisition costs. We view premium taxes, credit card and policy processing expenses and premium write-offs as variable expenses. We view insurance license expenses, certain warrant compensation expense related to policies originating through the integrated automobile insurance solution for Carvana’s online buying platform, low income housing tax credits which offset certain state premium taxes, Personnel Costs and Overhead related to actuarial and certain data science activities as fixed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Warrant compensation expense is recognized on a pro-rata basis considering progress toward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achieving milestones for policies originated through the Integrated Platform as defined under the Carvana commercial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are fixed expenses that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non-operating expenses consist of interest expense, loss on extinguishment of debt, and income tax expense.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discount and debt issuance costs.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is not an operating expense; therefore, we include these expenses below operating expenses. Loss on extinguishment of debt primarily relates to the difference between the reacquisition price of the debt and the net carrying amount of the extinguished debt. Upon extinguishment of debt, the remaining unamortized discount and debt issuance costs are recognized as expense.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primarily of state income taxes in the United States. We have recorded United States federal and state net deferred tax assets for which we provide a full valuation allowance, which includes net operating loss carryforwards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344" w:type="dxa"/>
        <w:jc w:val="left"/>
        <w:tblInd w:w="0" w:type="dxa"/>
        <w:tblLayout w:type="fixed"/>
        <w:tblCellMar>
          <w:top w:w="28" w:type="dxa"/>
          <w:left w:w="28" w:type="dxa"/>
          <w:bottom w:w="28" w:type="dxa"/>
          <w:right w:w="28" w:type="dxa"/>
        </w:tblCellMar>
      </w:tblPr>
      <w:tblGrid>
        <w:gridCol w:w="1442"/>
        <w:gridCol w:w="1268"/>
        <w:gridCol w:w="1280"/>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358"/>
        <w:gridCol w:w="363"/>
        <w:gridCol w:w="544"/>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due to an increase in policies in force as a result of continued growth in our partnership channel and reduced cessions of premiums earned to reinsurers between periods, partially offset by a decrease in premiums per policy resulting from a shift in customer and state mix.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ceded approximately 4.4% and 13.0% of our gross premiums earned, respectively. The change in cessions between periods was primarily driven by a strategic reduction of quota share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76"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years ended December 31, 2025 and 2024:</w:t>
      </w:r>
    </w:p>
    <w:tbl>
      <w:tblPr>
        <w:tblW w:w="7318" w:type="dxa"/>
        <w:jc w:val="left"/>
        <w:tblInd w:w="0" w:type="dxa"/>
        <w:tblLayout w:type="fixed"/>
        <w:tblCellMar>
          <w:top w:w="28" w:type="dxa"/>
          <w:left w:w="28" w:type="dxa"/>
          <w:bottom w:w="28" w:type="dxa"/>
          <w:right w:w="28" w:type="dxa"/>
        </w:tblCellMar>
      </w:tblPr>
      <w:tblGrid>
        <w:gridCol w:w="761"/>
        <w:gridCol w:w="667"/>
        <w:gridCol w:w="672"/>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91"/>
        <w:gridCol w:w="294"/>
        <w:gridCol w:w="54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premiums written increased due to growth in new writings as a result of continued growth in our partnership channel. The increase in gross premiums earned was primarily due to greater policies in force compared to 2024.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Fee Income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increased primarily due to greater policies in force, resulting in an increase of $5.9 million in policy fees and $4.2 million in installment fees.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additional losses incurred on increased gross premiums earned volume and reduced cessions of losses to reinsurers driven by a strategic reduction of quota share reinsurance. This volume-driven increase was partially offset by a reduction of loss and LAE reserves on prior periods due to lower-than-expected reported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accident period loss ratios increased to 59.3% for the year ended December 31, 2025, from 58.2% for 2024. The change in the ratios was driven by geographic and channel mix shift and higher loss costs as a result of increased severity per claim due to higher vehicle repair and medical costs. This was partially offset by rate actions, favorable weather-related losses, and business tenure mix. We observed a mid-single-digit increase in estimated ultimate severity per claim and a low-single-digit decrease in estimated ultimate claim frequency for the year ended December 31, 2025 compared to 2024 across our bodily injury, collision, and property damage coverages.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increased primarily due to a $26.9 million increase in direct performance marketing spend, reflective of our investments to drive accretive growth and deeper market penetration in the states in which we operate. We also saw a $9.5 million increase in experimental marketing spend as part of our efforts to diversify our distribution channels. While acquisition expenses increased due to heightened competition in the marketing environment, we remained disciplined in our deployment of direct marketing spend, operating within our estimated return targets.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Insurance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increased primarily due to a $35.1 million increase in our acquisition expenses driven by greater commissions paid related to the continued growth in our partnership channel, including amortization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deferred policy acquisition costs. In addition, acquisition expenses increased due to a $10.9 million sales tax refund that decreased acquisition expenses in the prior year. Acquisition expenses also increased due to a $4.0 million increase in report costs as a result of growth in new writings. We also saw a $19.1 million decrease in net ceding commission contra-expense as a result of a decline in ceded premiums written, largely attributable to a strategic reduction of quota share reinsurance. Fixed expenses increased primarily due to a $15.3 million increase in Carvana warrant expense, including a cumulative expense catch-up, related to our outstanding warrant structure with Carvana. Variable expenses increased primarily due to a $6.6 million increase in premium taxes, as a result of growth of our earned premium and policies in force.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increased due to a $18.6 million increase in Personnel Costs mainly driven by share-based compensation expenses relating to our equity incentive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primarily due to a $19.5 million decrease in debt interest expense as a result of reduced principal and a more favorable interest rate in connection with the Amended Term Loan. In addition, interest expense benefited from $4.6 million lower debt discount amortization as a result of changes in our debt structure following the amendment.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was due to unamortized discount and debt issuance costs being expensed as a result of extinguishing the prior term loan in 2024.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Comprehensive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Net Unrealized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 increased primarily due to declining market interest rates during the year, which resulted in higher fair values for fixed maturity securities, particularly those with longer durations, as well as the replacement of lower yielding securities with higher coupon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2024 and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163" w:type="dxa"/>
        <w:jc w:val="left"/>
        <w:tblInd w:w="0" w:type="dxa"/>
        <w:tblLayout w:type="fixed"/>
        <w:tblCellMar>
          <w:top w:w="28" w:type="dxa"/>
          <w:left w:w="28" w:type="dxa"/>
          <w:bottom w:w="28" w:type="dxa"/>
          <w:right w:w="28" w:type="dxa"/>
        </w:tblCellMar>
      </w:tblPr>
      <w:tblGrid>
        <w:gridCol w:w="1442"/>
        <w:gridCol w:w="1268"/>
        <w:gridCol w:w="1279"/>
        <w:gridCol w:w="211"/>
        <w:gridCol w:w="766"/>
        <w:gridCol w:w="109"/>
        <w:gridCol w:w="109"/>
        <w:gridCol w:w="109"/>
        <w:gridCol w:w="109"/>
        <w:gridCol w:w="211"/>
        <w:gridCol w:w="691"/>
        <w:gridCol w:w="109"/>
        <w:gridCol w:w="109"/>
        <w:gridCol w:w="109"/>
        <w:gridCol w:w="109"/>
        <w:gridCol w:w="211"/>
        <w:gridCol w:w="616"/>
        <w:gridCol w:w="109"/>
        <w:gridCol w:w="109"/>
        <w:gridCol w:w="109"/>
        <w:gridCol w:w="109"/>
        <w:gridCol w:w="308"/>
        <w:gridCol w:w="308"/>
        <w:gridCol w:w="544"/>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December 31, 2024 and 2023 results of operations discussion can be found in the section titled “Results of Operations” Part II, Item 7. Management’s Discussion and Analysis of Financial Condition and Results of Operations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including when determining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revenue to direct contribution for the years ended December 31, 2025, 2024 and 2023:</w:t>
      </w:r>
    </w:p>
    <w:tbl>
      <w:tblPr>
        <w:tblW w:w="7526" w:type="dxa"/>
        <w:jc w:val="left"/>
        <w:tblInd w:w="0" w:type="dxa"/>
        <w:tblLayout w:type="fixed"/>
        <w:tblCellMar>
          <w:top w:w="28" w:type="dxa"/>
          <w:left w:w="28" w:type="dxa"/>
          <w:bottom w:w="28" w:type="dxa"/>
          <w:right w:w="28" w:type="dxa"/>
        </w:tblCellMar>
      </w:tblPr>
      <w:tblGrid>
        <w:gridCol w:w="1345"/>
        <w:gridCol w:w="1184"/>
        <w:gridCol w:w="1190"/>
        <w:gridCol w:w="211"/>
        <w:gridCol w:w="766"/>
        <w:gridCol w:w="109"/>
        <w:gridCol w:w="109"/>
        <w:gridCol w:w="109"/>
        <w:gridCol w:w="109"/>
        <w:gridCol w:w="211"/>
        <w:gridCol w:w="766"/>
        <w:gridCol w:w="109"/>
        <w:gridCol w:w="109"/>
        <w:gridCol w:w="109"/>
        <w:gridCol w:w="109"/>
        <w:gridCol w:w="211"/>
        <w:gridCol w:w="616"/>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 Adjustments from other insurance expense consists of acquisition expenses, including report costs and refunds related to these expenses and commission expenses related to our partnership channel of $101.8 million, $49.7 million and $50.8 million for the years ended December 31, 2025, 2024 and 2023, respectively. Adjustments from other insurance expense also consists of fixed expenses, including warrant compensation expense related to policies originating through the Integrated Platform, Personnel Costs, Overhead, licenses, professional fees and other of $34.0 million, $16.8 million and $25.5 million for the years ended December 31, 2025, 2024 and 2023, respectively.</w:t>
      </w:r>
      <w:r>
        <w:rPr>
          <w:color w:val="000000"/>
        </w:rPr>
        <w:t xml:space="preserve"> </w:t>
      </w:r>
    </w:p>
    <w:p>
      <w:pPr>
        <w:pStyle w:val="TextBody"/>
        <w:bidi w:val="0"/>
        <w:spacing w:lineRule="auto" w:line="288" w:before="0" w:after="0"/>
        <w:ind w:left="0" w:right="0" w:hanging="360"/>
        <w:jc w:val="left"/>
        <w:rPr/>
      </w:pPr>
      <w:r>
        <w:rPr>
          <w:rFonts w:ascii="Times New Roman;serif" w:hAnsi="Times New Roman;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erif" w:hAnsi="Times New Roman;serif"/>
          <w:b w:val="false"/>
          <w:color w:val="000000"/>
          <w:sz w:val="20"/>
        </w:rPr>
        <w:t xml:space="preserve">.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definition of adjusted EBITDA and why management believes this measure provides useful information to investors, see “—Key Performance Indicators.”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following table provides a reconciliation of net income (loss) to adjusted EBITDA for the years ended December 31, 2025, 2024 and 2023:</w:t>
      </w:r>
      <w:r>
        <w:rPr>
          <w:color w:val="000000"/>
        </w:rPr>
        <w:t xml:space="preserve"> </w:t>
      </w:r>
    </w:p>
    <w:tbl>
      <w:tblPr>
        <w:tblW w:w="6266" w:type="dxa"/>
        <w:jc w:val="left"/>
        <w:tblInd w:w="0" w:type="dxa"/>
        <w:tblLayout w:type="fixed"/>
        <w:tblCellMar>
          <w:top w:w="28" w:type="dxa"/>
          <w:left w:w="28" w:type="dxa"/>
          <w:bottom w:w="28" w:type="dxa"/>
          <w:right w:w="28" w:type="dxa"/>
        </w:tblCellMar>
      </w:tblPr>
      <w:tblGrid>
        <w:gridCol w:w="971"/>
        <w:gridCol w:w="853"/>
        <w:gridCol w:w="860"/>
        <w:gridCol w:w="211"/>
        <w:gridCol w:w="616"/>
        <w:gridCol w:w="109"/>
        <w:gridCol w:w="109"/>
        <w:gridCol w:w="109"/>
        <w:gridCol w:w="109"/>
        <w:gridCol w:w="211"/>
        <w:gridCol w:w="616"/>
        <w:gridCol w:w="109"/>
        <w:gridCol w:w="109"/>
        <w:gridCol w:w="109"/>
        <w:gridCol w:w="109"/>
        <w:gridCol w:w="211"/>
        <w:gridCol w:w="69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Restructuring costs consist of employee costs, real estate exit costs, and other. This includes zero, zero and $0.4 million of share-based compensation for the years ended December 31, 2025, 2024 and 2023, respectively. This also includes $0.1 million, $0.4 million and $0.4 million of depreciation and amortization for the years ended December 31, 2025, 2024 and 2023, respectively. For further information on restructuring costs, see Note 10, “Restructuring Costs,” in the Notes to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Other primarily reflects legal costs and other items that do not reflect our ongoing operating performance. Legal and other fees net of recoveries related to the 2022 misappropriation of funds by a former senior marketing employee of $(0.2) million, $(1.1) million and $3.2 million for the years ended December 31, 2025, 2024 and 2023, respectively.</w:t>
      </w:r>
    </w:p>
    <w:p>
      <w:pPr>
        <w:pStyle w:val="TextBody"/>
        <w:bidi w:val="0"/>
        <w:spacing w:before="0" w:after="0"/>
        <w:ind w:left="0" w:right="0" w:firstLine="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sales of insurance policies and the net proceeds we have received from our issuance of stock and debt. Cash generated from operations is highly dependent on being able to efficiently acquire and maintain customers while pricing our insurance products appropriately. We also receive cash dividends from our insurance subsidiaries, whose ability to declare and issue dividends is subject to regulatory restrictions and approval. We are continuously evaluating alternatives for efficiently funding our ongoing operations and reducing our cost of capital. We expect, from time to time, to engage in a variety of financing transactions for such purposes, including the issuance of stock and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events may impact our liquidity, such as the economic instability resulting in inflationary pressures, supply chain disruptions, changes in interest rates, new or increased tariffs,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such as changes in tariff policy, including the imposition of new, increased or retaliatory tariffs, can also influence the returns, liquidity, valuation, and types of our investments. Additionally, fluctuations in interest rates could impact our cost of capital and may limit our ability to raise additional capital. We utilize reinsurance arrangements to mitigate the impact of large losses or catastrophic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Regulatory Considerations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organized as a holding company, but our primary operations are conducted by three of our wholly-owned insurance subsidiaries, Root Insurance Company and Root Property &amp; Casualty Insurance Company, both Ohio-domiciled insurance companies, and Root Florida Insurance Company, a Florida-domiciled insurance company. 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During the year ended December 31, 2025, the Ohio Department of Insurance approved Root Insurance Company to distribute four extraordinary dividends. As a result, over the period, $45.0 million was distributed to Caret Holdings, Inc., its parent company, net of capital contributions made by Caret Holdings, Inc. to our regulated insurance entities.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December 31, 2025, our insurance subsidiaries maintained a risk-based capital level that is in excess of an amount that would require any corrective actions on our part.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wholly-owned, Cayman Islands-based reinsurance subsidiary, Root Reinsurance Company, Ltd., or Root Re, maintains a Class B(iii) insurer license under Cayman Islands Monetary Authority, or CIMA. At December 31, 2025, Root Re was subject to compliance with certain capital levels and a net premiums earned to capital ratio up to 15:1, which we maintained as of December 31, 2025. The capital ratio can fluctuate at Root Re’s election, subject to regulatory approval. Root Re’s primary sources of funds are assumed insurance premiums and net investment income. These funds are primarily used to pay claims and operating expenses and to purchase investments. Root Re must notify CIMA before it can pay any dividend to the holding company. During the year ended December 31, 2025, Root Re paid dividends of $60.0 million to Caret Holdings, Inc.</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the Amended Term Loan with the principal amount due and payable upon maturity on October 29, 2030. Interest is payable quarterly and determined on a floating interest rate calculated on the Secured Overnight Financing Rate with a 1.0% floor, plus an applicable margin ranging from 5.25% to 6.00%, based upon the debt-to-capital ratio payable quarterly.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$669.3 million in cash and cash equivalents, of which $312.1 million was held outside of regulated insurance entities. We also had $387.0 million in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primarily consist of bank deposits and money market funds. Our marketable securities primarily consist of United States Treasury and agency securities, municipal securities, corporate debt securities, and asset-backed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 This belief is based on management’s current assumptions and is subject to changes in market or regulatory conditions affecting the insurance industry, and other general economic, financial, competitive and other factors that are beyond our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 withholding obligations arise upon vesting of shares of service-based restricted stock units, or RSUs, performance-based restricted stock units, and market-based restricted stock units,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cash payments due for taxes upon the vesting of such equity compensation awards is dependent on the price of our Class A common stock on the applicable vesting dates and could be substantial. Accordingly, increases in the price of our Class A common stock could increase the amount of cash required to satisfy these tax withholding obligations, which could have a negative impact on our liquidity and ability to use funds for operational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debt covenants require cash and cash equivalents held in entities other than our insurance subsidiaries to be at least $50.0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 prudent deployment of capital we believe we have sufficient resources, and access to additional debt and equity capital, to adequately meet our obligations as they come due.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data for the periods presented:</w:t>
      </w:r>
    </w:p>
    <w:tbl>
      <w:tblPr>
        <w:tblW w:w="7691"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616"/>
        <w:gridCol w:w="109"/>
        <w:gridCol w:w="109"/>
        <w:gridCol w:w="109"/>
        <w:gridCol w:w="109"/>
        <w:gridCol w:w="211"/>
        <w:gridCol w:w="58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16"/>
              </w:rPr>
              <w:t>For the Years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Years Ended December 31,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year ended December 31, 2025 was $206.5 million compared to $195.7 million of net cash provided by operating activities for the year ended December 31, 2024. The increase in cash provided by operating activities was due to a strategic reduction of quota share reinsurance and timing of reinsurance and premium receipts. This was partially offset by a change in loss and LAE reserves and premiums not yet earned due to greater growth in policies in force in the year ended December 31, 2024 compared to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2025 was $91.7 million, compared to $154.4 million for the year ended December 31, 2024. The decrease in cash used in investing activities was primarily due to lower purchases of investments and higher proceeds from maturities, calls and pay downs of investments for the year ended December 31, 2025 compared to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year ended December 31, 2025 was $25.2 million, compared to $120.7 million for the year ended December 31, 2024. The decrease in cash used in financing activities was primarily a result of extinguishing the prior term loan and entering into the Amended Term Loan in 2024, which was partially offset by higher tax withholding obligations arising from the vesting of shares of RSUs and market-based RSUs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Years Ended December 31, 2024 and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December 31, 2024 and 2023 net cash discussion can be found in the section titled “Liquidity and Capital Resources” in Part II, Item 7. Management’s Discussion and Analysis of Financial Condition and Results of Operations of our Annual Report on Form 10-K for the year ended December 31, 2024.</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Material Cash Requirements from Contractual and Other Obligations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December 31, 2025, our material cash requirements from known contractual and other obligations consisted of purchase commitments, as discussed in Note 13, “Commitments and Contingencies,” operating leases, as discussed in Note 8, “Leases,” and an Amended Term Loan, as discussed in Note 7, “Long-Term Debt,” in the Notes to Consolidated Financial Statements. We believe we have sufficient resources, and access to additional debt and equity capital, to adequately meet our obligations as they come due.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and receivable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accounting estimates described below involve a significant degree of judgment and complexity. Accordingly, we believe these are the most critical to aid in fully understanding and evaluating our consolidated financial condition and results of operations. For further information, see Note 2, “Basis of Presentation and Summary of Significant Accounting Policies,” in the Notes to Consolidated Financial Statements.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LAE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evaluation and estimation of ultimate losses and LAE requires considerable judgment in understanding how claims mature, how claims differ between lines of business, and how changes in the business impact claims settlement over time. Loss reserves represent a liability estimate at a given point in time based on many input variables including historical and statistical information, inflation, contract interpretation, weather catastrophe impacts, regulatory environment, and economic conditions. While we consider many inputs into the loss reserve valuation process, as well as several actuarial methodologies, there is no single method for determining the exact ultimate claims liability. In many cases, we use multiple estimation methods based on the particular facts and circumstances of the claims and liabilities being evaluated, resulting in a range of reasonable estimates for reserves for losses and LAE. We do not discount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actuarial reserving team performs monthly reviews of the claims experience and loss emergence to support our estimation of ultimate losses and LAE. A few considerations and assumptions in estimating ultimate claim liabilities includes relative case reserve adequacy over time, claims cycle time, claims settlement practices, exposure growth, actuarial projections, current economic conditions, driving patterns observed from telematics, weather catastrophes, and claim litigation. Our loss reserves can be grouped by claim type, where amounts related to material damage of vehicles and property tend to settle within six to 12 months, while claims that involve injuries or personal liability have a much longer time period between the occurrence of a loss and the settlement of the claim. In general, the longer the time span between the incidence of a loss and the settlement of the claim, the more the ultimate settlement amount can vary.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actual experience can differ from key assumptions used in establishing reserves, there is potential for significant variation in the development of loss reserves. There is considerable uncertainty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actuarial estimates, and therefore the actual losses and LAE paid in the future may differ materially from the reserves we have recorded. Our loss estimates are continually reviewed by management and adjusted as necessary; with adjustments included in the period determined.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key assumptions that materially affect the estimate of the reserves for loss and LAE are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Many of the actuarial estimation methods assume that the speed of claim payments and claim closures, also known as cycle time, remains relatively consistent over time. While fluctuations and improvements in cycle time are expected as we grow, these timing changes can be difficult to discern from normal process risk variability in the data.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actuarial methods that rely on case reserve data, there is an implicit assumption that the adequacy of case reserve estimates stays relatively constant over time. For example, if the held case reserves represent the 50th percentile outcome for each claim, then any changes to this case reserve level, either higher or lower, would impact the ultimate loss estimates.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Actuarial methods that rely on exposure bases, such as premiums or car years, perform better when the mix of business is relatively stable over time. Business growth can change the mix of business across several dimensions: new business versus renewal, geography profile, and underwriting profile. As such, prior estimates of claim frequency, claim severity, or loss ratio may not be as predictive of future results when the mix of business changes.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Broader macro-level economics can have a material impact on loss reserve estimates, such as a rapid change in miles driven, unanticipated inflation, regulatory restrictions, and legal developments as they relate to contract and coverage interpretation and enforceability.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 determining our ultimate cost of settling claims, we evaluate what the potential impact on consolidated results of operations, financial position, and liquidity would be based on a hypothetical 5% and 10% increase or decrease in key assumptions described above. The loss reserve range estimated below represents a range of reasonably likely reserves, not a range of all possible outcomes. Therefore, the ultimate losses could reach levels outside the range provided. Given the growth in exposures from inception in 2015, we believe evaluating sensitivity based on a hypothetical increase or decrease of 5% and 10% reflects management’s best estimate and provides a scenario impact on the reserve ranges due to variability in key assumptions. The following table summarizes this sensitivity analysis:</w:t>
      </w:r>
    </w:p>
    <w:tbl>
      <w:tblPr>
        <w:tblW w:w="9573" w:type="dxa"/>
        <w:jc w:val="left"/>
        <w:tblInd w:w="0" w:type="dxa"/>
        <w:tblLayout w:type="fixed"/>
        <w:tblCellMar>
          <w:top w:w="28" w:type="dxa"/>
          <w:left w:w="28" w:type="dxa"/>
          <w:bottom w:w="28" w:type="dxa"/>
          <w:right w:w="28" w:type="dxa"/>
        </w:tblCellMar>
      </w:tblPr>
      <w:tblGrid>
        <w:gridCol w:w="1283"/>
        <w:gridCol w:w="1124"/>
        <w:gridCol w:w="11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Scenarios for Changes in Loss Reserves for all Accident Years</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Bodily injury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Uninsured and underinsured bodily injury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damage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coverages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loss reserves—net of reinsurance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loss and LAE reserves are recorded net of external reinsurance and net of amounts expected to be received from salvage (the amount recovered from the damaged property after we pay for a total loss) and subrogation (the right to recover payments from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Reinsurance Recoverable and Receivable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estimate the amount of reinsurance recoverable and receivable from reinsurance contracts. Reinsurance assets include reinsurance recoverable and receivable on unpaid loss and LAE reserves, which are estimated as part of our loss reserving process and are subject to similar judgments and uncertainties. Estimating these amounts involves significant judgment, with key considerations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paid and unpaid amounts recoverable;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balances in dispute or subject to legal collection;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well-being of a reinsurer; and</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likelihood of collection of the reinsurance recovery considering factors such as, amounts outstanding and length of collection periods.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Recoverability of Net Deferred Tax Assets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calculate the tax effects of temporary differences that give rise to deferred tax assets and deferred tax liabilities in accordance with Accounting Standards Codification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or ASC 740. The application of ASC 740 requires a company to evaluate the recoverability of deferred tax assets and to establish a valuation allowance if necessary 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unable to fully use our net operating losses, or NOLs, if at all. Under Section 382 of the Internal Revenue Code, or the Code, if a corporation undergoes an “ownership change”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The limitation may be such that it prevents the Company from fully utilizing its NOLs existing at the time of the ownership change prior to their expiration, which could also result in a substantial reduction in the deferred tax asset. We currently carry a valuation allowance against our entire net deferred tax asset. As such, any reduction in the deferred tax asset would also result in an offsetting reduction in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certain interest and credit rate risks as part of our ongoing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on our investment portfolio. Interest rate risk represents the potential for losses resulting from adverse changes in market interest rates affecting our interest-bearing assets and liabilities. Our fixed maturity investments include United States Treasury and agency securities, municipal securities, corporate debt securities, and asset-backed securities, most of which are sensitive to changes in prevailing interest rates and may experience moderate fluctuations in fair value as a result. The fair market value of a portfolio of debt securities increases or decreases inversely with changes in market interest rates, while net investment income realized from future investments in debt securities increases or decreases along with interest rates. We monitor this exposure through periodic reviews of investment portfolio conducted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to interest rate risk through our Amended Term Loan, which bears interest at floating rates based on changes in the SOFR. Rising interest rates could increase our cost of debt, reduce cash available for operations, and have a material adverse effect on our business and financial condition. As of December 31, 2025, a 100-basis-point increase or decrease in SOFR would not have a significant impact on our interest expense during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credit risk on our investment portfolio, reinsurance contracts, and premiums receivable. Credit risk results from uncertainty in a counterparty’s ability to meet its obligations. We monitor our investment portfolio to ensure that credit risk does not exceed prudent levels. We manage the exposure to credit risk in our United States Treasury and agency securities, municipal securities, corporate debt securities, and asset-backed securities portfolio by investing in high credit quality, investment grade securities and diversifying our holdings. We manage the exposure to credit risk in our reinsurance contracts by obtaining reinsurance from a diverse group of reinsurers and monitoring concentration as well as financial strength ratings of the reinsurers to minimize counterparty credit risk. For certain reinsurance partners who are not rated, we require adequate levels of collateral or letters of credit to be available to us in the event of downside scenarios. We manage the exposure to significant losses on our premiums receivable through strategic initiatives focusing on improved customer communication, policy renewal adjustments, and risk segmentation.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525"/>
        <w:gridCol w:w="2144"/>
        <w:gridCol w:w="2144"/>
        <w:gridCol w:w="989"/>
        <w:gridCol w:w="989"/>
        <w:gridCol w:w="1414"/>
      </w:tblGrid>
      <w:tr>
        <w:trPr/>
        <w:tc>
          <w:tcPr>
            <w:tcW w:w="252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THE CONSOLIDATED FINANCIAL STATEMENTS AND SCHEDULES</w:t>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30">
              <w:r>
                <w:rPr>
                  <w:rStyle w:val="InternetLink"/>
                  <w:rFonts w:ascii="Times New Roman;serif" w:hAnsi="Times New Roman;serif"/>
                  <w:b w:val="false"/>
                  <w:color w:val="000080"/>
                  <w:sz w:val="20"/>
                  <w:u w:val="single"/>
                </w:rPr>
                <w:t>Report of Independent Registered Public Accounting Firm</w:t>
              </w:r>
            </w:hyperlink>
            <w:r>
              <w:rPr>
                <w:rFonts w:ascii="Times New Roman;serif" w:hAnsi="Times New Roman;serif"/>
                <w:b w:val="false"/>
                <w:color w:val="0E32E1"/>
                <w:sz w:val="20"/>
                <w:u w:val="single"/>
              </w:rPr>
              <w:t xml:space="preserve"> (PCAOB ID: 34)</w:t>
            </w:r>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30">
              <w:r>
                <w:rPr>
                  <w:rStyle w:val="InternetLink"/>
                  <w:rFonts w:ascii="Times New Roman;serif" w:hAnsi="Times New Roman;serif"/>
                  <w:b w:val="false"/>
                  <w:color w:val="0000FF"/>
                  <w:sz w:val="20"/>
                  <w:u w:val="single"/>
                </w:rPr>
                <w:t>88</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33">
              <w:r>
                <w:rPr>
                  <w:rStyle w:val="InternetLink"/>
                  <w:rFonts w:ascii="Times New Roman;serif" w:hAnsi="Times New Roman;serif"/>
                  <w:b w:val="false"/>
                  <w:color w:val="0000FF"/>
                  <w:sz w:val="20"/>
                  <w:u w:val="single"/>
                </w:rPr>
                <w:t>Consolidated Balance Sheets</w:t>
              </w:r>
            </w:hyperlink>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33">
              <w:r>
                <w:rPr>
                  <w:rStyle w:val="InternetLink"/>
                  <w:rFonts w:ascii="Times New Roman;serif" w:hAnsi="Times New Roman;serif"/>
                  <w:b w:val="false"/>
                  <w:color w:val="0000FF"/>
                  <w:sz w:val="20"/>
                  <w:u w:val="single"/>
                </w:rPr>
                <w:t>90</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36">
              <w:r>
                <w:rPr>
                  <w:rStyle w:val="InternetLink"/>
                  <w:rFonts w:ascii="Times New Roman;serif" w:hAnsi="Times New Roman;serif"/>
                  <w:b w:val="false"/>
                  <w:color w:val="0000FF"/>
                  <w:sz w:val="20"/>
                  <w:u w:val="single"/>
                </w:rPr>
                <w:t>Consolidated Statements of Operations and Comprehensive Income (Loss</w:t>
              </w:r>
            </w:hyperlink>
            <w:r>
              <w:rPr>
                <w:rFonts w:ascii="Times New Roman;serif" w:hAnsi="Times New Roman;serif"/>
                <w:b w:val="false"/>
                <w:color w:val="000000"/>
                <w:sz w:val="20"/>
              </w:rPr>
              <w:t>)</w:t>
            </w:r>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36">
              <w:r>
                <w:rPr>
                  <w:rStyle w:val="InternetLink"/>
                  <w:rFonts w:ascii="Times New Roman;serif" w:hAnsi="Times New Roman;serif"/>
                  <w:b w:val="false"/>
                  <w:color w:val="0000FF"/>
                  <w:sz w:val="20"/>
                  <w:u w:val="single"/>
                </w:rPr>
                <w:t>91</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39">
              <w:r>
                <w:rPr>
                  <w:rStyle w:val="InternetLink"/>
                  <w:rFonts w:ascii="Times New Roman;serif" w:hAnsi="Times New Roman;serif"/>
                  <w:b w:val="false"/>
                  <w:color w:val="0000FF"/>
                  <w:sz w:val="20"/>
                  <w:u w:val="single"/>
                </w:rPr>
                <w:t>Consolidated Statements of Redeemable Convertible Preferred Stock and Stockholders' Equity</w:t>
              </w:r>
            </w:hyperlink>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39">
              <w:r>
                <w:rPr>
                  <w:rStyle w:val="InternetLink"/>
                  <w:rFonts w:ascii="Times New Roman;serif" w:hAnsi="Times New Roman;serif"/>
                  <w:b w:val="false"/>
                  <w:color w:val="0000FF"/>
                  <w:sz w:val="20"/>
                  <w:u w:val="single"/>
                </w:rPr>
                <w:t>92</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45">
              <w:r>
                <w:rPr>
                  <w:rStyle w:val="InternetLink"/>
                  <w:rFonts w:ascii="Times New Roman;serif" w:hAnsi="Times New Roman;serif"/>
                  <w:b w:val="false"/>
                  <w:color w:val="0000FF"/>
                  <w:sz w:val="20"/>
                  <w:u w:val="single"/>
                </w:rPr>
                <w:t>Consolidated Statements of Cash Flows</w:t>
              </w:r>
            </w:hyperlink>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45">
              <w:r>
                <w:rPr>
                  <w:rStyle w:val="InternetLink"/>
                  <w:rFonts w:ascii="Times New Roman;serif" w:hAnsi="Times New Roman;serif"/>
                  <w:b w:val="false"/>
                  <w:color w:val="0000FF"/>
                  <w:sz w:val="20"/>
                  <w:u w:val="single"/>
                </w:rPr>
                <w:t>93</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148">
              <w:r>
                <w:rPr>
                  <w:rStyle w:val="InternetLink"/>
                  <w:rFonts w:ascii="Times New Roman;serif" w:hAnsi="Times New Roman;serif"/>
                  <w:b w:val="false"/>
                  <w:color w:val="0000FF"/>
                  <w:sz w:val="20"/>
                  <w:u w:val="single"/>
                </w:rPr>
                <w:t>Notes to Consolidated Financial Statements</w:t>
              </w:r>
            </w:hyperlink>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148">
              <w:r>
                <w:rPr>
                  <w:rStyle w:val="InternetLink"/>
                  <w:rFonts w:ascii="Times New Roman;serif" w:hAnsi="Times New Roman;serif"/>
                  <w:b w:val="false"/>
                  <w:color w:val="0000FF"/>
                  <w:sz w:val="20"/>
                  <w:u w:val="single"/>
                </w:rPr>
                <w:t>94</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29">
              <w:r>
                <w:rPr>
                  <w:rStyle w:val="InternetLink"/>
                  <w:rFonts w:ascii="Times New Roman;serif" w:hAnsi="Times New Roman;serif"/>
                  <w:b w:val="false"/>
                  <w:color w:val="0000FF"/>
                  <w:sz w:val="20"/>
                  <w:u w:val="single"/>
                </w:rPr>
                <w:t>Schedule II: Condensed Combined Financial Information of Registrant</w:t>
              </w:r>
            </w:hyperlink>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29">
              <w:r>
                <w:rPr>
                  <w:rStyle w:val="InternetLink"/>
                  <w:rFonts w:ascii="Times New Roman;serif" w:hAnsi="Times New Roman;serif"/>
                  <w:b w:val="false"/>
                  <w:color w:val="0000FF"/>
                  <w:sz w:val="20"/>
                  <w:u w:val="single"/>
                </w:rPr>
                <w:t>128</w:t>
              </w:r>
            </w:hyperlink>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a2498cbf6b469b80433040e8780d1c_238">
              <w:r>
                <w:rPr>
                  <w:rStyle w:val="InternetLink"/>
                  <w:rFonts w:ascii="Times New Roman;serif" w:hAnsi="Times New Roman;serif"/>
                  <w:b w:val="false"/>
                  <w:color w:val="0000FF"/>
                  <w:sz w:val="20"/>
                  <w:u w:val="single"/>
                </w:rPr>
                <w:t>Schedule V: Valuation and Qualifying Accounts</w:t>
              </w:r>
            </w:hyperlink>
          </w:p>
        </w:tc>
        <w:tc>
          <w:tcPr>
            <w:tcW w:w="33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a2498cbf6b469b80433040e8780d1c_238">
              <w:r>
                <w:rPr>
                  <w:rStyle w:val="InternetLink"/>
                  <w:rFonts w:ascii="Times New Roman;serif" w:hAnsi="Times New Roman;serif"/>
                  <w:b w:val="false"/>
                  <w:color w:val="0000FF"/>
                  <w:sz w:val="20"/>
                  <w:u w:val="single"/>
                </w:rPr>
                <w:t>132</w:t>
              </w:r>
            </w:hyperlink>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Schedules, other than those listed above, are omitted for the reason that they are not required, are not applicable or that equivalent information has been included in the consolidated financial statements or notes thereto or elsewhere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Root,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Root, Inc. and subsidiaries (the "Company") as of December 31, 2025 and 2024, the related consolidated statements of operations and comprehensive income (loss), redeemable convertible preferred stock and stockholders' equity, and cash flows, for each of the three years in the period ended December 31, 2025, and the related notes and the schedules listed in the Index at Item 8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25, 2026, expressed an unqualified opinion on the Company's internal control over financial reporting.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Loss and Loss Adjustment Expense Reserves – Refer to Notes 2 and 5 to the financial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Loss and loss adjustment expense reserves represent the liability established to cover the estimated ultimate cost to settle insured losses. The Company’s estimation of the liability for loss and loss adjustment expense reserves is complex and includes subjective considerations and management’s judgment.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Loss and loss adjustment expense reserves are inherently uncertain. Because actual experience can differ from key assumptions used in establishing reserves, there is potential for significant variation in the development of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reserves, particularly related to those reserves where there is a longer time span between the incidence of a loss and the settlement of a claim. Given the subjectivity in estimating the ultimate loss and loss adjustment expense reserves, due to input variables such as historical and statistical information, inflation, contract interpretation, weather catastrophe impacts, regulatory environment, and economic conditions, among other factors, auditing loss and loss adjustment expense reserves, particularly related to those reserves with settlement over a longer period of time, involved an especially high degree of auditor judgment, including the need to involve our actuarial specialists.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loss and loss adjustment expense reserves included the following, among others:</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We tested the effectiveness of controls related to loss and loss adjustment expense reserves, including those over the Company’s actuarial estimate. </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We tested the completeness and accuracy of the underlying key data inputs that served as the basis for the actuarial estimate.</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With the assistance of our actuarial specialists, we used the Company’s claims data to develop a range of independent estimates for the loss and loss adjustment expense reserves, particularly related to those with settlement over a longer period of time. We used these independent estimates to assess the reasonableness of the Company’s reserves by comparing our estimates to the Company’s recorded loss and loss adjustment expense reserves.</w:t>
      </w:r>
    </w:p>
    <w:p>
      <w:pPr>
        <w:pStyle w:val="TextBody"/>
        <w:bidi w:val="0"/>
        <w:spacing w:lineRule="auto" w:line="288" w:before="0" w:after="180"/>
        <w:ind w:left="0" w:right="0" w:hanging="180"/>
        <w:jc w:val="left"/>
        <w:rPr/>
      </w:pPr>
      <w:r>
        <w:rPr>
          <w:color w:val="000000"/>
        </w:rPr>
        <w:t>•</w:t>
      </w:r>
      <w:r>
        <w:rPr>
          <w:rFonts w:ascii="Times New Roman;serif" w:hAnsi="Times New Roman;serif"/>
          <w:b w:val="false"/>
          <w:color w:val="000000"/>
          <w:sz w:val="20"/>
        </w:rPr>
        <w:t>We compared the Company’s prior year estimates of expected loss and loss adjustment expense reserves to actual experience during the current year to identify potential bias in the determination of loss and loss adjustment expense reserves.</w:t>
      </w:r>
    </w:p>
    <w:tbl>
      <w:tblPr>
        <w:tblW w:w="2745" w:type="dxa"/>
        <w:jc w:val="left"/>
        <w:tblInd w:w="0" w:type="dxa"/>
        <w:tblLayout w:type="fixed"/>
        <w:tblCellMar>
          <w:top w:w="28" w:type="dxa"/>
          <w:left w:w="28" w:type="dxa"/>
          <w:bottom w:w="28" w:type="dxa"/>
          <w:right w:w="28" w:type="dxa"/>
        </w:tblCellMar>
      </w:tblPr>
      <w:tblGrid>
        <w:gridCol w:w="878"/>
        <w:gridCol w:w="772"/>
        <w:gridCol w:w="1095"/>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Columbus, Ohio</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669"/>
        <w:gridCol w:w="2351"/>
        <w:gridCol w:w="2372"/>
        <w:gridCol w:w="232"/>
        <w:gridCol w:w="848"/>
        <w:gridCol w:w="119"/>
        <w:gridCol w:w="119"/>
        <w:gridCol w:w="119"/>
        <w:gridCol w:w="119"/>
        <w:gridCol w:w="232"/>
        <w:gridCol w:w="848"/>
        <w:gridCol w:w="177"/>
      </w:tblGrid>
      <w:tr>
        <w:trPr/>
        <w:tc>
          <w:tcPr>
            <w:tcW w:w="266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 AND 2024</w:t>
            </w:r>
          </w:p>
        </w:tc>
      </w:tr>
      <w:tr>
        <w:trPr/>
        <w:tc>
          <w:tcPr>
            <w:tcW w:w="7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w:t>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$383.1 and $294.3 at December 31, 2025 and December 31, 2024, respectively)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 (amortized cost: zero and $14.8 at December 31, 2025 and December 31, 2024, respectively)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Premiums receivable, net of allowance of $8.9 and $9.8 at December 31, 2025 and December 31, 2024, respectively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recoverable and receivable, net of allowance of $0.1 at December 31, 2025 and December 31, 2024</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 premiums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reserves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premiums payable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$0.0001 par value, 14.1 shares issued and outstanding at December 31, 2025 and December 31, 2024 (redemption value of $126.5) (Note 11)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13.7 and 11.1 shares issued and outstanding at December 31, 2025 and December 31, 2024, respectively (Note 11)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 $0.0001 par value, 1.8 and 4.0 shares issued and outstanding at December 31, 2025 and December 31, 2024, respectively (Note 11)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8"/>
        <w:gridCol w:w="1195"/>
        <w:gridCol w:w="1200"/>
        <w:gridCol w:w="336"/>
        <w:gridCol w:w="1223"/>
        <w:gridCol w:w="173"/>
        <w:gridCol w:w="173"/>
        <w:gridCol w:w="173"/>
        <w:gridCol w:w="173"/>
        <w:gridCol w:w="336"/>
        <w:gridCol w:w="1223"/>
        <w:gridCol w:w="173"/>
        <w:gridCol w:w="173"/>
        <w:gridCol w:w="173"/>
        <w:gridCol w:w="173"/>
        <w:gridCol w:w="336"/>
        <w:gridCol w:w="1078"/>
        <w:gridCol w:w="256"/>
      </w:tblGrid>
      <w:tr>
        <w:trPr/>
        <w:tc>
          <w:tcPr>
            <w:tcW w:w="163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tc>
      </w:tr>
      <w:tr>
        <w:trPr/>
        <w:tc>
          <w:tcPr>
            <w:tcW w:w="4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(both Class A and B)</w:t>
            </w:r>
          </w:p>
        </w:tc>
        <w:tc>
          <w:tcPr>
            <w:tcW w:w="1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(both Class A and B)</w:t>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tbl>
      <w:tblPr>
        <w:tblW w:w="11880" w:type="dxa"/>
        <w:jc w:val="left"/>
        <w:tblInd w:w="0" w:type="dxa"/>
        <w:tblLayout w:type="fixed"/>
        <w:tblCellMar>
          <w:top w:w="28" w:type="dxa"/>
          <w:left w:w="28" w:type="dxa"/>
          <w:bottom w:w="28" w:type="dxa"/>
          <w:right w:w="28" w:type="dxa"/>
        </w:tblCellMar>
      </w:tblPr>
      <w:tblGrid>
        <w:gridCol w:w="600"/>
        <w:gridCol w:w="225"/>
        <w:gridCol w:w="226"/>
        <w:gridCol w:w="202"/>
        <w:gridCol w:w="204"/>
        <w:gridCol w:w="127"/>
        <w:gridCol w:w="109"/>
        <w:gridCol w:w="109"/>
        <w:gridCol w:w="109"/>
        <w:gridCol w:w="181"/>
        <w:gridCol w:w="466"/>
        <w:gridCol w:w="109"/>
        <w:gridCol w:w="109"/>
        <w:gridCol w:w="109"/>
        <w:gridCol w:w="109"/>
        <w:gridCol w:w="109"/>
        <w:gridCol w:w="109"/>
        <w:gridCol w:w="109"/>
        <w:gridCol w:w="236"/>
        <w:gridCol w:w="170"/>
        <w:gridCol w:w="171"/>
        <w:gridCol w:w="109"/>
        <w:gridCol w:w="109"/>
        <w:gridCol w:w="109"/>
        <w:gridCol w:w="236"/>
        <w:gridCol w:w="170"/>
        <w:gridCol w:w="171"/>
        <w:gridCol w:w="109"/>
        <w:gridCol w:w="109"/>
        <w:gridCol w:w="109"/>
        <w:gridCol w:w="181"/>
        <w:gridCol w:w="406"/>
        <w:gridCol w:w="109"/>
        <w:gridCol w:w="109"/>
        <w:gridCol w:w="109"/>
        <w:gridCol w:w="109"/>
        <w:gridCol w:w="751"/>
        <w:gridCol w:w="109"/>
        <w:gridCol w:w="109"/>
        <w:gridCol w:w="109"/>
        <w:gridCol w:w="246"/>
        <w:gridCol w:w="711"/>
        <w:gridCol w:w="109"/>
        <w:gridCol w:w="109"/>
        <w:gridCol w:w="109"/>
        <w:gridCol w:w="109"/>
        <w:gridCol w:w="246"/>
        <w:gridCol w:w="512"/>
        <w:gridCol w:w="113"/>
        <w:gridCol w:w="109"/>
        <w:gridCol w:w="109"/>
        <w:gridCol w:w="109"/>
        <w:gridCol w:w="192"/>
        <w:gridCol w:w="622"/>
        <w:gridCol w:w="117"/>
        <w:gridCol w:w="109"/>
        <w:gridCol w:w="109"/>
        <w:gridCol w:w="109"/>
        <w:gridCol w:w="181"/>
        <w:gridCol w:w="466"/>
        <w:gridCol w:w="154"/>
      </w:tblGrid>
      <w:tr>
        <w:trPr/>
        <w:tc>
          <w:tcPr>
            <w:tcW w:w="6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4"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ROOT, INC. AND SUBSIDIARIES</w:t>
            </w:r>
          </w:p>
        </w:tc>
        <w:tc>
          <w:tcPr>
            <w:tcW w:w="2386" w:type="dxa"/>
            <w:gridSpan w:val="12"/>
            <w:tcBorders/>
          </w:tcPr>
          <w:p>
            <w:pPr>
              <w:pStyle w:val="TableContents"/>
              <w:bidi w:val="0"/>
              <w:spacing w:before="0" w:after="283"/>
              <w:jc w:val="left"/>
              <w:rPr>
                <w:sz w:val="4"/>
                <w:szCs w:val="4"/>
              </w:rPr>
            </w:pPr>
            <w:r>
              <w:rPr>
                <w:sz w:val="4"/>
                <w:szCs w:val="4"/>
              </w:rPr>
            </w:r>
          </w:p>
        </w:tc>
      </w:tr>
      <w:tr>
        <w:trPr/>
        <w:tc>
          <w:tcPr>
            <w:tcW w:w="9494"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REDEEMABLE CONVERTIBLE PREFERRED STOCK AND STOCKHOLDERS’ EQUITY</w:t>
            </w:r>
          </w:p>
        </w:tc>
        <w:tc>
          <w:tcPr>
            <w:tcW w:w="2386" w:type="dxa"/>
            <w:gridSpan w:val="12"/>
            <w:tcBorders/>
          </w:tcPr>
          <w:p>
            <w:pPr>
              <w:pStyle w:val="TableContents"/>
              <w:bidi w:val="0"/>
              <w:spacing w:before="0" w:after="283"/>
              <w:jc w:val="left"/>
              <w:rPr>
                <w:sz w:val="4"/>
                <w:szCs w:val="4"/>
              </w:rPr>
            </w:pPr>
            <w:r>
              <w:rPr>
                <w:sz w:val="4"/>
                <w:szCs w:val="4"/>
              </w:rPr>
            </w:r>
          </w:p>
        </w:tc>
      </w:tr>
      <w:tr>
        <w:trPr/>
        <w:tc>
          <w:tcPr>
            <w:tcW w:w="9494" w:type="dxa"/>
            <w:gridSpan w:val="4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 2025, 2024 AND 2023</w:t>
            </w:r>
          </w:p>
        </w:tc>
        <w:tc>
          <w:tcPr>
            <w:tcW w:w="2386" w:type="dxa"/>
            <w:gridSpan w:val="12"/>
            <w:tcBorders/>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128"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3"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386" w:type="dxa"/>
            <w:gridSpan w:val="12"/>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Balance—January 1, 2023</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stock—option exercises and restricted stock units vesting, net of shares withheld for employee taxes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early-exercised stock option from liabilities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stock—share-based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(1,715.2)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Common stock—option exercises and restricted stock units vesting, net of shares withheld for employee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stock—share-based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Warrants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(1,681.9)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Common stock—option exercises and restricted stock units vesting, net of shares withheld for employee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stock—share-based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31,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(1,641.6)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29"/>
        <w:gridCol w:w="1702"/>
        <w:gridCol w:w="1715"/>
        <w:gridCol w:w="279"/>
        <w:gridCol w:w="791"/>
        <w:gridCol w:w="154"/>
        <w:gridCol w:w="154"/>
        <w:gridCol w:w="154"/>
        <w:gridCol w:w="154"/>
        <w:gridCol w:w="279"/>
        <w:gridCol w:w="791"/>
        <w:gridCol w:w="154"/>
        <w:gridCol w:w="154"/>
        <w:gridCol w:w="154"/>
        <w:gridCol w:w="154"/>
        <w:gridCol w:w="279"/>
        <w:gridCol w:w="883"/>
        <w:gridCol w:w="225"/>
      </w:tblGrid>
      <w:tr>
        <w:trPr/>
        <w:tc>
          <w:tcPr>
            <w:tcW w:w="202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compensation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lease modification</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receivable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 and receivable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reinsurance premiums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and loss adjustment expenses reserves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premiums payable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call and pay downs of investments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assets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and restricted stock units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related warrants issuance costs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and related warrants, net of issuance costs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cash equivalents, restricted cash, and restricted cash equivalents </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beginning of year</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end of year</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ROOT,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NATURE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Inc. is a holding company which, directly or indirectly, maintains 100% ownership of each of its subsidiaries, including, among others, Root Insurance Company, Root Property &amp; Casualty Insurance Company, or Root Property &amp; Casualty, both Ohio-domiciled insurance companies, Root Florida Insurance Company, or Root Florida, a Florida-domiciled insurance company formed in 2025, and Root Reinsurance Company, Ltd., a Cayman Islands-domiciled reinsurance company, together with Root, Inc., “we,” “us” or “our.”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and partnerships. We offer auto and renters insurance products underwritten by Root Insurance Company and auto insurance only through Root Property &amp; Casualty and Root Florida.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BASIS OF PRESENTATION AND SUMMARY OF SIGNIFICANT ACCOUNTING POLICIES</w:t>
      </w:r>
    </w:p>
    <w:p>
      <w:pPr>
        <w:pStyle w:val="TextBody"/>
        <w:bidi w:val="0"/>
        <w:spacing w:lineRule="auto" w:line="288" w:before="0" w:after="180"/>
        <w:ind w:left="0" w:right="0" w:firstLine="360"/>
        <w:jc w:val="left"/>
        <w:rPr/>
      </w:pPr>
      <w:r>
        <w:rPr>
          <w:rFonts w:ascii="Times New Roman;serif" w:hAnsi="Times New Roman;serif"/>
          <w:b/>
          <w:color w:val="000000"/>
          <w:sz w:val="20"/>
        </w:rPr>
        <w:t>Basis of Presentation and Consolidation</w:t>
      </w:r>
      <w:r>
        <w:rPr>
          <w:color w:val="000000"/>
        </w:rPr>
        <w:t>—</w:t>
      </w:r>
      <w:r>
        <w:rPr>
          <w:rFonts w:ascii="Times New Roman;serif" w:hAnsi="Times New Roman;serif"/>
          <w:b w:val="false"/>
          <w:color w:val="000000"/>
          <w:sz w:val="20"/>
        </w:rPr>
        <w:t>The consolidated financial statements include the accounts of Root, Inc. and its subsidiaries, all of which are wholly owned. These financial statements have been prepared in accordance with accounting principles generally accepted in the United States, or GAAP. All intercompany accounts and transactions have been eliminated.</w:t>
      </w:r>
    </w:p>
    <w:p>
      <w:pPr>
        <w:pStyle w:val="TextBody"/>
        <w:bidi w:val="0"/>
        <w:spacing w:lineRule="auto" w:line="288" w:before="0" w:after="180"/>
        <w:ind w:left="0" w:right="0" w:firstLine="36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consolidated financial statements requires management to make certain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reflected in our consolidated financial statements include, but are not limited to, reserves for loss and loss adjustment expense, or LAE, valuation allowances on our deferred tax assets and the amount of reinsurance recoverable and receivable from reinsurance contracts.</w:t>
      </w:r>
    </w:p>
    <w:p>
      <w:pPr>
        <w:pStyle w:val="TextBody"/>
        <w:bidi w:val="0"/>
        <w:spacing w:lineRule="auto" w:line="288" w:before="0" w:after="180"/>
        <w:ind w:left="0" w:right="0" w:firstLine="360"/>
        <w:jc w:val="left"/>
        <w:rPr/>
      </w:pPr>
      <w:r>
        <w:rPr>
          <w:rFonts w:ascii="Times New Roman;serif" w:hAnsi="Times New Roman;serif"/>
          <w:b/>
          <w:color w:val="000000"/>
          <w:sz w:val="20"/>
        </w:rPr>
        <w:t>Legal and Other Contingencies—</w:t>
      </w:r>
      <w:r>
        <w:rPr>
          <w:rFonts w:ascii="Times New Roman;serif" w:hAnsi="Times New Roman;serif"/>
          <w:b w:val="false"/>
          <w:color w:val="000000"/>
          <w:sz w:val="20"/>
        </w:rPr>
        <w:t xml:space="preserve">From time to time, we are party to litigation and legal proceedings relating to our business operations. We consider legal actions relating to claims made in the ordinary course of seeking indemnification for a loss covered by the insurance policy in establishing loss and LAE reserves. In the ordinary course of business, we also face certain lawsuits that seek damages beyond policy limits, or extra-contractual claims.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continually evaluate potential liabilities and reserves for litigation and other matters using the guidance issued in the Financial Accounting Standards Board, or FASB, Accounting Standards Codification, or ASC, Topic 450, </w:t>
      </w:r>
      <w:r>
        <w:rPr>
          <w:rFonts w:ascii="Times New Roman;serif" w:hAnsi="Times New Roman;serif"/>
          <w:b w:val="false"/>
          <w:i/>
          <w:color w:val="000000"/>
          <w:sz w:val="20"/>
        </w:rPr>
        <w:t>Contingencies</w:t>
      </w:r>
      <w:r>
        <w:rPr>
          <w:rFonts w:ascii="Times New Roman;serif" w:hAnsi="Times New Roman;serif"/>
          <w:b w:val="false"/>
          <w:color w:val="000000"/>
          <w:sz w:val="20"/>
        </w:rPr>
        <w:t>. Under this guidance, we may only record reserves for a loss if, as of the date the financial statements are issued or available to be issued, the likelihood of occurrence is deemed probable and we can reasonably estimate the amount of the loss. When disclosing litigation, claims or other matters where a material loss is judged to be reasonably possible, we will disclose an estimated range of loss or state that an estimate cannot be made. We consider each matter using this guidance and record reserves for losses as warranted by establishing a reserve in loss and loss adjustment expense reserves for extra-contractual claims and other liabilities for class action, other non-claims related lawsuits and other matters in our consolidated balance sheets. Any non-reinsurance related recoveries are recognized as other assets in our consolidated balance sheets. We record amounts within loss and loss adjustment expenses for extra-contractual claims and general and administrative for class action and other non-claims related lawsuits in our consolidated statements of operations and comprehensive income (loss). For other recoveries, we record these amounts in the same account as the initial expense in our consolidated statements of operations and comprehensive income (loss). Further details are discussed in Note 13, “Commitments and Contingencies.”</w:t>
      </w:r>
    </w:p>
    <w:p>
      <w:pPr>
        <w:pStyle w:val="TextBody"/>
        <w:bidi w:val="0"/>
        <w:spacing w:lineRule="auto" w:line="288" w:before="0" w:after="180"/>
        <w:ind w:left="0" w:right="0" w:firstLine="360"/>
        <w:jc w:val="left"/>
        <w:rPr/>
      </w:pPr>
      <w:r>
        <w:rPr>
          <w:rFonts w:ascii="Times New Roman;serif" w:hAnsi="Times New Roman;serif"/>
          <w:b/>
          <w:color w:val="000000"/>
          <w:sz w:val="20"/>
        </w:rPr>
        <w:t>Debt and Equity Issuance Costs</w:t>
      </w:r>
      <w:r>
        <w:rPr>
          <w:color w:val="000000"/>
        </w:rPr>
        <w:t>—</w:t>
      </w:r>
      <w:r>
        <w:rPr>
          <w:rFonts w:ascii="Times New Roman;serif" w:hAnsi="Times New Roman;serif"/>
          <w:b w:val="false"/>
          <w:color w:val="000000"/>
          <w:sz w:val="20"/>
        </w:rPr>
        <w:t xml:space="preserve">Debt and equity issuance costs, which primarily consist of advisor, legal, accounting, and other third-party fees directly related to issuing debt and equity instruments, are capitalized as other assets in our consolidated balance sheets if incurred prior to closing the related transaction. We incurred such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our $200.0 million six-year term loan, or Amended Term Loan, that we entered into on October 29, 2024 and the investment agreement with Carvana Group, LLC, or Investment Agreement, that we entered into on August 21, 2021. Upon close of the related transaction, these deferred issuance costs are generally offset against the related proceeds. Debt issuance costs are subsequently amortized over the term of the financing agreement as interest expense on the consolidated statements of operations and comprehensive income (loss).</w:t>
      </w:r>
    </w:p>
    <w:p>
      <w:pPr>
        <w:pStyle w:val="TextBody"/>
        <w:bidi w:val="0"/>
        <w:spacing w:lineRule="auto" w:line="288" w:before="0" w:after="180"/>
        <w:ind w:left="0" w:right="0" w:firstLine="360"/>
        <w:jc w:val="left"/>
        <w:rPr/>
      </w:pPr>
      <w:r>
        <w:rPr>
          <w:rFonts w:ascii="Times New Roman;serif" w:hAnsi="Times New Roman;serif"/>
          <w:b/>
          <w:color w:val="000000"/>
          <w:sz w:val="20"/>
        </w:rPr>
        <w:t>Indefinite-Lived Intangible Assets</w:t>
      </w:r>
      <w:r>
        <w:rPr>
          <w:color w:val="000000"/>
        </w:rPr>
        <w:t>—</w:t>
      </w:r>
      <w:r>
        <w:rPr>
          <w:rFonts w:ascii="Times New Roman;serif" w:hAnsi="Times New Roman;serif"/>
          <w:b w:val="false"/>
          <w:color w:val="000000"/>
          <w:sz w:val="20"/>
        </w:rPr>
        <w:t>As of December 31, 2025 and 2024, we had insurance licenses of $8.9 million and an intangible asset related to the purchase of the Root.com domain of $1.3 million, including transaction costs, in other assets on the consolidated balance sheets. We incur a minimal fee to renew each license. These intangible assets are not amortized, but instead are tested for impairment annually or when indicators of impairment exist. The impairment test for indefinite-lived intangibles involves first assessing qualitative factors to determine if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The evaluation requires the use of estimates and significant judgments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No impairment was recognized for 2025, 2024 or 2023 related to indefinite-lived intangible assets.</w:t>
      </w:r>
    </w:p>
    <w:p>
      <w:pPr>
        <w:pStyle w:val="TextBody"/>
        <w:bidi w:val="0"/>
        <w:spacing w:lineRule="auto" w:line="288" w:before="0" w:after="180"/>
        <w:ind w:left="0" w:right="0" w:firstLine="360"/>
        <w:jc w:val="left"/>
        <w:rPr/>
      </w:pPr>
      <w:r>
        <w:rPr>
          <w:rFonts w:ascii="Times New Roman;serif" w:hAnsi="Times New Roman;serif"/>
          <w:b/>
          <w:color w:val="000000"/>
          <w:sz w:val="20"/>
        </w:rPr>
        <w:t>Segment Information</w:t>
      </w:r>
      <w:r>
        <w:rPr>
          <w:color w:val="000000"/>
        </w:rPr>
        <w:t>—</w:t>
      </w:r>
      <w:r>
        <w:rPr>
          <w:rFonts w:ascii="Times New Roman;serif" w:hAnsi="Times New Roman;serif"/>
          <w:b w:val="false"/>
          <w:color w:val="000000"/>
          <w:sz w:val="20"/>
        </w:rPr>
        <w:t xml:space="preserve">We are a technology company that provides direct-to-consumer insurance products to customers. We operate as a single reporting segment that is managed on a consolidated basis. Our Chief Executive Officer is our chief operating decision maker, or CODM. The primary measure the CODM utilizes to manage operations, monitor budget versus actual results, and evaluate financial performance is net income (loss) as reported on the consolidated statements of comprehensive income (loss). This information is regularly provided to the CODM.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based on consolidated expense and forecasted expense information. Significant expenses, which are presented on the consolidated statements of operations and comprehensive income (loss), include loss and LAE, sales and marketing, other insurance expense and technology and development. Other segment items include expenses that our CODM does not evaluate for purposes of making operating decisions. These items include general and administrative, interest expense, loss on extinguishment of debt and income tax expense, which can all be found on the consolidated statements of operations and comprehensive income (loss). Assets provided to the CODM are consistent with those reported on the consolidated balance sheets.</w:t>
      </w:r>
    </w:p>
    <w:p>
      <w:pPr>
        <w:pStyle w:val="TextBody"/>
        <w:bidi w:val="0"/>
        <w:spacing w:lineRule="auto" w:line="288" w:before="0" w:after="180"/>
        <w:ind w:left="0" w:right="0" w:firstLine="360"/>
        <w:jc w:val="left"/>
        <w:rPr/>
      </w:pPr>
      <w:r>
        <w:rPr>
          <w:rFonts w:ascii="Times New Roman;serif" w:hAnsi="Times New Roman;serif"/>
          <w:b/>
          <w:color w:val="000000"/>
          <w:sz w:val="20"/>
        </w:rPr>
        <w:t>Statement of Cash Flows</w:t>
      </w:r>
      <w:r>
        <w:rPr>
          <w:color w:val="000000"/>
        </w:rPr>
        <w:t>—</w:t>
      </w:r>
      <w:r>
        <w:rPr>
          <w:rFonts w:ascii="Times New Roman;serif" w:hAnsi="Times New Roman;serif"/>
          <w:b w:val="false"/>
          <w:color w:val="000000"/>
          <w:sz w:val="20"/>
        </w:rPr>
        <w:t>The supplemental disclosures for cash and non-cash flows for the years ended December 31, 2025, 2024 and 2023 are as follows:</w:t>
      </w:r>
    </w:p>
    <w:tbl>
      <w:tblPr>
        <w:tblW w:w="5501" w:type="dxa"/>
        <w:jc w:val="left"/>
        <w:tblInd w:w="0" w:type="dxa"/>
        <w:tblLayout w:type="fixed"/>
        <w:tblCellMar>
          <w:top w:w="28" w:type="dxa"/>
          <w:left w:w="28" w:type="dxa"/>
          <w:bottom w:w="28" w:type="dxa"/>
          <w:right w:w="28" w:type="dxa"/>
        </w:tblCellMar>
      </w:tblPr>
      <w:tblGrid>
        <w:gridCol w:w="836"/>
        <w:gridCol w:w="735"/>
        <w:gridCol w:w="738"/>
        <w:gridCol w:w="211"/>
        <w:gridCol w:w="511"/>
        <w:gridCol w:w="109"/>
        <w:gridCol w:w="109"/>
        <w:gridCol w:w="109"/>
        <w:gridCol w:w="109"/>
        <w:gridCol w:w="211"/>
        <w:gridCol w:w="511"/>
        <w:gridCol w:w="109"/>
        <w:gridCol w:w="109"/>
        <w:gridCol w:w="109"/>
        <w:gridCol w:w="109"/>
        <w:gridCol w:w="211"/>
        <w:gridCol w:w="51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taxes paid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taxes paid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color w:val="000000"/>
          <w:sz w:val="20"/>
        </w:rPr>
        <w:t>Cash, Cash Equivalents, Restricted Cash and Restricted Cash Equivalents</w:t>
      </w:r>
      <w:r>
        <w:rPr>
          <w:color w:val="000000"/>
        </w:rPr>
        <w:t>—</w:t>
      </w:r>
      <w:r>
        <w:rPr>
          <w:rFonts w:ascii="Times New Roman;serif" w:hAnsi="Times New Roman;serif"/>
          <w:b w:val="false"/>
          <w:color w:val="000000"/>
          <w:sz w:val="20"/>
        </w:rPr>
        <w:t>Cash consists of cash on deposit. Cash equivalents are short-term, highly liquid investments that typically mature within three months from the date of origination or purchase and are principally stated at amortized cost, which approximates their fair value. Restricted cash consists of amounts held by a financial institution to satisfy letter of credit requirements for certain property leases. Restricted cash equivalents consist of short-term, highly liquid investments held by a financial institution to maintain certain collateral requirements with an unaffiliated Texas county mutual insurance company and are stated at amortized cost, which approximates their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checks are issued in excess of cash balances in individual bank accounts, a book overdraft shall be reclassified to accounts payable on the consolidated balance sheets. When a check is issued whereby a disbursement account is used to write the check, but the account is not funded until the check is presented for payment this “negative cash” balance is included in cash and cash equivalents on the consolidated balance sheets, if the funding account has sufficient funds. </w:t>
      </w:r>
    </w:p>
    <w:p>
      <w:pPr>
        <w:pStyle w:val="TextBody"/>
        <w:bidi w:val="0"/>
        <w:spacing w:lineRule="auto" w:line="288" w:before="0" w:after="180"/>
        <w:ind w:left="0" w:right="0" w:firstLine="360"/>
        <w:jc w:val="left"/>
        <w:rPr/>
      </w:pPr>
      <w:r>
        <w:rPr>
          <w:rFonts w:ascii="Times New Roman;serif" w:hAnsi="Times New Roman;serif"/>
          <w:b/>
          <w:color w:val="000000"/>
          <w:sz w:val="20"/>
        </w:rPr>
        <w:t>Investments</w:t>
      </w:r>
      <w:r>
        <w:rPr>
          <w:color w:val="000000"/>
        </w:rPr>
        <w:t>—</w:t>
      </w:r>
      <w:r>
        <w:rPr>
          <w:rFonts w:ascii="Times New Roman;serif" w:hAnsi="Times New Roman;serif"/>
          <w:b w:val="false"/>
          <w:color w:val="000000"/>
          <w:sz w:val="20"/>
        </w:rPr>
        <w:t>Investments in debt securities are classified as short-term and available-for-sale fixed maturity securities and are carried at fair value with any unrealized gains and losses, net of taxes, recorded as a component of accumulated other comprehensive income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regularly reviews our securities for signs of impairment, an assessment requiring significant management judgment. The criteria that management considers are the financial condition of the issuer, including receipt of scheduled principal and interest cash flows, fair value of a security that has fallen below the amortized value, maturity dates, current economic conditions and intent to sell, including if it is more likely than not that we will be required to sell the security before recovery. We then assess whether the decline in value is due to non-credit related or credit related factors. Non-credit related declines in fair value are recorded as unrealized losses in accumulated other comprehensive income (loss). If we determine that the decline is credit related, we establish an allowance for credit losses equal to the difference between the discounted cash flow model and the amortized value, the allowance would be recorded in net realized gains and losses on investments in our consolidated statements of operations and comprehensive income (loss). This allowance may be subsequently adjusted for recoveries or further credit losses. No such credit losses were recognized in 2025, 2024 and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investments primarily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Such changes are accounted for within net investment income in our consolidated statements of operations and comprehensive income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invest in Low Income Housing Tax Credits, or LIHTC, projects by way of investing in a limited liability entity to offset certain state premium taxes. The purpose of these investments is to encourage private capital investments into regions within these states that are in need of economic development, while providing tax credits and operating loss tax benefits to investors. We account for this investment using the cost method because our interest in the limited liability entity is minor and we have virtually no influence over the entity’s operating and financial policies. When we utilize the tax credits, the associated investment becomes impaired. Impairment of the investment is recognized within net investment income in our consolidated statements of operations and comprehensive income (loss). </w:t>
      </w:r>
    </w:p>
    <w:p>
      <w:pPr>
        <w:pStyle w:val="TextBody"/>
        <w:bidi w:val="0"/>
        <w:spacing w:lineRule="auto" w:line="288" w:before="0" w:after="180"/>
        <w:ind w:left="0" w:right="0" w:firstLine="360"/>
        <w:jc w:val="left"/>
        <w:rPr/>
      </w:pPr>
      <w:r>
        <w:rPr>
          <w:rFonts w:ascii="Times New Roman;serif" w:hAnsi="Times New Roman;serif"/>
          <w:b/>
          <w:color w:val="000000"/>
          <w:sz w:val="20"/>
        </w:rPr>
        <w:t>Fair Value Measurements</w:t>
      </w:r>
      <w:r>
        <w:rPr>
          <w:color w:val="000000"/>
        </w:rPr>
        <w:t>—</w:t>
      </w:r>
      <w:r>
        <w:rPr>
          <w:rFonts w:ascii="Times New Roman;serif" w:hAnsi="Times New Roman;serif"/>
          <w:b w:val="false"/>
          <w:color w:val="000000"/>
          <w:sz w:val="20"/>
        </w:rPr>
        <w:t>Fair value is defined as the price that would be received upon selling an asset or the price paid to transfer a liability on the measurement date in the principal or most advantageous market for the asset or liability in an orderly transaction between willing market participants. A three-tier hierarchy is established as a basis for considering such assumptions and for inputs used in the valuation methodologies in measuring fair value. This hierarchy requires entities to maximize the use of observable inputs and minimize the use of unobservable inputs. The three levels of inputs used to measure fair values 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1 - Financial assets and liabilities for which inputs are observable and are obtained from reliable quoted prices in active markets for identical assets and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2 - Financial assets and liabilities for which values are based on quoted prices in markets that are not active or for which values are based on similar assets and liabilities that are actively traded. This also includes pricing models for which the inputs are corroborated by market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3 - Financial assets and liabilities for which values are based on prices or valuation techniques that require inputs that are both unobservable and significant to the overall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Private equity investments that have been remeasured as of December 31, 2025 due to an observable event or impairment are classified within Level 3 of the fair value hierarchy because their estimated fair values are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valuation methodologies that may include a combination of the observable transaction price at the transaction date and other unobservable inputs, including volatility and the rights and obligations associated with the investments we hold. See Note 3, “Investments,” for further information on our private equity investments. </w:t>
      </w:r>
    </w:p>
    <w:p>
      <w:pPr>
        <w:pStyle w:val="TextBody"/>
        <w:bidi w:val="0"/>
        <w:spacing w:lineRule="auto" w:line="288" w:before="0" w:after="180"/>
        <w:ind w:left="0" w:right="0" w:firstLine="360"/>
        <w:jc w:val="left"/>
        <w:rPr/>
      </w:pPr>
      <w:r>
        <w:rPr>
          <w:rFonts w:ascii="Times New Roman;serif" w:hAnsi="Times New Roman;serif"/>
          <w:b/>
          <w:color w:val="000000"/>
          <w:sz w:val="20"/>
        </w:rPr>
        <w:t>Leases—</w:t>
      </w:r>
      <w:r>
        <w:rPr>
          <w:rFonts w:ascii="Times New Roman;serif" w:hAnsi="Times New Roman;serif"/>
          <w:b w:val="false"/>
          <w:color w:val="000000"/>
          <w:sz w:val="20"/>
        </w:rPr>
        <w:t xml:space="preserve">We record leases in accordance with ASC Topic 842, </w:t>
      </w:r>
      <w:r>
        <w:rPr>
          <w:rFonts w:ascii="Times New Roman;serif" w:hAnsi="Times New Roman;serif"/>
          <w:b w:val="false"/>
          <w:i/>
          <w:color w:val="000000"/>
          <w:sz w:val="20"/>
        </w:rPr>
        <w:t>Leases</w:t>
      </w:r>
      <w:r>
        <w:rPr>
          <w:rFonts w:ascii="Times New Roman;serif" w:hAnsi="Times New Roman;serif"/>
          <w:b w:val="false"/>
          <w:color w:val="000000"/>
          <w:sz w:val="20"/>
        </w:rPr>
        <w:t>. We recognized a right-of-use asset and liability on the consolidated balance sheets for all leases, except for leases covering a period of fewer than 12 months.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 For additional information refer to Note 8, “Leases.”</w:t>
      </w:r>
    </w:p>
    <w:p>
      <w:pPr>
        <w:pStyle w:val="TextBody"/>
        <w:bidi w:val="0"/>
        <w:spacing w:lineRule="auto" w:line="288" w:before="0" w:after="180"/>
        <w:ind w:left="0" w:right="0" w:firstLine="360"/>
        <w:jc w:val="left"/>
        <w:rPr/>
      </w:pPr>
      <w:r>
        <w:rPr>
          <w:rFonts w:ascii="Times New Roman;serif" w:hAnsi="Times New Roman;serif"/>
          <w:b/>
          <w:color w:val="000000"/>
          <w:sz w:val="20"/>
        </w:rPr>
        <w:t>Premiums, Premiums Receivable and Premium Write-offs</w:t>
      </w:r>
      <w:r>
        <w:rPr>
          <w:color w:val="000000"/>
        </w:rPr>
        <w:t>—</w:t>
      </w:r>
      <w:r>
        <w:rPr>
          <w:rFonts w:ascii="Times New Roman;serif" w:hAnsi="Times New Roman;serif"/>
          <w:b w:val="false"/>
          <w:color w:val="000000"/>
          <w:sz w:val="20"/>
        </w:rPr>
        <w:t>Premiums written are deferred and earned pro rata over the policy period. Unearned premium is established to cover the unexpired portion of premiums written. A premium deficiency, as measured on a gross basis, is recorded when the sum of expected losses, LAE, unamortized policy acquisition costs and maintenance costs exceed the recorded unearned premium reserve and anticipated investment income. We did not record a premium deficiency reserve in 2025, 2024 or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fronting arrangement with an unaffiliated Texas county mutual insurance company, or the fronting carrier. We route all of our new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Unaffiliated premiums payable are amounts owed to the fronting carrier for premiums assumed and are recorded in other liabilities on the consolidated balance sheets. Unaffiliated premiums payable was $96.7 million and $84.2 million as of December 31, 2025 and 2024, respectively. Unaffiliated reinsurance premiums receivable are the amounts owed to us from the fronting carrier for reinsurance premiums and are recorded in reinsurance recoverable and receivable on the consolidated balance sheets. Unaffiliated reinsurance premiums receivable was $96.3 million and $83.6 million as of December 31,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expected credit losses based primarily on an analysis of historical collection experience, adjusted for current economic conditions. Allowance for credit losses was $8.9 million and $9.8 million as of December 31, 2025 and 2024, respectively, on the consolidated balance sheets. A policy is considered past due on the first day after its due date and policies greater than 90 days past due are written-off. We recognized bad debt expense of $36.7 million, $34.1 million and $12.5 million for the years ended December 31, 2025, 2024 and 2023, respectively. </w:t>
      </w:r>
    </w:p>
    <w:p>
      <w:pPr>
        <w:pStyle w:val="TextBody"/>
        <w:bidi w:val="0"/>
        <w:spacing w:lineRule="auto" w:line="288" w:before="0" w:after="180"/>
        <w:ind w:left="0" w:right="0" w:firstLine="360"/>
        <w:jc w:val="left"/>
        <w:rPr/>
      </w:pPr>
      <w:r>
        <w:rPr>
          <w:rFonts w:ascii="Times New Roman;serif" w:hAnsi="Times New Roman;serif"/>
          <w:b/>
          <w:color w:val="000000"/>
          <w:sz w:val="20"/>
        </w:rPr>
        <w:t>Fee Income</w:t>
      </w:r>
      <w:r>
        <w:rPr>
          <w:color w:val="000000"/>
        </w:rPr>
        <w:t>—</w:t>
      </w:r>
      <w:r>
        <w:rPr>
          <w:rFonts w:ascii="Times New Roman;serif" w:hAnsi="Times New Roman;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ind w:left="0" w:right="0" w:firstLine="360"/>
        <w:jc w:val="left"/>
        <w:rPr/>
      </w:pPr>
      <w:r>
        <w:rPr>
          <w:rFonts w:ascii="Times New Roman;serif" w:hAnsi="Times New Roman;serif"/>
          <w:b/>
          <w:color w:val="000000"/>
          <w:sz w:val="20"/>
        </w:rPr>
        <w:t>Other Income</w:t>
      </w:r>
      <w:r>
        <w:rPr>
          <w:color w:val="000000"/>
        </w:rPr>
        <w:t>—</w:t>
      </w:r>
      <w:r>
        <w:rPr>
          <w:rFonts w:ascii="Times New Roman;serif" w:hAnsi="Times New Roman;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TextBody"/>
        <w:bidi w:val="0"/>
        <w:spacing w:lineRule="auto" w:line="288" w:before="0" w:after="180"/>
        <w:ind w:left="0" w:right="0" w:firstLine="360"/>
        <w:jc w:val="left"/>
        <w:rPr/>
      </w:pPr>
      <w:r>
        <w:rPr>
          <w:rFonts w:ascii="Times New Roman;serif" w:hAnsi="Times New Roman;serif"/>
          <w:b/>
          <w:color w:val="000000"/>
          <w:sz w:val="20"/>
        </w:rPr>
        <w:t>Sales and Marketing</w:t>
      </w:r>
      <w:r>
        <w:rPr>
          <w:color w:val="000000"/>
        </w:rPr>
        <w:t>—</w:t>
      </w:r>
      <w:r>
        <w:rPr>
          <w:rFonts w:ascii="Times New Roman;serif" w:hAnsi="Times New Roman;serif"/>
          <w:b w:val="false"/>
          <w:color w:val="000000"/>
          <w:sz w:val="20"/>
        </w:rPr>
        <w:t xml:space="preserve">Sales and marketing includes both acquisition and fixed expenses. We view direct performance marketing, experimental marketing, channel media, advertising and referral fees as acquisition expenses. We view sponsorship and related salaries, health benefits, bonuses, employee retirement plan-related expenses and employee share-based compensation expense, or Personnel Costs, and overhead allocated based on headcount, or Overhead, related to our brand strategy, creative and business development activities, certain data science activities and certain non-commission expenses related to the partnership channel as fixed expenses. Sales and marketing costs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color w:val="000000"/>
          <w:sz w:val="20"/>
        </w:rPr>
        <w:t>Other Insurance Expense</w:t>
      </w:r>
      <w:r>
        <w:rPr>
          <w:color w:val="000000"/>
        </w:rPr>
        <w:t>—</w:t>
      </w:r>
      <w:r>
        <w:rPr>
          <w:rFonts w:ascii="Times New Roman;serif" w:hAnsi="Times New Roman;serif"/>
          <w:b w:val="false"/>
          <w:color w:val="000000"/>
          <w:sz w:val="20"/>
        </w:rPr>
        <w:t xml:space="preserve">Other insurance expense includes expenses primarily related to insurance and underwriting operations of the business and is comprised of acquisition, variable and fixed expenses. We view report costs and refunds related to these expenses and commission expenses related to our partnership channel as acquisition costs. We view premium taxes, credit card and policy processing expenses and premium write-offs as variable expenses. We view insurance license expenses, warrant compensation expense related to policies originating through the integrated automobile insurance solution for Carvana’s online buying platform, or Integrated Platform, low-income housing tax credits which offset certain state premium taxes, Personnel Costs and Overhead related to actuarial and certain data science activities as fixed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w:t>
      </w:r>
    </w:p>
    <w:p>
      <w:pPr>
        <w:pStyle w:val="TextBody"/>
        <w:bidi w:val="0"/>
        <w:spacing w:lineRule="auto" w:line="288" w:before="0" w:after="180"/>
        <w:ind w:left="0" w:right="0" w:firstLine="360"/>
        <w:jc w:val="left"/>
        <w:rPr/>
      </w:pPr>
      <w:r>
        <w:rPr>
          <w:rFonts w:ascii="Times New Roman;serif" w:hAnsi="Times New Roman;serif"/>
          <w:b/>
          <w:color w:val="000000"/>
          <w:sz w:val="20"/>
        </w:rPr>
        <w:t>Technology and Development</w:t>
      </w:r>
      <w:r>
        <w:rPr>
          <w:color w:val="000000"/>
        </w:rPr>
        <w:t>—</w:t>
      </w:r>
      <w:r>
        <w:rPr>
          <w:rFonts w:ascii="Times New Roman;serif" w:hAnsi="Times New Roman;serif"/>
          <w:b w:val="false"/>
          <w:color w:val="000000"/>
          <w:sz w:val="20"/>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pStyle w:val="TextBody"/>
        <w:bidi w:val="0"/>
        <w:spacing w:lineRule="auto" w:line="288" w:before="0" w:after="180"/>
        <w:ind w:left="0" w:right="0" w:firstLine="360"/>
        <w:jc w:val="left"/>
        <w:rPr/>
      </w:pPr>
      <w:r>
        <w:rPr>
          <w:rFonts w:ascii="Times New Roman;serif" w:hAnsi="Times New Roman;serif"/>
          <w:b/>
          <w:color w:val="000000"/>
          <w:sz w:val="20"/>
        </w:rPr>
        <w:t>General and Administrative</w:t>
      </w:r>
      <w:r>
        <w:rPr>
          <w:color w:val="000000"/>
        </w:rPr>
        <w:t>—</w:t>
      </w:r>
      <w:r>
        <w:rPr>
          <w:rFonts w:ascii="Times New Roman;serif" w:hAnsi="Times New Roman;serif"/>
          <w:b w:val="false"/>
          <w:color w:val="000000"/>
          <w:sz w:val="20"/>
        </w:rPr>
        <w:t>General and administrative are fixed expenses that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w:t>
      </w:r>
    </w:p>
    <w:p>
      <w:pPr>
        <w:pStyle w:val="TextBody"/>
        <w:bidi w:val="0"/>
        <w:spacing w:lineRule="auto" w:line="288" w:before="180" w:after="180"/>
        <w:ind w:left="0" w:right="0" w:firstLine="360"/>
        <w:jc w:val="left"/>
        <w:rPr/>
      </w:pPr>
      <w:r>
        <w:rPr>
          <w:rFonts w:ascii="Times New Roman;serif" w:hAnsi="Times New Roman;serif"/>
          <w:b/>
          <w:color w:val="000000"/>
          <w:sz w:val="20"/>
        </w:rPr>
        <w:t>Deferred Policy Acquisition Costs—</w:t>
      </w:r>
      <w:r>
        <w:rPr>
          <w:rFonts w:ascii="Times New Roman;serif" w:hAnsi="Times New Roman;serif"/>
          <w:b w:val="false"/>
          <w:color w:val="000000"/>
          <w:sz w:val="20"/>
        </w:rPr>
        <w:t>Policy acquisition costs consist primarily of premium taxes, certain marketing costs and underwriting expenses, and commission expenses related to our partnership channel, net of ceding commissions, related to the successful acquisition of new or renewal business. They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policy acquisition costs based on quota share percentage is recorded as an offset to the gross deferred policy acquisition costs. Any portion of the ceding commission that exceeds the policy acquisition costs of the business ceded is recorded as excess ceding commission, a deferred liability, and amortized over the same period in which the related premiums are earned. Deferred policy acquisition costs, net of accumulated amortization, was $44.4 million and $29.3 million as of December 31, 2025 and 2024, respectively. We amortized deferred policy acquisition costs of $97.4 million, $35.7 million and $35.1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color w:val="000000"/>
          <w:sz w:val="20"/>
        </w:rPr>
        <w:t>Loss and Loss Adjustment Expense and Reserves</w:t>
      </w:r>
      <w:r>
        <w:rPr>
          <w:color w:val="000000"/>
        </w:rPr>
        <w:t>—</w:t>
      </w:r>
      <w:r>
        <w:rPr>
          <w:rFonts w:ascii="Times New Roman;serif" w:hAnsi="Times New Roman;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reserves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estimation of the liability for loss and LAE reserves is complex and includes subjective considerations and management’s judgment. The actuarial methods to determine unpaid loss es</w:t>
      </w:r>
      <w:r>
        <w:rPr>
          <w:rFonts w:ascii="Times New Roman;serif" w:hAnsi="Times New Roman;serif"/>
          <w:b w:val="false"/>
          <w:color w:val="000000"/>
          <w:sz w:val="20"/>
          <w:shd w:fill="FFFFFF" w:val="clear"/>
        </w:rPr>
        <w:t xml:space="preserve">timates consider loss trends, contract interpretation, mix of business, regulatory environment, economic conditions, inflation and other risk factors impacting claims settlement. The method used to estimate unpaid LAE liability is based on claims transaction data, including the relative cost of adjusting and settling a range of claim types from express material damage claims to more complex injury cases. </w:t>
      </w:r>
      <w:r>
        <w:rPr>
          <w:rFonts w:ascii="Times New Roman;serif" w:hAnsi="Times New Roman;serif"/>
          <w:b w:val="false"/>
          <w:color w:val="000000"/>
          <w:sz w:val="20"/>
        </w:rPr>
        <w:t xml:space="preserve">There is considerable uncertainty associated with the actuarial estimates, and therefore no assurance can be made that the ultimate unpaid claim liability will not vary materially from such estimates. These loss estimates are continually reviewed by management and adjusted as necessary, with adjustments included in the period determined and recorded in loss and LAE in our consolidated statements of operations and comprehensive income (loss). As such, loss and LAE reserves represent management’s best estimate of the ultimate liability related to reported and unreported claims.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loss and LAE reserves are recorded gross of reinsurance and net of amounts expected to be received from salvage (the amount recovered from a total loss claims expense) and subrogation (the right to recover payments from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ind w:left="0" w:right="0" w:firstLine="360"/>
        <w:jc w:val="left"/>
        <w:rPr/>
      </w:pPr>
      <w:r>
        <w:rPr>
          <w:rFonts w:ascii="Times New Roman;serif" w:hAnsi="Times New Roman;serif"/>
          <w:b/>
          <w:color w:val="000000"/>
          <w:sz w:val="20"/>
        </w:rPr>
        <w:t>Reinsurance</w:t>
      </w:r>
      <w:r>
        <w:rPr>
          <w:color w:val="000000"/>
        </w:rPr>
        <w:t>—</w:t>
      </w:r>
      <w:r>
        <w:rPr>
          <w:rFonts w:ascii="Times New Roman;serif" w:hAnsi="Times New Roman;serif"/>
          <w:b w:val="false"/>
          <w:color w:val="000000"/>
          <w:sz w:val="20"/>
        </w:rPr>
        <w:t xml:space="preserve">In the ordinary course of business, we cede and retrocede a portion of our business written and assumed, respectively, to reinsurers to limit 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Over time, our strategy continues to evolve and we may choose to amend, commute, and/or non-renew certain third-party reinsurance agreements, which may result in us retaining more or less of our business in the future.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Ceding commissions received in connection with reinsurance ceded have been accounted for as a reduction of other insurance expense in the consolidated statements of operations and comprehensive income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reinsurance agreements provide for adjustment of amount of coverage based on loss experience. We recognize the asset or liability arising from these adjustable features in the period the adjustment occurs, which is calculated based on experience to date under the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all or any of the reinsuring companies might be unable to meet their obligations under existing reinsurance agreements, we would be liable for such defaulted amounts. We evaluate and monitor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condition associated with our reinsurers in order to minimize our exposure to significant losses from reinsurer insolvencies. We obtain our reinsurance from a diverse group of reinsurers and monitor concentration as well as financial strength ratings of the reinsurers to minimize counterparty credit risk. To recognize this risk of credit loss, we have established an allowance for credit losses based on the probability of default and the expected loss given default as influenced by factors such as the reinsurer’s credit rating and average life of our reinsurance recoverables.</w:t>
      </w:r>
    </w:p>
    <w:p>
      <w:pPr>
        <w:pStyle w:val="TextBody"/>
        <w:bidi w:val="0"/>
        <w:spacing w:lineRule="auto" w:line="288" w:before="0" w:after="180"/>
        <w:ind w:left="0" w:right="0" w:firstLine="360"/>
        <w:jc w:val="left"/>
        <w:rPr/>
      </w:pPr>
      <w:r>
        <w:rPr>
          <w:rFonts w:ascii="Times New Roman;serif" w:hAnsi="Times New Roman;serif"/>
          <w:b/>
          <w:color w:val="000000"/>
          <w:sz w:val="20"/>
        </w:rPr>
        <w:t>Income Taxes</w:t>
      </w:r>
      <w:r>
        <w:rPr>
          <w:color w:val="000000"/>
        </w:rPr>
        <w:t>—</w:t>
      </w:r>
      <w:r>
        <w:rPr>
          <w:rFonts w:ascii="Times New Roman;serif" w:hAnsi="Times New Roman;serif"/>
          <w:b w:val="false"/>
          <w:color w:val="000000"/>
          <w:sz w:val="20"/>
        </w:rPr>
        <w:t>For the 2025 tax year, we will file a consolidated federal income tax return with Caret Holdings, Inc., Root Insurance Company, Root Property &amp; Casualty, Root Florida, Root Lone Star Insurance Agency, Inc. and Root Reinsurance Company, Ltd. The consolidated return also includes Root Insurance Agency, LLC, Root Enterprise, LLC, Root Republic Managing General Agency, LLC, Root Texas Managing General Agency, LLC, and Root Scout, LLC, which are disregarded entities under Caret Holdings, Inc. for federal income tax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under the asset and liability method. Deferred tax assets and liabilities are recognized for the future tax consequences attributable to differences between the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Deferred tax assets are recognized as allowed under ASC 740, </w:t>
      </w:r>
      <w:r>
        <w:rPr>
          <w:rFonts w:ascii="Times New Roman;serif" w:hAnsi="Times New Roman;serif"/>
          <w:b w:val="false"/>
          <w:i/>
          <w:color w:val="000000"/>
          <w:sz w:val="20"/>
        </w:rPr>
        <w:t>Income Taxes</w:t>
      </w:r>
      <w:r>
        <w:rPr>
          <w:rFonts w:ascii="Times New Roman;serif" w:hAnsi="Times New Roman;serif"/>
          <w:b w:val="false"/>
          <w:color w:val="000000"/>
          <w:sz w:val="20"/>
        </w:rPr>
        <w:t>. We establish a valuation allowance when there is more likely than not insufficient evidence to support the recoverability of the deferred tax asset under ASC 740. In making such a determination, management considers all available positive and negative evidence, including future reversals of existing taxable temporary differences, projected future taxable income, tax planning strategies, and results of recent operations. If it is determined that the deferred tax assets would be realizable in the future in excess of their net recorded amount, an adjustment would be made to the deferred tax asset valuation allowance, which would reduce the provision for income taxes. A valuation allowance of $339.8 million and $345.9 million was established as of December 31, 2025 and 2024, respectively. Further details are discussed in Note 9,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the tax benefits of uncertain tax positions only when the position is more likely than not to be sustained under examination by the appropriate taxing authority. Interest and penalties on our reserve for uncertain tax positions are recognized as a component of tax expense. As of December 31, 2025 and 2024, we did not have any unrecognized tax benefits for uncertain tax positions and had no accrued interest or penalties related to uncertain tax positions.</w:t>
      </w:r>
    </w:p>
    <w:p>
      <w:pPr>
        <w:pStyle w:val="TextBody"/>
        <w:bidi w:val="0"/>
        <w:spacing w:lineRule="auto" w:line="288" w:before="0" w:after="180"/>
        <w:ind w:left="0" w:right="0" w:firstLine="360"/>
        <w:jc w:val="left"/>
        <w:rPr/>
      </w:pPr>
      <w:r>
        <w:rPr>
          <w:rFonts w:ascii="Times New Roman;serif" w:hAnsi="Times New Roman;serif"/>
          <w:b/>
          <w:color w:val="000000"/>
          <w:sz w:val="20"/>
        </w:rPr>
        <w:t>Internally Developed Software</w:t>
      </w:r>
      <w:r>
        <w:rPr>
          <w:color w:val="000000"/>
        </w:rPr>
        <w:t>—</w:t>
      </w:r>
      <w:r>
        <w:rPr>
          <w:rFonts w:ascii="Times New Roman;serif" w:hAnsi="Times New Roman;serif"/>
          <w:b w:val="false"/>
          <w:color w:val="000000"/>
          <w:sz w:val="20"/>
        </w:rPr>
        <w:t>We review our software development activity and capitalize costs during the application development phase under ASC 350-40,</w:t>
      </w:r>
      <w:r>
        <w:rPr>
          <w:color w:val="000000"/>
        </w:rPr>
        <w:t xml:space="preserve"> </w:t>
      </w:r>
      <w:r>
        <w:rPr>
          <w:rFonts w:ascii="Times New Roman;serif" w:hAnsi="Times New Roman;serif"/>
          <w:b w:val="false"/>
          <w:i/>
          <w:color w:val="000000"/>
          <w:sz w:val="20"/>
        </w:rPr>
        <w:t>Internal-Use Software.</w:t>
      </w:r>
      <w:r>
        <w:rPr>
          <w:color w:val="000000"/>
        </w:rPr>
        <w:t xml:space="preserve"> </w:t>
      </w:r>
      <w:r>
        <w:rPr>
          <w:rFonts w:ascii="Times New Roman;serif" w:hAnsi="Times New Roman;serif"/>
          <w:b w:val="false"/>
          <w:color w:val="000000"/>
          <w:sz w:val="20"/>
        </w:rPr>
        <w:t>Generally, these costs are amortized on a straight-line basis over a five-year period. Internally developed software costs are assessed for impairment at least quarterly, which also ensures that the assets are still in service. If there are assets identified as no longer in use or impaired, the remaining unamortized costs will be fully amortized or the asset is written off. We amortized internally developed software of $8.5 million, $8.6 million and $6.3 million for the years ended December 31, 2025, 2024 and 2023, respectively. The capitalized cost and accumulated amortization of internally developed software in other assets in our consolidated balance sheets at December 31, 2025 and 2024 are as follows:</w:t>
      </w:r>
    </w:p>
    <w:tbl>
      <w:tblPr>
        <w:tblW w:w="4914" w:type="dxa"/>
        <w:jc w:val="left"/>
        <w:tblInd w:w="0" w:type="dxa"/>
        <w:tblLayout w:type="fixed"/>
        <w:tblCellMar>
          <w:top w:w="28" w:type="dxa"/>
          <w:left w:w="28" w:type="dxa"/>
          <w:bottom w:w="28" w:type="dxa"/>
          <w:right w:w="28" w:type="dxa"/>
        </w:tblCellMar>
      </w:tblPr>
      <w:tblGrid>
        <w:gridCol w:w="1042"/>
        <w:gridCol w:w="918"/>
        <w:gridCol w:w="920"/>
        <w:gridCol w:w="211"/>
        <w:gridCol w:w="511"/>
        <w:gridCol w:w="109"/>
        <w:gridCol w:w="109"/>
        <w:gridCol w:w="109"/>
        <w:gridCol w:w="109"/>
        <w:gridCol w:w="211"/>
        <w:gridCol w:w="51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December 31, </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color w:val="000000"/>
          <w:sz w:val="20"/>
        </w:rPr>
        <w:t>Fixed Assets</w:t>
      </w:r>
      <w:r>
        <w:rPr>
          <w:color w:val="000000"/>
        </w:rPr>
        <w:t>—</w:t>
      </w:r>
      <w:r>
        <w:rPr>
          <w:rFonts w:ascii="Times New Roman;serif" w:hAnsi="Times New Roman;serif"/>
          <w:b w:val="false"/>
          <w:color w:val="000000"/>
          <w:sz w:val="20"/>
        </w:rPr>
        <w:t xml:space="preserve">Fixed Assets are carried at cost, net of accumulated depreciation. We capitalize purchases of certain fixed assets, including computers, furniture, and leasehold improvements. Depreciation on computers and furniture is recognized on a straight-line basis over a useful life of three years and five years,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on leasehold improvements is recognized on a straight-line basis over the shorter of their useful life or the life of the lease. When certain events or changes in operating conditions occur, an impairment assessment may be performed on the recoverability of the carrying amounts. When assets are no longer in use or impaired, the asset and accumulated depreciation are written off. For the years ended December 31, 2025, 2024 and 2023, depreciation expense was $0.2 million, $1.0 million and $1.5 million, respectively. The capitalized cost and accumulated depreciation of fixed assets in other assets in our consolidated balance sheets at December 31, 2025 and 2024 are as follows:</w:t>
      </w:r>
    </w:p>
    <w:tbl>
      <w:tblPr>
        <w:tblW w:w="4088" w:type="dxa"/>
        <w:jc w:val="left"/>
        <w:tblInd w:w="0" w:type="dxa"/>
        <w:tblLayout w:type="fixed"/>
        <w:tblCellMar>
          <w:top w:w="28" w:type="dxa"/>
          <w:left w:w="28" w:type="dxa"/>
          <w:bottom w:w="28" w:type="dxa"/>
          <w:right w:w="28" w:type="dxa"/>
        </w:tblCellMar>
      </w:tblPr>
      <w:tblGrid>
        <w:gridCol w:w="818"/>
        <w:gridCol w:w="718"/>
        <w:gridCol w:w="728"/>
        <w:gridCol w:w="211"/>
        <w:gridCol w:w="406"/>
        <w:gridCol w:w="109"/>
        <w:gridCol w:w="109"/>
        <w:gridCol w:w="109"/>
        <w:gridCol w:w="109"/>
        <w:gridCol w:w="211"/>
        <w:gridCol w:w="40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December 31,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assets, at cost</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color w:val="000000"/>
          <w:sz w:val="20"/>
        </w:rPr>
        <w:t>Employee Share-Based Compensation</w:t>
      </w:r>
      <w:r>
        <w:rPr>
          <w:color w:val="000000"/>
        </w:rPr>
        <w:t>—</w:t>
      </w:r>
      <w:r>
        <w:rPr>
          <w:rFonts w:ascii="Times New Roman;serif" w:hAnsi="Times New Roman;serif"/>
          <w:b w:val="false"/>
          <w:color w:val="000000"/>
          <w:sz w:val="20"/>
        </w:rPr>
        <w:t>We award share-based compensation to our officers, directors, employees, and certain advisors, through approval from the Compensation Committee of the board of directors. These awards have been made in the forms of stock options, service-based restricted stock units, or RSUs, market-based restricted stock units, or MRSUs, performance-based restricted stock units, or PRSUs, and restricted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recognized based on the grant date fair value of the awards, which is determined using the Black-Scholes Merton, or BSM, option-pricing model. The BSM option pricing model requires inputs based on certain subjective assumptions, including the expected stock price volatility, the expected term of the options (generally ten years from grant date), the risk-free interest rate for a period that approximates the expected term of the option, and our expected dividend yield.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forfeitures as they occur, which generally results in the reversal of previously recognized expense for nonvested awards. In the event of an involuntary termination that results in the cancellation of an award, the remaining unrecognized compensation cost for the entire award is recognized in the period of cancellation. If the award is cancelled and concurrently replaced upon termination, it follows modification accounting, typically as a Type III improbable-to-probable modification whereby it is effectively treated as a forfeiture and new grant as of the date of termination. For performance-based awards, expense is not recognized until it is probable that the performance condition(s) will be met. We assess the probability of the awards vesting based on the performance conditions on a quarterly basis. If a performance condition is improbable but later becomes probable of achievement, a catch up of expense will be recorded as if the award had been vesting on a ratable basis from the grant date. If a performance condition is not achieved or becomes improbable of achievement, the respective cumulative compensation cost is reversed. For market-based awards, if the market condition(s) are never achieved before the expiration date, but the service condition is met, the respective compensation costs remain recognized.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options generally vested over four years, with 25% cliff vesting after one year and approximately 2% vesting each month over three years thereafter. RSUs generally vest over two or four years. For our awards vesting over two years, 50% cliff vests after one year and the remainder vest in equal quarterly installments over the following year. For our awards vesting over four years, 25% cliff vests after one year and the remainder vest in equal quarterly or monthly installments over three years thereafter. Certain other RSUs fully vest after one year. We generally recognize share-based compensation expense ratably over the respective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PRSUs granted in 2024 are expected to vest over an explicit service period of two to three years after the performance period and are dependent upon the fulfillment of both a service condition and the achievement of certain adjusted EBITDA and new writings goals during the performance period. The actual number of PRSUs earned can vary from zero to 200% of the target depending on goal achievement relative to the adjusted EBITDA and new writings goal matrix. The performance period begins on January 1, 2025 and ends on December 31, 2025. For our awards vesting over three years, 25% vests on the Compensation Committee certification date, expected to be in February 2026, and 25% vests annually over approximately three years thereafter. For our awards vesting over two years, 33% vests on the Compensation Committee certification date and approximately 8% vests quarterly over approximately two years thereafter. The expense is recognized ratably over the requisite service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performance period for PRSUs granted in 2025 begins on January 1, 2025 and ends on December 31, 2027 and is divided into three sub-performance periods, each beginning on January 1, 2025 and ending on December 31, 2025, 2026, and 2027, respectively. These overlapping sub-periods are one, two, and three years in duration. The actual number of PRSUs that vest can vary from zero to 200% of the target depending on goal achievement relative to gross accident period loss ratio and policies in force goal matrix. Expense for each sub-performance period is recognized ratably over the requisite service period. Awards earned in any sub-performance period vest on the Compensation Committee certification date, which is expected to be in the first quarter of the subsequent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PRSU compensation expense is recognized based on the grant date fair value of the award, which was determined using the Company’s closing stock price as of the grant date.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MRSUs are expected to vest over a derived service period of one to four years and are dependent upon the fulfillment of both a service condition and the achievement of stock-price goals during the performance period, with the latter being classified as a market condition according to ASC 718, </w:t>
      </w:r>
      <w:r>
        <w:rPr>
          <w:rFonts w:ascii="Times New Roman;serif" w:hAnsi="Times New Roman;serif"/>
          <w:b w:val="false"/>
          <w:i/>
          <w:color w:val="000000"/>
          <w:sz w:val="20"/>
        </w:rPr>
        <w:t>Stock Compensation</w:t>
      </w:r>
      <w:r>
        <w:rPr>
          <w:rFonts w:ascii="Times New Roman;serif" w:hAnsi="Times New Roman;serif"/>
          <w:b w:val="false"/>
          <w:color w:val="000000"/>
          <w:sz w:val="20"/>
        </w:rPr>
        <w:t>. The service condition with respect to the first and second tranches of MRSUs was satisfied on April 1, 2024 and April 1 2025, respectively. The remaining two tranches of MRSUs will be met in installments on each of the subsequent two anniversaries of that date, or Vesting Date Requirement, subject to the individual’s continued service through such dates. Stock price goals must be met on or after the respective tranche’s Vesting Date Requirement and are based on the average closing price per share of our Class A common stock over a consecutive 45-day trading period. Any tranche of MRSUs with respect to which the stock price goal has not been met as of April 1, 2028 (the final day of the performance period) will be forfeited as of such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MRSU compensation expense is recognized based on the grant date fair value of the award, which was determined by simulating Root’s stock prices using a Monte Carlo simulation in a risk-neutral framework, assuming a Geometric Brownian Motion. The simulation is repeated 100,000 times, and the average of the discounted values for each tranche is the grant date fair value for that tranche. The median time to vest is the derived service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Employing a Monte Carlo simulation requires a range of inputs for each uncertain variable, and establishing linkage between the assumptions, if necessary. Inputs and assumptions used in our analysis included our stock price at grant date, exercise prices, the term of the MRSUs, equity volatility, risk-free rate and dividend yield. Equity volatility was derived using a blended volatility assumption of 50% weight on Root’s historical volatility calculated from daily stock returns since IPO to the grant date and a 50% weight based on Root’s term matched simple average peer volatility as of the valuation date because our company-specific volatility is not sufficient by itself at the time of grant.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MRSUs is estimated on the date of grant using a Monte Carlo simulation with Geometric Brownian Motion that uses certain inputs, assumptions and estimates, as follows: expected term of approximately five years, based on the contractual term of the MRSUs; risk-free interest rate of 4.06%, based on United States Constant Maturity Yield Curve over a similar term; dividend rate of 0.0%, based on our historical and expected future dividend payouts; and volatility of 76%, and other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MRSU expense is recognized via a graded vesting method over the derived service period. In the event that both the service condition and market condition are met earlier, expense would be accelerated.</w:t>
      </w:r>
    </w:p>
    <w:p>
      <w:pPr>
        <w:pStyle w:val="TextBody"/>
        <w:bidi w:val="0"/>
        <w:spacing w:lineRule="auto" w:line="288" w:before="0" w:after="180"/>
        <w:ind w:left="0" w:right="0" w:firstLine="360"/>
        <w:jc w:val="left"/>
        <w:rPr/>
      </w:pPr>
      <w:r>
        <w:rPr>
          <w:rFonts w:ascii="Times New Roman;serif" w:hAnsi="Times New Roman;serif"/>
          <w:b/>
          <w:color w:val="000000"/>
          <w:sz w:val="20"/>
        </w:rPr>
        <w:t>Warrant Compensation</w:t>
      </w:r>
      <w:r>
        <w:rPr>
          <w:color w:val="000000"/>
        </w:rPr>
        <w:t>—</w:t>
      </w:r>
      <w:r>
        <w:rPr>
          <w:rFonts w:ascii="Times New Roman;serif" w:hAnsi="Times New Roman;serif"/>
          <w:b w:val="false"/>
          <w:color w:val="000000"/>
          <w:sz w:val="20"/>
        </w:rPr>
        <w:t xml:space="preserve">In October 2021, we closed the Investment Agreement with Carvana that included the issuance of 14.1 million shares of redeemable convertible preferred stock designated as the Series A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Preferred Stock and the issuance of eight tranches of warrants to purchase shares of the Company’s Class A common stock, of which three tranches expired unexercised in 2025. As part of the Investment Agreement, we and Carvana also entered into a five-year commercial agreement whereby our auto insurance products will be embedded into the Integrated Platform. The commercial agreement provides for agent commissions payable to Carvana for policy origination and an enterprise total loss replacement vehicle solution.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Carvana warrants compensation expense is recognized based on the grant date fair value of the award, which was determined using a Monte Carlo simulation in a risk-neutral framework, as contemplated in the Income Approach of valuation. Specifically, future equity is simulated in each period assuming a Geometric Brownian Motion. We considered the features of the warrants and the interdependency of exercise decisions between the Short-Term Warrants and the Long-Term Warrants in using the Monte Carlo simulation in order to determine the optimum exercise decision. The optimum exercise decision was made by choosing the option which would give the highest aggregate expected value to the holder in each of the 100,000 simulated paths. The payoff of each path is then calculated based on the simulated equity and discounted back to time zero using the applicable risk-free rates. The fair value of the warrants are then calculated as the average value from all simulation paths.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Employing a Monte Carlo simulation with Geometric Brownian Motion requires a range of inputs for each uncertain variable, and establishing linkage between the assumptions, if necessary. Inputs and assumptions used in our analysis included our stock price at grant date, exercise prices, the term of the warrants, equity volatility, risk-free rate and dividend yield. Additional considerations included a discount for lack of marketability resulting from Carvana’s five-year lock-up period.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These warrants vest as the parties develop an integrated automobile insurance solution for the Integrated Platform and insurance sales through the Integrated Platform. The associated compensation expense is dependent on our periodic assessment of the probability of the milestones being achieved. If deemed probable, we recognize compensation expense on a pro-rata basis considering progress toward achieving the milestones. If a performance condition is no longer probable of achievement, any previously recognized compensation expense is reversed and no subsequent compensation expense is recognized until achievement is once again probable, at which point a cumulative catch-up is recognized. In determining the classification as equity, we followed guidance issued within ASC 480, </w:t>
      </w:r>
      <w:r>
        <w:rPr>
          <w:rFonts w:ascii="Times New Roman;serif" w:hAnsi="Times New Roman;serif"/>
          <w:b w:val="false"/>
          <w:i/>
          <w:color w:val="000000"/>
          <w:sz w:val="20"/>
        </w:rPr>
        <w:t xml:space="preserve">Distinguishing Liabilities from Equity, </w:t>
      </w:r>
      <w:r>
        <w:rPr>
          <w:rFonts w:ascii="Times New Roman;serif" w:hAnsi="Times New Roman;serif"/>
          <w:b w:val="false"/>
          <w:color w:val="000000"/>
          <w:sz w:val="20"/>
        </w:rPr>
        <w:t xml:space="preserve">and ASC 815, </w:t>
      </w:r>
      <w:r>
        <w:rPr>
          <w:rFonts w:ascii="Times New Roman;serif" w:hAnsi="Times New Roman;serif"/>
          <w:b w:val="false"/>
          <w:i/>
          <w:color w:val="000000"/>
          <w:sz w:val="20"/>
        </w:rPr>
        <w:t>Derivatives and Hedging.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refer to Note 12, “Share-Based Compensation.”</w:t>
      </w:r>
    </w:p>
    <w:p>
      <w:pPr>
        <w:pStyle w:val="TextBody"/>
        <w:bidi w:val="0"/>
        <w:spacing w:lineRule="auto" w:line="288" w:before="0" w:after="180"/>
        <w:ind w:left="0" w:right="0" w:firstLine="360"/>
        <w:jc w:val="left"/>
        <w:rPr/>
      </w:pPr>
      <w:r>
        <w:rPr>
          <w:rFonts w:ascii="Times New Roman;serif" w:hAnsi="Times New Roman;serif"/>
          <w:b/>
          <w:color w:val="000000"/>
          <w:sz w:val="20"/>
        </w:rPr>
        <w:t>Earnings (Loss) Per Share</w:t>
      </w:r>
      <w:r>
        <w:rPr>
          <w:color w:val="000000"/>
        </w:rPr>
        <w:t>—</w:t>
      </w:r>
      <w:r>
        <w:rPr>
          <w:rFonts w:ascii="Times New Roman;serif" w:hAnsi="Times New Roman;serif"/>
          <w:b w:val="false"/>
          <w:color w:val="000000"/>
          <w:sz w:val="20"/>
        </w:rPr>
        <w:t xml:space="preserve">Earnings (loss) per share, or EPS, results are a key indicator of the overall performance relative to each share of our outstanding common stock. Basic earnings per share is calculated using the two-step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shareholders by the weighted-average number of common shares outstanding for the period. Common shares, when contingencies, such as vesting requirements, exist and have not been satisfied, are excluded from basic earnings per share.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shares of Class A and Class B common stock are entitled to the same liquidation and dividend rights and therefore earnings are allocated equally. Our redeemable convertible preferred stock and nonvested shares subject to repurchase are considered to be participating securities because they participate in dividends that are non-forfeitable and distributions with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 EPS for both Class A and Class B common stock includes all the components of basic EPS, plus the dilutive effect of common stock equivalents, but excludes those common stock equivalents from the calculation of diluted EPS when the effect of inclusion, assessed individually, would be anti-dilutive. The dilutive effect of stock options, nonvested shares subject to repurchase, RSUs, PRSUs, MRSUs, and warrants are calculated using the treasury stock method. The dilutive effect of redeemable convertible preferred stock is calculated using the if-converted method.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periods in which we operate at a loss, the conversion of common stock equivalents would increase the denominator of the diluted earnings per share calculation and create a lower loss per share. Therefore, these common stock equivalents are considered antidilutive and diluted EPS is equal to basic EPS. Participating securities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participate in losses and therefore are not allocated in the two-class method. Further details are discussed in Note 14, “Earnings (Loss) Per Share.”</w:t>
      </w:r>
    </w:p>
    <w:p>
      <w:pPr>
        <w:pStyle w:val="TextBody"/>
        <w:bidi w:val="0"/>
        <w:spacing w:lineRule="auto" w:line="288" w:before="0" w:after="180"/>
        <w:ind w:left="0" w:right="0" w:firstLine="360"/>
        <w:jc w:val="left"/>
        <w:rPr/>
      </w:pPr>
      <w:r>
        <w:rPr>
          <w:rFonts w:ascii="Times New Roman;serif" w:hAnsi="Times New Roman;serif"/>
          <w:b/>
          <w:color w:val="000000"/>
          <w:sz w:val="20"/>
        </w:rPr>
        <w:t>Recently Adopted Accounting Pronouncements</w:t>
      </w:r>
      <w:r>
        <w:rPr>
          <w:color w:val="000000"/>
        </w:rPr>
        <w:t>—</w:t>
      </w:r>
      <w:r>
        <w:rPr>
          <w:rFonts w:ascii="Times New Roman;serif" w:hAnsi="Times New Roman;serif"/>
          <w:b w:val="false"/>
          <w:color w:val="000000"/>
          <w:sz w:val="20"/>
        </w:rPr>
        <w:t xml:space="preserve">In December 2023, the FASB issued Accounting Standards Update, or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or ASU 2023-09. This ASU looks to enhance the transparency and decision usefulness of income tax disclosures primarily related to the rate reconciliation and income taxes paid information. The main provisions to the rate reconciliation disclosure require public entities on an annual basis to disclose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 ASU 2023-09 became effective for the annual reporting period beginning January 1, 2025, and we adopted the standard as of that date on a prospective basis. The adoption did not have an impact on our results of operations or financial condition.</w:t>
      </w:r>
    </w:p>
    <w:p>
      <w:pPr>
        <w:pStyle w:val="TextBody"/>
        <w:bidi w:val="0"/>
        <w:spacing w:lineRule="auto" w:line="288" w:before="0" w:after="180"/>
        <w:ind w:left="0" w:right="0" w:firstLine="360"/>
        <w:jc w:val="left"/>
        <w:rPr/>
      </w:pPr>
      <w:r>
        <w:rPr>
          <w:rFonts w:ascii="Times New Roman;serif" w:hAnsi="Times New Roman;serif"/>
          <w:b/>
          <w:color w:val="000000"/>
          <w:sz w:val="20"/>
        </w:rPr>
        <w:t>Recently Issued Financial Accounting Standards Not Yet Adopted</w:t>
      </w:r>
      <w:r>
        <w:rPr>
          <w:color w:val="000000"/>
        </w:rPr>
        <w:t>—</w:t>
      </w:r>
      <w:r>
        <w:rPr>
          <w:rFonts w:ascii="Times New Roman;serif" w:hAnsi="Times New Roman;serif"/>
          <w:b w:val="false"/>
          <w:color w:val="000000"/>
          <w:sz w:val="20"/>
        </w:rPr>
        <w:t>In December 2025, the FASB issued ASU No. 2025-11,</w:t>
      </w:r>
      <w:r>
        <w:rPr>
          <w:color w:val="000000"/>
        </w:rPr>
        <w:t xml:space="preserve">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This ASU clarifies the scope of interim reporting, improves the form and content requirements for interim financial statements, and consolidates interim disclosure requirements within Topic 270. This ASU also introduces a new disclosure principle requiring entities to disclose information about events or changes in circumstances since the last annual reporting period that have a material impact on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ASU may be applied prospectively or retrospectively with an effective date for public entities for interim periods within annual reporting periods beginning after December 15, 2027. Early adoption is permitted. We are currently evaluating the effects of the new standard. We are currently evaluating the impact of this ASU.</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September 2025, the FASB issued ASU No.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This ASU removes references to prescriptive and sequential software development stages in the guidance and instead requires entities to capitalize software development costs once management has authorized and committed to funding the project and it is probable that the project will be completed and the software will be used for its intended function. The guidance also requires entities to evaluate whether significant development uncertainty exists, which may delay capitalization until such uncertainty has been resolved. This ASU also specifies that the disclosure requirements in ASC 360-10 are required for all capitalized internal-use software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ASU may be applied prospectively, retrospectively, or through a modified transition approach with an effective date for all entities for annual reporting periods beginning after December 15, 2027, including interim periods within those reporting periods. Early adoption is permitted. We are currently evaluating the impact of this ASU.</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This ASU looks to improve financial reporting by requiring that public business entities disclose additional information about specific expense categories in the notes to financial statements at interim and annual reporting periods. The main provisions require a company to disclose in the notes to the financial statements the amounts of employee compensation, depreciation, intangible asset amortization and certain other costs and expenses included in each relevant expense caption and include certain amounts that are already required to be disclosed under current generally accepted accounting principles in the same disclosure as the other disaggregation requirements. It also requires a company to disclose a qualitative description of the amounts remaining in relevant expense captions that are not separately disaggregated quantitatively and the total amount of selling expenses and, in annual reporting periods, an entity’s definition of selling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ASU is to be applied on a prospective basis with an effective date for the first annual reporting period beginning after December 15, 2026, and interim reporting periods within annual reporting periods beginning after December 15, 2027. Early adoption is permitted. We are currently evaluating the impact of this ASU.</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rFonts w:ascii="Times New Roman;serif" w:hAnsi="Times New Roman;serif"/>
          <w:b/>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short-term investments and available-for-sale fixed maturity securities at December 31, 2025 and 2024 are as follows:</w:t>
      </w:r>
    </w:p>
    <w:tbl>
      <w:tblPr>
        <w:tblW w:w="10205" w:type="dxa"/>
        <w:jc w:val="left"/>
        <w:tblInd w:w="0" w:type="dxa"/>
        <w:tblLayout w:type="fixed"/>
        <w:tblCellMar>
          <w:top w:w="28" w:type="dxa"/>
          <w:left w:w="28" w:type="dxa"/>
          <w:bottom w:w="28" w:type="dxa"/>
          <w:right w:w="28" w:type="dxa"/>
        </w:tblCellMar>
      </w:tblPr>
      <w:tblGrid>
        <w:gridCol w:w="970"/>
        <w:gridCol w:w="725"/>
        <w:gridCol w:w="729"/>
        <w:gridCol w:w="242"/>
        <w:gridCol w:w="710"/>
        <w:gridCol w:w="125"/>
        <w:gridCol w:w="109"/>
        <w:gridCol w:w="109"/>
        <w:gridCol w:w="109"/>
        <w:gridCol w:w="512"/>
        <w:gridCol w:w="988"/>
        <w:gridCol w:w="268"/>
        <w:gridCol w:w="109"/>
        <w:gridCol w:w="109"/>
        <w:gridCol w:w="109"/>
        <w:gridCol w:w="381"/>
        <w:gridCol w:w="734"/>
        <w:gridCol w:w="198"/>
        <w:gridCol w:w="109"/>
        <w:gridCol w:w="109"/>
        <w:gridCol w:w="109"/>
        <w:gridCol w:w="378"/>
        <w:gridCol w:w="754"/>
        <w:gridCol w:w="196"/>
        <w:gridCol w:w="109"/>
        <w:gridCol w:w="109"/>
        <w:gridCol w:w="109"/>
        <w:gridCol w:w="211"/>
        <w:gridCol w:w="616"/>
        <w:gridCol w:w="160"/>
      </w:tblGrid>
      <w:tr>
        <w:trPr/>
        <w:tc>
          <w:tcPr>
            <w:tcW w:w="9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fixed maturities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r>
    </w:p>
    <w:tbl>
      <w:tblPr>
        <w:tblW w:w="10205" w:type="dxa"/>
        <w:jc w:val="left"/>
        <w:tblInd w:w="0" w:type="dxa"/>
        <w:tblLayout w:type="fixed"/>
        <w:tblCellMar>
          <w:top w:w="28" w:type="dxa"/>
          <w:left w:w="28" w:type="dxa"/>
          <w:bottom w:w="28" w:type="dxa"/>
          <w:right w:w="28" w:type="dxa"/>
        </w:tblCellMar>
      </w:tblPr>
      <w:tblGrid>
        <w:gridCol w:w="970"/>
        <w:gridCol w:w="725"/>
        <w:gridCol w:w="729"/>
        <w:gridCol w:w="242"/>
        <w:gridCol w:w="710"/>
        <w:gridCol w:w="125"/>
        <w:gridCol w:w="109"/>
        <w:gridCol w:w="109"/>
        <w:gridCol w:w="109"/>
        <w:gridCol w:w="512"/>
        <w:gridCol w:w="988"/>
        <w:gridCol w:w="268"/>
        <w:gridCol w:w="109"/>
        <w:gridCol w:w="109"/>
        <w:gridCol w:w="109"/>
        <w:gridCol w:w="381"/>
        <w:gridCol w:w="734"/>
        <w:gridCol w:w="198"/>
        <w:gridCol w:w="109"/>
        <w:gridCol w:w="109"/>
        <w:gridCol w:w="109"/>
        <w:gridCol w:w="378"/>
        <w:gridCol w:w="754"/>
        <w:gridCol w:w="196"/>
        <w:gridCol w:w="109"/>
        <w:gridCol w:w="109"/>
        <w:gridCol w:w="109"/>
        <w:gridCol w:w="211"/>
        <w:gridCol w:w="616"/>
        <w:gridCol w:w="160"/>
      </w:tblGrid>
      <w:tr>
        <w:trPr/>
        <w:tc>
          <w:tcPr>
            <w:tcW w:w="9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reviewed the available-for-sale fixed maturity securities and short-term investments at each balance sheet date to consider whether it was necessary to recognize a credit loss as of December 31, 2025 and 2024. We do not intend to sell the investments and it is not more likely than not that we will be required to sell the security before recovery. Management concluded that the unrealized losses on the available-for-sale fixed maturity securities and short-term investments were due to non-credit related factors and, therefore, there was no allowance for credit loss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reflect the gross unrealized losses and fair value of short-term investments and available-for-sale fixed maturity securities, aggregated by investment category and length of time that individual securities have been in a continuous unrealized loss position at December 31, 2025 and 2024: </w:t>
      </w:r>
    </w:p>
    <w:tbl>
      <w:tblPr>
        <w:tblW w:w="10205" w:type="dxa"/>
        <w:jc w:val="left"/>
        <w:tblInd w:w="0" w:type="dxa"/>
        <w:tblLayout w:type="fixed"/>
        <w:tblCellMar>
          <w:top w:w="28" w:type="dxa"/>
          <w:left w:w="28" w:type="dxa"/>
          <w:bottom w:w="28" w:type="dxa"/>
          <w:right w:w="28" w:type="dxa"/>
        </w:tblCellMar>
      </w:tblPr>
      <w:tblGrid>
        <w:gridCol w:w="1178"/>
        <w:gridCol w:w="969"/>
        <w:gridCol w:w="976"/>
        <w:gridCol w:w="211"/>
        <w:gridCol w:w="616"/>
        <w:gridCol w:w="109"/>
        <w:gridCol w:w="109"/>
        <w:gridCol w:w="109"/>
        <w:gridCol w:w="109"/>
        <w:gridCol w:w="252"/>
        <w:gridCol w:w="503"/>
        <w:gridCol w:w="131"/>
        <w:gridCol w:w="109"/>
        <w:gridCol w:w="109"/>
        <w:gridCol w:w="109"/>
        <w:gridCol w:w="220"/>
        <w:gridCol w:w="535"/>
        <w:gridCol w:w="114"/>
        <w:gridCol w:w="109"/>
        <w:gridCol w:w="109"/>
        <w:gridCol w:w="109"/>
        <w:gridCol w:w="252"/>
        <w:gridCol w:w="503"/>
        <w:gridCol w:w="131"/>
        <w:gridCol w:w="109"/>
        <w:gridCol w:w="109"/>
        <w:gridCol w:w="109"/>
        <w:gridCol w:w="211"/>
        <w:gridCol w:w="616"/>
        <w:gridCol w:w="109"/>
        <w:gridCol w:w="109"/>
        <w:gridCol w:w="109"/>
        <w:gridCol w:w="109"/>
        <w:gridCol w:w="249"/>
        <w:gridCol w:w="498"/>
        <w:gridCol w:w="187"/>
      </w:tblGrid>
      <w:tr>
        <w:trPr/>
        <w:tc>
          <w:tcPr>
            <w:tcW w:w="117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maturities: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other investments related to our private equity investments were $4.4 million. There were no realized or unrealized gains or losses or impairment losses recognized on private equity investments for the years ended December 31, 2025, 2024 and 2023.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realized gains or losses on short-term investments and available-for-sale fixed maturities for the years ended December 31, 2025, 2024 and 2023.</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short-term investments and available-for-sale fixed maturity securities by contractual maturity at December 31, 2025:</w:t>
      </w:r>
    </w:p>
    <w:tbl>
      <w:tblPr>
        <w:tblW w:w="5657"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years ended December 31, 2025, 2024 and 2023:</w:t>
      </w:r>
    </w:p>
    <w:tbl>
      <w:tblPr>
        <w:tblW w:w="10055" w:type="dxa"/>
        <w:jc w:val="left"/>
        <w:tblInd w:w="0" w:type="dxa"/>
        <w:tblLayout w:type="fixed"/>
        <w:tblCellMar>
          <w:top w:w="28" w:type="dxa"/>
          <w:left w:w="28" w:type="dxa"/>
          <w:bottom w:w="28" w:type="dxa"/>
          <w:right w:w="28" w:type="dxa"/>
        </w:tblCellMar>
      </w:tblPr>
      <w:tblGrid>
        <w:gridCol w:w="2408"/>
        <w:gridCol w:w="2116"/>
        <w:gridCol w:w="2121"/>
        <w:gridCol w:w="211"/>
        <w:gridCol w:w="511"/>
        <w:gridCol w:w="109"/>
        <w:gridCol w:w="109"/>
        <w:gridCol w:w="109"/>
        <w:gridCol w:w="109"/>
        <w:gridCol w:w="211"/>
        <w:gridCol w:w="511"/>
        <w:gridCol w:w="109"/>
        <w:gridCol w:w="109"/>
        <w:gridCol w:w="109"/>
        <w:gridCol w:w="109"/>
        <w:gridCol w:w="211"/>
        <w:gridCol w:w="511"/>
        <w:gridCol w:w="109"/>
        <w:gridCol w:w="109"/>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fixed maturities and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on cash, cash equivalents, restricted cash, and restricted cash equivalents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short-term investments and available-for-sale fixed maturity securities at December 31, 2025 and 2024:</w:t>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S&amp;P Global rating or equivalent </w:t>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S&amp;P Global rating or equivalent </w:t>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AA+, AA, AA-, A-1+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certain regulatory requirements, we are required to hold assets on deposit with various state insurance departments for the benefit of policyholders. These special deposits are included in available-for-sale fixed maturity securities on the consolidated balance sheets. As of December 31, 2025 and 2024, these required deposits had an amortized cost of $15.7 million and $15.8 million, respectively, and fair value of $15.9 million and $15.6 million, respectively. We maintain restricted cash equivalents and certain investments in a trust to meet collateral requirements with the fronting carrier. As of December 31, 2025, we held investments in the trust of $77.0 million. There are withdrawal and other restrictions on these deposits. Ultimately, when unearned premiums run off and loss reserves are paid under this program, any remaining trust balances will be released and available for general use.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4.</w:t>
      </w:r>
      <w:r>
        <w:rPr>
          <w:rFonts w:ascii="Times New Roman;serif" w:hAnsi="Times New Roman;serif"/>
          <w:b/>
          <w:color w:val="000000"/>
          <w:sz w:val="20"/>
        </w:rPr>
        <w:t>FAIR VALUE OF FINANCIAL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our financial assets measured and reported at fair value as of December 31, 2025 and 2024:</w:t>
      </w:r>
    </w:p>
    <w:tbl>
      <w:tblPr>
        <w:tblW w:w="8609" w:type="dxa"/>
        <w:jc w:val="left"/>
        <w:tblInd w:w="0" w:type="dxa"/>
        <w:tblLayout w:type="fixed"/>
        <w:tblCellMar>
          <w:top w:w="28" w:type="dxa"/>
          <w:left w:w="28" w:type="dxa"/>
          <w:bottom w:w="28" w:type="dxa"/>
          <w:right w:w="28" w:type="dxa"/>
        </w:tblCellMar>
      </w:tblPr>
      <w:tblGrid>
        <w:gridCol w:w="1460"/>
        <w:gridCol w:w="1288"/>
        <w:gridCol w:w="1301"/>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restricted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of 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long-term debt is recorded at the unpaid balance, net of discount and debt issuance costs, and includes interest payable. The fair value of outstanding long-term debt as of December 31, 2025 was classified within Level 2 of the fair value hierarchy. The fair value was based on a model referencing observable interest rates and spreads to project and discount cash flows to present value. As of December 31, 2025 and 2024,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11"/>
        <w:gridCol w:w="363"/>
        <w:gridCol w:w="364"/>
        <w:gridCol w:w="442"/>
        <w:gridCol w:w="1290"/>
        <w:gridCol w:w="228"/>
        <w:gridCol w:w="109"/>
        <w:gridCol w:w="109"/>
        <w:gridCol w:w="109"/>
        <w:gridCol w:w="463"/>
        <w:gridCol w:w="1354"/>
        <w:gridCol w:w="240"/>
        <w:gridCol w:w="109"/>
        <w:gridCol w:w="109"/>
        <w:gridCol w:w="109"/>
        <w:gridCol w:w="442"/>
        <w:gridCol w:w="1290"/>
        <w:gridCol w:w="228"/>
        <w:gridCol w:w="109"/>
        <w:gridCol w:w="109"/>
        <w:gridCol w:w="109"/>
        <w:gridCol w:w="451"/>
        <w:gridCol w:w="1319"/>
        <w:gridCol w:w="339"/>
      </w:tblGrid>
      <w:tr>
        <w:trPr/>
        <w:tc>
          <w:tcPr>
            <w:tcW w:w="4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Amount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Amount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December 31, 2024</w:t>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5.</w:t>
      </w:r>
      <w:r>
        <w:rPr>
          <w:rFonts w:ascii="Times New Roman;serif" w:hAnsi="Times New Roman;serif"/>
          <w:b/>
          <w:color w:val="000000"/>
          <w:sz w:val="20"/>
        </w:rPr>
        <w:t>LOSS AND LOSS ADJUSTMENT EXPENSE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of the beginning and ending reserve balances for loss and LAE, net of reinsurance:</w:t>
      </w:r>
    </w:p>
    <w:tbl>
      <w:tblPr>
        <w:tblW w:w="7331" w:type="dxa"/>
        <w:jc w:val="left"/>
        <w:tblInd w:w="0" w:type="dxa"/>
        <w:tblLayout w:type="fixed"/>
        <w:tblCellMar>
          <w:top w:w="28" w:type="dxa"/>
          <w:left w:w="28" w:type="dxa"/>
          <w:bottom w:w="28" w:type="dxa"/>
          <w:right w:w="28" w:type="dxa"/>
        </w:tblCellMar>
      </w:tblPr>
      <w:tblGrid>
        <w:gridCol w:w="1387"/>
        <w:gridCol w:w="1216"/>
        <w:gridCol w:w="1221"/>
        <w:gridCol w:w="211"/>
        <w:gridCol w:w="616"/>
        <w:gridCol w:w="109"/>
        <w:gridCol w:w="109"/>
        <w:gridCol w:w="109"/>
        <w:gridCol w:w="109"/>
        <w:gridCol w:w="211"/>
        <w:gridCol w:w="616"/>
        <w:gridCol w:w="109"/>
        <w:gridCol w:w="109"/>
        <w:gridCol w:w="109"/>
        <w:gridCol w:w="109"/>
        <w:gridCol w:w="211"/>
        <w:gridCol w:w="616"/>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paid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December 31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to incurred losses for prior accident years in 2025 of $29.4 million was primarily driven by lower-than-expected reported losses and LAE from accident year 2024 related to liability and physical damage coverages.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to incurred losses for prior accident years in 2024 of $19.4 million was primarily driven by lower-than-expected reported losses and LAE from accident year 2023 related to liability and physical damage coverages.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to incurred losses for prior accident years in 2023 of $7.0 million was primarily driven by lower-than-expected reported losses from accident year 2022 related to liability and physical damage coverages.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incurred and paid losses and allocated loss adjustment expenses, or ALAE, development by accident year for private passenger auto and renters in aggregate, cumulative claim frequency is defined as the number of reported claims at the claim level which includes reported claims that do not result in a liability: </w:t>
      </w:r>
    </w:p>
    <w:tbl>
      <w:tblPr>
        <w:tblW w:w="10205" w:type="dxa"/>
        <w:jc w:val="left"/>
        <w:tblInd w:w="0" w:type="dxa"/>
        <w:tblLayout w:type="fixed"/>
        <w:tblCellMar>
          <w:top w:w="28" w:type="dxa"/>
          <w:left w:w="28" w:type="dxa"/>
          <w:bottom w:w="28" w:type="dxa"/>
          <w:right w:w="28" w:type="dxa"/>
        </w:tblCellMar>
      </w:tblPr>
      <w:tblGrid>
        <w:gridCol w:w="342"/>
        <w:gridCol w:w="300"/>
        <w:gridCol w:w="302"/>
        <w:gridCol w:w="211"/>
        <w:gridCol w:w="618"/>
        <w:gridCol w:w="109"/>
        <w:gridCol w:w="109"/>
        <w:gridCol w:w="109"/>
        <w:gridCol w:w="109"/>
        <w:gridCol w:w="255"/>
        <w:gridCol w:w="747"/>
        <w:gridCol w:w="132"/>
        <w:gridCol w:w="109"/>
        <w:gridCol w:w="109"/>
        <w:gridCol w:w="109"/>
        <w:gridCol w:w="211"/>
        <w:gridCol w:w="618"/>
        <w:gridCol w:w="109"/>
        <w:gridCol w:w="109"/>
        <w:gridCol w:w="109"/>
        <w:gridCol w:w="109"/>
        <w:gridCol w:w="211"/>
        <w:gridCol w:w="618"/>
        <w:gridCol w:w="109"/>
        <w:gridCol w:w="109"/>
        <w:gridCol w:w="109"/>
        <w:gridCol w:w="109"/>
        <w:gridCol w:w="211"/>
        <w:gridCol w:w="766"/>
        <w:gridCol w:w="109"/>
        <w:gridCol w:w="109"/>
        <w:gridCol w:w="109"/>
        <w:gridCol w:w="109"/>
        <w:gridCol w:w="211"/>
        <w:gridCol w:w="616"/>
        <w:gridCol w:w="109"/>
        <w:gridCol w:w="109"/>
        <w:gridCol w:w="109"/>
        <w:gridCol w:w="109"/>
        <w:gridCol w:w="435"/>
        <w:gridCol w:w="412"/>
        <w:gridCol w:w="48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Incurred Losses and ALAE—Net of Reinsurance</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Accident Year</w:t>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Reported Claims</w:t>
            </w:r>
            <w:r>
              <w:rPr>
                <w:rFonts w:ascii="Times New Roman;serif" w:hAnsi="Times New Roman;serif"/>
                <w:b/>
                <w:color w:val="000000"/>
                <w:sz w:val="10"/>
              </w:rPr>
              <w:t>(1)</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152,531 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119,564 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88,241 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143,012 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156,609 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659,957 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Cumulative Paid Losses and ALAE—Net of Reinsurance</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Accident Year</w:t>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outstanding liabilities before 2021—net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ALAE reserves—net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Reported by claim event.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claims development tables to the balance sheet losses and ALAE reserves, with separate disclosure of unallocated LAE, or ULAE, and reinsurance recoverable on unpaid losses for the years ended December 31, 2025 and 2024:</w:t>
      </w:r>
    </w:p>
    <w:tbl>
      <w:tblPr>
        <w:tblW w:w="6413" w:type="dxa"/>
        <w:jc w:val="left"/>
        <w:tblInd w:w="0" w:type="dxa"/>
        <w:tblLayout w:type="fixed"/>
        <w:tblCellMar>
          <w:top w:w="28" w:type="dxa"/>
          <w:left w:w="28" w:type="dxa"/>
          <w:bottom w:w="28" w:type="dxa"/>
          <w:right w:w="28" w:type="dxa"/>
        </w:tblCellMar>
      </w:tblPr>
      <w:tblGrid>
        <w:gridCol w:w="1511"/>
        <w:gridCol w:w="1325"/>
        <w:gridCol w:w="1333"/>
        <w:gridCol w:w="211"/>
        <w:gridCol w:w="616"/>
        <w:gridCol w:w="109"/>
        <w:gridCol w:w="109"/>
        <w:gridCol w:w="109"/>
        <w:gridCol w:w="109"/>
        <w:gridCol w:w="211"/>
        <w:gridCol w:w="61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ALAE reserves—net of reinsurance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ULAE reserves—net of reinsurance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 on unpaid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and LAE reserves—gross of reinsurance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historical average annual percentage payout of incurred losses and ALAE (claims duration), net of reinsurance, as of December 31, 2025:</w:t>
      </w:r>
    </w:p>
    <w:tbl>
      <w:tblPr>
        <w:tblW w:w="7251" w:type="dxa"/>
        <w:jc w:val="left"/>
        <w:tblInd w:w="0" w:type="dxa"/>
        <w:tblLayout w:type="fixed"/>
        <w:tblCellMar>
          <w:top w:w="28" w:type="dxa"/>
          <w:left w:w="28" w:type="dxa"/>
          <w:bottom w:w="28" w:type="dxa"/>
          <w:right w:w="28" w:type="dxa"/>
        </w:tblCellMar>
      </w:tblPr>
      <w:tblGrid>
        <w:gridCol w:w="597"/>
        <w:gridCol w:w="523"/>
        <w:gridCol w:w="529"/>
        <w:gridCol w:w="109"/>
        <w:gridCol w:w="109"/>
        <w:gridCol w:w="109"/>
        <w:gridCol w:w="255"/>
        <w:gridCol w:w="256"/>
        <w:gridCol w:w="271"/>
        <w:gridCol w:w="109"/>
        <w:gridCol w:w="109"/>
        <w:gridCol w:w="109"/>
        <w:gridCol w:w="255"/>
        <w:gridCol w:w="256"/>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Incremental paid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Supplemental information and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6.</w:t>
      </w:r>
      <w:r>
        <w:rPr>
          <w:rFonts w:ascii="Times New Roman;serif" w:hAnsi="Times New Roman;serif"/>
          <w:b/>
          <w:color w:val="000000"/>
          <w:sz w:val="20"/>
        </w:rPr>
        <w:t>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amounts affecting the consolidated balance sheets for reinsurance as of December 31, 2025 and 2024:</w:t>
      </w:r>
    </w:p>
    <w:tbl>
      <w:tblPr>
        <w:tblW w:w="10205" w:type="dxa"/>
        <w:jc w:val="left"/>
        <w:tblInd w:w="0" w:type="dxa"/>
        <w:tblLayout w:type="fixed"/>
        <w:tblCellMar>
          <w:top w:w="28" w:type="dxa"/>
          <w:left w:w="28" w:type="dxa"/>
          <w:bottom w:w="28" w:type="dxa"/>
          <w:right w:w="28" w:type="dxa"/>
        </w:tblCellMar>
      </w:tblPr>
      <w:tblGrid>
        <w:gridCol w:w="711"/>
        <w:gridCol w:w="503"/>
        <w:gridCol w:w="430"/>
        <w:gridCol w:w="570"/>
        <w:gridCol w:w="2070"/>
        <w:gridCol w:w="293"/>
        <w:gridCol w:w="225"/>
        <w:gridCol w:w="225"/>
        <w:gridCol w:w="225"/>
        <w:gridCol w:w="436"/>
        <w:gridCol w:w="1584"/>
        <w:gridCol w:w="225"/>
        <w:gridCol w:w="225"/>
        <w:gridCol w:w="225"/>
        <w:gridCol w:w="225"/>
        <w:gridCol w:w="436"/>
        <w:gridCol w:w="1274"/>
        <w:gridCol w:w="323"/>
      </w:tblGrid>
      <w:tr>
        <w:trPr/>
        <w:tc>
          <w:tcPr>
            <w:tcW w:w="7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5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57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 reserves:</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unearned premiums</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amounts affecting the statements of operations and comprehensive income (loss) for reinsurance for the years ended December 31, 2025, 2024 and 2023:</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written:</w:t>
            </w:r>
          </w:p>
        </w:tc>
        <w:tc>
          <w:tcPr>
            <w:tcW w:w="2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2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2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2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2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2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2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2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2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and LAE incurred</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commutations during 2025 and 2024. During 2023, we commuted certain agreements with our reinsurers, which resulted in $0.7 million of loss and loss adjustment expenses and a $4.6 million expense of other insurance expense, respectively, on the consolidated statements of operations and comprehensive income (loss). A portion of the loss and loss adjustment expenses is related to an allowance for credit losses of $1.7 million that was established due to a commutation with one of our reinsurers as of December 31, 2023. During 2024, we recovered $0.5 million from this previously commuted reinsurer and relieved the remaining reinsurance recoverable and related allowance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the commutation of certain agreements with reinsurers during 2023, we received cash and cash equivalents and released collateral balances held of $27.1 million, reinsurance recoverable and receivable decreased by $35.1 million, prepaid reinsurance premiums were reduced by $34.6 million and reinsurance premiums payable decreased by $37.3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reinsurance was cancelled at December 31, 2025 and 2024, the maximum amount of return ceded commissions due with the return of unearned premiums would have been $0.7 million and $4.4 million, respectively. Our reinsurance recoverable on unpaid losses gross of the provision for loss corridor, loss ratio caps and allowance for credit losses was $28.7 million and $53.8 million as of December 31, 2025 and 2024, respectively. As of December 31, 2025 and 2024, a provision for loss corridor of $2.5 million and $5.0 million, respectively, was recorded as a contra-asset in reinsurance recoverable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7.</w:t>
      </w:r>
      <w:r>
        <w:rPr>
          <w:rFonts w:ascii="Times New Roman;serif" w:hAnsi="Times New Roman;serif"/>
          <w:b/>
          <w:color w:val="000000"/>
          <w:sz w:val="20"/>
        </w:rPr>
        <w:t>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2022, we entered into a five-year term loan. As part of the loan agreement, we issued warrants to the lender to purchase approximately 0.3 million shares of our Class A common stock at a strike price of $162.00 per share, or Tranche 1 Warrants.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2024, we entered into the first amendment to the term loan, which, among other things, provides greater flexibility for investments in future insurance subsidiaries. In October 2024, we entered into the second amendment to the term loan, or Amended Term Loan, that resulted in extinguishment of $237.1 million of the term loan, modification of $62.9 million of the term loan, and new borrowings of $137.1 million. The resulting principal amount under the Amended Term Loan is $200.0 million and has a maturity date of October 29, 2030. Interest is payable quarterly and is determined on a floating interest rate calculated on Secured Overnight Financing Rate, with a 1.0% floor, plus an applicable margin ranging from 5.25% to 6.00%, based upon the debt-to-capital ratio payable quarterly.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Term Loan contains debt covenants that require cash and cash equivalents held in entities other than our insurance subsidiaries to be at least $50.0 million at all times, direct contribution margin on a rolling twelve months to be at least 20% at the end of each fiscal quarter and the surplus of our insurance and Cayman subsidiaries to be at least $125.0 million at the end of each fiscal quarter.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connection with the Amended Term Loan, a new expiration date was established for the Tranche 1 Warrants of January 26, 2027.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Amended Term Loan, during 2024, we recognized a loss on extinguishment of debt of $5.4 million and we incurred $2.4 million of debt discount and issuance costs related to the new borrowings, which were capitalized and will be amortized over the life of the Amended Term Loan.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Amended Term Loan can be repaid at any time through the maturity date as long as we provide at least three business days written notice and pay a prepayment premium of 1.00% applicable between October 29, 2025 to October 25, 2026, and no prepayment premium thereafter. The Amended Term Loan is secured by the assets of Root, Inc. and those of our wholly-owned subsidiary loan parties. In addition, we have pledged 100% of the capital stock of our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carrying value of long-term debt as of December 31, 2025 and 2024:</w:t>
      </w:r>
    </w:p>
    <w:tbl>
      <w:tblPr>
        <w:tblW w:w="6099" w:type="dxa"/>
        <w:jc w:val="left"/>
        <w:tblInd w:w="0" w:type="dxa"/>
        <w:tblLayout w:type="fixed"/>
        <w:tblCellMar>
          <w:top w:w="28" w:type="dxa"/>
          <w:left w:w="28" w:type="dxa"/>
          <w:bottom w:w="28" w:type="dxa"/>
          <w:right w:w="28" w:type="dxa"/>
        </w:tblCellMar>
      </w:tblPr>
      <w:tblGrid>
        <w:gridCol w:w="1396"/>
        <w:gridCol w:w="1224"/>
        <w:gridCol w:w="1235"/>
        <w:gridCol w:w="211"/>
        <w:gridCol w:w="616"/>
        <w:gridCol w:w="109"/>
        <w:gridCol w:w="109"/>
        <w:gridCol w:w="109"/>
        <w:gridCol w:w="109"/>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8.</w:t>
      </w:r>
      <w:r>
        <w:rPr>
          <w:rFonts w:ascii="Times New Roman;serif" w:hAnsi="Times New Roman;serif"/>
          <w:b/>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operating leases primarily for office space. We determine if an arrangement is a lease at inception by evaluating whether the arrangement conveys the right to use an identified asset and whether we obtain substantially all of the economic benefits from and have the ability to direct the use of the asset. Our lease agreements do not contain any material residual value guarantees or material restrictive covenants.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and corresponding operating lease liabilities are recognized upon the commencement date based primarily on the present value of lease payments over the lease term. We use the implicit 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adjusted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balance sheets information related to leases at December 31, 2025 and 2024:</w:t>
      </w:r>
    </w:p>
    <w:tbl>
      <w:tblPr>
        <w:tblW w:w="4922" w:type="dxa"/>
        <w:jc w:val="left"/>
        <w:tblInd w:w="0" w:type="dxa"/>
        <w:tblLayout w:type="fixed"/>
        <w:tblCellMar>
          <w:top w:w="28" w:type="dxa"/>
          <w:left w:w="28" w:type="dxa"/>
          <w:bottom w:w="28" w:type="dxa"/>
          <w:right w:w="28" w:type="dxa"/>
        </w:tblCellMar>
      </w:tblPr>
      <w:tblGrid>
        <w:gridCol w:w="1043"/>
        <w:gridCol w:w="915"/>
        <w:gridCol w:w="922"/>
        <w:gridCol w:w="211"/>
        <w:gridCol w:w="406"/>
        <w:gridCol w:w="109"/>
        <w:gridCol w:w="109"/>
        <w:gridCol w:w="109"/>
        <w:gridCol w:w="109"/>
        <w:gridCol w:w="211"/>
        <w:gridCol w:w="406"/>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are included in other liabilities and operating lease right-of-use assets are included in other assets in our consolidated balance sheets.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variable lease expense and short-term lease expense recognized during the years ended December 31, 2025, 2024 and 2023 were immaterial.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the years ended December 31, 2025, 2024 and 2023 are as follows:</w:t>
      </w:r>
    </w:p>
    <w:tbl>
      <w:tblPr>
        <w:tblW w:w="10189" w:type="dxa"/>
        <w:jc w:val="left"/>
        <w:tblInd w:w="0" w:type="dxa"/>
        <w:tblLayout w:type="fixed"/>
        <w:tblCellMar>
          <w:top w:w="28" w:type="dxa"/>
          <w:left w:w="28" w:type="dxa"/>
          <w:bottom w:w="28" w:type="dxa"/>
          <w:right w:w="28" w:type="dxa"/>
        </w:tblCellMar>
      </w:tblPr>
      <w:tblGrid>
        <w:gridCol w:w="2572"/>
        <w:gridCol w:w="2255"/>
        <w:gridCol w:w="2267"/>
        <w:gridCol w:w="211"/>
        <w:gridCol w:w="406"/>
        <w:gridCol w:w="109"/>
        <w:gridCol w:w="109"/>
        <w:gridCol w:w="109"/>
        <w:gridCol w:w="109"/>
        <w:gridCol w:w="211"/>
        <w:gridCol w:w="406"/>
        <w:gridCol w:w="109"/>
        <w:gridCol w:w="109"/>
        <w:gridCol w:w="109"/>
        <w:gridCol w:w="109"/>
        <w:gridCol w:w="211"/>
        <w:gridCol w:w="406"/>
        <w:gridCol w:w="109"/>
        <w:gridCol w:w="109"/>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paid for amounts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restricted cash of $1.1 million and $1.0 million as of December 31, 2025 and 2024, respectively, held by a financial institution to satisfy letter of credit requirements for certain property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sublease certain office space, resulting in sublease income. Sublease income and the related assets and cash flows are not material to our consolidated financial statements as of and for the years ended December 31, 2025, 2024 and 2023. Sublease income is recognized as a reduction to operating lease expense in our consolidated statements of operations and comprehensive income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and weighted-average operating lease discount rate, as of December 31, 2025 and 2024 are as follows:</w:t>
      </w:r>
    </w:p>
    <w:tbl>
      <w:tblPr>
        <w:tblW w:w="7314" w:type="dxa"/>
        <w:jc w:val="left"/>
        <w:tblInd w:w="0" w:type="dxa"/>
        <w:tblLayout w:type="fixed"/>
        <w:tblCellMar>
          <w:top w:w="28" w:type="dxa"/>
          <w:left w:w="28" w:type="dxa"/>
          <w:bottom w:w="28" w:type="dxa"/>
          <w:right w:w="28" w:type="dxa"/>
        </w:tblCellMar>
      </w:tblPr>
      <w:tblGrid>
        <w:gridCol w:w="1794"/>
        <w:gridCol w:w="1575"/>
        <w:gridCol w:w="1581"/>
        <w:gridCol w:w="308"/>
        <w:gridCol w:w="308"/>
        <w:gridCol w:w="271"/>
        <w:gridCol w:w="109"/>
        <w:gridCol w:w="109"/>
        <w:gridCol w:w="109"/>
        <w:gridCol w:w="308"/>
        <w:gridCol w:w="308"/>
        <w:gridCol w:w="271"/>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of remaining operating lease term (years)</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operating lease discount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605" cy="14605"/>
                <wp:effectExtent l="0" t="0" r="0" b="0"/>
                <wp:wrapNone/>
                <wp:docPr id="120" name="Frame12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lease payments as of December 31, 2025 were as follows:</w:t>
      </w:r>
    </w:p>
    <w:tbl>
      <w:tblPr>
        <w:tblW w:w="3899" w:type="dxa"/>
        <w:jc w:val="left"/>
        <w:tblInd w:w="0" w:type="dxa"/>
        <w:tblLayout w:type="fixed"/>
        <w:tblCellMar>
          <w:top w:w="28" w:type="dxa"/>
          <w:left w:w="28" w:type="dxa"/>
          <w:bottom w:w="28" w:type="dxa"/>
          <w:right w:w="28" w:type="dxa"/>
        </w:tblCellMar>
      </w:tblPr>
      <w:tblGrid>
        <w:gridCol w:w="851"/>
        <w:gridCol w:w="746"/>
        <w:gridCol w:w="757"/>
        <w:gridCol w:w="422"/>
        <w:gridCol w:w="813"/>
        <w:gridCol w:w="310"/>
      </w:tblGrid>
      <w:tr>
        <w:trPr/>
        <w:tc>
          <w:tcPr>
            <w:tcW w:w="8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9.</w:t>
      </w:r>
      <w:r>
        <w:rPr>
          <w:rFonts w:ascii="Times New Roman;serif" w:hAnsi="Times New Roman;serif"/>
          <w:b/>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income tax expense for the years ended December 31, 2025, 2024 and 2023:</w:t>
      </w:r>
    </w:p>
    <w:tbl>
      <w:tblPr>
        <w:tblW w:w="5300" w:type="dxa"/>
        <w:jc w:val="left"/>
        <w:tblInd w:w="0" w:type="dxa"/>
        <w:tblLayout w:type="fixed"/>
        <w:tblCellMar>
          <w:top w:w="28" w:type="dxa"/>
          <w:left w:w="28" w:type="dxa"/>
          <w:bottom w:w="28" w:type="dxa"/>
          <w:right w:w="28" w:type="dxa"/>
        </w:tblCellMar>
      </w:tblPr>
      <w:tblGrid>
        <w:gridCol w:w="796"/>
        <w:gridCol w:w="702"/>
        <w:gridCol w:w="707"/>
        <w:gridCol w:w="211"/>
        <w:gridCol w:w="406"/>
        <w:gridCol w:w="109"/>
        <w:gridCol w:w="109"/>
        <w:gridCol w:w="109"/>
        <w:gridCol w:w="109"/>
        <w:gridCol w:w="211"/>
        <w:gridCol w:w="406"/>
        <w:gridCol w:w="109"/>
        <w:gridCol w:w="109"/>
        <w:gridCol w:w="109"/>
        <w:gridCol w:w="109"/>
        <w:gridCol w:w="211"/>
        <w:gridCol w:w="406"/>
        <w:gridCol w:w="109"/>
        <w:gridCol w:w="109"/>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ASU No. 2023-09 became effective for the annual reporting period beginning January 1, 2025. Further details are discussed in Note 2, “Basis of Presentation and Summary of Significant Accounting Policies.”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income tax expense differed from the amounts computed by applying the statutory United States federal income tax rate of 21% in 2025 to pretax income, and is presented in accordance with the guidance in ASU 2023-09, as a result of the following:</w:t>
      </w:r>
    </w:p>
    <w:tbl>
      <w:tblPr>
        <w:tblW w:w="7864" w:type="dxa"/>
        <w:jc w:val="left"/>
        <w:tblInd w:w="0" w:type="dxa"/>
        <w:tblLayout w:type="fixed"/>
        <w:tblCellMar>
          <w:top w:w="28" w:type="dxa"/>
          <w:left w:w="28" w:type="dxa"/>
          <w:bottom w:w="28" w:type="dxa"/>
          <w:right w:w="28" w:type="dxa"/>
        </w:tblCellMar>
      </w:tblPr>
      <w:tblGrid>
        <w:gridCol w:w="2074"/>
        <w:gridCol w:w="1820"/>
        <w:gridCol w:w="1836"/>
        <w:gridCol w:w="211"/>
        <w:gridCol w:w="586"/>
        <w:gridCol w:w="109"/>
        <w:gridCol w:w="109"/>
        <w:gridCol w:w="109"/>
        <w:gridCol w:w="109"/>
        <w:gridCol w:w="291"/>
        <w:gridCol w:w="294"/>
        <w:gridCol w:w="316"/>
      </w:tblGrid>
      <w:tr>
        <w:trPr/>
        <w:tc>
          <w:tcPr>
            <w:tcW w:w="207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United States federal 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 expense, net of federal income tax effect</w:t>
            </w:r>
            <w:r>
              <w:rPr>
                <w:rFonts w:ascii="Times New Roman;serif" w:hAnsi="Times New Roman;serif"/>
                <w:b w:val="false"/>
                <w:color w:val="000000"/>
                <w:sz w:val="13"/>
              </w:rPr>
              <w:t>(1)</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 - Cayman Islands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tax on foreign insurance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on deferred tax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warrant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nondeductible expenses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Florida makes up the majority of the state and local income tax expense, net of federal income tax effect category.</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income tax expense differed from the amounts computed by applying the statutory United States federal income tax rate of 21% in 2024 and 2023 to pretax income, and is presented in accordance with the guidance that applied prior to the adoption of ASU 2023-09, as a result of the following:</w:t>
      </w:r>
    </w:p>
    <w:tbl>
      <w:tblPr>
        <w:tblW w:w="9560" w:type="dxa"/>
        <w:jc w:val="left"/>
        <w:tblInd w:w="0" w:type="dxa"/>
        <w:tblLayout w:type="fixed"/>
        <w:tblCellMar>
          <w:top w:w="28" w:type="dxa"/>
          <w:left w:w="28" w:type="dxa"/>
          <w:bottom w:w="28" w:type="dxa"/>
          <w:right w:w="28" w:type="dxa"/>
        </w:tblCellMar>
      </w:tblPr>
      <w:tblGrid>
        <w:gridCol w:w="1802"/>
        <w:gridCol w:w="1582"/>
        <w:gridCol w:w="1596"/>
        <w:gridCol w:w="211"/>
        <w:gridCol w:w="511"/>
        <w:gridCol w:w="109"/>
        <w:gridCol w:w="109"/>
        <w:gridCol w:w="109"/>
        <w:gridCol w:w="109"/>
        <w:gridCol w:w="291"/>
        <w:gridCol w:w="294"/>
        <w:gridCol w:w="271"/>
        <w:gridCol w:w="109"/>
        <w:gridCol w:w="109"/>
        <w:gridCol w:w="109"/>
        <w:gridCol w:w="211"/>
        <w:gridCol w:w="691"/>
        <w:gridCol w:w="109"/>
        <w:gridCol w:w="109"/>
        <w:gridCol w:w="109"/>
        <w:gridCol w:w="109"/>
        <w:gridCol w:w="291"/>
        <w:gridCol w:w="294"/>
        <w:gridCol w:w="316"/>
      </w:tblGrid>
      <w:tr>
        <w:trPr/>
        <w:tc>
          <w:tcPr>
            <w:tcW w:w="180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United States federal income tax expense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on deferred tax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permanent adjustments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net operating loss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tax effects of temporary differences that give rise to significant portions of the deferred tax assets and deferred tax liabilities at December 31, 2025 and 2024:</w:t>
      </w:r>
    </w:p>
    <w:tbl>
      <w:tblPr>
        <w:tblW w:w="6125" w:type="dxa"/>
        <w:jc w:val="left"/>
        <w:tblInd w:w="0" w:type="dxa"/>
        <w:tblLayout w:type="fixed"/>
        <w:tblCellMar>
          <w:top w:w="28" w:type="dxa"/>
          <w:left w:w="28" w:type="dxa"/>
          <w:bottom w:w="28" w:type="dxa"/>
          <w:right w:w="28" w:type="dxa"/>
        </w:tblCellMar>
      </w:tblPr>
      <w:tblGrid>
        <w:gridCol w:w="1507"/>
        <w:gridCol w:w="1322"/>
        <w:gridCol w:w="1326"/>
        <w:gridCol w:w="235"/>
        <w:gridCol w:w="455"/>
        <w:gridCol w:w="109"/>
        <w:gridCol w:w="109"/>
        <w:gridCol w:w="109"/>
        <w:gridCol w:w="109"/>
        <w:gridCol w:w="235"/>
        <w:gridCol w:w="455"/>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losses and loss adjustment expenses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 reserves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Disallowed interest carryforward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and warrant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net operating loss carryforward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net operating loss carryforward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assets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less valuation allowance</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experimental expenditures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above amounts were calculated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The application of ASC 740 requires a company to evaluate the recoverability of deferred tax assets and to establish a valuation allowance if necessary to reduce the carrying value of the deferred tax asset to an amount which is more likely than not to be realized. Considerable judgment is required in determining whether a valuation allowance is necessary, and if so, the amount of such valuation allowance. In evaluating the need for a valuation allowance we include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Although lack of realization is not assured, we believe it is more likely than not that the deferred tax assets will not be realized. As such, a valuation allowance of $339.8 million has been established. The valuation allowance decreased by $6.1 million primarily due to our net operating income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carryforwards related to NOLs and tax credits as of December 31, 2025:</w:t>
      </w:r>
    </w:p>
    <w:tbl>
      <w:tblPr>
        <w:tblW w:w="10205" w:type="dxa"/>
        <w:jc w:val="left"/>
        <w:tblInd w:w="0" w:type="dxa"/>
        <w:tblLayout w:type="fixed"/>
        <w:tblCellMar>
          <w:top w:w="28" w:type="dxa"/>
          <w:left w:w="28" w:type="dxa"/>
          <w:bottom w:w="28" w:type="dxa"/>
          <w:right w:w="28" w:type="dxa"/>
        </w:tblCellMar>
      </w:tblPr>
      <w:tblGrid>
        <w:gridCol w:w="1017"/>
        <w:gridCol w:w="820"/>
        <w:gridCol w:w="827"/>
        <w:gridCol w:w="478"/>
        <w:gridCol w:w="1400"/>
        <w:gridCol w:w="250"/>
        <w:gridCol w:w="109"/>
        <w:gridCol w:w="109"/>
        <w:gridCol w:w="109"/>
        <w:gridCol w:w="420"/>
        <w:gridCol w:w="1229"/>
        <w:gridCol w:w="219"/>
        <w:gridCol w:w="109"/>
        <w:gridCol w:w="109"/>
        <w:gridCol w:w="109"/>
        <w:gridCol w:w="211"/>
        <w:gridCol w:w="766"/>
        <w:gridCol w:w="109"/>
        <w:gridCol w:w="109"/>
        <w:gridCol w:w="109"/>
        <w:gridCol w:w="109"/>
        <w:gridCol w:w="429"/>
        <w:gridCol w:w="429"/>
        <w:gridCol w:w="620"/>
      </w:tblGrid>
      <w:tr>
        <w:trPr/>
        <w:tc>
          <w:tcPr>
            <w:tcW w:w="10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Carryforward with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Carryforward Indefinitely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of Expiration</w:t>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2038-2046</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(gross, apportioned)</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2026-2045</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credits </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2036-2038</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file a consolidated federal income tax return and certain state income tax returns. Tax years 2022 and forward are still open to United States federal examinations. The federal statute of limitations is generally three years. With some exceptions, the statute of limitations for state income and franchise tax returns remains open for tax years 2021 and forward. There are currently no tax years under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10.</w:t>
      </w:r>
      <w:r>
        <w:rPr>
          <w:rFonts w:ascii="Times New Roman;serif" w:hAnsi="Times New Roman;serif"/>
          <w:b/>
          <w:color w:val="000000"/>
          <w:sz w:val="20"/>
        </w:rPr>
        <w:t>RESTRUCTURING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 </w:t>
      </w:r>
    </w:p>
    <w:p>
      <w:pPr>
        <w:pStyle w:val="TextBody"/>
        <w:bidi w:val="0"/>
        <w:spacing w:lineRule="auto" w:line="288" w:before="0" w:after="180"/>
        <w:ind w:left="0" w:right="0" w:firstLine="360"/>
        <w:jc w:val="left"/>
        <w:rPr/>
      </w:pPr>
      <w:r>
        <w:rPr>
          <w:rFonts w:ascii="Times New Roman;serif" w:hAnsi="Times New Roman;serif"/>
          <w:b/>
          <w:color w:val="000000"/>
          <w:sz w:val="20"/>
        </w:rPr>
        <w:t>Employee costs</w:t>
      </w:r>
      <w:r>
        <w:rPr>
          <w:color w:val="000000"/>
        </w:rPr>
        <w:t>—</w:t>
      </w:r>
      <w:r>
        <w:rPr>
          <w:rFonts w:ascii="Times New Roman;serif" w:hAnsi="Times New Roman;serif"/>
          <w:b w:val="false"/>
          <w:color w:val="000000"/>
          <w:sz w:val="20"/>
        </w:rPr>
        <w:t xml:space="preserve">consist of severance, benefits, share-based compensation, and employee compensation expense dependent upon continuous employment for certain employees and related employee costs. </w:t>
      </w:r>
    </w:p>
    <w:p>
      <w:pPr>
        <w:pStyle w:val="TextBody"/>
        <w:bidi w:val="0"/>
        <w:spacing w:lineRule="auto" w:line="288" w:before="0" w:after="180"/>
        <w:ind w:left="0" w:right="0" w:firstLine="360"/>
        <w:jc w:val="left"/>
        <w:rPr/>
      </w:pPr>
      <w:r>
        <w:rPr>
          <w:rFonts w:ascii="Times New Roman;serif" w:hAnsi="Times New Roman;serif"/>
          <w:b/>
          <w:color w:val="000000"/>
          <w:sz w:val="20"/>
        </w:rPr>
        <w:t>Real estate exit costs</w:t>
      </w:r>
      <w:r>
        <w:rPr>
          <w:color w:val="000000"/>
        </w:rPr>
        <w:t>—</w:t>
      </w:r>
      <w:r>
        <w:rPr>
          <w:rFonts w:ascii="Times New Roman;serif" w:hAnsi="Times New Roman;serif"/>
          <w:b w:val="false"/>
          <w:color w:val="000000"/>
          <w:sz w:val="20"/>
        </w:rPr>
        <w:t>consist of real estate exit costs primarily related to accelerated amortization of right-of-use assets, leasehold improvements and furniture and fixtures.</w:t>
      </w:r>
    </w:p>
    <w:p>
      <w:pPr>
        <w:pStyle w:val="TextBody"/>
        <w:bidi w:val="0"/>
        <w:spacing w:lineRule="auto" w:line="288" w:before="0" w:after="180"/>
        <w:ind w:left="0" w:right="0" w:firstLine="360"/>
        <w:jc w:val="left"/>
        <w:rPr/>
      </w:pPr>
      <w:r>
        <w:rPr>
          <w:rFonts w:ascii="Times New Roman;serif" w:hAnsi="Times New Roman;serif"/>
          <w:b/>
          <w:color w:val="000000"/>
          <w:sz w:val="20"/>
        </w:rPr>
        <w:t>Other costs</w:t>
      </w:r>
      <w:r>
        <w:rPr>
          <w:color w:val="000000"/>
        </w:rPr>
        <w:t>—</w:t>
      </w:r>
      <w:r>
        <w:rPr>
          <w:rFonts w:ascii="Times New Roman;serif" w:hAnsi="Times New Roman;serif"/>
          <w:b w:val="false"/>
          <w:color w:val="000000"/>
          <w:sz w:val="20"/>
        </w:rPr>
        <w:t>primarily consist of contract termination costs incurred as part of our efforts to improve efficiency and reduce operating costs and accelerated expense for software that no longer has economic benefit.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do not expect to incur any additional material expenditures in future periods related to restructuring actions that have occurred.</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restructuring costs recorded in general and administrative expenses on the consolidated statements of operations and comprehensive income (loss):</w:t>
      </w:r>
    </w:p>
    <w:tbl>
      <w:tblPr>
        <w:tblW w:w="9346" w:type="dxa"/>
        <w:jc w:val="left"/>
        <w:tblInd w:w="0" w:type="dxa"/>
        <w:tblLayout w:type="fixed"/>
        <w:tblCellMar>
          <w:top w:w="28" w:type="dxa"/>
          <w:left w:w="28" w:type="dxa"/>
          <w:bottom w:w="28" w:type="dxa"/>
          <w:right w:w="28" w:type="dxa"/>
        </w:tblCellMar>
      </w:tblPr>
      <w:tblGrid>
        <w:gridCol w:w="755"/>
        <w:gridCol w:w="664"/>
        <w:gridCol w:w="665"/>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947"/>
        <w:gridCol w:w="2294"/>
        <w:gridCol w:w="494"/>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Cumulative Incurred Through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exit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costs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a rollforward of the accrual for restructuring costs recorded in accounts payable and accrued expenses on the consolidated balance sheets:</w:t>
      </w:r>
    </w:p>
    <w:tbl>
      <w:tblPr>
        <w:tblW w:w="6392" w:type="dxa"/>
        <w:jc w:val="left"/>
        <w:tblInd w:w="0" w:type="dxa"/>
        <w:tblLayout w:type="fixed"/>
        <w:tblCellMar>
          <w:top w:w="28" w:type="dxa"/>
          <w:left w:w="28" w:type="dxa"/>
          <w:bottom w:w="28" w:type="dxa"/>
          <w:right w:w="28" w:type="dxa"/>
        </w:tblCellMar>
      </w:tblPr>
      <w:tblGrid>
        <w:gridCol w:w="1441"/>
        <w:gridCol w:w="1263"/>
        <w:gridCol w:w="1271"/>
        <w:gridCol w:w="435"/>
        <w:gridCol w:w="838"/>
        <w:gridCol w:w="227"/>
        <w:gridCol w:w="109"/>
        <w:gridCol w:w="109"/>
        <w:gridCol w:w="109"/>
        <w:gridCol w:w="109"/>
        <w:gridCol w:w="109"/>
        <w:gridCol w:w="109"/>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Employee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Restructuring liability as of December 31, 2023</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 incurred</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Restructuring liability as of December 31, 2024</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 incurred</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Restructuring liability as of December 31, 2025</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11.</w:t>
      </w:r>
      <w:r>
        <w:rPr>
          <w:rFonts w:ascii="Times New Roman;serif" w:hAnsi="Times New Roman;serif"/>
          <w:b/>
          <w:color w:val="000000"/>
          <w:sz w:val="20"/>
        </w:rPr>
        <w:t>CAPITAL STOCK</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total authorized shares consist of 1.0 billion shares of Class A common stock, 269.0 million shares of Class B common stock, and 100.0 million shares of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2021, we issued redeemable convertible preferred stock to Carvana pursuant to the Investment Agreement. We received $126.5 million of gross proceeds from the issuance of 14.1 million shares of redeemable convertible preferred stock designated as the Series A Preferred Stock, which have a redemption value of $126.5 million, and issued Carvana eight tranches of warrants to purchase shares of the Company’s Class A common stock, of which three tranches expired unexercised in 2025. Further details on the warrants are discussed in Note 12, “Share-Based Compensation.” In connection with the Investment Agreement, we incurred issuance costs of $19.6 million, which were allocated between the redeemable convertible preferred stock and the warrants based on their relative fair values.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voting, dividend and liquidation rights of the holders of our Class A and Class B common stock are subject to and qualified by the rights, powers, and preferences of the holders of the preferred stock. Other rights, privileges, and preferences of our capital stock are as follows:</w:t>
      </w:r>
    </w:p>
    <w:p>
      <w:pPr>
        <w:pStyle w:val="TextBody"/>
        <w:bidi w:val="0"/>
        <w:spacing w:lineRule="auto" w:line="288" w:before="0" w:after="180"/>
        <w:ind w:left="0" w:right="0" w:firstLine="360"/>
        <w:jc w:val="left"/>
        <w:rPr/>
      </w:pPr>
      <w:r>
        <w:rPr>
          <w:rFonts w:ascii="Times New Roman;serif" w:hAnsi="Times New Roman;serif"/>
          <w:b/>
          <w:i/>
          <w:color w:val="000000"/>
          <w:sz w:val="20"/>
        </w:rPr>
        <w:t>Dividends</w:t>
      </w:r>
      <w:r>
        <w:rPr>
          <w:color w:val="000000"/>
        </w:rPr>
        <w:t>—</w:t>
      </w:r>
      <w:r>
        <w:rPr>
          <w:rFonts w:ascii="Times New Roman;serif" w:hAnsi="Times New Roman;serif"/>
          <w:b w:val="false"/>
          <w:color w:val="000000"/>
          <w:sz w:val="20"/>
        </w:rPr>
        <w:t xml:space="preserve">Class A and Class B common stock are entitled to the same dividend rights. We are not permitted to declare, pay, or set aside any dividends on shares of any other class or series of capital stock unless the holders of the preferred stock then outstanding first receive, or simultaneously receive, a dividend.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Beginning after the fifth anniversary of the Integrated Platform becoming available to customers, Series A Preferred Stockholders are entitled to receive, when, as and if declared by the board of directors, a dividend at an annual rate of 5% of the liquidation preference per share of Series A Preferred Stock, if our 90-day volume-weighted average price per share of Class A common stock is below the conversion price at that time.</w:t>
      </w:r>
    </w:p>
    <w:p>
      <w:pPr>
        <w:pStyle w:val="TextBody"/>
        <w:bidi w:val="0"/>
        <w:spacing w:lineRule="auto" w:line="288" w:before="0" w:after="180"/>
        <w:ind w:left="0" w:right="0" w:firstLine="360"/>
        <w:jc w:val="left"/>
        <w:rPr/>
      </w:pPr>
      <w:r>
        <w:rPr>
          <w:rFonts w:ascii="Times New Roman;serif" w:hAnsi="Times New Roman;serif"/>
          <w:b/>
          <w:i/>
          <w:color w:val="000000"/>
          <w:sz w:val="20"/>
        </w:rPr>
        <w:t>Voting Rights</w:t>
      </w:r>
      <w:r>
        <w:rPr>
          <w:color w:val="000000"/>
        </w:rPr>
        <w:t>—</w:t>
      </w:r>
      <w:r>
        <w:rPr>
          <w:rFonts w:ascii="Times New Roman;serif" w:hAnsi="Times New Roman;serif"/>
          <w:b w:val="false"/>
          <w:color w:val="000000"/>
          <w:sz w:val="20"/>
        </w:rPr>
        <w:t>Our Class B common stock has ten votes per share and our Class A common stock has one vote per share. Holders of preferred stock are entitled to vote, together with the holders of Class A common stock and Class B common stock, on an as-converted basis on all matters submitted to a vote of the holders of Class A common stock and Class B common stock.</w:t>
      </w:r>
    </w:p>
    <w:p>
      <w:pPr>
        <w:pStyle w:val="TextBody"/>
        <w:bidi w:val="0"/>
        <w:spacing w:lineRule="auto" w:line="288" w:before="0" w:after="180"/>
        <w:ind w:left="0" w:right="0" w:firstLine="360"/>
        <w:jc w:val="left"/>
        <w:rPr/>
      </w:pPr>
      <w:r>
        <w:rPr>
          <w:rFonts w:ascii="Times New Roman;serif" w:hAnsi="Times New Roman;serif"/>
          <w:b/>
          <w:i/>
          <w:color w:val="000000"/>
          <w:sz w:val="20"/>
        </w:rPr>
        <w:t>Liquidation Preferences</w:t>
      </w:r>
      <w:r>
        <w:rPr>
          <w:color w:val="000000"/>
        </w:rPr>
        <w:t>—</w:t>
      </w:r>
      <w:r>
        <w:rPr>
          <w:rFonts w:ascii="Times New Roman;serif" w:hAnsi="Times New Roman;serif"/>
          <w:b w:val="false"/>
          <w:color w:val="000000"/>
          <w:sz w:val="20"/>
        </w:rPr>
        <w:t xml:space="preserve">In the event of any voluntary or involuntary liquidation, dissolution, or winding up of our business, after payment or provision for payment of the debts and other liabilities of the Company, the holders of Series A Preferred Stock are entitled to receive, before any distribution out of the assets of the Company may be made to or set aside for the holders of any common stock, an amount per share equal to the greater of (i) $9.00 per share plus the amount of any accrued but unpaid dividends thereon as of such date and (ii) the amount such preferred stockholders would have received had they, immediately prior to such an event, converted such shares of Series A Preferred Stock into Class A common stock. Thereafter, holders of Class A and Class B common stock are entitled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any remaining proceeds on a pro-rata basis. Class A and Class B common stock are entitled to the same liquidation rights.</w:t>
      </w:r>
    </w:p>
    <w:p>
      <w:pPr>
        <w:pStyle w:val="TextBody"/>
        <w:bidi w:val="0"/>
        <w:spacing w:lineRule="auto" w:line="288" w:before="0" w:after="180"/>
        <w:ind w:left="0" w:right="0" w:firstLine="360"/>
        <w:jc w:val="left"/>
        <w:rPr/>
      </w:pPr>
      <w:r>
        <w:rPr>
          <w:rFonts w:ascii="Times New Roman;serif" w:hAnsi="Times New Roman;serif"/>
          <w:b/>
          <w:i/>
          <w:color w:val="000000"/>
          <w:sz w:val="20"/>
        </w:rPr>
        <w:t>Conversion and Transfer</w:t>
      </w:r>
      <w:r>
        <w:rPr>
          <w:color w:val="000000"/>
        </w:rPr>
        <w:t>—</w:t>
      </w:r>
      <w:r>
        <w:rPr>
          <w:rFonts w:ascii="Times New Roman;serif" w:hAnsi="Times New Roman;serif"/>
          <w:b w:val="false"/>
          <w:color w:val="000000"/>
          <w:sz w:val="20"/>
        </w:rPr>
        <w:t>Each share of Class B common stock is convertible at any time into one share of Class A common stock. Future transfers by holders of our Class B common stock will generally result in those shares converting into shares of our Class A common stock, subject to limited exceptions, such as certain transfers effected for tax or estate planning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Series A Preferred Stock shall be convertible, at the option of the holder thereof, at any time, or from time to time, into shares of Class A common stock at a conversion rate equal to the liquidation preference divided by the conversion price. As of December 31, 2025, the conversion price was $162.00 per share and the Series A Preferred Stock was convertible into 0.8 million shares of Class A common stock. To the extent that such conversion would cause the holder to hold in excess of 9.9% of the voting stock, such conversion would be subject to approval from state insurance regulatory authorities in Ohio and Florida.</w:t>
      </w:r>
    </w:p>
    <w:p>
      <w:pPr>
        <w:pStyle w:val="TextBody"/>
        <w:bidi w:val="0"/>
        <w:spacing w:lineRule="auto" w:line="288" w:before="0" w:after="180"/>
        <w:ind w:left="0" w:right="0" w:firstLine="360"/>
        <w:jc w:val="left"/>
        <w:rPr/>
      </w:pPr>
      <w:r>
        <w:rPr>
          <w:rFonts w:ascii="Times New Roman;serif" w:hAnsi="Times New Roman;serif"/>
          <w:b/>
          <w:i/>
          <w:color w:val="000000"/>
          <w:sz w:val="20"/>
        </w:rPr>
        <w:t>Redemption and Balance Sheet Classification</w:t>
      </w:r>
      <w:r>
        <w:rPr>
          <w:color w:val="000000"/>
        </w:rPr>
        <w:t>—</w:t>
      </w:r>
      <w:r>
        <w:rPr>
          <w:rFonts w:ascii="Times New Roman;serif" w:hAnsi="Times New Roman;serif"/>
          <w:b w:val="false"/>
          <w:color w:val="000000"/>
          <w:sz w:val="20"/>
        </w:rPr>
        <w:t>The redeemable convertible preferred stock is classified as mezzanine equity because while it is not mandatorily redeemable, it will become convertible or redeemable at the option of the preferred stockholder in connection with any change of control of the Company, which is considered not solely within our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12.</w:t>
      </w:r>
      <w:r>
        <w:rPr>
          <w:rFonts w:ascii="Times New Roman;serif" w:hAnsi="Times New Roman;serif"/>
          <w:b/>
          <w:color w:val="000000"/>
          <w:sz w:val="20"/>
        </w:rPr>
        <w:t>SHARE-BASED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part of the Investment Agreement discussed in Note 11, “Capital Stock,” we issued Carvana </w:t>
      </w:r>
      <w:r>
        <w:rPr>
          <w:rFonts w:ascii="Times New Roman;serif" w:hAnsi="Times New Roman;serif"/>
          <w:b w:val="false"/>
          <w:color w:val="000000"/>
          <w:sz w:val="20"/>
          <w:shd w:fill="FFFFFF" w:val="clear"/>
        </w:rPr>
        <w:t>eight tranches of warrants, comprised of three tranches of “short-term warrants” and five tranches of “long-term warrants,” with the opportunity to purchase a maximum of</w:t>
      </w:r>
      <w:r>
        <w:rPr>
          <w:color w:val="000000"/>
        </w:rPr>
        <w:t xml:space="preserve"> </w:t>
      </w:r>
      <w:r>
        <w:rPr>
          <w:rFonts w:ascii="Times New Roman;serif" w:hAnsi="Times New Roman;serif"/>
          <w:b w:val="false"/>
          <w:color w:val="000000"/>
          <w:sz w:val="20"/>
        </w:rPr>
        <w:t xml:space="preserve">7.2 million shares of Class A common stock. The short-term warrants had an expiration date of September 1, 2025 and the long-term warrants have an expiration date of September 1, 2027.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 2025, all of the short-term warrants expired unexercised and therefore, no short-term warrants remain outstanding. All compensation cost associated with the short-term warrants was previously recognized. For the years ended December 31, 2024 and 2023, we recognized compensation expense of $3.8 million and $17.4 million, respectively. There is no expense reversal because the performance obligations had been previously met.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certain long-term warrant tranches were probable of vesting. We recognized compensation expense considering the probability of and progress toward achieving the long-term warrant policy origination milestones. For the year ended December 31, 2025, we recognized compensation expense of $19.2 million. Warrant compensation expense is recorded in other insurance expense in the consolidated statements of operations and comprehensive income (loss). All of these warrants are out-of-the-money and, therefore, have no intrinsic value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probability of achieving certain policy origination milestones, unrecognized compensation cost is approximately $7.8 million as of December 31, 2025. The weighted-average remaining compensation costs are expected to be recognized over a period of 1.75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maximum remaining unrecognized compensation costs as of December 31, 2025, and other key terms of the warrants:</w:t>
      </w:r>
    </w:p>
    <w:tbl>
      <w:tblPr>
        <w:tblW w:w="10205" w:type="dxa"/>
        <w:jc w:val="left"/>
        <w:tblInd w:w="0" w:type="dxa"/>
        <w:tblLayout w:type="fixed"/>
        <w:tblCellMar>
          <w:top w:w="28" w:type="dxa"/>
          <w:left w:w="28" w:type="dxa"/>
          <w:bottom w:w="28" w:type="dxa"/>
          <w:right w:w="28" w:type="dxa"/>
        </w:tblCellMar>
      </w:tblPr>
      <w:tblGrid>
        <w:gridCol w:w="472"/>
        <w:gridCol w:w="414"/>
        <w:gridCol w:w="418"/>
        <w:gridCol w:w="109"/>
        <w:gridCol w:w="109"/>
        <w:gridCol w:w="109"/>
        <w:gridCol w:w="220"/>
        <w:gridCol w:w="753"/>
        <w:gridCol w:w="113"/>
        <w:gridCol w:w="109"/>
        <w:gridCol w:w="109"/>
        <w:gridCol w:w="109"/>
        <w:gridCol w:w="295"/>
        <w:gridCol w:w="295"/>
        <w:gridCol w:w="297"/>
        <w:gridCol w:w="109"/>
        <w:gridCol w:w="109"/>
        <w:gridCol w:w="109"/>
        <w:gridCol w:w="452"/>
        <w:gridCol w:w="1095"/>
        <w:gridCol w:w="233"/>
        <w:gridCol w:w="109"/>
        <w:gridCol w:w="109"/>
        <w:gridCol w:w="109"/>
        <w:gridCol w:w="498"/>
        <w:gridCol w:w="1209"/>
        <w:gridCol w:w="260"/>
        <w:gridCol w:w="586"/>
        <w:gridCol w:w="555"/>
        <w:gridCol w:w="732"/>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488" w:type="dxa"/>
            <w:gridSpan w:val="21"/>
            <w:tcBorders/>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Costs</w:t>
              <w:br/>
              <w:t>(in millions)</w:t>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Vesting Condition</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100,000 policy originations</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200,000 policy originations</w:t>
            </w:r>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300,000 policy originations</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400,000 policy originations</w:t>
            </w:r>
          </w:p>
        </w:tc>
      </w:tr>
      <w:tr>
        <w:trPr/>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500,000 policy originations</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2020 Equity Incentive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an equity incentive plan, the 2020 Equity Incentive Plan, or the 2020 Plan, for the issuance and grant of equity awards (restricted stock, RSUs, PRSUs, MRSUs and incentive and nonqualified stock options) to our officers, directors, employees and certain advisors. As of December 31, 2025, the number of shares authorized under the 2020 Plan was 4.9 million shares of Class A common stock, inclusive of available shares previously reserved for issuance under the 2015 Equity Incentive Plan, or the 2015 Plan, and subject to increase for awards previously issued under the 2015 Plan which are forfeited or lapse unexercised. In addition, this reserve will automatically increase on January 1 of each year, which commenced on January 1, 2021 and will end on (and including) January 1, 2030, in an amount equal to 4% of the total number of shares of capital stock outstanding on December 31 of the preceding year. However, the board of directors may act prior to January 1 of a given year to provide that the increase for such year will be a lesser number of shares of Class A common stock. The aggregate maximum number of shares of Class A common stock that may be issued pursuant to the exercise of incentive stock options is 6.7 million shares. As of December 31, 2025, the number of shares available for issuance under the 2020 Plan was 1.8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2022, our board of directors approved the First Amendment to our 2020 Employee Stock Purchase Plan, or ESPP. As of December 31, 2025, the number of shares authorized and available for issuance under the ESPP was 1.0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 of the preceding year and (ii) 0.4 million shares of Class A common stock. Our board of directors may act prior to January 1 of a given year to provide that the increase for such year will be a lesser number of shares of Class A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2015 Equity Incentive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2015, the board of directors of the Company adopted the 2015 Plan under which the Company could grant equity awards (restricted stock, and incentive and nonqualified stock options) to its officers, directors, employees and certain advisors. In October 2020, the 2015 Plan was superseded by the 2020 Plan and all reserved shares under the 2015 Plan were transferred to the 2020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share-based compensation expense recorded in the consolidated statements of operations and comprehensive income (loss):</w:t>
      </w:r>
    </w:p>
    <w:tbl>
      <w:tblPr>
        <w:tblW w:w="6627" w:type="dxa"/>
        <w:jc w:val="left"/>
        <w:tblInd w:w="0" w:type="dxa"/>
        <w:tblLayout w:type="fixed"/>
        <w:tblCellMar>
          <w:top w:w="28" w:type="dxa"/>
          <w:left w:w="28" w:type="dxa"/>
          <w:bottom w:w="28" w:type="dxa"/>
          <w:right w:w="28" w:type="dxa"/>
        </w:tblCellMar>
      </w:tblPr>
      <w:tblGrid>
        <w:gridCol w:w="1245"/>
        <w:gridCol w:w="1092"/>
        <w:gridCol w:w="1098"/>
        <w:gridCol w:w="211"/>
        <w:gridCol w:w="511"/>
        <w:gridCol w:w="109"/>
        <w:gridCol w:w="109"/>
        <w:gridCol w:w="109"/>
        <w:gridCol w:w="109"/>
        <w:gridCol w:w="211"/>
        <w:gridCol w:w="511"/>
        <w:gridCol w:w="109"/>
        <w:gridCol w:w="109"/>
        <w:gridCol w:w="109"/>
        <w:gridCol w:w="109"/>
        <w:gridCol w:w="211"/>
        <w:gridCol w:w="51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unrecognized compensation cost and the remaining weighted-average period over which these costs are expected to be recognized for restricted stock units and unvested stock options as of December 31, 2025 is as follows:</w:t>
      </w:r>
    </w:p>
    <w:tbl>
      <w:tblPr>
        <w:tblW w:w="10205" w:type="dxa"/>
        <w:jc w:val="left"/>
        <w:tblInd w:w="0" w:type="dxa"/>
        <w:tblLayout w:type="fixed"/>
        <w:tblCellMar>
          <w:top w:w="28" w:type="dxa"/>
          <w:left w:w="28" w:type="dxa"/>
          <w:bottom w:w="28" w:type="dxa"/>
          <w:right w:w="28" w:type="dxa"/>
        </w:tblCellMar>
      </w:tblPr>
      <w:tblGrid>
        <w:gridCol w:w="1031"/>
        <w:gridCol w:w="686"/>
        <w:gridCol w:w="689"/>
        <w:gridCol w:w="109"/>
        <w:gridCol w:w="109"/>
        <w:gridCol w:w="1373"/>
        <w:gridCol w:w="109"/>
        <w:gridCol w:w="454"/>
        <w:gridCol w:w="1102"/>
        <w:gridCol w:w="236"/>
        <w:gridCol w:w="109"/>
        <w:gridCol w:w="109"/>
        <w:gridCol w:w="109"/>
        <w:gridCol w:w="352"/>
        <w:gridCol w:w="853"/>
        <w:gridCol w:w="182"/>
        <w:gridCol w:w="109"/>
        <w:gridCol w:w="109"/>
        <w:gridCol w:w="109"/>
        <w:gridCol w:w="273"/>
        <w:gridCol w:w="528"/>
        <w:gridCol w:w="143"/>
        <w:gridCol w:w="109"/>
        <w:gridCol w:w="109"/>
        <w:gridCol w:w="109"/>
        <w:gridCol w:w="211"/>
        <w:gridCol w:w="406"/>
        <w:gridCol w:w="109"/>
        <w:gridCol w:w="109"/>
        <w:gridCol w:w="160"/>
      </w:tblGrid>
      <w:tr>
        <w:trPr/>
        <w:tc>
          <w:tcPr>
            <w:tcW w:w="103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Unvested Stock Options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weighted-average period cost is expected to be recognized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units activity for the years ended December 31, 2025, 2024 and 2023 is as follows:</w:t>
      </w:r>
    </w:p>
    <w:tbl>
      <w:tblPr>
        <w:tblW w:w="10205" w:type="dxa"/>
        <w:jc w:val="left"/>
        <w:tblInd w:w="0" w:type="dxa"/>
        <w:tblLayout w:type="fixed"/>
        <w:tblCellMar>
          <w:top w:w="28" w:type="dxa"/>
          <w:left w:w="28" w:type="dxa"/>
          <w:bottom w:w="28" w:type="dxa"/>
          <w:right w:w="28" w:type="dxa"/>
        </w:tblCellMar>
      </w:tblPr>
      <w:tblGrid>
        <w:gridCol w:w="471"/>
        <w:gridCol w:w="357"/>
        <w:gridCol w:w="359"/>
        <w:gridCol w:w="109"/>
        <w:gridCol w:w="109"/>
        <w:gridCol w:w="109"/>
        <w:gridCol w:w="264"/>
        <w:gridCol w:w="264"/>
        <w:gridCol w:w="265"/>
        <w:gridCol w:w="120"/>
        <w:gridCol w:w="120"/>
        <w:gridCol w:w="120"/>
        <w:gridCol w:w="364"/>
        <w:gridCol w:w="1007"/>
        <w:gridCol w:w="120"/>
        <w:gridCol w:w="109"/>
        <w:gridCol w:w="109"/>
        <w:gridCol w:w="109"/>
        <w:gridCol w:w="264"/>
        <w:gridCol w:w="264"/>
        <w:gridCol w:w="265"/>
        <w:gridCol w:w="124"/>
        <w:gridCol w:w="124"/>
        <w:gridCol w:w="124"/>
        <w:gridCol w:w="420"/>
        <w:gridCol w:w="983"/>
        <w:gridCol w:w="124"/>
        <w:gridCol w:w="109"/>
        <w:gridCol w:w="109"/>
        <w:gridCol w:w="109"/>
        <w:gridCol w:w="264"/>
        <w:gridCol w:w="264"/>
        <w:gridCol w:w="265"/>
        <w:gridCol w:w="122"/>
        <w:gridCol w:w="122"/>
        <w:gridCol w:w="122"/>
        <w:gridCol w:w="386"/>
        <w:gridCol w:w="937"/>
        <w:gridCol w:w="219"/>
      </w:tblGrid>
      <w:tr>
        <w:trPr/>
        <w:tc>
          <w:tcPr>
            <w:tcW w:w="4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r>
      <w:tr>
        <w:trPr/>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r>
      <w:tr>
        <w:trPr/>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information pertaining to restricted stock units for the years ended December 31, 2025, 2024 and 2023 is as follows:</w:t>
      </w:r>
    </w:p>
    <w:tbl>
      <w:tblPr>
        <w:tblW w:w="7430" w:type="dxa"/>
        <w:jc w:val="left"/>
        <w:tblInd w:w="0" w:type="dxa"/>
        <w:tblLayout w:type="fixed"/>
        <w:tblCellMar>
          <w:top w:w="28" w:type="dxa"/>
          <w:left w:w="28" w:type="dxa"/>
          <w:bottom w:w="28" w:type="dxa"/>
          <w:right w:w="28" w:type="dxa"/>
        </w:tblCellMar>
      </w:tblPr>
      <w:tblGrid>
        <w:gridCol w:w="1337"/>
        <w:gridCol w:w="1175"/>
        <w:gridCol w:w="1177"/>
        <w:gridCol w:w="109"/>
        <w:gridCol w:w="109"/>
        <w:gridCol w:w="109"/>
        <w:gridCol w:w="211"/>
        <w:gridCol w:w="511"/>
        <w:gridCol w:w="109"/>
        <w:gridCol w:w="109"/>
        <w:gridCol w:w="109"/>
        <w:gridCol w:w="109"/>
        <w:gridCol w:w="211"/>
        <w:gridCol w:w="511"/>
        <w:gridCol w:w="109"/>
        <w:gridCol w:w="109"/>
        <w:gridCol w:w="109"/>
        <w:gridCol w:w="109"/>
        <w:gridCol w:w="211"/>
        <w:gridCol w:w="406"/>
        <w:gridCol w:w="109"/>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Market-based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option activity for the years ended December 31, 2025, 2024 and 2023 is as follows:</w:t>
      </w:r>
    </w:p>
    <w:tbl>
      <w:tblPr>
        <w:tblW w:w="10205" w:type="dxa"/>
        <w:jc w:val="left"/>
        <w:tblInd w:w="0" w:type="dxa"/>
        <w:tblLayout w:type="fixed"/>
        <w:tblCellMar>
          <w:top w:w="28" w:type="dxa"/>
          <w:left w:w="28" w:type="dxa"/>
          <w:bottom w:w="28" w:type="dxa"/>
          <w:right w:w="28" w:type="dxa"/>
        </w:tblCellMar>
      </w:tblPr>
      <w:tblGrid>
        <w:gridCol w:w="683"/>
        <w:gridCol w:w="600"/>
        <w:gridCol w:w="605"/>
        <w:gridCol w:w="109"/>
        <w:gridCol w:w="109"/>
        <w:gridCol w:w="109"/>
        <w:gridCol w:w="330"/>
        <w:gridCol w:w="330"/>
        <w:gridCol w:w="331"/>
        <w:gridCol w:w="109"/>
        <w:gridCol w:w="109"/>
        <w:gridCol w:w="109"/>
        <w:gridCol w:w="431"/>
        <w:gridCol w:w="1262"/>
        <w:gridCol w:w="224"/>
        <w:gridCol w:w="109"/>
        <w:gridCol w:w="109"/>
        <w:gridCol w:w="109"/>
        <w:gridCol w:w="904"/>
        <w:gridCol w:w="904"/>
        <w:gridCol w:w="905"/>
        <w:gridCol w:w="109"/>
        <w:gridCol w:w="109"/>
        <w:gridCol w:w="109"/>
        <w:gridCol w:w="377"/>
        <w:gridCol w:w="727"/>
        <w:gridCol w:w="28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exercise price and term amounts)</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total options outstanding and exercisable at December 31, 2025: </w:t>
      </w:r>
    </w:p>
    <w:tbl>
      <w:tblPr>
        <w:tblW w:w="10205" w:type="dxa"/>
        <w:jc w:val="left"/>
        <w:tblInd w:w="0" w:type="dxa"/>
        <w:tblLayout w:type="fixed"/>
        <w:tblCellMar>
          <w:top w:w="28" w:type="dxa"/>
          <w:left w:w="28" w:type="dxa"/>
          <w:bottom w:w="28" w:type="dxa"/>
          <w:right w:w="28" w:type="dxa"/>
        </w:tblCellMar>
      </w:tblPr>
      <w:tblGrid>
        <w:gridCol w:w="634"/>
        <w:gridCol w:w="541"/>
        <w:gridCol w:w="548"/>
        <w:gridCol w:w="109"/>
        <w:gridCol w:w="109"/>
        <w:gridCol w:w="109"/>
        <w:gridCol w:w="416"/>
        <w:gridCol w:w="416"/>
        <w:gridCol w:w="418"/>
        <w:gridCol w:w="128"/>
        <w:gridCol w:w="128"/>
        <w:gridCol w:w="128"/>
        <w:gridCol w:w="474"/>
        <w:gridCol w:w="1564"/>
        <w:gridCol w:w="264"/>
        <w:gridCol w:w="128"/>
        <w:gridCol w:w="128"/>
        <w:gridCol w:w="128"/>
        <w:gridCol w:w="1120"/>
        <w:gridCol w:w="1120"/>
        <w:gridCol w:w="1595"/>
      </w:tblGrid>
      <w:tr>
        <w:trPr/>
        <w:tc>
          <w:tcPr>
            <w:tcW w:w="63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 and Exercisable</w:t>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r>
      <w:tr>
        <w:trPr/>
        <w:tc>
          <w:tcPr>
            <w:tcW w:w="1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exercise price and term amounts)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Range of Exercise Prices: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$0.65 - $5.15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$5.15 - $43.20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$43.20 - $231.66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13.</w:t>
      </w:r>
      <w:r>
        <w:rPr>
          <w:rFonts w:ascii="Times New Roman;serif" w:hAnsi="Times New Roman;serif"/>
          <w:b/>
          <w:color w:val="000000"/>
          <w:sz w:val="20"/>
        </w:rPr>
        <w:t xml:space="preserve">COMMITMENTS AND CONTINGENCIES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we enter into various agreements to purchase services, primarily data and information technology based services, that are enforceable and legally binding. Certain supply contracts contain penalty provisions for early termination, in addition to variable costs that are based on volume and usage. We do not expect to incur penalty payments under these provisions that would materially affect our financial position, results of operations or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by remaining maturity, future commitments related to other arrangements as of December 31, 2025:</w:t>
      </w:r>
    </w:p>
    <w:tbl>
      <w:tblPr>
        <w:tblW w:w="3457" w:type="dxa"/>
        <w:jc w:val="center"/>
        <w:tblInd w:w="0" w:type="dxa"/>
        <w:tblLayout w:type="fixed"/>
        <w:tblCellMar>
          <w:top w:w="28" w:type="dxa"/>
          <w:left w:w="28" w:type="dxa"/>
          <w:bottom w:w="28" w:type="dxa"/>
          <w:right w:w="28" w:type="dxa"/>
        </w:tblCellMar>
      </w:tblPr>
      <w:tblGrid>
        <w:gridCol w:w="612"/>
        <w:gridCol w:w="537"/>
        <w:gridCol w:w="545"/>
        <w:gridCol w:w="109"/>
        <w:gridCol w:w="109"/>
        <w:gridCol w:w="371"/>
        <w:gridCol w:w="901"/>
        <w:gridCol w:w="273"/>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w:t>
              <w:br/>
              <w:t>Obligations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party to litigation and legal proceedings relating to our business operations. While the outcome of all legal actions is not presently determinable, except as set forth below, we do not believe that we are party to any current or pending legal action that if concluded adversely could reasonably be expected to have a material adverse effect on our financial condition or results of operations and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23, 2025, an amended putative collective and class action complaint was filed against the Company, Root, Inc., and its wholly owned subsidiary, Caret Holdings, Inc., in the United States District Court for the Southern District of Ohio, Eastern Division (Case No. 2:25-cv-01078-ALM-KAJ) by a former employee individually and on behalf of other similarly situated current and former employees. The complaint alleges that the defendants violated the Fair Labor Standards Act and the Missouri Minimum Wage Law by failing to pay non-exempt customer service representatives for all hours worked, including alleged off-the-clock pre-shift and post-shift work and overtime compensation. The complaint seeks unpaid wages, overtime compensation, liquidated damages, statutory damages, pre- and post-judgment interest, attorneys’ fees, and costs on behalf of the named plaintiff and members of the proposed collective and class. The Company intends to vigorously defend against the claims. The lawsuit is in its early stages. Accordingly, at this time, the Company cannot predict the outcome of this matter or reasonably estimate the likelihood or magnitude of any potential loss contingency.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14.</w:t>
      </w:r>
      <w:r>
        <w:rPr>
          <w:rFonts w:ascii="Times New Roman;serif" w:hAnsi="Times New Roman;serif"/>
          <w:b/>
          <w:color w:val="000000"/>
          <w:sz w:val="20"/>
        </w:rPr>
        <w:t>EARNINGS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the computation of basic and diluted EPS for both Class A and Class B common stock for the years ended December 31, 2025, 2024 and 2023:</w:t>
      </w:r>
    </w:p>
    <w:tbl>
      <w:tblPr>
        <w:tblW w:w="9701" w:type="dxa"/>
        <w:jc w:val="left"/>
        <w:tblInd w:w="0" w:type="dxa"/>
        <w:tblLayout w:type="fixed"/>
        <w:tblCellMar>
          <w:top w:w="28" w:type="dxa"/>
          <w:left w:w="28" w:type="dxa"/>
          <w:bottom w:w="28" w:type="dxa"/>
          <w:right w:w="28" w:type="dxa"/>
        </w:tblCellMar>
      </w:tblPr>
      <w:tblGrid>
        <w:gridCol w:w="2287"/>
        <w:gridCol w:w="2018"/>
        <w:gridCol w:w="2024"/>
        <w:gridCol w:w="211"/>
        <w:gridCol w:w="511"/>
        <w:gridCol w:w="109"/>
        <w:gridCol w:w="109"/>
        <w:gridCol w:w="109"/>
        <w:gridCol w:w="109"/>
        <w:gridCol w:w="211"/>
        <w:gridCol w:w="511"/>
        <w:gridCol w:w="109"/>
        <w:gridCol w:w="109"/>
        <w:gridCol w:w="109"/>
        <w:gridCol w:w="109"/>
        <w:gridCol w:w="211"/>
        <w:gridCol w:w="691"/>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income allocated to participating securities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(both Class A and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 (both Class A and B)</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(both Class A and B):</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we operated at a loss and therefore, the conversion of common stock equivalents would increase the denominator of the diluted EPS calculation and create a lower loss per share. Therefore, these common stock equivalents are considered anti-dilutive and diluted EPS is equal to basic EPS.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excluded the following potentially dilutive common stock equivalents, presented based on amounts outstanding at each year end, from the computation of diluted EPS attributable to common stockholders for the years indicated because including them would have had an anti-dilutive effect:</w:t>
      </w:r>
    </w:p>
    <w:tbl>
      <w:tblPr>
        <w:tblW w:w="8931" w:type="dxa"/>
        <w:jc w:val="left"/>
        <w:tblInd w:w="0" w:type="dxa"/>
        <w:tblLayout w:type="fixed"/>
        <w:tblCellMar>
          <w:top w:w="28" w:type="dxa"/>
          <w:left w:w="28" w:type="dxa"/>
          <w:bottom w:w="28" w:type="dxa"/>
          <w:right w:w="28" w:type="dxa"/>
        </w:tblCellMar>
      </w:tblPr>
      <w:tblGrid>
        <w:gridCol w:w="2157"/>
        <w:gridCol w:w="1903"/>
        <w:gridCol w:w="1910"/>
        <w:gridCol w:w="203"/>
        <w:gridCol w:w="203"/>
        <w:gridCol w:w="174"/>
        <w:gridCol w:w="174"/>
        <w:gridCol w:w="174"/>
        <w:gridCol w:w="174"/>
        <w:gridCol w:w="203"/>
        <w:gridCol w:w="203"/>
        <w:gridCol w:w="174"/>
        <w:gridCol w:w="174"/>
        <w:gridCol w:w="174"/>
        <w:gridCol w:w="174"/>
        <w:gridCol w:w="255"/>
        <w:gridCol w:w="256"/>
        <w:gridCol w:w="246"/>
      </w:tblGrid>
      <w:tr>
        <w:trPr/>
        <w:tc>
          <w:tcPr>
            <w:tcW w:w="215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Nonvested shares subject to repurchase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(as converted to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15.</w:t>
      </w:r>
      <w:r>
        <w:rPr>
          <w:rFonts w:ascii="Times New Roman;serif" w:hAnsi="Times New Roman;serif"/>
          <w:b/>
          <w:color w:val="000000"/>
          <w:sz w:val="20"/>
        </w:rPr>
        <w:t>STATUTORY FINANCIAL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Root Insurance Company, Root Property &amp; Casualty and Root Florida, or our insurance subsidiaries, are required to prepare statutory financial statements in conformity with the basis of accounting practices prescribed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permitted by their respective states of domicile, the Ohio Department of Insurance and the Florida Office of Insurance Regulation, or Florida OIR. Ohio and Florida have adopted the National Association of Insurance Commissioners, or NAIC, Accounting Practices and Procedures Manual as the basis of their statutory accounting practices. Root Insurance Company, Root Property &amp; Casualty and Root Florida’s statutory capital and surplus as of December 31, 2025 and 2024 and statutory net income (loss) for the years ended December 31, 2025, 2024 and 2023 are as follows:</w:t>
      </w:r>
    </w:p>
    <w:tbl>
      <w:tblPr>
        <w:tblW w:w="8104" w:type="dxa"/>
        <w:jc w:val="left"/>
        <w:tblInd w:w="0" w:type="dxa"/>
        <w:tblLayout w:type="fixed"/>
        <w:tblCellMar>
          <w:top w:w="28" w:type="dxa"/>
          <w:left w:w="28" w:type="dxa"/>
          <w:bottom w:w="28" w:type="dxa"/>
          <w:right w:w="28" w:type="dxa"/>
        </w:tblCellMar>
      </w:tblPr>
      <w:tblGrid>
        <w:gridCol w:w="805"/>
        <w:gridCol w:w="705"/>
        <w:gridCol w:w="709"/>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20"/>
        <w:gridCol w:w="642"/>
        <w:gridCol w:w="113"/>
        <w:gridCol w:w="113"/>
        <w:gridCol w:w="113"/>
        <w:gridCol w:w="113"/>
        <w:gridCol w:w="220"/>
        <w:gridCol w:w="642"/>
        <w:gridCol w:w="160"/>
      </w:tblGrid>
      <w:tr>
        <w:trPr/>
        <w:tc>
          <w:tcPr>
            <w:tcW w:w="8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Statutory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Statutory Capital and Surplus</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Root Insurance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Root Property &amp; Casualty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Root Florida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r>
              <w:rPr>
                <w:rFonts w:ascii="Times New Roman;serif" w:hAnsi="Times New Roman;serif"/>
                <w:b w:val="false"/>
                <w:color w:val="000000"/>
                <w:sz w:val="20"/>
              </w:rPr>
              <w:t>N/A</w:t>
            </w:r>
            <w:r>
              <w:rPr>
                <w:rFonts w:ascii="Times New Roman;serif" w:hAnsi="Times New Roman;serif"/>
                <w:b w:val="false"/>
                <w:color w:val="000000"/>
                <w:sz w:val="13"/>
              </w:rPr>
              <w:t>(1)</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Root Florida was incorporated in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 of dividends by our insurance subsidiaries is subject to restrictions set forth in the insurance laws and regulations of the State of Ohio and the State of Florida. These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or distributions made in the preceding twelve months, exceeds the greater of (1) 10% of statutory-basis policyholders' surplus as of the prior December 31 or (2) the statutory-basis net income of the insurer as of the prior December 31.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insurance laws also require domestic insurers to seek prior regulatory approval for any dividend paid from other than earned surplus. Earned surplus is defined under the insurance laws as the amount equal to our unassigned funds as set forth in its most recent statutory financial statements, including net unrealized capital gains and losses. Additionally, following any dividend, an insurer’s policyholder surplus must be reasonable in relation to the insurer's outstanding liabilities and adequate for its financial needs.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these limitations, in accordance with our consent order as a new entity, Root Florida is prohibited from paying any dividends for its first three years of operation without prior approval from the Florida OIR. After this initial three-year period, dividend payments by Root Florida become subject to the standard dividend limitations described 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After receiving approval from the Ohio Department of Insurance, Root Insurance Company paid extraordinary dividends of $123.0 million for the year ended December 31, 2025. Root Insurance Company did not pay any dividends for the years ended December 31, 2024 and 2023. Root Property &amp; Casualty and Root Florida did not pay any dividends for the years ended December 31, 2025, 2024 and 2023.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wholly-owned, Cayman Islands-based reinsurance subsidiary, Root Reinsurance Company, Ltd., or Root Re, maintains a Class B(iii) insurer license under Cayman Islands Monetary Authority, or CIMA. At December 31, 2025, Root Re was subject to compliance with certain capital levels and a net premiums earned to capital ratio up to 15:1, which we maintained as of December 31, 2025. Root Re must notify CIMA before it can pay any dividend to the holding company. Root Re paid dividends of $60.0 million, zero, and zero to Caret Holdings, Inc. for the years ended December 31, 2025, 2024 and 2023.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NAIC Risk-Based Capital, or RBC, model law requires every insurer to calculate its total adjusted capital and RBC requirement to ensure insurer solvency. Regulatory guidelines provide for an insurance commissioner to intervene if the insurer experiences financial difficulty, as evidenced by a company's total adjusted capital falling below established relationships to required RBC. The model includes components for asset risk, underwriting risk, credit risk and other factors. The State of Ohio and the State of Florida impose a minimum RBC requirement that is developed by the NAIC. The formulas in the model for determining the amount of RBC specify various weighting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factors that are applied to financial balances or various levels of activity based on the perceived degree of risk. Regulatory compliance is determined by a ratio of total adjusted capital to authorized control level RBC, as defined by the NAIC. Companies below specific trigger points or ratios are classified within certain levels, all of which require specified corrective action. Root Insurance Company and Root Property &amp; Casualty’s capital and surplus exceeded its minimum statutory surplus requirements and authorized control level RBC of $4.8 million and $36.1 million for the year ended December 31, 2025, respectively, and $16.1 million and $3.3 million for the year ended December 31, 2024, respectively. Root Florida, incorporated in 2025, reported capital in excess of its minimum statutory surplus requirements and authorized control level RBC of $10.5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16.</w:t>
      </w:r>
      <w:r>
        <w:rPr>
          <w:rFonts w:ascii="Times New Roman;serif" w:hAnsi="Times New Roman;serif"/>
          <w:b/>
          <w:color w:val="000000"/>
          <w:sz w:val="20"/>
        </w:rPr>
        <w:t>GEOGRAPHICAL BREAKDOWN OF 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premiums written by state is as follows for the years ended December 31, 2025, 2024 and 2023: </w:t>
      </w:r>
    </w:p>
    <w:tbl>
      <w:tblPr>
        <w:tblW w:w="9617" w:type="dxa"/>
        <w:jc w:val="left"/>
        <w:tblInd w:w="0" w:type="dxa"/>
        <w:tblLayout w:type="fixed"/>
        <w:tblCellMar>
          <w:top w:w="28" w:type="dxa"/>
          <w:left w:w="28" w:type="dxa"/>
          <w:bottom w:w="28" w:type="dxa"/>
          <w:right w:w="28" w:type="dxa"/>
        </w:tblCellMar>
      </w:tblPr>
      <w:tblGrid>
        <w:gridCol w:w="504"/>
        <w:gridCol w:w="444"/>
        <w:gridCol w:w="461"/>
        <w:gridCol w:w="211"/>
        <w:gridCol w:w="766"/>
        <w:gridCol w:w="109"/>
        <w:gridCol w:w="109"/>
        <w:gridCol w:w="109"/>
        <w:gridCol w:w="109"/>
        <w:gridCol w:w="307"/>
        <w:gridCol w:w="309"/>
        <w:gridCol w:w="501"/>
        <w:gridCol w:w="109"/>
        <w:gridCol w:w="109"/>
        <w:gridCol w:w="109"/>
        <w:gridCol w:w="211"/>
        <w:gridCol w:w="766"/>
        <w:gridCol w:w="109"/>
        <w:gridCol w:w="109"/>
        <w:gridCol w:w="109"/>
        <w:gridCol w:w="109"/>
        <w:gridCol w:w="307"/>
        <w:gridCol w:w="309"/>
        <w:gridCol w:w="501"/>
        <w:gridCol w:w="109"/>
        <w:gridCol w:w="109"/>
        <w:gridCol w:w="109"/>
        <w:gridCol w:w="211"/>
        <w:gridCol w:w="616"/>
        <w:gridCol w:w="109"/>
        <w:gridCol w:w="109"/>
        <w:gridCol w:w="109"/>
        <w:gridCol w:w="109"/>
        <w:gridCol w:w="307"/>
        <w:gridCol w:w="309"/>
        <w:gridCol w:w="615"/>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 states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Arial;sans-serif" w:hAnsi="Arial;sans-serif"/>
          <w:b w:val="false"/>
          <w:color w:val="000000"/>
          <w:sz w:val="2"/>
        </w:rPr>
      </w:pPr>
      <w:r>
        <w:rPr>
          <w:rFonts w:ascii="Arial;sans-serif" w:hAnsi="Arial;sans-serif"/>
          <w:b w:val="false"/>
          <w:color w:val="000000"/>
          <w:sz w:val="2"/>
        </w:rPr>
        <w:t>z</w:t>
      </w:r>
    </w:p>
    <w:tbl>
      <w:tblPr>
        <w:tblW w:w="10205" w:type="dxa"/>
        <w:jc w:val="center"/>
        <w:tblInd w:w="0" w:type="dxa"/>
        <w:tblLayout w:type="fixed"/>
        <w:tblCellMar>
          <w:top w:w="28" w:type="dxa"/>
          <w:left w:w="28" w:type="dxa"/>
          <w:bottom w:w="28" w:type="dxa"/>
          <w:right w:w="28" w:type="dxa"/>
        </w:tblCellMar>
      </w:tblPr>
      <w:tblGrid>
        <w:gridCol w:w="2961"/>
        <w:gridCol w:w="2160"/>
        <w:gridCol w:w="1381"/>
        <w:gridCol w:w="329"/>
        <w:gridCol w:w="963"/>
        <w:gridCol w:w="170"/>
        <w:gridCol w:w="170"/>
        <w:gridCol w:w="170"/>
        <w:gridCol w:w="170"/>
        <w:gridCol w:w="329"/>
        <w:gridCol w:w="963"/>
        <w:gridCol w:w="170"/>
        <w:gridCol w:w="109"/>
        <w:gridCol w:w="160"/>
      </w:tblGrid>
      <w:tr>
        <w:trPr/>
        <w:tc>
          <w:tcPr>
            <w:tcW w:w="296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ROOT, INC. and CARET HOLDINGS, INC.</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Schedule II: Condensed Combined Financial Information of Registrant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Sheets (Parent Company)</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par value)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subsidiaries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 from subsidiaries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w:t>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convertible preferred stock, $0.0001 par value, 14.1 shares issued and outstanding at December 31, 2025 and December 31, 2024 (redemption value of $126.5)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13.7 and 11.1 shares issued and outstanding at December 31, 2025 and December 31, 2024,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1.8 and 4.0 shares issued and outstanding at December 31, 2025 and December 31, 2024,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Combined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566"/>
        <w:gridCol w:w="1348"/>
        <w:gridCol w:w="1357"/>
        <w:gridCol w:w="372"/>
        <w:gridCol w:w="901"/>
        <w:gridCol w:w="191"/>
        <w:gridCol w:w="191"/>
        <w:gridCol w:w="191"/>
        <w:gridCol w:w="191"/>
        <w:gridCol w:w="372"/>
        <w:gridCol w:w="901"/>
        <w:gridCol w:w="191"/>
        <w:gridCol w:w="191"/>
        <w:gridCol w:w="191"/>
        <w:gridCol w:w="191"/>
        <w:gridCol w:w="372"/>
        <w:gridCol w:w="1213"/>
        <w:gridCol w:w="275"/>
      </w:tblGrid>
      <w:tr>
        <w:trPr/>
        <w:tc>
          <w:tcPr>
            <w:tcW w:w="156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CARET HOLDINGS,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Schedule II: Condensed Combined Financial Information of Registrant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Operations and Comprehensive Income (Loss) (Parent Company)</w:t>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equity net income (loss) of subsidiaries </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of subsidiaries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of subsidiaries </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Combined Financial Statements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81"/>
        <w:gridCol w:w="1544"/>
        <w:gridCol w:w="1554"/>
        <w:gridCol w:w="318"/>
        <w:gridCol w:w="904"/>
        <w:gridCol w:w="175"/>
        <w:gridCol w:w="175"/>
        <w:gridCol w:w="175"/>
        <w:gridCol w:w="175"/>
        <w:gridCol w:w="318"/>
        <w:gridCol w:w="904"/>
        <w:gridCol w:w="175"/>
        <w:gridCol w:w="175"/>
        <w:gridCol w:w="175"/>
        <w:gridCol w:w="175"/>
        <w:gridCol w:w="318"/>
        <w:gridCol w:w="904"/>
        <w:gridCol w:w="260"/>
      </w:tblGrid>
      <w:tr>
        <w:trPr/>
        <w:tc>
          <w:tcPr>
            <w:tcW w:w="178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CARET HOLDINGS,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Schedule II: Condensed Combined Financial Information of Registrant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Statements of Cash Flows (Parent Company)</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operating activities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from subsidiaries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subsidiaries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and restricted stock units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related warrants issuance costs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and related warrants, net of issuance cost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financing activities </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year</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year</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Combined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pPr>
      <w:r>
        <w:rPr>
          <w:rFonts w:ascii="Times New Roman;serif" w:hAnsi="Times New Roman;serif"/>
          <w:b/>
          <w:color w:val="000000"/>
          <w:sz w:val="20"/>
        </w:rPr>
        <w:t>ROOT, INC.</w:t>
      </w:r>
      <w:r>
        <w:rPr>
          <w:color w:val="000000"/>
        </w:rPr>
        <w:t xml:space="preserve"> </w:t>
      </w:r>
      <w:r>
        <w:rPr>
          <w:rFonts w:ascii="Times New Roman;serif" w:hAnsi="Times New Roman;serif"/>
          <w:b/>
          <w:color w:val="000000"/>
          <w:sz w:val="20"/>
        </w:rPr>
        <w:t>and CARET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Combined Financial Statements (Parent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Caret Holdings, Inc. is a holding company which was formed in 2015. We are a technology company operating primarily a direct-to-consumer model with the majority of our personal insurance customers acquired through mobile apps. We offer auto and renters insurance products. In August 2019 a new holding company, Root, Inc. was formed, which became the parent of Caret Holdings, Inc. and maintains 100% ownership of Caret Holdings, Inc.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180"/>
        <w:ind w:left="0" w:right="0" w:firstLine="360"/>
        <w:jc w:val="left"/>
        <w:rPr/>
      </w:pPr>
      <w:r>
        <w:rPr>
          <w:rFonts w:ascii="Times New Roman;serif" w:hAnsi="Times New Roman;serif"/>
          <w:b/>
          <w:color w:val="000000"/>
          <w:sz w:val="20"/>
        </w:rPr>
        <w:t>Basis of Presentation and Combination</w:t>
      </w:r>
      <w:r>
        <w:rPr>
          <w:color w:val="000000"/>
        </w:rPr>
        <w:t>—</w:t>
      </w:r>
      <w:r>
        <w:rPr>
          <w:rFonts w:ascii="Times New Roman;serif" w:hAnsi="Times New Roman;serif"/>
          <w:b w:val="false"/>
          <w:color w:val="000000"/>
          <w:sz w:val="20"/>
        </w:rPr>
        <w:t>The condensed combined financial statements include the accounts of Root, Inc. and its wholly owned subsidiary, Caret Holdings, Inc., and are prepared in accordance with accounting principles generally accepted in the United States. All intercompany accounts and transactions have been eliminated. These financial statements have been combined in order to present comparative parent company financial statements for 2025, 2024 and 2023 and should be read in conjunction with our consolidated financial statements.</w:t>
      </w:r>
    </w:p>
    <w:p>
      <w:pPr>
        <w:pStyle w:val="TextBody"/>
        <w:bidi w:val="0"/>
        <w:spacing w:lineRule="auto" w:line="288" w:before="0" w:after="180"/>
        <w:ind w:left="0" w:right="0" w:firstLine="36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condensed combined financial statements requires management to make certain estimates and assumptions that affect the reported amounts of assets and liabilities and disclosure of contingent assets and liabilities at the date of the condensed financial statements and the reported amounts of revenue and expenses during the reporting period. Actual results could differ from those estimates.</w:t>
      </w:r>
    </w:p>
    <w:p>
      <w:pPr>
        <w:pStyle w:val="TextBody"/>
        <w:bidi w:val="0"/>
        <w:spacing w:lineRule="auto" w:line="288" w:before="0" w:after="180"/>
        <w:ind w:left="0" w:right="0" w:firstLine="360"/>
        <w:jc w:val="left"/>
        <w:rPr/>
      </w:pPr>
      <w:r>
        <w:rPr>
          <w:rFonts w:ascii="Times New Roman;serif" w:hAnsi="Times New Roman;serif"/>
          <w:b/>
          <w:color w:val="000000"/>
          <w:sz w:val="20"/>
        </w:rPr>
        <w:t>Dividends from Subsidiary—</w:t>
      </w:r>
      <w:r>
        <w:rPr>
          <w:rFonts w:ascii="Times New Roman;serif" w:hAnsi="Times New Roman;serif"/>
          <w:b w:val="false"/>
          <w:color w:val="000000"/>
          <w:sz w:val="20"/>
        </w:rPr>
        <w:t>Root, Inc. received dividends and return of capital of $123.0 million, zero and zero from Root Insurance Company, dividends and return on capital of $60.0 million, zero and zero from Root Reinsurance Company, Ltd. and dividends and return of capital of zero, $25.0 million and zero from Root Insurance Agency, LLC for the years ended December 31, 2025, 2024 and 2023, respectively.</w:t>
      </w:r>
    </w:p>
    <w:p>
      <w:pPr>
        <w:pStyle w:val="TextBody"/>
        <w:bidi w:val="0"/>
        <w:spacing w:lineRule="auto" w:line="288" w:before="0" w:after="180"/>
        <w:ind w:left="0" w:right="0" w:firstLine="360"/>
        <w:jc w:val="left"/>
        <w:rPr/>
      </w:pPr>
      <w:r>
        <w:rPr>
          <w:rFonts w:ascii="Times New Roman;serif" w:hAnsi="Times New Roman;serif"/>
          <w:b/>
          <w:color w:val="000000"/>
          <w:sz w:val="20"/>
        </w:rPr>
        <w:t>Statement of Cash Flows</w:t>
      </w:r>
      <w:r>
        <w:rPr>
          <w:color w:val="000000"/>
        </w:rPr>
        <w:t>—</w:t>
      </w:r>
      <w:r>
        <w:rPr>
          <w:rFonts w:ascii="Times New Roman;serif" w:hAnsi="Times New Roman;serif"/>
          <w:b w:val="false"/>
          <w:color w:val="000000"/>
          <w:sz w:val="20"/>
        </w:rPr>
        <w:t xml:space="preserve">The supplemental disclosures for cash and non-cash flows for the years ended December 31, 2025, 2024 and 2023 are as follows: </w:t>
      </w:r>
    </w:p>
    <w:tbl>
      <w:tblPr>
        <w:tblW w:w="5501" w:type="dxa"/>
        <w:jc w:val="left"/>
        <w:tblInd w:w="0" w:type="dxa"/>
        <w:tblLayout w:type="fixed"/>
        <w:tblCellMar>
          <w:top w:w="28" w:type="dxa"/>
          <w:left w:w="28" w:type="dxa"/>
          <w:bottom w:w="28" w:type="dxa"/>
          <w:right w:w="28" w:type="dxa"/>
        </w:tblCellMar>
      </w:tblPr>
      <w:tblGrid>
        <w:gridCol w:w="836"/>
        <w:gridCol w:w="735"/>
        <w:gridCol w:w="738"/>
        <w:gridCol w:w="211"/>
        <w:gridCol w:w="511"/>
        <w:gridCol w:w="109"/>
        <w:gridCol w:w="109"/>
        <w:gridCol w:w="109"/>
        <w:gridCol w:w="109"/>
        <w:gridCol w:w="211"/>
        <w:gridCol w:w="511"/>
        <w:gridCol w:w="109"/>
        <w:gridCol w:w="109"/>
        <w:gridCol w:w="109"/>
        <w:gridCol w:w="109"/>
        <w:gridCol w:w="211"/>
        <w:gridCol w:w="51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taxes paid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combined balance sheets that sum to the total of the same such amount in the condensed combined statements of cash flows:</w:t>
      </w:r>
    </w:p>
    <w:tbl>
      <w:tblPr>
        <w:tblW w:w="10205" w:type="dxa"/>
        <w:jc w:val="left"/>
        <w:tblInd w:w="0" w:type="dxa"/>
        <w:tblLayout w:type="fixed"/>
        <w:tblCellMar>
          <w:top w:w="28" w:type="dxa"/>
          <w:left w:w="28" w:type="dxa"/>
          <w:bottom w:w="28" w:type="dxa"/>
          <w:right w:w="28" w:type="dxa"/>
        </w:tblCellMar>
      </w:tblPr>
      <w:tblGrid>
        <w:gridCol w:w="2883"/>
        <w:gridCol w:w="2531"/>
        <w:gridCol w:w="2545"/>
        <w:gridCol w:w="211"/>
        <w:gridCol w:w="616"/>
        <w:gridCol w:w="109"/>
        <w:gridCol w:w="109"/>
        <w:gridCol w:w="109"/>
        <w:gridCol w:w="109"/>
        <w:gridCol w:w="211"/>
        <w:gridCol w:w="616"/>
        <w:gridCol w:w="156"/>
      </w:tblGrid>
      <w:tr>
        <w:trPr/>
        <w:tc>
          <w:tcPr>
            <w:tcW w:w="2883"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combined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Guarantees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Inc. entered into agreements with the Director of the Ohio Department of Insurance and the Commissioner of the Florida Office of Insurance Regulation (each, a “Regulator”), under which it guarantees that certain of its insurance subsidiaries will maintain the greater of applicable capital and surplus requirements or risk-based capital levels, as well as any additional surplus required by the respective Regulator. These guarantees remain in effect until the applicable Regulator releases Root, Inc. from its obligations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14"/>
        <w:gridCol w:w="803"/>
        <w:gridCol w:w="805"/>
        <w:gridCol w:w="211"/>
        <w:gridCol w:w="616"/>
        <w:gridCol w:w="109"/>
        <w:gridCol w:w="109"/>
        <w:gridCol w:w="109"/>
        <w:gridCol w:w="109"/>
        <w:gridCol w:w="414"/>
        <w:gridCol w:w="1005"/>
        <w:gridCol w:w="214"/>
        <w:gridCol w:w="109"/>
        <w:gridCol w:w="109"/>
        <w:gridCol w:w="109"/>
        <w:gridCol w:w="376"/>
        <w:gridCol w:w="832"/>
        <w:gridCol w:w="194"/>
        <w:gridCol w:w="109"/>
        <w:gridCol w:w="109"/>
        <w:gridCol w:w="109"/>
        <w:gridCol w:w="211"/>
        <w:gridCol w:w="583"/>
        <w:gridCol w:w="109"/>
        <w:gridCol w:w="109"/>
        <w:gridCol w:w="109"/>
        <w:gridCol w:w="109"/>
        <w:gridCol w:w="321"/>
        <w:gridCol w:w="939"/>
        <w:gridCol w:w="241"/>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V: Valuation and Qualifying Accounts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Charged to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Charge to 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end of period</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24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premium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reinsurance recoverables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24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premium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reinsurance recoverables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24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premium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reinsurance recoverables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9A.  Controls and Procedures.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in this Annual Report on Form 10-K,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December 31, 2025.</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management, with the participation of our chief executive officer and chief financial officer, evaluated the effectiveness of our internal control over financial reporting based on the framework in </w:t>
      </w:r>
      <w:r>
        <w:rPr>
          <w:rFonts w:ascii="Times New Roman;serif" w:hAnsi="Times New Roman;serif"/>
          <w:b w:val="false"/>
          <w:i/>
          <w:color w:val="000000"/>
          <w:sz w:val="20"/>
        </w:rPr>
        <w:t>Internal Control</w:t>
      </w:r>
      <w:r>
        <w:rPr>
          <w:color w:val="000000"/>
        </w:rPr>
        <w:t>—</w:t>
      </w:r>
      <w:r>
        <w:rPr>
          <w:rFonts w:ascii="Times New Roman;serif" w:hAnsi="Times New Roman;serif"/>
          <w:b w:val="false"/>
          <w:i/>
          <w:color w:val="000000"/>
          <w:sz w:val="20"/>
        </w:rPr>
        <w:t xml:space="preserve">Integrated Framework (2013) </w:t>
      </w:r>
      <w:r>
        <w:rPr>
          <w:rFonts w:ascii="Times New Roman;serif" w:hAnsi="Times New Roman;serif"/>
          <w:b w:val="false"/>
          <w:color w:val="000000"/>
          <w:sz w:val="20"/>
        </w:rPr>
        <w:t>issued by the Committee of Sponsoring Organizations of the Treadway Commission. Based on this evaluation, our principal executive officer and principal financial officer concluded that, as of December 31, 2025, our internal control over financial reporting was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Deloitte &amp; Touche LLP, an independent registered public accounting firm, has audited the consolidated financial statements contained in this Annual Report on Form 10-K and has issued an attestation report on the effectiveness of our internal controls over financial reporting, which is included below.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management’s evaluation pursuant to Rule 13a-15(d) or 15d-15(d) of the Exchange Act during the fiscal period ended December 31,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Root,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Root,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tbl>
      <w:tblPr>
        <w:tblW w:w="2745" w:type="dxa"/>
        <w:jc w:val="left"/>
        <w:tblInd w:w="0" w:type="dxa"/>
        <w:tblLayout w:type="fixed"/>
        <w:tblCellMar>
          <w:top w:w="28" w:type="dxa"/>
          <w:left w:w="28" w:type="dxa"/>
          <w:bottom w:w="28" w:type="dxa"/>
          <w:right w:w="28" w:type="dxa"/>
        </w:tblCellMar>
      </w:tblPr>
      <w:tblGrid>
        <w:gridCol w:w="878"/>
        <w:gridCol w:w="772"/>
        <w:gridCol w:w="1095"/>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Columbus, Ohio</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 2025, Jonathan Allison, the Company’s Chief Administrative Officer, modified a trading plan intended to satisfy the affirmative defense conditions of Rule 10b5-1(c) under the Exchange Act (a “10b5-1 Plan”). Mr. Allison’s 10b5-1 Plan provides for the potential sale of up to 46,477 shares of Class A common stock and terminates no later than March 3, 2027.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9, 2025, Mahtiyar Bonakdarpour, the Company’s President and Chief Technology Officer, entered into a 10b5-1 Plan. Mr. Bonakdarpour’s 10b5-1 Plan provides for the potential sale of up to 84,883 shares of Class A common stock and terminates no later than March 15, 2027.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11, 2025, Douglas Ulman, a member of the Company’s Board of Directors, terminated a 10b5-1 Plan.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12, 2025, Alexander Timm, the Company’s Chairman of the Board and Chief Executive Officer, entered into a 10b5-1 Plan. Mr. Timm’s 10b5-1 Plan provides for the potential sale of up to 181,991 shares of Class A common stock and terminates no later than March 16, 2027.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15, 2025, Megan Binkley, the Company’s Chief Financial Officer, entered into a 10b5-1 Plan. Ms. Binkley’s 10b5-1 Plan provides for the potential sale of up to 22,500 shares of Class A common stock and terminates no later than April 2,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in the definitive proxy statement for our Annual Meeting of Stockholders to be held on or about June 3, 2026. The proxy statement is referred to in this report as the 2026 Proxy Statement.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provide disclosure of delinquent Section 16(a) reports in the 2026 Proxy Statement in a section entitled “Delinquent Section 16(a) Reports,” and such disclosure is incorporated herein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adopted the Amended and Restated Insider Trading Policy governing the purchase or sale of our securities by our officers, employees and members of the Board of Directors, as well as designated consultants, and have implemented procedures that we believe are reasonably designed to promote compliance with insider trading laws, rules and regulations, and the listing standards of The Nasdaq Stock Market. A copy of the Amended and Restated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(a)Financial Statements and Schedules. See Index to the Consolidated Financial Statements and Schedules on page </w:t>
      </w:r>
      <w:hyperlink w:anchor="i7aa2498cbf6b469b80433040e8780d1c_127">
        <w:r>
          <w:rPr>
            <w:rStyle w:val="InternetLink"/>
            <w:rFonts w:ascii="Times New Roman;serif" w:hAnsi="Times New Roman;serif"/>
            <w:b w:val="false"/>
            <w:color w:val="0000FF"/>
            <w:sz w:val="20"/>
            <w:u w:val="single"/>
          </w:rPr>
          <w:t>87</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246"/>
        <w:gridCol w:w="1114"/>
        <w:gridCol w:w="1118"/>
        <w:gridCol w:w="109"/>
        <w:gridCol w:w="109"/>
        <w:gridCol w:w="109"/>
        <w:gridCol w:w="172"/>
        <w:gridCol w:w="172"/>
        <w:gridCol w:w="174"/>
        <w:gridCol w:w="109"/>
        <w:gridCol w:w="109"/>
        <w:gridCol w:w="109"/>
        <w:gridCol w:w="301"/>
        <w:gridCol w:w="301"/>
        <w:gridCol w:w="303"/>
        <w:gridCol w:w="109"/>
        <w:gridCol w:w="109"/>
        <w:gridCol w:w="109"/>
        <w:gridCol w:w="210"/>
        <w:gridCol w:w="210"/>
        <w:gridCol w:w="211"/>
        <w:gridCol w:w="109"/>
        <w:gridCol w:w="109"/>
        <w:gridCol w:w="109"/>
        <w:gridCol w:w="475"/>
        <w:gridCol w:w="293"/>
        <w:gridCol w:w="274"/>
        <w:gridCol w:w="109"/>
        <w:gridCol w:w="109"/>
        <w:gridCol w:w="109"/>
        <w:gridCol w:w="279"/>
        <w:gridCol w:w="279"/>
        <w:gridCol w:w="40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Amended and Restated Certificate of Incorporation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Certificate of Designations of Series A Preferred Stock, filed with the Delaware Secretary of State on October 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2descriptionofsecurities.htm">
              <w:r>
                <w:rPr>
                  <w:rStyle w:val="InternetLink"/>
                  <w:rFonts w:ascii="Times New Roman;serif" w:hAnsi="Times New Roman;serif"/>
                  <w:b w:val="false"/>
                  <w:color w:val="0000FF"/>
                  <w:sz w:val="18"/>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Common Stock Purchase Warrants, dated as of October 1, 2021, by and between Root, Inc. and Carvana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Common Stock Purchase Warrant (Tranche 1), dated January 26,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First Amendment to Form of Common Stock Purchase Warrant (Tranche 1), dated October 29,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Root, Inc.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333-256076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FF"/>
                  <w:sz w:val="18"/>
                  <w:u w:val="single"/>
                </w:rPr>
                <w:t>First Amendment to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Root,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18"/>
                  <w:u w:val="single"/>
                </w:rPr>
                <w:t>First Amendment to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Root, Inc.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FF"/>
                  <w:sz w:val="18"/>
                  <w:u w:val="single"/>
                </w:rPr>
                <w:t>First Amendment to 2015 Amended and Restated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Offer Letter by and between Root, Inc. and Alexander Timm, dated January 4,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First Amendment to Offer Letter by and between Root, Inc. and Alexander Timm, dated February 22,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Executive Employment Agreement with Matt Bonakdarpour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4"/>
        <w:gridCol w:w="109"/>
        <w:gridCol w:w="109"/>
        <w:gridCol w:w="109"/>
        <w:gridCol w:w="1905"/>
        <w:gridCol w:w="1419"/>
        <w:gridCol w:w="1424"/>
        <w:gridCol w:w="109"/>
        <w:gridCol w:w="109"/>
        <w:gridCol w:w="109"/>
        <w:gridCol w:w="128"/>
        <w:gridCol w:w="125"/>
        <w:gridCol w:w="119"/>
        <w:gridCol w:w="109"/>
        <w:gridCol w:w="109"/>
        <w:gridCol w:w="109"/>
        <w:gridCol w:w="237"/>
        <w:gridCol w:w="237"/>
        <w:gridCol w:w="238"/>
        <w:gridCol w:w="109"/>
        <w:gridCol w:w="109"/>
        <w:gridCol w:w="109"/>
        <w:gridCol w:w="169"/>
        <w:gridCol w:w="169"/>
        <w:gridCol w:w="173"/>
        <w:gridCol w:w="109"/>
        <w:gridCol w:w="109"/>
        <w:gridCol w:w="109"/>
        <w:gridCol w:w="420"/>
        <w:gridCol w:w="278"/>
        <w:gridCol w:w="279"/>
        <w:gridCol w:w="109"/>
        <w:gridCol w:w="109"/>
        <w:gridCol w:w="109"/>
        <w:gridCol w:w="109"/>
        <w:gridCol w:w="109"/>
        <w:gridCol w:w="16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Form of Stock Option Agreement under the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Form of Notice of Stock Option Exercise and Stock Option Exercise Agreement under the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Form of Root, Inc. 2020 Equity Incentive Plan RSU Award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Form of Root, Inc. 2020 Equity Incentive Plan Stock Option Grant Notice and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Form of Director and Officer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 of RSU Agreement under the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Term Loan Agreement, dated as of January 26, 2022, by and among the Company, Caret Holdings, Inc., as borrower, the loan parties party thereto and Acquiom Agency Services LLC, as the administrative agent for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Commercial Agreement, dated as of October 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First Amendment to Carvana Commercial Agreement, dated as of May 13,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Investment Agreement, dated as of August 11, 2021, by and between Root, Inc. and Carvana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First Amendment to Investment Agreement, dated as of September 29, 2021, by and between Root, Inc. and Carvana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Fifth Amended and Restated Investors’ Rights Agreement by and among Root, Inc. and certain of its stockholders, dated November 25,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Amendment to the Fifth Amended and Restated Investors’ Rights Agreement by and among Root, Inc. and certain of its stockholders, dated October 28,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Registration Rights Agreement, dated January 26, 2022, by and between the Company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Executive Employment Agreement with Megan Binkley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Executive Retention Agreement between Matt Bonakdarpour and Root, Inc. dated August 9,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Performance-Based RSU Award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4"/>
        <w:gridCol w:w="109"/>
        <w:gridCol w:w="109"/>
        <w:gridCol w:w="109"/>
        <w:gridCol w:w="1781"/>
        <w:gridCol w:w="1528"/>
        <w:gridCol w:w="1532"/>
        <w:gridCol w:w="109"/>
        <w:gridCol w:w="109"/>
        <w:gridCol w:w="109"/>
        <w:gridCol w:w="137"/>
        <w:gridCol w:w="122"/>
        <w:gridCol w:w="122"/>
        <w:gridCol w:w="109"/>
        <w:gridCol w:w="109"/>
        <w:gridCol w:w="109"/>
        <w:gridCol w:w="206"/>
        <w:gridCol w:w="206"/>
        <w:gridCol w:w="207"/>
        <w:gridCol w:w="109"/>
        <w:gridCol w:w="109"/>
        <w:gridCol w:w="109"/>
        <w:gridCol w:w="169"/>
        <w:gridCol w:w="169"/>
        <w:gridCol w:w="173"/>
        <w:gridCol w:w="109"/>
        <w:gridCol w:w="109"/>
        <w:gridCol w:w="109"/>
        <w:gridCol w:w="419"/>
        <w:gridCol w:w="275"/>
        <w:gridCol w:w="276"/>
        <w:gridCol w:w="109"/>
        <w:gridCol w:w="109"/>
        <w:gridCol w:w="109"/>
        <w:gridCol w:w="109"/>
        <w:gridCol w:w="109"/>
        <w:gridCol w:w="16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Root, Inc. Non-Employee Director Compensation Policy adopted October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18"/>
                  <w:u w:val="single"/>
                </w:rPr>
                <w:t>First Amendment to Term Loan Agreement, dated September 17, 2024, by and among the Company, Caret Holdings, Inc., as borrower, the loan parties party thereto and Acquiom Agency Services LLC, as the administrative agent for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Second Amendment to Term Loan Agreement, dated October 29, 2024, by and among the Company, Caret Holdings, Inc., as borrower, the loan parties party thereto and Acquiom Agency Services LLC, as the administrative agent for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18"/>
                  <w:u w:val="single"/>
                </w:rPr>
                <w:t>Amended and Restated Board Observation Side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1formofrootinc2020equi.htm">
              <w:r>
                <w:rPr>
                  <w:rStyle w:val="InternetLink"/>
                  <w:rFonts w:ascii="Times New Roman;serif" w:hAnsi="Times New Roman;serif"/>
                  <w:b w:val="false"/>
                  <w:color w:val="000080"/>
                  <w:sz w:val="18"/>
                  <w:u w:val="single"/>
                </w:rPr>
                <w:t>Form of Root, Inc. 2020 Equity Incentive Plan Performance-Based RSU Award Grant Notice and Agreement (202</w:t>
              </w:r>
            </w:hyperlink>
            <w:hyperlink w:anchor="a1031formofrootinc2020equi.htm">
              <w:r>
                <w:rPr>
                  <w:rStyle w:val="InternetLink"/>
                  <w:rFonts w:ascii="Times New Roman;serif" w:hAnsi="Times New Roman;serif"/>
                  <w:b w:val="false"/>
                  <w:color w:val="000080"/>
                  <w:sz w:val="18"/>
                  <w:u w:val="single"/>
                </w:rPr>
                <w:t>5</w:t>
              </w:r>
            </w:hyperlink>
            <w:hyperlink w:anchor="a1031formofrootinc2020equi.htm">
              <w:r>
                <w:rPr>
                  <w:rStyle w:val="InternetLink"/>
                  <w:rFonts w:ascii="Times New Roman;serif" w:hAnsi="Times New Roman;serif"/>
                  <w:b w:val="false"/>
                  <w:color w:val="000080"/>
                  <w:sz w:val="18"/>
                  <w:u w:val="single"/>
                </w:rPr>
                <w:t xml:space="preserve"> Grant)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2formofrootinc2020equi.htm">
              <w:r>
                <w:rPr>
                  <w:rStyle w:val="InternetLink"/>
                  <w:rFonts w:ascii="Times New Roman;serif" w:hAnsi="Times New Roman;serif"/>
                  <w:b w:val="false"/>
                  <w:color w:val="000080"/>
                  <w:sz w:val="18"/>
                  <w:u w:val="single"/>
                </w:rPr>
                <w:t>Form of Root, Inc. 2020 Equity Incentive Plan Performance-Based RSU Award Grant Notice and Agreement Retirement-Eligible (202</w:t>
              </w:r>
            </w:hyperlink>
            <w:hyperlink w:anchor="a1032formofrootinc2020equi.htm">
              <w:r>
                <w:rPr>
                  <w:rStyle w:val="InternetLink"/>
                  <w:rFonts w:ascii="Times New Roman;serif" w:hAnsi="Times New Roman;serif"/>
                  <w:b w:val="false"/>
                  <w:color w:val="000080"/>
                  <w:sz w:val="18"/>
                  <w:u w:val="single"/>
                </w:rPr>
                <w:t>5</w:t>
              </w:r>
            </w:hyperlink>
            <w:hyperlink w:anchor="a1032formofrootinc2020equi.htm">
              <w:r>
                <w:rPr>
                  <w:rStyle w:val="InternetLink"/>
                  <w:rFonts w:ascii="Times New Roman;serif" w:hAnsi="Times New Roman;serif"/>
                  <w:b w:val="false"/>
                  <w:color w:val="000080"/>
                  <w:sz w:val="18"/>
                  <w:u w:val="single"/>
                </w:rPr>
                <w:t xml:space="preserve"> Grant)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Executive Employment Agreement with Jon Allison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18"/>
                  <w:u w:val="single"/>
                </w:rPr>
                <w:t>Root, Inc. Non-Employee Director Compensation Policy adopted February 20, 2025</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18"/>
                  <w:u w:val="single"/>
                </w:rPr>
                <w:t>Form of Root, Inc. Non-Employee Director Deferral Form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10-Q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18"/>
                  <w:u w:val="single"/>
                </w:rPr>
                <w:t>2025 Short-Term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Amended and Restated Form of Root, Inc. 2020 Equity Incentive Plan Performance-Based RSU Award Grant Notice and Agreement (2024 Grant)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18"/>
                  <w:u w:val="single"/>
                </w:rPr>
                <w:t>Amended and Restated Form of Root, Inc. 2020 Equity Incentive Plan Performance-Based RSU Award Grant Notice and Agreement Retirement-Eligible (2024 Grant)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18"/>
                  <w:u w:val="single"/>
                </w:rPr>
                <w:t>Policy for the Acceleration of Equity Awards in the Event of Death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18"/>
                  <w:u w:val="single"/>
                </w:rPr>
                <w:t>Root, Inc. Non-Employee Director Compensation Policy adopted May 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18"/>
                  <w:u w:val="single"/>
                </w:rPr>
                <w:t>Root, Inc. RSU Award Grant Notice (Non-Employee Director Deferral)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42amendedandrestatedroo.htm">
              <w:r>
                <w:rPr>
                  <w:rStyle w:val="InternetLink"/>
                  <w:rFonts w:ascii="Times New Roman;serif" w:hAnsi="Times New Roman;serif"/>
                  <w:b w:val="false"/>
                  <w:color w:val="0000FF"/>
                  <w:sz w:val="18"/>
                  <w:u w:val="single"/>
                </w:rPr>
                <w:t>Amended and Restated Root, Inc. Non-Employee Director Deferral Form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18"/>
                  <w:u w:val="single"/>
                </w:rPr>
                <w:t>Amended and Restated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6"/>
        <w:gridCol w:w="169"/>
        <w:gridCol w:w="171"/>
        <w:gridCol w:w="109"/>
        <w:gridCol w:w="109"/>
        <w:gridCol w:w="109"/>
        <w:gridCol w:w="1768"/>
        <w:gridCol w:w="1572"/>
        <w:gridCol w:w="1576"/>
        <w:gridCol w:w="109"/>
        <w:gridCol w:w="109"/>
        <w:gridCol w:w="109"/>
        <w:gridCol w:w="127"/>
        <w:gridCol w:w="127"/>
        <w:gridCol w:w="128"/>
        <w:gridCol w:w="109"/>
        <w:gridCol w:w="109"/>
        <w:gridCol w:w="109"/>
        <w:gridCol w:w="215"/>
        <w:gridCol w:w="215"/>
        <w:gridCol w:w="216"/>
        <w:gridCol w:w="109"/>
        <w:gridCol w:w="109"/>
        <w:gridCol w:w="109"/>
        <w:gridCol w:w="140"/>
        <w:gridCol w:w="140"/>
        <w:gridCol w:w="141"/>
        <w:gridCol w:w="109"/>
        <w:gridCol w:w="109"/>
        <w:gridCol w:w="109"/>
        <w:gridCol w:w="311"/>
        <w:gridCol w:w="311"/>
        <w:gridCol w:w="313"/>
        <w:gridCol w:w="109"/>
        <w:gridCol w:w="109"/>
        <w:gridCol w:w="109"/>
        <w:gridCol w:w="109"/>
        <w:gridCol w:w="109"/>
        <w:gridCol w:w="159"/>
      </w:tblGrid>
      <w:tr>
        <w:trPr/>
        <w:tc>
          <w:tcPr>
            <w:tcW w:w="2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11listofsubsidiaries2025.htm">
              <w:r>
                <w:rPr>
                  <w:rStyle w:val="InternetLink"/>
                  <w:rFonts w:ascii="Times New Roman;serif" w:hAnsi="Times New Roman;serif"/>
                  <w:b w:val="false"/>
                  <w:color w:val="0000FF"/>
                  <w:sz w:val="18"/>
                  <w:u w:val="single"/>
                </w:rPr>
                <w:t>List of Subsidiaries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31consentofindependentre.htm">
              <w:r>
                <w:rPr>
                  <w:rStyle w:val="InternetLink"/>
                  <w:rFonts w:ascii="Times New Roman;serif" w:hAnsi="Times New Roman;serif"/>
                  <w:b w:val="false"/>
                  <w:color w:val="0000FF"/>
                  <w:sz w:val="18"/>
                  <w:u w:val="single"/>
                </w:rPr>
                <w:t>Consent of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of Attorney (incorporated by reference to the signature pages of this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hibit311.htm">
              <w:r>
                <w:rPr>
                  <w:rStyle w:val="InternetLink"/>
                  <w:rFonts w:ascii="Times New Roman;serif" w:hAnsi="Times New Roman;serif"/>
                  <w:b w:val="false"/>
                  <w:color w:val="0000FF"/>
                  <w:sz w:val="18"/>
                  <w:u w:val="single"/>
                </w:rPr>
                <w:t xml:space="preserve">Certification of Principal Executive Officer Pursuant to Rules 13a-14(a) and 15d-14(a) under the Securities Exchange Act of 1934,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hibit321.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18"/>
                  <w:u w:val="single"/>
                </w:rPr>
                <w:t>Root, Inc.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Schedules and exhibits to this Exhibit omitted pursuant to Regulation S-K Item 601(a)(5) and (b)(10). The Company agrees to furnish supplementally a copy of any omitted schedule or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Indicates management contract or compensatory plan. </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16"/>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them by reference.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25, 2026 </w:t>
      </w:r>
    </w:p>
    <w:tbl>
      <w:tblPr>
        <w:tblW w:w="3303" w:type="dxa"/>
        <w:jc w:val="left"/>
        <w:tblInd w:w="0" w:type="dxa"/>
        <w:tblLayout w:type="fixed"/>
        <w:tblCellMar>
          <w:top w:w="28" w:type="dxa"/>
          <w:left w:w="28" w:type="dxa"/>
          <w:bottom w:w="28" w:type="dxa"/>
          <w:right w:w="28" w:type="dxa"/>
        </w:tblCellMar>
      </w:tblPr>
      <w:tblGrid>
        <w:gridCol w:w="202"/>
        <w:gridCol w:w="178"/>
        <w:gridCol w:w="178"/>
        <w:gridCol w:w="796"/>
        <w:gridCol w:w="796"/>
        <w:gridCol w:w="1153"/>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ROOT, INC.</w:t>
            </w:r>
          </w:p>
        </w:tc>
      </w:tr>
      <w:tr>
        <w:trPr/>
        <w:tc>
          <w:tcPr>
            <w:tcW w:w="55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/s/Alexander Timm</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Alexander Timm</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and Director</w:t>
            </w:r>
          </w:p>
        </w:tc>
      </w:tr>
    </w:tbl>
    <w:p>
      <w:pPr>
        <w:pStyle w:val="TextBody"/>
        <w:bidi w:val="0"/>
        <w:spacing w:before="0" w:after="180"/>
        <w:ind w:left="0" w:right="0" w:firstLine="360"/>
        <w:jc w:val="left"/>
        <w:rPr/>
      </w:pPr>
      <w:r>
        <w:rPr/>
      </w:r>
    </w:p>
    <w:p>
      <w:pPr>
        <w:pStyle w:val="TextBody"/>
        <w:bidi w:val="0"/>
        <w:spacing w:before="0" w:after="180"/>
        <w:jc w:val="center"/>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Alexander Timm, Megan Binkley and Ryan Forish,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5991" w:type="dxa"/>
        <w:jc w:val="left"/>
        <w:tblInd w:w="0" w:type="dxa"/>
        <w:tblLayout w:type="fixed"/>
        <w:tblCellMar>
          <w:top w:w="28" w:type="dxa"/>
          <w:left w:w="28" w:type="dxa"/>
          <w:bottom w:w="28" w:type="dxa"/>
          <w:right w:w="28" w:type="dxa"/>
        </w:tblCellMar>
      </w:tblPr>
      <w:tblGrid>
        <w:gridCol w:w="559"/>
        <w:gridCol w:w="491"/>
        <w:gridCol w:w="495"/>
        <w:gridCol w:w="109"/>
        <w:gridCol w:w="900"/>
        <w:gridCol w:w="900"/>
        <w:gridCol w:w="914"/>
        <w:gridCol w:w="109"/>
        <w:gridCol w:w="441"/>
        <w:gridCol w:w="441"/>
        <w:gridCol w:w="63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Alexander Timm</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p>
            <w:pPr>
              <w:pStyle w:val="TableContents"/>
              <w:bidi w:val="0"/>
              <w:spacing w:lineRule="auto" w:line="276"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Principal Executive Officer</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Alexander Timm</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Megan Binkley</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76"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Principal Financial Officer</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Megan Binkley</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Ryan Forish</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Chief Accounting Officer</w:t>
            </w:r>
          </w:p>
          <w:p>
            <w:pPr>
              <w:pStyle w:val="TableContents"/>
              <w:bidi w:val="0"/>
              <w:spacing w:lineRule="auto" w:line="276"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Principal Accounting Officer</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Ryan Forish</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Doug Ulman</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Doug Ulman</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Jerri DeVard</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Jerri DeVard</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Larry Hilsheimer</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Larry Hilsheimer</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Beth Birnbaum</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Beth Birnbaum</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Nancy Kramer</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Nancy Kramer</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Julie Szudarek</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Julie Szudarek</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Donna Dorsey</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February 25, 2026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Donna Dorsey</w:t>
            </w:r>
          </w:p>
        </w:tc>
        <w:tc>
          <w:tcPr>
            <w:tcW w:w="109" w:type="dxa"/>
            <w:tcBorders/>
            <w:vAlign w:val="center"/>
          </w:tcPr>
          <w:p>
            <w:pPr>
              <w:pStyle w:val="TableContents"/>
              <w:bidi w:val="0"/>
              <w:spacing w:before="0" w:after="283"/>
              <w:jc w:val="left"/>
              <w:rPr>
                <w:sz w:val="4"/>
                <w:szCs w:val="4"/>
              </w:rPr>
            </w:pPr>
            <w:r>
              <w:rPr>
                <w:sz w:val="4"/>
                <w:szCs w:val="4"/>
              </w:rPr>
            </w:r>
          </w:p>
        </w:tc>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80"/>
        <w:ind w:left="0" w:right="0" w:firstLine="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4.2</w:t>
      </w:r>
    </w:p>
    <w:p>
      <w:pPr>
        <w:pStyle w:val="TextBody"/>
        <w:bidi w:val="0"/>
        <w:spacing w:lineRule="auto" w:line="333" w:before="200" w:after="283"/>
        <w:jc w:val="center"/>
        <w:rPr>
          <w:rFonts w:ascii="Times New Roman;serif" w:hAnsi="Times New Roman;serif"/>
          <w:b/>
          <w:color w:val="000000"/>
          <w:sz w:val="22"/>
        </w:rPr>
      </w:pPr>
      <w:r>
        <w:rPr>
          <w:rFonts w:ascii="Times New Roman;serif" w:hAnsi="Times New Roman;serif"/>
          <w:b/>
          <w:color w:val="000000"/>
          <w:sz w:val="22"/>
        </w:rPr>
        <w:t>DESCRIPTION OF THE REGISTRANT’S SECURITIES</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REGISTERED PURSUANT TO SECTION 12 OF THE SECURITIES</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EXCHANGE ACT OF 1934</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Root, Inc. had one class of securities registered under Section 12 of the Securities Exchange Act of 1934, as amended (the “Exchange Act”): our Class A common stock, $0.0001 par value per share (“Class A Common Stock”). References herein to the terms “we,” “our” and “us” refer to Root, Inc. and its subsidiaries.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The following description of our capital stock is a summary and does not purport to be complete. It is subject to, and qualified in its entirety by reference to, the applicable provisions of our amended and restated certificate of incorporation, as amended, our amended and restated bylaws and our investors’ rights agreement entered into in November 2019, which are filed as exhibits to our Annual Report on Form 10-K, of which this Exhibit 4.2 is a part, and are incorporated by reference herein. We encourage you to read our amended and restated certificate of incorporation, our certificate of amendment to our amended and restated certificate of incorporation, our amended and restated bylaws, our investors’ rights agreement and the applicable provisions of the Delaware General Corporation Law (the “DGCL”), for more information.</w: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 xml:space="preserve">General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amended and restated certificate of incorporation provides for two classes of common stock: Class A Common Stock and Class B common stock, par value $0.0001 per share (“Class B Common Stock”). In addition, our amended and restated certificate of incorporation authorizes shares of undesignated preferred stock, the rights, preferences and privileges of which may be designated from time to time by our board of directors.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authorized capital stock consists of 1,369,000,000 shares, all with a par value of $0.0001 per share, of which 1,000,000,000 shares are designated as Class A Common Stock, 269,000,000 shares are designated as Class B Common Stock and 100,000,000 shares are designated as preferred stock.</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On August 11, 2021, we entered into an Investment Agreement (the “Investment Agreement”) with Carvana Group, LLC (“Carvana”) relating to the issuance of 14,053,096 shares of Series A Convertible Preferred Stock, par value $0.0001 per share (the “Series A Preferred Stock”). The Series A Preferred Stock had an aggregate initial liquidation preference of approximately $126 million (the “Initial Liquidation Preference”) and was convertible into shares of Class A Common Stock at an initial conversion price of $9.00 per share of Class A Common Stock.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On August 12, 2022, we filed a certificate of amendment to our amended and restated certificate of incorporation in order to effect a 1-for-18 reverse stock split of our Class A Common Stock and Class B Common Stock (the “Reverse Stock Split”). As a result of the Reverse Stock Split, every 18 shares of pre-reverse split Class A Common Stock and Class B Common Stock were combined and reclassified into one share of Class A Common Stock and Class B Common Stock, respectively. The Reverse Stock Split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had no effect on the number of authorized shares of Class A Common Stock, Class B Common Stock or preferred stock, or on the stated par value of our Class A Common Stock, Class B Common Stock or preferred stock.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As a result of the Reverse Stock Split, the conversion price for the Series A Preferred Stock was adjusted to $162.00 per share of Class A Common Stock (the “Conversion Price”).</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board of directors is authorized, without stockholder approval except as required by the listing standards of the Nasdaq Stock Market, to issue additional shares of our capital stock. </w: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 xml:space="preserve">Class A Common Stock and Class B Common Stock </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 xml:space="preserve">Voting Rights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Holders of Class A Common Stock are entitled to one vote per share on all matters to be voted upon by the stockholders. Holders of Class B Common Stock are entitled to ten votes per share on all matters to be voted upon by the stockholders. The holders of our Class A Common Stock and Class B Common Stock generally vote together as a single class on all matters submitted to a vote of our stockholders (including the election of directors), unless otherwise required by Delaware law or our amended and restated certificate of incorporation.</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Investment Agreement, Carvana has agreed to vote its shares of preferred stock (i) for our nominees for director and (ii) in the same proportion as unaffiliated stockholders with respect to all other proposals. “Unaffiliated stockholders” shall not include any of our current directors or officers or any other beneficial owner of more than 5.0% (determined on a fully diluted basis) of our outstanding Class A Common Stock and Class B Common Stock (other than investors that are eligible to file a Schedule 13G with the Securities and Exchange Commission (the “SEC”) pursuant to Rule 13d-1(b) under the Exchange Act) and any affiliate of any of the foregoing persons.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amended and restated certificate of incorporation does not provide for cumulative voting for the election of directors. </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Dividend Rights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would be permitted. State insurance regulatory authorities that have jurisdiction over the payment of dividends by our insurance subsidiaries may in the future adopt statutory provisions more restrictive than those currently in effect.</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Right to Receive Liquidation Distributions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such affected class, voting separately as a class.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Subdivisions and Combinations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If we subdivide or combine in any manner outstanding shares of Class A Common Stock or Class B Common Stock, the outstanding shares of the other classes will be subdivided or combined in the same manner.</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Other Matters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Class A Common Stock and Class B Common Stock are not entitled to preemptive rights, and are not subject to conversion, redemption or sinking fund provisions, except for the conversion provisions with respect to the Class B Common Stock described below.</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Conversion</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Each outstanding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Any holder’s shares of Class B Common Stock will convert automatically into Class A Common Stock, on a one-to-one basis, upon the following: (1) sale or transfer of such share of Class B Common Stock; (2) the death of the holder of Class B Common Stock; and (3) on the final conversion date, defined as the earliest of (a) the first trading day falling nine months after the date on which the outstanding shares of Class B Common Stock represent less than 10% of the aggregate number of shares then outstanding of Class A Common Stock and Class B Common Stock; (b) the tenth anniversary of effectiveness under the DGCL of the amended and restated certificate of incorporation immediately prior to our initial public offering, and (c) the date specified by the holders of a majority of then-outstanding shares of Class B Common Stock, voting together as a single class.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Once transferred and converted into Class A Common Stock, the Class B Common Stock may not be reissued.</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 xml:space="preserve">Series A Preferred Stock </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Maturity</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Series A Preferred Stock is perpetual with no fixed maturity date. </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Ranking</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Series A Preferred Stock ranks superior to all of our junior common stock, including both the Class A Common Stock and Class B Common Stock. </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 xml:space="preserve">Voting Rights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Holders of Series A Preferred Stock are entitled to one vote per share, on an as-converted basis, on all matters to be voted upon by the holders of Class A Common Stock and Class B Common Stock. Holders of Series A Preferred Stock generally vote together with the holders of the Class A Common Stock and Class B Common Stock as a single class on all matters submitted to a vote of our stockholders (including the election of directors), unless otherwise required by Delaware law or our amended and restated certificate of incorporation.</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Investment Agreement, Carvana has agreed to vote its shares of Series A Preferred Stock (i) for our nominees for director and (ii) in the same proportion as unaffiliated stockholders with respect to all other proposals. “Unaffiliated stockholders” shall not include any of our current directors or officers or any other beneficial owner of more than 5.0% (determined on a fully diluted basis) of our outstanding Class A Common Stock and Class B Common Stock (other than investors that are eligible to file a Schedule 13G with the SEC pursuant to Rule 13d-1(b) under the Exchange Act) and any affiliate of any of the foregoing persons.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amended and restated certificate of incorporation does not provide for cumulative voting for the election of directors. </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Dividend Rights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Holders of Series A Preferred Stock are not entitled to any dividends, except when, as and if declared by the board of directors at its own discretion out of funds legally available for that purpose following the fifth anniversary of the earlier of the date of completion of the development of an integrated automobile insurance solution for Carvana’s online car buying platform or 18 months following October 1, 2021, following which holders of Series A Preferred Stock are entitled to dividends at a rate of 5.0% per annum.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Right to Receive Liquidation Distributions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Upon our dissolution, liquidation, or winding-up, the assets legally available for distribution to our stockholders are distributable ratably among the holders of our Series A Preferred Stock, subject to prior satisfaction of all outstanding debt and liabilities, unless a different treatment is approved by the affirmative vote of the holders of a majority of the Series A Preferred Stock, voting separately as a class.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Other Matters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Series A Preferred Stock are not entitled to preemptive rights, and are not subject to conversion, redemption or sinking fund provisions, except for the conversion provisions described below.</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Conversion</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Each outstanding share of Series A Preferred Stock is convertible at any time at the option of the holder into a number of shares of Class A Common Stock equal to the Initial Liquidation Preference plus the amount of any accrued but unpaid dividends thereon as of such date (the “Liquidation Preference) divided by the Conversion Price. In the event that dividends or distributions payable in shares of the Class A Common Stock or Class B Common Stock are paid on the Class A Common Stock or Class B Common Stock, the new conversion price will be the Conversion Price, multiplied by the quotient, rounded to the nearest one-thousandth, of (i) the number of shares of the Class A Common Stock and Class B Common Stock, taken together, outstanding immediately prior to the effectiveness of such an event divided by (ii) the number of shares of the Class A Common Stock and Class B Common Stock, taken together, outstanding immediately following, and solely as a result of, such an event.</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Series A Preferred Stock is mandatorily convertible or redeemable in connection with any change of control of Root, Inc. </w: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Registration Rights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We are party to an investors’ rights agreement that provides holders of a substantial number of shares with rights, subject to certain conditions, to require us to file registration statements covering the sale of their shares or to include their shares in registration statements that we may file for ourselves or other stockholders. The registration of shares of our common stock by the exercise of such registration rights would enable the holders of such shares to sell these shares without restriction under the Securities Act of 1933, as amended (the “Securities Act”), when the applicable registration statement is declared effective. We will pay the registration expenses, other than underwriting discounts and commissions, of the shares registered pursuant to such registration rights. The registration rights under our investors’ rights agreement will terminate five years after the closing of our initial public offering, or with respect to any particular stockholder, such time after the closing of our initial public offering that such stockholder can sell all of its shares entitled to registration rights under Rule 144 of the Securities Act during any 90-day period.</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are party to a registration rights agreement with Carvana that provides Carvana with rights, subject to certain conditions, to require us to file registration statements covering the sale of their shares or to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include its shares in registration statements that we may file for ourselves or other stockholders. The registration of shares of our common stock by the exercise of such registration rights would enable the holder of such shares to sell these shares without restriction under the Securities Act when the applicable registration statement is declared effective. We will pay the registration expenses, other than underwriting discounts and commissions, of the shares registered pursuant to such registration rights.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are party to a registration rights agreement with certain subsidiaries of BlackRock Financial Management, Inc. (collectively, “BlackRock”) that provides BlackRock with rights, subject to certain conditions, to require us to include its shares in registration statements that we may file for ourselves or other stockholders. The registration of shares of our common stock by the exercise of such registration rights would enable the holder of such shares to sell these shares without restriction under the Securities Act when the applicable registration statement is declared effective. We will pay the registration expenses, other than underwriting discounts and commissions, of the shares registered pursuant to such registration rights. </w: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Anti-Takeover Effects of Delaware Law and Our Certificate of Incorporation and Bylaws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Stockholder Meetings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amended and restated bylaws provide that a special meeting of stockholders may be called only by our chairman of the board, chief executive officer or president, or by a resolution adopted by a majority of our board of directors.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Requirements for Advance Notification of Stockholder Nominations and Proposals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Elimination of Stockholder Action by Written Consent</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and amended and restated bylaws eliminate the right of stockholders to act by written consent without a meeting.</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Staggered Board</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board of directors is divided into three classes. The directors in each class serves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Removal of Directors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Stockholders Not Entitled to Cumulative Voting</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Our amended and restated certificate of incorporation does not permit stockholders to cumulate their votes in the election of directors. Accordingly, the holders of a majority of the outstanding shares of our Class A Common Stock and Class B Common Stock entitled to vote in any election of directors can elect all of the directors standing for election, if they choose, other than any directors that holders of our Series A Preferred Stock may be entitled to elect.</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Delaware Anti-Takeover Statute</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Choice of Forum</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subject matter jurisdiction, the federal district court for the District of Delaware) is the sole and exclusive forum for the following claims or causes of action under Delaware statutory or common law: (i) any derivative claim or cause of action brought on our behalf; (ii) any claim or cause of action asserting a claim of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This choice of forum provision would not apply to suits brought to enforce a duty or liability created by the Exchange Act or any other claim for which the federal courts have exclusive jurisdiction, or the Securities Act.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bidi w:val="0"/>
        <w:spacing w:lineRule="auto" w:line="333" w:before="200" w:after="283"/>
        <w:jc w:val="left"/>
        <w:rPr>
          <w:rFonts w:ascii="Times New Roman;serif" w:hAnsi="Times New Roman;serif"/>
          <w:b/>
          <w:i/>
          <w:color w:val="000000"/>
          <w:sz w:val="22"/>
        </w:rPr>
      </w:pPr>
      <w:r>
        <w:rPr>
          <w:rFonts w:ascii="Times New Roman;serif" w:hAnsi="Times New Roman;serif"/>
          <w:b/>
          <w:i/>
          <w:color w:val="000000"/>
          <w:sz w:val="22"/>
        </w:rPr>
        <w:t>Amendment of Charter Provisions</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 xml:space="preserve">Exchange Listing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Our Class A Common Stock is listed on the Nasdaq Stock Market under the symbol “ROOT.”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erif" w:hAnsi="Times New Roman;serif"/>
          <w:b/>
          <w:color w:val="000000"/>
          <w:sz w:val="22"/>
        </w:rPr>
      </w:pPr>
      <w:r>
        <w:rPr>
          <w:rFonts w:ascii="Times New Roman;serif" w:hAnsi="Times New Roman;serif"/>
          <w:b/>
          <w:color w:val="000000"/>
          <w:sz w:val="22"/>
        </w:rPr>
        <w:t xml:space="preserve">Transfer Agent and Registrar </w:t>
      </w:r>
    </w:p>
    <w:p>
      <w:pPr>
        <w:pStyle w:val="TextBody"/>
        <w:bidi w:val="0"/>
        <w:spacing w:lineRule="auto" w:line="333" w:before="20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transfer agent and registrar for our Class A Common Stock, Class B Common Stock and preferred stock is Equiniti Trust Company, LLC. The transfer agent’s address is 28 Liberty Street, Floor 53, New York, New York 10005 and the telephone number is (800) 937-5449.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10.31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ROOT, INC. </w:t>
      </w:r>
    </w:p>
    <w:p>
      <w:pPr>
        <w:pStyle w:val="TextBody"/>
        <w:bidi w:val="0"/>
        <w:spacing w:lineRule="auto" w:line="268" w:before="0" w:after="0"/>
        <w:ind w:left="0" w:right="0" w:firstLine="1260"/>
        <w:jc w:val="center"/>
        <w:rPr>
          <w:rFonts w:ascii="Times New Roman;serif" w:hAnsi="Times New Roman;serif"/>
          <w:b/>
          <w:color w:val="000000"/>
          <w:sz w:val="24"/>
        </w:rPr>
      </w:pPr>
      <w:r>
        <w:rPr>
          <w:rFonts w:ascii="Times New Roman;serif" w:hAnsi="Times New Roman;serif"/>
          <w:b/>
          <w:color w:val="000000"/>
          <w:sz w:val="24"/>
        </w:rPr>
        <w:t>PERFORMANCE-BASED RSU AWARD GRANT NOTICE</w:t>
      </w:r>
    </w:p>
    <w:p>
      <w:pPr>
        <w:pStyle w:val="TextBody"/>
        <w:bidi w:val="0"/>
        <w:spacing w:lineRule="auto" w:line="268" w:before="0" w:after="180"/>
        <w:jc w:val="center"/>
        <w:rPr>
          <w:rFonts w:ascii="Times New Roman;serif" w:hAnsi="Times New Roman;serif"/>
          <w:b/>
          <w:color w:val="000000"/>
          <w:sz w:val="24"/>
        </w:rPr>
      </w:pPr>
      <w:r>
        <w:rPr>
          <w:rFonts w:ascii="Times New Roman;serif" w:hAnsi="Times New Roman;serif"/>
          <w:b/>
          <w:color w:val="000000"/>
          <w:sz w:val="24"/>
        </w:rPr>
        <w:t xml:space="preserve">(2020 EQUITY INCENTIVE PLAN) </w:t>
      </w:r>
    </w:p>
    <w:p>
      <w:pPr>
        <w:pStyle w:val="TextBody"/>
        <w:bidi w:val="0"/>
        <w:spacing w:lineRule="auto" w:line="228" w:before="0" w:after="180"/>
        <w:jc w:val="both"/>
        <w:rPr/>
      </w:pPr>
      <w:r>
        <w:rPr>
          <w:rFonts w:ascii="Times New Roman;serif" w:hAnsi="Times New Roman;serif"/>
          <w:b w:val="false"/>
          <w:color w:val="000000"/>
          <w:sz w:val="20"/>
        </w:rPr>
        <w:t xml:space="preserve">Root, Inc. (the </w:t>
      </w:r>
      <w:r>
        <w:rPr>
          <w:color w:val="000000"/>
        </w:rPr>
        <w:t>“</w:t>
      </w:r>
      <w:r>
        <w:rPr>
          <w:rFonts w:ascii="Times New Roman;serif" w:hAnsi="Times New Roman;serif"/>
          <w:b/>
          <w:i/>
          <w:color w:val="000000"/>
          <w:sz w:val="20"/>
        </w:rPr>
        <w:t>Company”</w:t>
      </w:r>
      <w:r>
        <w:rPr>
          <w:rFonts w:ascii="Times New Roman;serif" w:hAnsi="Times New Roman;serif"/>
          <w:b w:val="false"/>
          <w:color w:val="000000"/>
          <w:sz w:val="20"/>
        </w:rPr>
        <w:t>) has awarded to you (the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xml:space="preserve">) the number of restricted stock units specified and on the terms set forth below in consideration of your services (the </w:t>
      </w:r>
      <w:r>
        <w:rPr>
          <w:color w:val="000000"/>
        </w:rPr>
        <w:t>“</w:t>
      </w:r>
      <w:r>
        <w:rPr>
          <w:rFonts w:ascii="Times New Roman;serif" w:hAnsi="Times New Roman;serif"/>
          <w:b/>
          <w:i/>
          <w:color w:val="000000"/>
          <w:sz w:val="20"/>
        </w:rPr>
        <w:t>RSU Award”</w:t>
      </w:r>
      <w:r>
        <w:rPr>
          <w:rFonts w:ascii="Times New Roman;serif" w:hAnsi="Times New Roman;serif"/>
          <w:b w:val="false"/>
          <w:color w:val="000000"/>
          <w:sz w:val="20"/>
        </w:rPr>
        <w:t xml:space="preserve">). Your RSU Award is subject to all of the terms and conditions as set forth herein and in the Company’s 2020 Equity Incentive Plan (the </w:t>
      </w:r>
      <w:r>
        <w:rPr>
          <w:color w:val="000000"/>
        </w:rPr>
        <w:t>“</w:t>
      </w:r>
      <w:r>
        <w:rPr>
          <w:rFonts w:ascii="Times New Roman;serif" w:hAnsi="Times New Roman;serif"/>
          <w:b/>
          <w:i/>
          <w:color w:val="000000"/>
          <w:sz w:val="20"/>
        </w:rPr>
        <w:t>Plan”</w:t>
      </w:r>
      <w:r>
        <w:rPr>
          <w:rFonts w:ascii="Times New Roman;serif" w:hAnsi="Times New Roman;serif"/>
          <w:b w:val="false"/>
          <w:color w:val="000000"/>
          <w:sz w:val="20"/>
        </w:rPr>
        <w:t>) and the Award Agreement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which are incorporated herein in their entirety. Capitalized terms not explicitly defined herein but defined in the Plan or the Agreement shall have the meanings set forth in the Plan or the Agreement.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 PARTICIPANT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of Grant: GRANT DATE</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Target Number of Restricted Stock Units: TARGET SHARES GRANTED</w:t>
      </w:r>
    </w:p>
    <w:p>
      <w:pPr>
        <w:pStyle w:val="TextBody"/>
        <w:bidi w:val="0"/>
        <w:spacing w:lineRule="auto" w:line="230" w:before="0" w:after="180"/>
        <w:jc w:val="left"/>
        <w:rPr/>
      </w:pPr>
      <w:r>
        <w:rPr>
          <w:rFonts w:ascii="Times New Roman;serif" w:hAnsi="Times New Roman;serif"/>
          <w:b/>
          <w:color w:val="000000"/>
          <w:sz w:val="20"/>
        </w:rPr>
        <w:t>Vesting Schedule</w:t>
      </w:r>
      <w:r>
        <w:rPr>
          <w:rFonts w:ascii="Times New Roman;serif" w:hAnsi="Times New Roman;serif"/>
          <w:b w:val="false"/>
          <w:color w:val="000000"/>
          <w:sz w:val="20"/>
        </w:rPr>
        <w:t xml:space="preserve">: The RSU Award shall be earned and vest as set forth on Exhibit A. </w:t>
      </w:r>
    </w:p>
    <w:p>
      <w:pPr>
        <w:pStyle w:val="TextBody"/>
        <w:bidi w:val="0"/>
        <w:spacing w:lineRule="auto" w:line="237" w:before="0" w:after="180"/>
        <w:jc w:val="left"/>
        <w:rPr/>
      </w:pPr>
      <w:r>
        <w:rPr>
          <w:rFonts w:ascii="Times New Roman;serif" w:hAnsi="Times New Roman;serif"/>
          <w:b/>
          <w:color w:val="000000"/>
          <w:sz w:val="20"/>
        </w:rPr>
        <w:t xml:space="preserve">Issuance Schedule: </w:t>
      </w:r>
      <w:r>
        <w:rPr>
          <w:rFonts w:ascii="Times New Roman;serif" w:hAnsi="Times New Roman;serif"/>
          <w:b w:val="false"/>
          <w:color w:val="000000"/>
          <w:sz w:val="20"/>
        </w:rPr>
        <w:t xml:space="preserve">One share of Common Stock will be issued for each restricted stock unit, with the right to earn up to 200% of the target number, which vests at the time set forth in Section 5 of the Agreement. </w:t>
      </w:r>
    </w:p>
    <w:p>
      <w:pPr>
        <w:pStyle w:val="TextBody"/>
        <w:bidi w:val="0"/>
        <w:spacing w:lineRule="auto" w:line="223" w:before="0" w:after="180"/>
        <w:jc w:val="left"/>
        <w:rPr/>
      </w:pPr>
      <w:r>
        <w:rPr>
          <w:rFonts w:ascii="Times New Roman;serif" w:hAnsi="Times New Roman;serif"/>
          <w:b/>
          <w:color w:val="000000"/>
          <w:sz w:val="20"/>
        </w:rPr>
        <w:t xml:space="preserve">Participant Acknowledgements: </w:t>
      </w:r>
      <w:r>
        <w:rPr>
          <w:rFonts w:ascii="Times New Roman;serif" w:hAnsi="Times New Roman;serif"/>
          <w:b w:val="false"/>
          <w:color w:val="000000"/>
          <w:sz w:val="20"/>
        </w:rPr>
        <w:t xml:space="preserve">By your signature below or by electronic acceptance or authentication in a form authorized by the Company, you understand and agree that: </w:t>
      </w:r>
    </w:p>
    <w:p>
      <w:pPr>
        <w:pStyle w:val="TextBody"/>
        <w:bidi w:val="0"/>
        <w:spacing w:lineRule="auto" w:line="223" w:before="0" w:after="180"/>
        <w:ind w:left="0" w:right="0" w:firstLine="720"/>
        <w:jc w:val="both"/>
        <w:rPr/>
      </w:pPr>
      <w:r>
        <w:rPr>
          <w:color w:val="000000"/>
        </w:rPr>
        <w:t xml:space="preserve">● </w:t>
      </w:r>
      <w:r>
        <w:rPr>
          <w:rFonts w:ascii="Times New Roman;serif" w:hAnsi="Times New Roman;serif"/>
          <w:b w:val="false"/>
          <w:color w:val="000000"/>
          <w:sz w:val="20"/>
        </w:rPr>
        <w:t>The RSU Award is governed by this RSU Award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the provisions of the Plan and the Agreement, all of which are made a part of this document. Unless otherwise provided in the Plan, this Grant Notice and the Agreement (together, the “</w:t>
      </w:r>
      <w:r>
        <w:rPr>
          <w:rFonts w:ascii="Times New Roman;serif" w:hAnsi="Times New Roman;serif"/>
          <w:b/>
          <w:i/>
          <w:color w:val="000000"/>
          <w:sz w:val="20"/>
        </w:rPr>
        <w:t>RSU Award Agreement</w:t>
      </w:r>
      <w:r>
        <w:rPr>
          <w:color w:val="000000"/>
        </w:rPr>
        <w:t>”</w:t>
      </w:r>
      <w:r>
        <w:rPr>
          <w:rFonts w:ascii="Times New Roman;serif" w:hAnsi="Times New Roman;serif"/>
          <w:b w:val="false"/>
          <w:color w:val="000000"/>
          <w:sz w:val="20"/>
        </w:rPr>
        <w:t xml:space="preserve">) may not be modified, amended or revised except in a writing signed by you and a duly authorized officer of the Company. </w:t>
      </w:r>
    </w:p>
    <w:p>
      <w:pPr>
        <w:pStyle w:val="TextBody"/>
        <w:bidi w:val="0"/>
        <w:spacing w:lineRule="auto" w:line="216" w:before="0" w:after="180"/>
        <w:ind w:left="0" w:right="0" w:firstLine="720"/>
        <w:jc w:val="both"/>
        <w:rPr>
          <w:color w:val="000000"/>
        </w:rPr>
      </w:pPr>
      <w:r>
        <w:rPr>
          <w:color w:val="000000"/>
        </w:rPr>
        <w:t xml:space="preserve">● </w:t>
      </w:r>
      <w:r>
        <w:rPr>
          <w:rFonts w:ascii="Times New Roman;serif" w:hAnsi="Times New Roman;serif"/>
          <w:b w:val="false"/>
          <w:color w:val="000000"/>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23" w:before="0" w:after="180"/>
        <w:ind w:left="0" w:right="0" w:firstLine="720"/>
        <w:jc w:val="both"/>
        <w:rPr>
          <w:color w:val="000000"/>
        </w:rPr>
      </w:pPr>
      <w:r>
        <w:rPr>
          <w:color w:val="000000"/>
        </w:rPr>
        <w:t xml:space="preserve">● </w:t>
      </w:r>
      <w:r>
        <w:rPr>
          <w:rFonts w:ascii="Times New Roman;serif" w:hAnsi="Times New Roman;serif"/>
          <w:b w:val="false"/>
          <w:color w:val="000000"/>
          <w:sz w:val="20"/>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bidi w:val="0"/>
        <w:spacing w:lineRule="auto" w:line="26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ROOT, INC. PARTICIPANT: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Signature Signature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Title: Date: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Date: GRANT DATE</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76" w:before="0" w:after="180"/>
        <w:jc w:val="left"/>
        <w:rPr/>
      </w:pPr>
      <w:r>
        <w:rPr>
          <w:rFonts w:ascii="Times New Roman;serif" w:hAnsi="Times New Roman;serif"/>
          <w:b/>
          <w:color w:val="000000"/>
          <w:sz w:val="20"/>
        </w:rPr>
        <w:t>Attachments</w:t>
      </w:r>
      <w:r>
        <w:rPr>
          <w:rFonts w:ascii="Times New Roman;serif" w:hAnsi="Times New Roman;serif"/>
          <w:b w:val="false"/>
          <w:color w:val="000000"/>
          <w:sz w:val="20"/>
        </w:rPr>
        <w:t xml:space="preserve">: Award Agreement </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76" w:before="0" w:after="180"/>
        <w:jc w:val="right"/>
        <w:rPr>
          <w:rFonts w:ascii="Times New Roman;serif" w:hAnsi="Times New Roman;serif"/>
          <w:b w:val="false"/>
          <w:color w:val="000000"/>
          <w:sz w:val="20"/>
        </w:rPr>
      </w:pPr>
      <w:r>
        <w:rPr>
          <w:rFonts w:ascii="Times New Roman;serif" w:hAnsi="Times New Roman;serif"/>
          <w:b w:val="false"/>
          <w:color w:val="000000"/>
          <w:sz w:val="20"/>
        </w:rPr>
        <w:t>2025 PSU</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ROOT,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2020 EQUITY INCENTIVE PLAN </w:t>
      </w:r>
    </w:p>
    <w:p>
      <w:pPr>
        <w:pStyle w:val="TextBody"/>
        <w:bidi w:val="0"/>
        <w:spacing w:lineRule="auto" w:line="288" w:before="0" w:after="180"/>
        <w:jc w:val="center"/>
        <w:rPr/>
      </w:pPr>
      <w:r>
        <w:rPr>
          <w:rFonts w:ascii="Times New Roman;serif" w:hAnsi="Times New Roman;serif"/>
          <w:b/>
          <w:color w:val="000000"/>
          <w:sz w:val="20"/>
        </w:rPr>
        <w:t>AWARD AGREEMENT (Performance-Based RSU AWARD)</w:t>
      </w:r>
      <w:r>
        <w:rPr>
          <w:color w:val="000000"/>
        </w:rPr>
        <w:t xml:space="preserve"> </w:t>
      </w:r>
    </w:p>
    <w:p>
      <w:pPr>
        <w:pStyle w:val="TextBody"/>
        <w:bidi w:val="0"/>
        <w:spacing w:lineRule="auto" w:line="276" w:before="0" w:after="180"/>
        <w:ind w:left="0" w:right="0" w:firstLine="360"/>
        <w:jc w:val="left"/>
        <w:rPr/>
      </w:pPr>
      <w:r>
        <w:rPr>
          <w:rFonts w:ascii="Times New Roman;serif" w:hAnsi="Times New Roman;serif"/>
          <w:b w:val="false"/>
          <w:color w:val="000000"/>
          <w:sz w:val="20"/>
        </w:rPr>
        <w:t>As reflected by your Restricted Stock Unit Grant Notice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Root,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 RSU Award under its 2020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performance-based restricted stock units as indicated in your Grant Notice (the “</w:t>
      </w:r>
      <w:r>
        <w:rPr>
          <w:rFonts w:ascii="Times New Roman;serif" w:hAnsi="Times New Roman;serif"/>
          <w:b/>
          <w:i/>
          <w:color w:val="000000"/>
          <w:sz w:val="20"/>
        </w:rPr>
        <w:t>RSU Award</w:t>
      </w:r>
      <w:r>
        <w:rPr>
          <w:color w:val="000000"/>
        </w:rPr>
        <w:t>”</w:t>
      </w:r>
      <w:r>
        <w:rPr>
          <w:rFonts w:ascii="Times New Roman;serif" w:hAnsi="Times New Roman;serif"/>
          <w:b w:val="false"/>
          <w:color w:val="000000"/>
          <w:sz w:val="20"/>
        </w:rPr>
        <w:t>). The terms of your RSU Award as specified in this Award Agreement for your RSU Award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and the Grant Notice constitute your “</w:t>
      </w:r>
      <w:r>
        <w:rPr>
          <w:rFonts w:ascii="Times New Roman;serif" w:hAnsi="Times New Roman;serif"/>
          <w:b/>
          <w:i/>
          <w:color w:val="000000"/>
          <w:sz w:val="20"/>
        </w:rPr>
        <w:t>RSU Award Agreement</w:t>
      </w:r>
      <w:r>
        <w:rPr>
          <w:color w:val="000000"/>
        </w:rPr>
        <w:t>”</w:t>
      </w:r>
      <w:r>
        <w:rPr>
          <w:rFonts w:ascii="Times New Roman;serif" w:hAnsi="Times New Roman;serif"/>
          <w:b w:val="false"/>
          <w:color w:val="000000"/>
          <w:sz w:val="20"/>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76"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terms applicable to your RSU Award are as follows: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 GOVERNING PLAN DOCUMENT. </w:t>
      </w:r>
      <w:r>
        <w:rPr>
          <w:rFonts w:ascii="Times New Roman;serif" w:hAnsi="Times New Roman;serif"/>
          <w:b w:val="false"/>
          <w:color w:val="000000"/>
          <w:sz w:val="20"/>
        </w:rPr>
        <w:t xml:space="preserve">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2. GRANT OF THE RSU AWARD. </w:t>
      </w:r>
      <w:r>
        <w:rPr>
          <w:rFonts w:ascii="Times New Roman;serif" w:hAnsi="Times New Roman;serif"/>
          <w:b w:val="false"/>
          <w:color w:val="000000"/>
          <w:sz w:val="20"/>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3. DIVIDENDS. </w:t>
      </w:r>
      <w:r>
        <w:rPr>
          <w:rFonts w:ascii="Times New Roman;serif" w:hAnsi="Times New Roman;serif"/>
          <w:b w:val="false"/>
          <w:color w:val="000000"/>
          <w:sz w:val="20"/>
        </w:rPr>
        <w:t xml:space="preserve">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lineRule="auto" w:line="276"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4. WITHHOLDING OBLIGATIONS.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(a) </w:t>
      </w:r>
      <w:r>
        <w:rPr>
          <w:rFonts w:ascii="Times New Roman;serif" w:hAnsi="Times New Roman;serif"/>
          <w:b w:val="false"/>
          <w:color w:val="000000"/>
          <w:sz w:val="20"/>
        </w:rPr>
        <w:t>Regardless of any action taken by the Company or, if different, the Affiliate to which you provide Continuous Service (the “</w:t>
      </w:r>
      <w:r>
        <w:rPr>
          <w:rFonts w:ascii="Times New Roman;serif" w:hAnsi="Times New Roman;serif"/>
          <w:b/>
          <w:i/>
          <w:color w:val="000000"/>
          <w:sz w:val="20"/>
        </w:rPr>
        <w:t>Service Recipient</w:t>
      </w:r>
      <w:r>
        <w:rPr>
          <w:color w:val="000000"/>
        </w:rPr>
        <w:t>”</w:t>
      </w:r>
      <w:r>
        <w:rPr>
          <w:rFonts w:ascii="Times New Roman;serif" w:hAnsi="Times New Roman;serif"/>
          <w:b w:val="false"/>
          <w:color w:val="000000"/>
          <w:sz w:val="20"/>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serif" w:hAnsi="Times New Roman;serif"/>
          <w:b/>
          <w:i/>
          <w:color w:val="000000"/>
          <w:sz w:val="20"/>
        </w:rPr>
        <w:t>Tax Liability</w:t>
      </w:r>
      <w:r>
        <w:rPr>
          <w:color w:val="000000"/>
        </w:rPr>
        <w:t>”</w:t>
      </w:r>
      <w:r>
        <w:rPr>
          <w:rFonts w:ascii="Times New Roman;serif" w:hAnsi="Times New Roman;serif"/>
          <w:b w:val="false"/>
          <w:color w:val="000000"/>
          <w:sz w:val="20"/>
        </w:rPr>
        <w:t xml:space="preserve">),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(b) </w:t>
      </w:r>
      <w:r>
        <w:rPr>
          <w:rFonts w:ascii="Times New Roman;serif" w:hAnsi="Times New Roman;serif"/>
          <w:b w:val="false"/>
          <w:color w:val="000000"/>
          <w:sz w:val="20"/>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however, that to the extent necessary to qualify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pPr>
      <w:r>
        <w:rPr>
          <w:rFonts w:ascii="Times New Roman;serif" w:hAnsi="Times New Roman;serif"/>
          <w:b w:val="false"/>
          <w:color w:val="000000"/>
          <w:sz w:val="20"/>
        </w:rPr>
        <w:t>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serif" w:hAnsi="Times New Roman;serif"/>
          <w:b/>
          <w:i/>
          <w:color w:val="000000"/>
          <w:sz w:val="20"/>
        </w:rPr>
        <w:t>FINRA Dealer</w:t>
      </w:r>
      <w:r>
        <w:rPr>
          <w:color w:val="000000"/>
        </w:rPr>
        <w:t>”</w:t>
      </w:r>
      <w:r>
        <w:rPr>
          <w:rFonts w:ascii="Times New Roman;serif" w:hAnsi="Times New Roman;serif"/>
          <w:b w:val="false"/>
          <w:color w:val="000000"/>
          <w:sz w:val="20"/>
        </w:rPr>
        <w:t xml:space="preserve">),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(c) </w:t>
      </w:r>
      <w:r>
        <w:rPr>
          <w:rFonts w:ascii="Times New Roman;serif" w:hAnsi="Times New Roman;serif"/>
          <w:b w:val="false"/>
          <w:color w:val="000000"/>
          <w:sz w:val="20"/>
        </w:rPr>
        <w:t xml:space="preserve">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(d) </w:t>
      </w:r>
      <w:r>
        <w:rPr>
          <w:rFonts w:ascii="Times New Roman;serif" w:hAnsi="Times New Roman;serif"/>
          <w:b w:val="false"/>
          <w:color w:val="000000"/>
          <w:sz w:val="20"/>
        </w:rPr>
        <w:t xml:space="preserve">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 </w:t>
      </w:r>
    </w:p>
    <w:p>
      <w:pPr>
        <w:pStyle w:val="TextBody"/>
        <w:bidi w:val="0"/>
        <w:spacing w:lineRule="auto" w:line="276"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5. DATE OF ISSUANCE.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(a) </w:t>
      </w:r>
      <w:r>
        <w:rPr>
          <w:rFonts w:ascii="Times New Roman;serif" w:hAnsi="Times New Roman;serif"/>
          <w:b w:val="false"/>
          <w:color w:val="000000"/>
          <w:sz w:val="20"/>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serif" w:hAnsi="Times New Roman;serif"/>
          <w:b/>
          <w:i/>
          <w:color w:val="000000"/>
          <w:sz w:val="20"/>
        </w:rPr>
        <w:t>Original Issuance Date</w:t>
      </w:r>
      <w:r>
        <w:rPr>
          <w:rFonts w:ascii="Times New Roman;serif" w:hAnsi="Times New Roman;serif"/>
          <w:b w:val="false"/>
          <w:color w:val="000000"/>
          <w:sz w:val="20"/>
        </w:rPr>
        <w:t xml:space="preserve">.”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(b) </w:t>
      </w:r>
      <w:r>
        <w:rPr>
          <w:rFonts w:ascii="Times New Roman;serif" w:hAnsi="Times New Roman;serif"/>
          <w:b w:val="false"/>
          <w:color w:val="000000"/>
          <w:sz w:val="20"/>
        </w:rPr>
        <w:t xml:space="preserve">If the Original Issuance Date falls on a date that is not a business day, delivery shall instead occur on the next following business day. In addition, if: </w:t>
      </w:r>
    </w:p>
    <w:p>
      <w:pPr>
        <w:pStyle w:val="TextBody"/>
        <w:bidi w:val="0"/>
        <w:spacing w:lineRule="auto" w:line="276" w:before="0" w:after="180"/>
        <w:ind w:left="0" w:right="0" w:firstLine="1080"/>
        <w:jc w:val="left"/>
        <w:rPr/>
      </w:pPr>
      <w:r>
        <w:rPr>
          <w:rFonts w:ascii="Times New Roman;serif" w:hAnsi="Times New Roman;serif"/>
          <w:b/>
          <w:color w:val="000000"/>
          <w:sz w:val="20"/>
        </w:rPr>
        <w:t xml:space="preserve">(i) </w:t>
      </w:r>
      <w:r>
        <w:rPr>
          <w:rFonts w:ascii="Times New Roman;serif" w:hAnsi="Times New Roman;serif"/>
          <w:b w:val="false"/>
          <w:color w:val="000000"/>
          <w:sz w:val="20"/>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0"/>
        </w:rPr>
        <w:t>10b5-1 Arrangement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and </w:t>
      </w:r>
    </w:p>
    <w:p>
      <w:pPr>
        <w:pStyle w:val="TextBody"/>
        <w:bidi w:val="0"/>
        <w:spacing w:lineRule="auto" w:line="276" w:before="0" w:after="180"/>
        <w:ind w:left="0" w:right="0" w:firstLine="1080"/>
        <w:jc w:val="left"/>
        <w:rPr/>
      </w:pPr>
      <w:r>
        <w:rPr>
          <w:rFonts w:ascii="Times New Roman;serif" w:hAnsi="Times New Roman;serif"/>
          <w:b/>
          <w:color w:val="000000"/>
          <w:sz w:val="20"/>
        </w:rPr>
        <w:t xml:space="preserve">(ii) </w:t>
      </w:r>
      <w:r>
        <w:rPr>
          <w:rFonts w:ascii="Times New Roman;serif" w:hAnsi="Times New Roman;serif"/>
          <w:b w:val="false"/>
          <w:color w:val="000000"/>
          <w:sz w:val="20"/>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serif" w:hAnsi="Times New Roman;serif"/>
          <w:b w:val="false"/>
          <w:color w:val="000000"/>
          <w:sz w:val="20"/>
          <w:u w:val="single"/>
        </w:rPr>
        <w:t>then</w:t>
      </w:r>
      <w:r>
        <w:rPr>
          <w:color w:val="000000"/>
        </w:rPr>
        <w:t xml:space="preserve"> </w:t>
      </w:r>
      <w:r>
        <w:rPr>
          <w:rFonts w:ascii="Times New Roman;serif" w:hAnsi="Times New Roman;serif"/>
          <w:b w:val="false"/>
          <w:color w:val="000000"/>
          <w:sz w:val="20"/>
        </w:rPr>
        <w:t xml:space="preserve">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pPr>
      <w:r>
        <w:rPr>
          <w:rFonts w:ascii="Times New Roman;serif" w:hAnsi="Times New Roman;serif"/>
          <w:b w:val="false"/>
          <w:color w:val="000000"/>
          <w:sz w:val="20"/>
        </w:rPr>
        <w:t xml:space="preserve">Date occurs), or, </w:t>
      </w:r>
      <w:r>
        <w:rPr>
          <w:rFonts w:ascii="Times New Roman;serif" w:hAnsi="Times New Roman;serif"/>
          <w:b w:val="false"/>
          <w:color w:val="000000"/>
          <w:sz w:val="20"/>
          <w:u w:val="single"/>
        </w:rPr>
        <w:t>if and only if</w:t>
      </w:r>
      <w:r>
        <w:rPr>
          <w:color w:val="000000"/>
        </w:rPr>
        <w:t xml:space="preserve"> </w:t>
      </w:r>
      <w:r>
        <w:rPr>
          <w:rFonts w:ascii="Times New Roman;serif" w:hAnsi="Times New Roman;serif"/>
          <w:b w:val="false"/>
          <w:color w:val="000000"/>
          <w:sz w:val="20"/>
        </w:rPr>
        <w:t xml:space="preserve">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6. TRANSFERABILITY. </w:t>
      </w:r>
      <w:r>
        <w:rPr>
          <w:rFonts w:ascii="Times New Roman;serif" w:hAnsi="Times New Roman;serif"/>
          <w:b w:val="false"/>
          <w:color w:val="000000"/>
          <w:sz w:val="20"/>
        </w:rPr>
        <w:t xml:space="preserve">Except as otherwise provided in the Plan, your RSU Award is not transferable, except by will or by the applicable laws of descent and distribution.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7. CORPORATE TRANSACTION. </w:t>
      </w:r>
      <w:r>
        <w:rPr>
          <w:rFonts w:ascii="Times New Roman;serif" w:hAnsi="Times New Roman;serif"/>
          <w:b w:val="false"/>
          <w:color w:val="000000"/>
          <w:sz w:val="20"/>
        </w:rPr>
        <w:t xml:space="preserve">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76" w:before="0" w:after="180"/>
        <w:ind w:left="0" w:right="0" w:firstLine="360"/>
        <w:jc w:val="left"/>
        <w:rPr/>
      </w:pPr>
      <w:r>
        <w:rPr>
          <w:rFonts w:ascii="Times New Roman;serif" w:hAnsi="Times New Roman;serif"/>
          <w:b/>
          <w:color w:val="000000"/>
          <w:sz w:val="20"/>
        </w:rPr>
        <w:t>8. NO LIABILITY FOR TAXES</w:t>
      </w:r>
      <w:r>
        <w:rPr>
          <w:rFonts w:ascii="Times New Roman;serif" w:hAnsi="Times New Roman;serif"/>
          <w:b w:val="false"/>
          <w:color w:val="000000"/>
          <w:sz w:val="20"/>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lineRule="auto" w:line="276" w:before="0" w:after="180"/>
        <w:ind w:left="0" w:right="0" w:firstLine="360"/>
        <w:jc w:val="left"/>
        <w:rPr/>
      </w:pPr>
      <w:r>
        <w:rPr>
          <w:rFonts w:ascii="Times New Roman;serif" w:hAnsi="Times New Roman;serif"/>
          <w:b/>
          <w:color w:val="000000"/>
          <w:sz w:val="20"/>
        </w:rPr>
        <w:t>9. SEVERABILITY</w:t>
      </w:r>
      <w:r>
        <w:rPr>
          <w:rFonts w:ascii="Times New Roman;serif" w:hAnsi="Times New Roman;serif"/>
          <w:b w:val="false"/>
          <w:color w:val="000000"/>
          <w:sz w:val="20"/>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10. OTHER DOCUMENTS. </w:t>
      </w:r>
      <w:r>
        <w:rPr>
          <w:rFonts w:ascii="Times New Roman;serif" w:hAnsi="Times New Roman;serif"/>
          <w:b w:val="false"/>
          <w:color w:val="000000"/>
          <w:sz w:val="20"/>
        </w:rPr>
        <w:t xml:space="preserve">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11. QUESTIONS. </w:t>
      </w:r>
      <w:r>
        <w:rPr>
          <w:rFonts w:ascii="Times New Roman;serif" w:hAnsi="Times New Roman;serif"/>
          <w:b w:val="false"/>
          <w:color w:val="000000"/>
          <w:sz w:val="20"/>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lineRule="auto" w:line="276" w:before="0" w:after="180"/>
        <w:ind w:left="0" w:right="0" w:firstLine="360"/>
        <w:jc w:val="left"/>
        <w:rPr/>
      </w:pPr>
      <w:r>
        <w:rPr>
          <w:rFonts w:ascii="Times New Roman;serif" w:hAnsi="Times New Roman;serif"/>
          <w:b/>
          <w:color w:val="000000"/>
          <w:sz w:val="20"/>
        </w:rPr>
        <w:t>12. Clawback/Recovery</w:t>
      </w:r>
      <w:r>
        <w:rPr>
          <w:rFonts w:ascii="Times New Roman;serif" w:hAnsi="Times New Roman;serif"/>
          <w:b w:val="false"/>
          <w:color w:val="000000"/>
          <w:sz w:val="20"/>
        </w:rPr>
        <w:t xml:space="preserve">. The RSU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360"/>
        <w:jc w:val="center"/>
        <w:rPr/>
      </w:pPr>
      <w:r>
        <w:rPr>
          <w:rFonts w:ascii="Times New Roman;serif" w:hAnsi="Times New Roman;serif"/>
          <w:b/>
          <w:color w:val="000000"/>
          <w:sz w:val="20"/>
        </w:rPr>
        <w:t>EXHIBIT A</w:t>
      </w:r>
      <w:r>
        <w:rPr>
          <w:color w:val="000000"/>
        </w:rPr>
        <w:t xml:space="preserve"> </w:t>
      </w:r>
    </w:p>
    <w:p>
      <w:pPr>
        <w:pStyle w:val="TextBody"/>
        <w:bidi w:val="0"/>
        <w:spacing w:lineRule="auto" w:line="276" w:before="0" w:after="180"/>
        <w:ind w:left="0" w:right="0" w:firstLine="360"/>
        <w:jc w:val="center"/>
        <w:rPr/>
      </w:pPr>
      <w:r>
        <w:rPr>
          <w:rFonts w:ascii="Times New Roman;serif" w:hAnsi="Times New Roman;serif"/>
          <w:b/>
          <w:color w:val="000000"/>
          <w:sz w:val="20"/>
        </w:rPr>
        <w:t>VESTING SCHEDULE</w:t>
      </w:r>
      <w:r>
        <w:rPr>
          <w:color w:val="000000"/>
        </w:rPr>
        <w:t xml:space="preserve"> </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Restricted Stock Units that vest shall be determined in accordance with the following terms and conditions. Capitalized terms not otherwise defined herein have the meanings set forth in the Grant Notice, the Agreement or the Plan, as applicable. </w:t>
      </w:r>
    </w:p>
    <w:p>
      <w:pPr>
        <w:pStyle w:val="TextBody"/>
        <w:bidi w:val="0"/>
        <w:spacing w:lineRule="auto" w:line="276" w:before="0" w:after="180"/>
        <w:ind w:left="0" w:right="0" w:firstLine="360"/>
        <w:jc w:val="left"/>
        <w:rPr/>
      </w:pPr>
      <w:r>
        <w:rPr>
          <w:rFonts w:ascii="Times New Roman;serif" w:hAnsi="Times New Roman;serif"/>
          <w:b/>
          <w:color w:val="000000"/>
          <w:sz w:val="20"/>
        </w:rPr>
        <w:t>1.</w:t>
      </w:r>
      <w:r>
        <w:rPr>
          <w:rFonts w:ascii="Times New Roman;serif" w:hAnsi="Times New Roman;serif"/>
          <w:b/>
          <w:color w:val="000000"/>
          <w:sz w:val="20"/>
        </w:rPr>
        <w:t xml:space="preserve">Performance Period. </w:t>
      </w:r>
      <w:r>
        <w:rPr>
          <w:rFonts w:ascii="Times New Roman;serif" w:hAnsi="Times New Roman;serif"/>
          <w:b w:val="false"/>
          <w:color w:val="000000"/>
          <w:sz w:val="20"/>
        </w:rPr>
        <w:t>The “</w:t>
      </w:r>
      <w:r>
        <w:rPr>
          <w:rFonts w:ascii="Times New Roman;serif" w:hAnsi="Times New Roman;serif"/>
          <w:b/>
          <w:i/>
          <w:color w:val="000000"/>
          <w:sz w:val="20"/>
        </w:rPr>
        <w:t>Performance Period</w:t>
      </w:r>
      <w:r>
        <w:rPr>
          <w:color w:val="000000"/>
        </w:rPr>
        <w:t xml:space="preserve">” </w:t>
      </w:r>
      <w:r>
        <w:rPr>
          <w:rFonts w:ascii="Times New Roman;serif" w:hAnsi="Times New Roman;serif"/>
          <w:b w:val="false"/>
          <w:color w:val="000000"/>
          <w:sz w:val="20"/>
        </w:rPr>
        <w:t>shall begin on January 1, 2025 and shall end on December 31, 2027 (the “</w:t>
      </w:r>
      <w:r>
        <w:rPr>
          <w:rFonts w:ascii="Times New Roman;serif" w:hAnsi="Times New Roman;serif"/>
          <w:b/>
          <w:i/>
          <w:color w:val="000000"/>
          <w:sz w:val="20"/>
        </w:rPr>
        <w:t>Scheduled Performance Period End Date</w:t>
      </w:r>
      <w:r>
        <w:rPr>
          <w:color w:val="000000"/>
        </w:rPr>
        <w:t>”</w:t>
      </w:r>
      <w:r>
        <w:rPr>
          <w:rFonts w:ascii="Times New Roman;serif" w:hAnsi="Times New Roman;serif"/>
          <w:b w:val="false"/>
          <w:color w:val="000000"/>
          <w:sz w:val="20"/>
        </w:rPr>
        <w:t>). Notwithstanding the foregoing, in the event of a Change in Control prior to the Scheduled Performance Period End Date, the Performance Period shall be shortened and deemed to end immediately prior to the effective time of the Change in Control and the Award shall be treated as set forth in Section 4(a) of this Exhibit A.</w:t>
      </w:r>
      <w:r>
        <w:rPr>
          <w:color w:val="000000"/>
        </w:rPr>
        <w:t xml:space="preserve"> </w:t>
      </w:r>
    </w:p>
    <w:p>
      <w:pPr>
        <w:pStyle w:val="TextBody"/>
        <w:bidi w:val="0"/>
        <w:spacing w:lineRule="auto" w:line="276" w:before="0" w:after="180"/>
        <w:ind w:left="0" w:right="0" w:firstLine="360"/>
        <w:jc w:val="left"/>
        <w:rPr/>
      </w:pPr>
      <w:r>
        <w:rPr>
          <w:rFonts w:ascii="Times New Roman;serif" w:hAnsi="Times New Roman;serif"/>
          <w:b/>
          <w:color w:val="000000"/>
          <w:sz w:val="20"/>
        </w:rPr>
        <w:t>2.</w:t>
      </w:r>
      <w:r>
        <w:rPr>
          <w:rFonts w:ascii="Times New Roman;serif" w:hAnsi="Times New Roman;serif"/>
          <w:b/>
          <w:color w:val="000000"/>
          <w:sz w:val="20"/>
        </w:rPr>
        <w:t>Earning of Restricted Stock Units.</w:t>
      </w:r>
      <w:r>
        <w:rPr>
          <w:color w:val="000000"/>
        </w:rPr>
        <w:t xml:space="preserve"> </w:t>
      </w:r>
      <w:r>
        <w:rPr>
          <w:rFonts w:ascii="Times New Roman;serif" w:hAnsi="Times New Roman;serif"/>
          <w:b w:val="false"/>
          <w:color w:val="000000"/>
          <w:sz w:val="20"/>
        </w:rPr>
        <w:t xml:space="preserve">Restricted Stock Units will be earned and eligible to vest (the “Earned Units”), contingent upon achievement of the performance criteria during the Performance Period as described in Section 2(a) below. </w:t>
      </w:r>
    </w:p>
    <w:p>
      <w:pPr>
        <w:pStyle w:val="TextBody"/>
        <w:bidi w:val="0"/>
        <w:spacing w:lineRule="auto" w:line="276" w:before="0" w:after="180"/>
        <w:ind w:left="0" w:right="0" w:firstLine="1080"/>
        <w:jc w:val="left"/>
        <w:rPr/>
      </w:pPr>
      <w:r>
        <w:rPr>
          <w:rFonts w:ascii="Times New Roman;serif" w:hAnsi="Times New Roman;serif"/>
          <w:b/>
          <w:color w:val="000000"/>
          <w:sz w:val="20"/>
        </w:rPr>
        <w:t>a.</w:t>
      </w:r>
      <w:r>
        <w:rPr>
          <w:rFonts w:ascii="Times New Roman;serif" w:hAnsi="Times New Roman;serif"/>
          <w:b/>
          <w:color w:val="000000"/>
          <w:sz w:val="20"/>
        </w:rPr>
        <w:t>Performance Criteria.</w:t>
      </w:r>
      <w:r>
        <w:rPr>
          <w:color w:val="000000"/>
        </w:rPr>
        <w:t xml:space="preserve"> </w:t>
      </w:r>
      <w:r>
        <w:rPr>
          <w:rFonts w:ascii="Times New Roman;serif" w:hAnsi="Times New Roman;serif"/>
          <w:b w:val="false"/>
          <w:color w:val="000000"/>
          <w:sz w:val="20"/>
        </w:rPr>
        <w:t xml:space="preserve">For the purposes of this agreement, performance is subject to the achievement of both Policies-in-Force and Gross Accident Period Loss Ratio goals during the Performance period as outlined in the matrices set forth in </w:t>
      </w:r>
      <w:r>
        <w:rPr>
          <w:rFonts w:ascii="Times New Roman;serif" w:hAnsi="Times New Roman;serif"/>
          <w:b/>
          <w:color w:val="000000"/>
          <w:sz w:val="20"/>
        </w:rPr>
        <w:t>Appendix A</w:t>
      </w:r>
      <w:r>
        <w:rPr>
          <w:rFonts w:ascii="Times New Roman;serif" w:hAnsi="Times New Roman;serif"/>
          <w:b w:val="false"/>
          <w:color w:val="000000"/>
          <w:sz w:val="20"/>
        </w:rPr>
        <w:t xml:space="preserve">, as certified by the Compensation Committee. The Compensation Committee retains discretion to adjust the matrices as set forth in the Plan. </w:t>
      </w:r>
    </w:p>
    <w:p>
      <w:pPr>
        <w:pStyle w:val="TextBody"/>
        <w:bidi w:val="0"/>
        <w:spacing w:lineRule="auto" w:line="276"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If performance falls between any of the amounts set forth in the matrices, the number of Earned Units shall be determined by interpolation. Any portion of the target award not earned during the term of the Award based upon the Company’s actual performance as measured against the applicable performance criteria shall expire and be forfeited. </w:t>
      </w:r>
    </w:p>
    <w:p>
      <w:pPr>
        <w:pStyle w:val="TextBody"/>
        <w:bidi w:val="0"/>
        <w:spacing w:lineRule="auto" w:line="276" w:before="0" w:after="180"/>
        <w:ind w:left="0" w:right="0" w:firstLine="1800"/>
        <w:jc w:val="left"/>
        <w:rPr/>
      </w:pPr>
      <w:r>
        <w:rPr>
          <w:rFonts w:ascii="Times New Roman;serif" w:hAnsi="Times New Roman;serif"/>
          <w:b/>
          <w:color w:val="000000"/>
          <w:sz w:val="20"/>
        </w:rPr>
        <w:t>i.</w:t>
      </w:r>
      <w:r>
        <w:rPr>
          <w:color w:val="000000"/>
        </w:rPr>
        <w:t xml:space="preserve"> </w:t>
      </w:r>
      <w:r>
        <w:rPr>
          <w:rFonts w:ascii="Times New Roman;serif" w:hAnsi="Times New Roman;serif"/>
          <w:b w:val="false"/>
          <w:color w:val="000000"/>
          <w:sz w:val="20"/>
        </w:rPr>
        <w:t xml:space="preserve">For the purposes of this Agreement, Policies-in-Force is defined as the number of current and active auto insurance policyholders underwritten by the Company as of the performance period </w:t>
      </w:r>
    </w:p>
    <w:p>
      <w:pPr>
        <w:pStyle w:val="TextBody"/>
        <w:bidi w:val="0"/>
        <w:spacing w:lineRule="auto" w:line="276" w:before="0" w:after="180"/>
        <w:ind w:left="0" w:right="0" w:firstLine="1800"/>
        <w:jc w:val="left"/>
        <w:rPr/>
      </w:pPr>
      <w:r>
        <w:rPr>
          <w:rFonts w:ascii="Times New Roman;serif" w:hAnsi="Times New Roman;serif"/>
          <w:b/>
          <w:color w:val="000000"/>
          <w:sz w:val="20"/>
        </w:rPr>
        <w:t>ii.</w:t>
      </w:r>
      <w:r>
        <w:rPr>
          <w:rFonts w:ascii="Times New Roman;serif" w:hAnsi="Times New Roman;serif"/>
          <w:b w:val="false"/>
          <w:color w:val="000000"/>
          <w:sz w:val="20"/>
        </w:rPr>
        <w:t xml:space="preserve">For the purposes of this Agreement, Gross Accident Period Loss Ratio, expressed as a percentage, is defined as all losses and claims expected to arise from insured events that occurred during the applicable period regardless of when they are reported and finally settled divided by gross premiums earned for the same period. </w:t>
      </w:r>
    </w:p>
    <w:p>
      <w:pPr>
        <w:pStyle w:val="TextBody"/>
        <w:bidi w:val="0"/>
        <w:spacing w:lineRule="auto" w:line="276" w:before="0" w:after="180"/>
        <w:ind w:left="0" w:right="0" w:firstLine="1080"/>
        <w:jc w:val="left"/>
        <w:rPr/>
      </w:pPr>
      <w:r>
        <w:rPr>
          <w:rFonts w:ascii="Times New Roman;serif" w:hAnsi="Times New Roman;serif"/>
          <w:b/>
          <w:color w:val="000000"/>
          <w:sz w:val="20"/>
        </w:rPr>
        <w:t xml:space="preserve">b. Annual Vesting Opportunity. </w:t>
      </w:r>
      <w:r>
        <w:rPr>
          <w:rFonts w:ascii="Times New Roman;serif" w:hAnsi="Times New Roman;serif"/>
          <w:b w:val="false"/>
          <w:color w:val="000000"/>
          <w:sz w:val="20"/>
        </w:rPr>
        <w:t xml:space="preserve">The Performance Period will consist of three subperiods ending on December 31st of 2025, 2026, and 2027 where a portion of the target award, as set forth in the table below, may be earned. Annual vesting opportunity is subject to the achievement of performance criteria as outlined in the matrices set forth in </w:t>
      </w:r>
      <w:r>
        <w:rPr>
          <w:rFonts w:ascii="Times New Roman;serif" w:hAnsi="Times New Roman;serif"/>
          <w:b/>
          <w:color w:val="000000"/>
          <w:sz w:val="20"/>
        </w:rPr>
        <w:t>Appendix A</w:t>
      </w:r>
      <w:r>
        <w:rPr>
          <w:rFonts w:ascii="Times New Roman;serif" w:hAnsi="Times New Roman;serif"/>
          <w:b w:val="false"/>
          <w:color w:val="000000"/>
          <w:sz w:val="20"/>
        </w:rPr>
        <w:t xml:space="preserve">. If performance is achieved at levels that fall in between the values set forth in the matrices, then linear interpolation shall be used to determine the achievement, except in the cases where performance is achieved at levels that fall in between a 0% payout and a non-0% payout at which point no units will be earned. </w:t>
      </w:r>
    </w:p>
    <w:p>
      <w:pPr>
        <w:pStyle w:val="TextBody"/>
        <w:bidi w:val="0"/>
        <w:spacing w:lineRule="auto" w:line="276"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Earned units, if any, at the end of each subperiod shall vest in the first quarter of the following year on the date that the Compensation Committee certifies performance as set forth in Section 2(a). In the event that performance in subperiods 2 or 3 is achieved at a level lower than the prior subperiod, no shares will be earned in such subperiod, and the earned units in the prior subperiod, if any, will be unchanged. </w:t>
      </w:r>
    </w:p>
    <w:tbl>
      <w:tblPr>
        <w:tblW w:w="8775" w:type="dxa"/>
        <w:jc w:val="left"/>
        <w:tblInd w:w="0" w:type="dxa"/>
        <w:tblLayout w:type="fixed"/>
        <w:tblCellMar>
          <w:top w:w="28" w:type="dxa"/>
          <w:left w:w="28" w:type="dxa"/>
          <w:bottom w:w="28" w:type="dxa"/>
          <w:right w:w="28" w:type="dxa"/>
        </w:tblCellMar>
      </w:tblPr>
      <w:tblGrid>
        <w:gridCol w:w="359"/>
        <w:gridCol w:w="315"/>
        <w:gridCol w:w="317"/>
        <w:gridCol w:w="534"/>
        <w:gridCol w:w="534"/>
        <w:gridCol w:w="537"/>
        <w:gridCol w:w="597"/>
        <w:gridCol w:w="597"/>
        <w:gridCol w:w="605"/>
        <w:gridCol w:w="1279"/>
        <w:gridCol w:w="1279"/>
        <w:gridCol w:w="182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Subperiod</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Start Date</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End Date</w:t>
            </w:r>
          </w:p>
        </w:tc>
        <w:tc>
          <w:tcPr>
            <w:tcW w:w="4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of Target Award Eligible to be Earned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01, 2025</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31, 2025</w:t>
            </w:r>
          </w:p>
        </w:tc>
        <w:tc>
          <w:tcPr>
            <w:tcW w:w="4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01, 2025</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31, 2026</w:t>
            </w:r>
          </w:p>
        </w:tc>
        <w:tc>
          <w:tcPr>
            <w:tcW w:w="4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 (minus amount earned in subperiod 1)</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6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01, 2025</w:t>
            </w:r>
          </w:p>
        </w:tc>
        <w:tc>
          <w:tcPr>
            <w:tcW w:w="1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31, 2027</w:t>
            </w:r>
          </w:p>
        </w:tc>
        <w:tc>
          <w:tcPr>
            <w:tcW w:w="43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 (minus amount earned in subperiods 1 &amp; 2</w:t>
            </w:r>
          </w:p>
        </w:tc>
      </w:tr>
    </w:tbl>
    <w:p>
      <w:pPr>
        <w:pStyle w:val="TextBody"/>
        <w:bidi w:val="0"/>
        <w:spacing w:before="0" w:after="180"/>
        <w:ind w:left="0" w:right="0" w:firstLine="45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450"/>
        <w:jc w:val="left"/>
        <w:rPr/>
      </w:pPr>
      <w:r>
        <w:rPr>
          <w:rFonts w:ascii="Times New Roman;serif" w:hAnsi="Times New Roman;serif"/>
          <w:b/>
          <w:color w:val="000000"/>
          <w:sz w:val="20"/>
        </w:rPr>
        <w:t>3. Termination of Continuous Service</w:t>
      </w:r>
      <w:r>
        <w:rPr>
          <w:color w:val="000000"/>
        </w:rPr>
        <w:t xml:space="preserve"> </w:t>
      </w:r>
    </w:p>
    <w:p>
      <w:pPr>
        <w:pStyle w:val="TextBody"/>
        <w:bidi w:val="0"/>
        <w:spacing w:lineRule="auto" w:line="276" w:before="0" w:after="180"/>
        <w:ind w:left="0" w:right="0" w:firstLine="1080"/>
        <w:jc w:val="left"/>
        <w:rPr/>
      </w:pPr>
      <w:r>
        <w:rPr>
          <w:rFonts w:ascii="Times New Roman;serif" w:hAnsi="Times New Roman;serif"/>
          <w:b/>
          <w:color w:val="000000"/>
          <w:sz w:val="20"/>
        </w:rPr>
        <w:t>a.</w:t>
      </w:r>
      <w:r>
        <w:rPr>
          <w:rFonts w:ascii="Times New Roman;serif" w:hAnsi="Times New Roman;serif"/>
          <w:b/>
          <w:color w:val="000000"/>
          <w:sz w:val="20"/>
        </w:rPr>
        <w:t xml:space="preserve">Impact of Change in Control. </w:t>
      </w:r>
      <w:r>
        <w:rPr>
          <w:rFonts w:ascii="Times New Roman;serif" w:hAnsi="Times New Roman;serif"/>
          <w:b w:val="false"/>
          <w:color w:val="000000"/>
          <w:sz w:val="20"/>
        </w:rPr>
        <w:t xml:space="preserve">If, during the Performance Period, a Change in Control occurs, then the Performance Period will be shortened such that the Performance Period will end as of immediately prior to the Change in Control and will vest at the greater of target or, to the extent that any of the Performance Criteria are achieved on a prorated basis based on the number of days in the Performance Period that have elapsed prior to the Change in Control, as certified by the Compensation Committee within five business days prior to the Change in Control, such higher amount and the Earned Units will become immediately vested. </w:t>
      </w:r>
    </w:p>
    <w:p>
      <w:pPr>
        <w:pStyle w:val="TextBody"/>
        <w:bidi w:val="0"/>
        <w:spacing w:lineRule="auto" w:line="276" w:before="0" w:after="180"/>
        <w:ind w:left="0" w:right="0" w:firstLine="1080"/>
        <w:jc w:val="left"/>
        <w:rPr/>
      </w:pPr>
      <w:r>
        <w:rPr>
          <w:rFonts w:ascii="Times New Roman;serif" w:hAnsi="Times New Roman;serif"/>
          <w:b/>
          <w:color w:val="000000"/>
          <w:sz w:val="20"/>
        </w:rPr>
        <w:t>b.</w:t>
      </w:r>
      <w:r>
        <w:rPr>
          <w:rFonts w:ascii="Times New Roman;serif" w:hAnsi="Times New Roman;serif"/>
          <w:b/>
          <w:color w:val="000000"/>
          <w:sz w:val="20"/>
        </w:rPr>
        <w:t>Termination other than Change in Control.</w:t>
      </w:r>
      <w:r>
        <w:rPr>
          <w:color w:val="000000"/>
        </w:rPr>
        <w:t xml:space="preserve"> </w:t>
      </w:r>
      <w:r>
        <w:rPr>
          <w:rFonts w:ascii="Times New Roman;serif" w:hAnsi="Times New Roman;serif"/>
          <w:b w:val="false"/>
          <w:color w:val="000000"/>
          <w:sz w:val="20"/>
        </w:rPr>
        <w:t xml:space="preserve">If, during the Performance Period, the Participant terminates his or her Continuous Service for reasons other than a Change in Control, the Award shall be canceled and forfeited as of the date of such termination, except as may be set forth in a written employment or severance arrangement between the Participant and the Company. </w:t>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10.32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ROOT, INC. </w:t>
      </w:r>
    </w:p>
    <w:p>
      <w:pPr>
        <w:pStyle w:val="TextBody"/>
        <w:bidi w:val="0"/>
        <w:spacing w:lineRule="auto" w:line="268" w:before="0" w:after="0"/>
        <w:ind w:left="0" w:right="0" w:firstLine="1260"/>
        <w:jc w:val="center"/>
        <w:rPr>
          <w:rFonts w:ascii="Times New Roman;serif" w:hAnsi="Times New Roman;serif"/>
          <w:b/>
          <w:color w:val="000000"/>
          <w:sz w:val="24"/>
        </w:rPr>
      </w:pPr>
      <w:r>
        <w:rPr>
          <w:rFonts w:ascii="Times New Roman;serif" w:hAnsi="Times New Roman;serif"/>
          <w:b/>
          <w:color w:val="000000"/>
          <w:sz w:val="24"/>
        </w:rPr>
        <w:t>PERFORMANCE-BASED RSU AWARD GRANT NOTICE</w:t>
      </w:r>
    </w:p>
    <w:p>
      <w:pPr>
        <w:pStyle w:val="TextBody"/>
        <w:bidi w:val="0"/>
        <w:spacing w:lineRule="auto" w:line="268" w:before="0" w:after="180"/>
        <w:jc w:val="center"/>
        <w:rPr>
          <w:rFonts w:ascii="Times New Roman;serif" w:hAnsi="Times New Roman;serif"/>
          <w:b/>
          <w:color w:val="000000"/>
          <w:sz w:val="24"/>
        </w:rPr>
      </w:pPr>
      <w:r>
        <w:rPr>
          <w:rFonts w:ascii="Times New Roman;serif" w:hAnsi="Times New Roman;serif"/>
          <w:b/>
          <w:color w:val="000000"/>
          <w:sz w:val="24"/>
        </w:rPr>
        <w:t xml:space="preserve">(2020 EQUITY INCENTIVE PLAN) </w:t>
      </w:r>
    </w:p>
    <w:p>
      <w:pPr>
        <w:pStyle w:val="TextBody"/>
        <w:bidi w:val="0"/>
        <w:spacing w:lineRule="auto" w:line="228" w:before="0" w:after="180"/>
        <w:jc w:val="both"/>
        <w:rPr/>
      </w:pPr>
      <w:r>
        <w:rPr>
          <w:rFonts w:ascii="Times New Roman;serif" w:hAnsi="Times New Roman;serif"/>
          <w:b w:val="false"/>
          <w:color w:val="000000"/>
          <w:sz w:val="20"/>
        </w:rPr>
        <w:t xml:space="preserve">Root, Inc. (the </w:t>
      </w:r>
      <w:r>
        <w:rPr>
          <w:color w:val="000000"/>
        </w:rPr>
        <w:t>“</w:t>
      </w:r>
      <w:r>
        <w:rPr>
          <w:rFonts w:ascii="Times New Roman;serif" w:hAnsi="Times New Roman;serif"/>
          <w:b/>
          <w:i/>
          <w:color w:val="000000"/>
          <w:sz w:val="20"/>
        </w:rPr>
        <w:t>Company”</w:t>
      </w:r>
      <w:r>
        <w:rPr>
          <w:rFonts w:ascii="Times New Roman;serif" w:hAnsi="Times New Roman;serif"/>
          <w:b w:val="false"/>
          <w:color w:val="000000"/>
          <w:sz w:val="20"/>
        </w:rPr>
        <w:t>) has awarded to you (the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xml:space="preserve">) the number of restricted stock units specified and on the terms set forth below in consideration of your services (the </w:t>
      </w:r>
      <w:r>
        <w:rPr>
          <w:color w:val="000000"/>
        </w:rPr>
        <w:t>“</w:t>
      </w:r>
      <w:r>
        <w:rPr>
          <w:rFonts w:ascii="Times New Roman;serif" w:hAnsi="Times New Roman;serif"/>
          <w:b/>
          <w:i/>
          <w:color w:val="000000"/>
          <w:sz w:val="20"/>
        </w:rPr>
        <w:t>RSU Award”</w:t>
      </w:r>
      <w:r>
        <w:rPr>
          <w:rFonts w:ascii="Times New Roman;serif" w:hAnsi="Times New Roman;serif"/>
          <w:b w:val="false"/>
          <w:color w:val="000000"/>
          <w:sz w:val="20"/>
        </w:rPr>
        <w:t xml:space="preserve">). Your RSU Award is subject to all of the terms and conditions as set forth herein and in the Company’s 2020 Equity Incentive Plan (the </w:t>
      </w:r>
      <w:r>
        <w:rPr>
          <w:color w:val="000000"/>
        </w:rPr>
        <w:t>“</w:t>
      </w:r>
      <w:r>
        <w:rPr>
          <w:rFonts w:ascii="Times New Roman;serif" w:hAnsi="Times New Roman;serif"/>
          <w:b/>
          <w:i/>
          <w:color w:val="000000"/>
          <w:sz w:val="20"/>
        </w:rPr>
        <w:t>Plan”</w:t>
      </w:r>
      <w:r>
        <w:rPr>
          <w:rFonts w:ascii="Times New Roman;serif" w:hAnsi="Times New Roman;serif"/>
          <w:b w:val="false"/>
          <w:color w:val="000000"/>
          <w:sz w:val="20"/>
        </w:rPr>
        <w:t>) and the Award Agreement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which are incorporated herein in their entirety. Capitalized terms not explicitly defined herein but defined in the Plan or the Agreement shall have the meanings set forth in the Plan or the Agreement. </w:t>
      </w:r>
    </w:p>
    <w:p>
      <w:pPr>
        <w:pStyle w:val="TextBody"/>
        <w:bidi w:val="0"/>
        <w:spacing w:lineRule="auto" w:line="268" w:before="0" w:after="0"/>
        <w:ind w:left="0" w:right="0" w:firstLine="1308"/>
        <w:jc w:val="left"/>
        <w:rPr>
          <w:rFonts w:ascii="Times New Roman;serif" w:hAnsi="Times New Roman;serif"/>
          <w:b w:val="false"/>
          <w:color w:val="000000"/>
          <w:sz w:val="20"/>
        </w:rPr>
      </w:pPr>
      <w:r>
        <w:rPr>
          <w:rFonts w:ascii="Times New Roman;serif" w:hAnsi="Times New Roman;serif"/>
          <w:b w:val="false"/>
          <w:color w:val="000000"/>
          <w:sz w:val="20"/>
        </w:rPr>
        <w:t>Participant: PARTICIPANT</w:t>
      </w:r>
    </w:p>
    <w:p>
      <w:pPr>
        <w:pStyle w:val="TextBody"/>
        <w:bidi w:val="0"/>
        <w:spacing w:lineRule="auto" w:line="268" w:before="0" w:after="0"/>
        <w:ind w:left="0" w:right="0" w:firstLine="1308"/>
        <w:jc w:val="left"/>
        <w:rPr>
          <w:rFonts w:ascii="Times New Roman;serif" w:hAnsi="Times New Roman;serif"/>
          <w:b w:val="false"/>
          <w:color w:val="000000"/>
          <w:sz w:val="20"/>
        </w:rPr>
      </w:pPr>
      <w:r>
        <w:rPr>
          <w:rFonts w:ascii="Times New Roman;serif" w:hAnsi="Times New Roman;serif"/>
          <w:b w:val="false"/>
          <w:color w:val="000000"/>
          <w:sz w:val="20"/>
        </w:rPr>
        <w:t>Date of Grant: GRANT DATE</w:t>
      </w:r>
    </w:p>
    <w:p>
      <w:pPr>
        <w:pStyle w:val="TextBody"/>
        <w:bidi w:val="0"/>
        <w:spacing w:lineRule="auto" w:line="268" w:before="0" w:after="180"/>
        <w:ind w:left="0" w:right="0" w:firstLine="1302"/>
        <w:jc w:val="left"/>
        <w:rPr>
          <w:rFonts w:ascii="Times New Roman;serif" w:hAnsi="Times New Roman;serif"/>
          <w:b w:val="false"/>
          <w:color w:val="000000"/>
          <w:sz w:val="20"/>
        </w:rPr>
      </w:pPr>
      <w:r>
        <w:rPr>
          <w:rFonts w:ascii="Times New Roman;serif" w:hAnsi="Times New Roman;serif"/>
          <w:b w:val="false"/>
          <w:color w:val="000000"/>
          <w:sz w:val="20"/>
        </w:rPr>
        <w:t>Target Number of Restricted Stock Units: TARGET SHARES GRANTED</w:t>
      </w:r>
    </w:p>
    <w:p>
      <w:pPr>
        <w:pStyle w:val="TextBody"/>
        <w:bidi w:val="0"/>
        <w:spacing w:lineRule="auto" w:line="230" w:before="0" w:after="180"/>
        <w:jc w:val="left"/>
        <w:rPr/>
      </w:pPr>
      <w:r>
        <w:rPr>
          <w:rFonts w:ascii="Times New Roman;serif" w:hAnsi="Times New Roman;serif"/>
          <w:b/>
          <w:color w:val="000000"/>
          <w:sz w:val="20"/>
        </w:rPr>
        <w:t>Vesting Schedule</w:t>
      </w:r>
      <w:r>
        <w:rPr>
          <w:rFonts w:ascii="Times New Roman;serif" w:hAnsi="Times New Roman;serif"/>
          <w:b w:val="false"/>
          <w:color w:val="000000"/>
          <w:sz w:val="20"/>
        </w:rPr>
        <w:t xml:space="preserve">: The RSU Award shall be earned and vest as set forth on Exhibit A. </w:t>
      </w:r>
    </w:p>
    <w:p>
      <w:pPr>
        <w:pStyle w:val="TextBody"/>
        <w:bidi w:val="0"/>
        <w:spacing w:lineRule="auto" w:line="237" w:before="0" w:after="180"/>
        <w:jc w:val="left"/>
        <w:rPr/>
      </w:pPr>
      <w:r>
        <w:rPr>
          <w:rFonts w:ascii="Times New Roman;serif" w:hAnsi="Times New Roman;serif"/>
          <w:b/>
          <w:color w:val="000000"/>
          <w:sz w:val="20"/>
        </w:rPr>
        <w:t xml:space="preserve">Issuance Schedule: </w:t>
      </w:r>
      <w:r>
        <w:rPr>
          <w:rFonts w:ascii="Times New Roman;serif" w:hAnsi="Times New Roman;serif"/>
          <w:b w:val="false"/>
          <w:color w:val="000000"/>
          <w:sz w:val="20"/>
        </w:rPr>
        <w:t xml:space="preserve">One share of Common Stock will be issued for each restricted stock unit, with the right to earn up to 200% of the target number, which vests at the time set forth in Section 5 of the Agreement. </w:t>
      </w:r>
    </w:p>
    <w:p>
      <w:pPr>
        <w:pStyle w:val="TextBody"/>
        <w:bidi w:val="0"/>
        <w:spacing w:lineRule="auto" w:line="223" w:before="0" w:after="180"/>
        <w:jc w:val="left"/>
        <w:rPr/>
      </w:pPr>
      <w:r>
        <w:rPr>
          <w:rFonts w:ascii="Times New Roman;serif" w:hAnsi="Times New Roman;serif"/>
          <w:b/>
          <w:color w:val="000000"/>
          <w:sz w:val="20"/>
        </w:rPr>
        <w:t xml:space="preserve">Participant Acknowledgements: </w:t>
      </w:r>
      <w:r>
        <w:rPr>
          <w:rFonts w:ascii="Times New Roman;serif" w:hAnsi="Times New Roman;serif"/>
          <w:b w:val="false"/>
          <w:color w:val="000000"/>
          <w:sz w:val="20"/>
        </w:rPr>
        <w:t xml:space="preserve">By your signature below or by electronic acceptance or authentication in a form authorized by the Company, you understand and agree that: </w:t>
      </w:r>
    </w:p>
    <w:p>
      <w:pPr>
        <w:pStyle w:val="TextBody"/>
        <w:bidi w:val="0"/>
        <w:spacing w:lineRule="auto" w:line="223" w:before="0" w:after="180"/>
        <w:ind w:left="0" w:right="0" w:firstLine="720"/>
        <w:jc w:val="both"/>
        <w:rPr/>
      </w:pPr>
      <w:r>
        <w:rPr>
          <w:color w:val="000000"/>
        </w:rPr>
        <w:t xml:space="preserve">● </w:t>
      </w:r>
      <w:r>
        <w:rPr>
          <w:rFonts w:ascii="Times New Roman;serif" w:hAnsi="Times New Roman;serif"/>
          <w:b w:val="false"/>
          <w:color w:val="000000"/>
          <w:sz w:val="20"/>
        </w:rPr>
        <w:t>The RSU Award is governed by this RSU Award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the provisions of the Plan and the Agreement, all of which are made a part of this document. Unless otherwise provided in the Plan, this Grant Notice and the Agreement (together, the “</w:t>
      </w:r>
      <w:r>
        <w:rPr>
          <w:rFonts w:ascii="Times New Roman;serif" w:hAnsi="Times New Roman;serif"/>
          <w:b/>
          <w:i/>
          <w:color w:val="000000"/>
          <w:sz w:val="20"/>
        </w:rPr>
        <w:t>RSU Award Agreement</w:t>
      </w:r>
      <w:r>
        <w:rPr>
          <w:color w:val="000000"/>
        </w:rPr>
        <w:t>”</w:t>
      </w:r>
      <w:r>
        <w:rPr>
          <w:rFonts w:ascii="Times New Roman;serif" w:hAnsi="Times New Roman;serif"/>
          <w:b w:val="false"/>
          <w:color w:val="000000"/>
          <w:sz w:val="20"/>
        </w:rPr>
        <w:t xml:space="preserve">) may not be modified, amended or revised except in a writing signed by you and a duly authorized officer of the Company. </w:t>
      </w:r>
    </w:p>
    <w:p>
      <w:pPr>
        <w:pStyle w:val="TextBody"/>
        <w:bidi w:val="0"/>
        <w:spacing w:lineRule="auto" w:line="216" w:before="0" w:after="180"/>
        <w:ind w:left="0" w:right="0" w:firstLine="720"/>
        <w:jc w:val="both"/>
        <w:rPr>
          <w:color w:val="000000"/>
        </w:rPr>
      </w:pPr>
      <w:r>
        <w:rPr>
          <w:color w:val="000000"/>
        </w:rPr>
        <w:t xml:space="preserve">● </w:t>
      </w:r>
      <w:r>
        <w:rPr>
          <w:rFonts w:ascii="Times New Roman;serif" w:hAnsi="Times New Roman;serif"/>
          <w:b w:val="false"/>
          <w:color w:val="000000"/>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23" w:before="0" w:after="180"/>
        <w:ind w:left="0" w:right="0" w:firstLine="720"/>
        <w:jc w:val="both"/>
        <w:rPr>
          <w:color w:val="000000"/>
        </w:rPr>
      </w:pPr>
      <w:r>
        <w:rPr>
          <w:color w:val="000000"/>
        </w:rPr>
        <w:t xml:space="preserve">● </w:t>
      </w:r>
      <w:r>
        <w:rPr>
          <w:rFonts w:ascii="Times New Roman;serif" w:hAnsi="Times New Roman;serif"/>
          <w:b w:val="false"/>
          <w:color w:val="000000"/>
          <w:sz w:val="20"/>
        </w:rPr>
        <w:t xml:space="preserve">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p>
      <w:pPr>
        <w:pStyle w:val="TextBody"/>
        <w:bidi w:val="0"/>
        <w:spacing w:before="0" w:after="180"/>
        <w:ind w:left="0" w:right="0" w:firstLine="720"/>
        <w:jc w:val="both"/>
        <w:rPr/>
      </w:pPr>
      <w:r>
        <w:rPr/>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 xml:space="preserve">ROOT, INC. PARTICIPANT: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Signature Signature </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Title: Date: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GRANT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Attachments</w:t>
      </w:r>
      <w:r>
        <w:rPr>
          <w:rFonts w:ascii="Times New Roman;serif" w:hAnsi="Times New Roman;serif"/>
          <w:b w:val="false"/>
          <w:color w:val="000000"/>
          <w:sz w:val="20"/>
        </w:rPr>
        <w:t xml:space="preserve">: Award Agreement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jc w:val="right"/>
        <w:rPr>
          <w:rFonts w:ascii="Times New Roman;serif" w:hAnsi="Times New Roman;serif"/>
          <w:b w:val="false"/>
          <w:color w:val="000000"/>
          <w:sz w:val="20"/>
        </w:rPr>
      </w:pPr>
      <w:r>
        <w:rPr>
          <w:rFonts w:ascii="Times New Roman;serif" w:hAnsi="Times New Roman;serif"/>
          <w:b w:val="false"/>
          <w:color w:val="000000"/>
          <w:sz w:val="20"/>
        </w:rPr>
        <w:t>2025 PSU</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ROOT, INC.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2020 EQUITY INCENTIVE PLAN </w:t>
      </w:r>
    </w:p>
    <w:p>
      <w:pPr>
        <w:pStyle w:val="TextBody"/>
        <w:bidi w:val="0"/>
        <w:spacing w:lineRule="auto" w:line="276" w:before="0" w:after="180"/>
        <w:jc w:val="center"/>
        <w:rPr/>
      </w:pPr>
      <w:r>
        <w:rPr>
          <w:rFonts w:ascii="Times New Roman;serif" w:hAnsi="Times New Roman;serif"/>
          <w:b/>
          <w:color w:val="000000"/>
          <w:sz w:val="24"/>
        </w:rPr>
        <w:t>AWARD AGREEMENT (Performance-Based RSU AWARD)</w:t>
      </w:r>
      <w:r>
        <w:rPr>
          <w:color w:val="000000"/>
        </w:rPr>
        <w:t xml:space="preserve"> </w:t>
      </w:r>
    </w:p>
    <w:p>
      <w:pPr>
        <w:pStyle w:val="TextBody"/>
        <w:bidi w:val="0"/>
        <w:spacing w:lineRule="auto" w:line="276" w:before="0" w:after="180"/>
        <w:ind w:left="0" w:right="0" w:firstLine="360"/>
        <w:jc w:val="left"/>
        <w:rPr/>
      </w:pPr>
      <w:r>
        <w:rPr>
          <w:rFonts w:ascii="Times New Roman;serif" w:hAnsi="Times New Roman;serif"/>
          <w:b w:val="false"/>
          <w:color w:val="000000"/>
          <w:sz w:val="20"/>
        </w:rPr>
        <w:t>As reflected by your Restricted Stock Unit Grant Notice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Root,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 RSU Award under its 2020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performance-based restricted stock units as indicated in your Grant Notice (the “</w:t>
      </w:r>
      <w:r>
        <w:rPr>
          <w:rFonts w:ascii="Times New Roman;serif" w:hAnsi="Times New Roman;serif"/>
          <w:b/>
          <w:i/>
          <w:color w:val="000000"/>
          <w:sz w:val="20"/>
        </w:rPr>
        <w:t>RSU Award</w:t>
      </w:r>
      <w:r>
        <w:rPr>
          <w:color w:val="000000"/>
        </w:rPr>
        <w:t>”</w:t>
      </w:r>
      <w:r>
        <w:rPr>
          <w:rFonts w:ascii="Times New Roman;serif" w:hAnsi="Times New Roman;serif"/>
          <w:b w:val="false"/>
          <w:color w:val="000000"/>
          <w:sz w:val="20"/>
        </w:rPr>
        <w:t>). The terms of your RSU Award as specified in this Award Agreement for your RSU Award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and the Grant Notice constitute your “</w:t>
      </w:r>
      <w:r>
        <w:rPr>
          <w:rFonts w:ascii="Times New Roman;serif" w:hAnsi="Times New Roman;serif"/>
          <w:b/>
          <w:i/>
          <w:color w:val="000000"/>
          <w:sz w:val="20"/>
        </w:rPr>
        <w:t>RSU Award Agreement</w:t>
      </w:r>
      <w:r>
        <w:rPr>
          <w:color w:val="000000"/>
        </w:rPr>
        <w:t>”</w:t>
      </w:r>
      <w:r>
        <w:rPr>
          <w:rFonts w:ascii="Times New Roman;serif" w:hAnsi="Times New Roman;serif"/>
          <w:b w:val="false"/>
          <w:color w:val="000000"/>
          <w:sz w:val="20"/>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terms applicable to your RSU Award are as follows: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 GOVERNING PLAN DOCUMENT. </w:t>
      </w:r>
      <w:r>
        <w:rPr>
          <w:rFonts w:ascii="Times New Roman;serif" w:hAnsi="Times New Roman;serif"/>
          <w:b w:val="false"/>
          <w:color w:val="000000"/>
          <w:sz w:val="20"/>
        </w:rPr>
        <w:t xml:space="preserve">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2. GRANT OF THE RSU AWARD. </w:t>
      </w:r>
      <w:r>
        <w:rPr>
          <w:rFonts w:ascii="Times New Roman;serif" w:hAnsi="Times New Roman;serif"/>
          <w:b w:val="false"/>
          <w:color w:val="000000"/>
          <w:sz w:val="20"/>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3. DIVIDENDS. </w:t>
      </w:r>
      <w:r>
        <w:rPr>
          <w:rFonts w:ascii="Times New Roman;serif" w:hAnsi="Times New Roman;serif"/>
          <w:b w:val="false"/>
          <w:color w:val="000000"/>
          <w:sz w:val="20"/>
        </w:rPr>
        <w:t xml:space="preserve">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lineRule="auto" w:line="276"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4. WITHHOLDING OBLIGATIONS.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(a) </w:t>
      </w:r>
      <w:r>
        <w:rPr>
          <w:rFonts w:ascii="Times New Roman;serif" w:hAnsi="Times New Roman;serif"/>
          <w:b w:val="false"/>
          <w:color w:val="000000"/>
          <w:sz w:val="20"/>
        </w:rPr>
        <w:t>Regardless of any action taken by the Company or, if different, the Affiliate to which you provide Continuous Service (the “</w:t>
      </w:r>
      <w:r>
        <w:rPr>
          <w:rFonts w:ascii="Times New Roman;serif" w:hAnsi="Times New Roman;serif"/>
          <w:b/>
          <w:i/>
          <w:color w:val="000000"/>
          <w:sz w:val="20"/>
        </w:rPr>
        <w:t>Service Recipient</w:t>
      </w:r>
      <w:r>
        <w:rPr>
          <w:color w:val="000000"/>
        </w:rPr>
        <w:t>”</w:t>
      </w:r>
      <w:r>
        <w:rPr>
          <w:rFonts w:ascii="Times New Roman;serif" w:hAnsi="Times New Roman;serif"/>
          <w:b w:val="false"/>
          <w:color w:val="000000"/>
          <w:sz w:val="20"/>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serif" w:hAnsi="Times New Roman;serif"/>
          <w:b/>
          <w:i/>
          <w:color w:val="000000"/>
          <w:sz w:val="20"/>
        </w:rPr>
        <w:t>Tax Liability</w:t>
      </w:r>
      <w:r>
        <w:rPr>
          <w:color w:val="000000"/>
        </w:rPr>
        <w:t>”</w:t>
      </w:r>
      <w:r>
        <w:rPr>
          <w:rFonts w:ascii="Times New Roman;serif" w:hAnsi="Times New Roman;serif"/>
          <w:b w:val="false"/>
          <w:color w:val="000000"/>
          <w:sz w:val="20"/>
        </w:rPr>
        <w:t xml:space="preserve">),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(b) </w:t>
      </w:r>
      <w:r>
        <w:rPr>
          <w:rFonts w:ascii="Times New Roman;serif" w:hAnsi="Times New Roman;serif"/>
          <w:b w:val="false"/>
          <w:color w:val="000000"/>
          <w:sz w:val="20"/>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however, that to the extent necessary to qualify for an exemption from application of Section 16(b) of the Exchange Act, if applicable, such share withholding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pPr>
      <w:r>
        <w:rPr>
          <w:rFonts w:ascii="Times New Roman;serif" w:hAnsi="Times New Roman;serif"/>
          <w:b w:val="false"/>
          <w:color w:val="000000"/>
          <w:sz w:val="20"/>
        </w:rPr>
        <w:t>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serif" w:hAnsi="Times New Roman;serif"/>
          <w:b/>
          <w:i/>
          <w:color w:val="000000"/>
          <w:sz w:val="20"/>
        </w:rPr>
        <w:t>FINRA Dealer</w:t>
      </w:r>
      <w:r>
        <w:rPr>
          <w:color w:val="000000"/>
        </w:rPr>
        <w:t>”</w:t>
      </w:r>
      <w:r>
        <w:rPr>
          <w:rFonts w:ascii="Times New Roman;serif" w:hAnsi="Times New Roman;serif"/>
          <w:b w:val="false"/>
          <w:color w:val="000000"/>
          <w:sz w:val="20"/>
        </w:rPr>
        <w:t xml:space="preserve">),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(c) </w:t>
      </w:r>
      <w:r>
        <w:rPr>
          <w:rFonts w:ascii="Times New Roman;serif" w:hAnsi="Times New Roman;serif"/>
          <w:b w:val="false"/>
          <w:color w:val="000000"/>
          <w:sz w:val="20"/>
        </w:rPr>
        <w:t xml:space="preserve">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(d) </w:t>
      </w:r>
      <w:r>
        <w:rPr>
          <w:rFonts w:ascii="Times New Roman;serif" w:hAnsi="Times New Roman;serif"/>
          <w:b w:val="false"/>
          <w:color w:val="000000"/>
          <w:sz w:val="20"/>
        </w:rPr>
        <w:t xml:space="preserve">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 </w:t>
      </w:r>
    </w:p>
    <w:p>
      <w:pPr>
        <w:pStyle w:val="TextBody"/>
        <w:bidi w:val="0"/>
        <w:spacing w:lineRule="auto" w:line="276"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5. DATE OF ISSUANCE.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(a) </w:t>
      </w:r>
      <w:r>
        <w:rPr>
          <w:rFonts w:ascii="Times New Roman;serif" w:hAnsi="Times New Roman;serif"/>
          <w:b w:val="false"/>
          <w:color w:val="000000"/>
          <w:sz w:val="20"/>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serif" w:hAnsi="Times New Roman;serif"/>
          <w:b/>
          <w:i/>
          <w:color w:val="000000"/>
          <w:sz w:val="20"/>
        </w:rPr>
        <w:t>Original Issuance Date</w:t>
      </w:r>
      <w:r>
        <w:rPr>
          <w:rFonts w:ascii="Times New Roman;serif" w:hAnsi="Times New Roman;serif"/>
          <w:b w:val="false"/>
          <w:color w:val="000000"/>
          <w:sz w:val="20"/>
        </w:rPr>
        <w:t xml:space="preserve">.”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(b) </w:t>
      </w:r>
      <w:r>
        <w:rPr>
          <w:rFonts w:ascii="Times New Roman;serif" w:hAnsi="Times New Roman;serif"/>
          <w:b w:val="false"/>
          <w:color w:val="000000"/>
          <w:sz w:val="20"/>
        </w:rPr>
        <w:t xml:space="preserve">If the Original Issuance Date falls on a date that is not a business day, delivery shall instead occur on the next following business day. In addition, if: </w:t>
      </w:r>
    </w:p>
    <w:p>
      <w:pPr>
        <w:pStyle w:val="TextBody"/>
        <w:bidi w:val="0"/>
        <w:spacing w:lineRule="auto" w:line="276" w:before="0" w:after="180"/>
        <w:ind w:left="0" w:right="0" w:firstLine="1080"/>
        <w:jc w:val="left"/>
        <w:rPr/>
      </w:pPr>
      <w:r>
        <w:rPr>
          <w:rFonts w:ascii="Times New Roman;serif" w:hAnsi="Times New Roman;serif"/>
          <w:b/>
          <w:color w:val="000000"/>
          <w:sz w:val="20"/>
        </w:rPr>
        <w:t xml:space="preserve">(i) </w:t>
      </w:r>
      <w:r>
        <w:rPr>
          <w:rFonts w:ascii="Times New Roman;serif" w:hAnsi="Times New Roman;serif"/>
          <w:b w:val="false"/>
          <w:color w:val="000000"/>
          <w:sz w:val="20"/>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0"/>
        </w:rPr>
        <w:t>10b5-1 Arrangement</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and </w:t>
      </w:r>
    </w:p>
    <w:p>
      <w:pPr>
        <w:pStyle w:val="TextBody"/>
        <w:bidi w:val="0"/>
        <w:spacing w:lineRule="auto" w:line="276" w:before="0" w:after="180"/>
        <w:ind w:left="0" w:right="0" w:firstLine="1080"/>
        <w:jc w:val="left"/>
        <w:rPr/>
      </w:pPr>
      <w:r>
        <w:rPr>
          <w:rFonts w:ascii="Times New Roman;serif" w:hAnsi="Times New Roman;serif"/>
          <w:b/>
          <w:color w:val="000000"/>
          <w:sz w:val="20"/>
        </w:rPr>
        <w:t xml:space="preserve">(ii) </w:t>
      </w:r>
      <w:r>
        <w:rPr>
          <w:rFonts w:ascii="Times New Roman;serif" w:hAnsi="Times New Roman;serif"/>
          <w:b w:val="false"/>
          <w:color w:val="000000"/>
          <w:sz w:val="20"/>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serif" w:hAnsi="Times New Roman;serif"/>
          <w:b w:val="false"/>
          <w:color w:val="000000"/>
          <w:sz w:val="20"/>
          <w:u w:val="single"/>
        </w:rPr>
        <w:t>then</w:t>
      </w:r>
      <w:r>
        <w:rPr>
          <w:color w:val="000000"/>
        </w:rPr>
        <w:t xml:space="preserve"> </w:t>
      </w:r>
      <w:r>
        <w:rPr>
          <w:rFonts w:ascii="Times New Roman;serif" w:hAnsi="Times New Roman;serif"/>
          <w:b w:val="false"/>
          <w:color w:val="000000"/>
          <w:sz w:val="20"/>
        </w:rPr>
        <w:t xml:space="preserve">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serif" w:hAnsi="Times New Roman;serif"/>
          <w:b w:val="false"/>
          <w:color w:val="000000"/>
          <w:sz w:val="20"/>
          <w:u w:val="single"/>
        </w:rPr>
        <w:t>if and only if</w:t>
      </w:r>
      <w:r>
        <w:rPr>
          <w:color w:val="000000"/>
        </w:rPr>
        <w:t xml:space="preserve"> </w:t>
      </w:r>
      <w:r>
        <w:rPr>
          <w:rFonts w:ascii="Times New Roman;serif" w:hAnsi="Times New Roman;serif"/>
          <w:b w:val="false"/>
          <w:color w:val="000000"/>
          <w:sz w:val="20"/>
        </w:rPr>
        <w:t xml:space="preserve">permitted in a manner that complies with U.S. Treasury Regulations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6. TRANSFERABILITY. </w:t>
      </w:r>
      <w:r>
        <w:rPr>
          <w:rFonts w:ascii="Times New Roman;serif" w:hAnsi="Times New Roman;serif"/>
          <w:b w:val="false"/>
          <w:color w:val="000000"/>
          <w:sz w:val="20"/>
        </w:rPr>
        <w:t xml:space="preserve">Except as otherwise provided in the Plan, your RSU Award is not transferable, except by will or by the applicable laws of descent and distribution.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7. CORPORATE TRANSACTION. </w:t>
      </w:r>
      <w:r>
        <w:rPr>
          <w:rFonts w:ascii="Times New Roman;serif" w:hAnsi="Times New Roman;serif"/>
          <w:b w:val="false"/>
          <w:color w:val="000000"/>
          <w:sz w:val="20"/>
        </w:rPr>
        <w:t xml:space="preserve">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76" w:before="0" w:after="180"/>
        <w:ind w:left="0" w:right="0" w:firstLine="360"/>
        <w:jc w:val="left"/>
        <w:rPr/>
      </w:pPr>
      <w:r>
        <w:rPr>
          <w:rFonts w:ascii="Times New Roman;serif" w:hAnsi="Times New Roman;serif"/>
          <w:b/>
          <w:color w:val="000000"/>
          <w:sz w:val="20"/>
        </w:rPr>
        <w:t>8. NO LIABILITY FOR TAXES</w:t>
      </w:r>
      <w:r>
        <w:rPr>
          <w:rFonts w:ascii="Times New Roman;serif" w:hAnsi="Times New Roman;serif"/>
          <w:b w:val="false"/>
          <w:color w:val="000000"/>
          <w:sz w:val="20"/>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lineRule="auto" w:line="276" w:before="0" w:after="180"/>
        <w:ind w:left="0" w:right="0" w:firstLine="360"/>
        <w:jc w:val="left"/>
        <w:rPr/>
      </w:pPr>
      <w:r>
        <w:rPr>
          <w:rFonts w:ascii="Times New Roman;serif" w:hAnsi="Times New Roman;serif"/>
          <w:b/>
          <w:color w:val="000000"/>
          <w:sz w:val="20"/>
        </w:rPr>
        <w:t>9. SEVERABILITY</w:t>
      </w:r>
      <w:r>
        <w:rPr>
          <w:rFonts w:ascii="Times New Roman;serif" w:hAnsi="Times New Roman;serif"/>
          <w:b w:val="false"/>
          <w:color w:val="000000"/>
          <w:sz w:val="20"/>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10. OTHER DOCUMENTS. </w:t>
      </w:r>
      <w:r>
        <w:rPr>
          <w:rFonts w:ascii="Times New Roman;serif" w:hAnsi="Times New Roman;serif"/>
          <w:b w:val="false"/>
          <w:color w:val="000000"/>
          <w:sz w:val="20"/>
        </w:rPr>
        <w:t xml:space="preserve">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11. QUESTIONS. </w:t>
      </w:r>
      <w:r>
        <w:rPr>
          <w:rFonts w:ascii="Times New Roman;serif" w:hAnsi="Times New Roman;serif"/>
          <w:b w:val="false"/>
          <w:color w:val="000000"/>
          <w:sz w:val="20"/>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lineRule="auto" w:line="276"/>
        <w:ind w:left="0" w:right="0" w:firstLine="360"/>
        <w:jc w:val="left"/>
        <w:rPr/>
      </w:pPr>
      <w:r>
        <w:rPr>
          <w:rFonts w:ascii="Times New Roman;serif" w:hAnsi="Times New Roman;serif"/>
          <w:b/>
          <w:color w:val="000000"/>
          <w:sz w:val="20"/>
        </w:rPr>
        <w:t>12. Clawback/Recovery</w:t>
      </w:r>
      <w:r>
        <w:rPr>
          <w:rFonts w:ascii="Times New Roman;serif" w:hAnsi="Times New Roman;serif"/>
          <w:b w:val="false"/>
          <w:color w:val="000000"/>
          <w:sz w:val="20"/>
        </w:rPr>
        <w:t xml:space="preserve">. The RSU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pPr>
      <w:r>
        <w:rPr>
          <w:rFonts w:ascii="Times New Roman;serif" w:hAnsi="Times New Roman;serif"/>
          <w:b/>
          <w:color w:val="000000"/>
          <w:sz w:val="20"/>
        </w:rPr>
        <w:t>EXHIBIT A</w:t>
      </w:r>
      <w:r>
        <w:rPr>
          <w:color w:val="000000"/>
        </w:rPr>
        <w:t xml:space="preserve"> </w:t>
      </w:r>
    </w:p>
    <w:p>
      <w:pPr>
        <w:pStyle w:val="TextBody"/>
        <w:bidi w:val="0"/>
        <w:spacing w:lineRule="auto" w:line="276" w:before="0" w:after="180"/>
        <w:jc w:val="center"/>
        <w:rPr/>
      </w:pPr>
      <w:r>
        <w:rPr>
          <w:rFonts w:ascii="Times New Roman;serif" w:hAnsi="Times New Roman;serif"/>
          <w:b/>
          <w:color w:val="000000"/>
          <w:sz w:val="20"/>
        </w:rPr>
        <w:t>VESTING SCHEDULE</w:t>
      </w:r>
      <w:r>
        <w:rPr>
          <w:color w:val="000000"/>
        </w:rPr>
        <w:t xml:space="preserve"> </w:t>
      </w:r>
    </w:p>
    <w:p>
      <w:pPr>
        <w:pStyle w:val="TextBody"/>
        <w:bidi w:val="0"/>
        <w:spacing w:lineRule="auto" w:line="276"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Restricted Stock Units that vest shall be determined in accordance with the following terms and conditions. Capitalized terms not otherwise defined herein have the meanings set forth in the Grant Notice, the Agreement or the Plan, as applicable. </w:t>
      </w:r>
    </w:p>
    <w:p>
      <w:pPr>
        <w:pStyle w:val="TextBody"/>
        <w:bidi w:val="0"/>
        <w:spacing w:lineRule="auto" w:line="276" w:before="0" w:after="180"/>
        <w:ind w:left="0" w:right="0" w:firstLine="360"/>
        <w:jc w:val="left"/>
        <w:rPr/>
      </w:pPr>
      <w:r>
        <w:rPr>
          <w:rFonts w:ascii="Times New Roman;serif" w:hAnsi="Times New Roman;serif"/>
          <w:b/>
          <w:color w:val="000000"/>
          <w:sz w:val="20"/>
        </w:rPr>
        <w:t xml:space="preserve">1. Performance Period. </w:t>
      </w:r>
      <w:r>
        <w:rPr>
          <w:rFonts w:ascii="Times New Roman;serif" w:hAnsi="Times New Roman;serif"/>
          <w:b w:val="false"/>
          <w:color w:val="000000"/>
          <w:sz w:val="20"/>
        </w:rPr>
        <w:t>The “</w:t>
      </w:r>
      <w:r>
        <w:rPr>
          <w:rFonts w:ascii="Times New Roman;serif" w:hAnsi="Times New Roman;serif"/>
          <w:b/>
          <w:i/>
          <w:color w:val="000000"/>
          <w:sz w:val="20"/>
        </w:rPr>
        <w:t>Performance Period</w:t>
      </w:r>
      <w:r>
        <w:rPr>
          <w:color w:val="000000"/>
        </w:rPr>
        <w:t xml:space="preserve">” </w:t>
      </w:r>
      <w:r>
        <w:rPr>
          <w:rFonts w:ascii="Times New Roman;serif" w:hAnsi="Times New Roman;serif"/>
          <w:b w:val="false"/>
          <w:color w:val="000000"/>
          <w:sz w:val="20"/>
        </w:rPr>
        <w:t>shall begin on January 1, 2025 and shall end on December 31, 2027 (the “</w:t>
      </w:r>
      <w:r>
        <w:rPr>
          <w:rFonts w:ascii="Times New Roman;serif" w:hAnsi="Times New Roman;serif"/>
          <w:b/>
          <w:i/>
          <w:color w:val="000000"/>
          <w:sz w:val="20"/>
        </w:rPr>
        <w:t>Scheduled Performance Period End Date</w:t>
      </w:r>
      <w:r>
        <w:rPr>
          <w:color w:val="000000"/>
        </w:rPr>
        <w:t>”</w:t>
      </w:r>
      <w:r>
        <w:rPr>
          <w:rFonts w:ascii="Times New Roman;serif" w:hAnsi="Times New Roman;serif"/>
          <w:b w:val="false"/>
          <w:color w:val="000000"/>
          <w:sz w:val="20"/>
        </w:rPr>
        <w:t>). Notwithstanding the foregoing, in the event of a Change in Control prior to the Scheduled Performance Period End Date, the Performance Period shall be shortened and deemed to end immediately prior to the effective time of the Change in Control and the Award shall be treated as set forth in Section 4(a) of this Exhibit A.</w:t>
      </w:r>
      <w:r>
        <w:rPr>
          <w:color w:val="000000"/>
        </w:rPr>
        <w:t xml:space="preserve"> </w:t>
      </w:r>
    </w:p>
    <w:p>
      <w:pPr>
        <w:pStyle w:val="TextBody"/>
        <w:bidi w:val="0"/>
        <w:spacing w:lineRule="auto" w:line="276" w:before="0" w:after="180"/>
        <w:ind w:left="0" w:right="0" w:firstLine="360"/>
        <w:jc w:val="left"/>
        <w:rPr/>
      </w:pPr>
      <w:r>
        <w:rPr>
          <w:rFonts w:ascii="Times New Roman;serif" w:hAnsi="Times New Roman;serif"/>
          <w:b/>
          <w:color w:val="000000"/>
          <w:sz w:val="20"/>
        </w:rPr>
        <w:t>2. Earning of Restricted Stock Units.</w:t>
      </w:r>
      <w:r>
        <w:rPr>
          <w:color w:val="000000"/>
        </w:rPr>
        <w:t xml:space="preserve"> </w:t>
      </w:r>
      <w:r>
        <w:rPr>
          <w:rFonts w:ascii="Times New Roman;serif" w:hAnsi="Times New Roman;serif"/>
          <w:b w:val="false"/>
          <w:color w:val="000000"/>
          <w:sz w:val="20"/>
        </w:rPr>
        <w:t xml:space="preserve">Restricted Stock Units will be earned and eligible to vest (the “Earned Units”), contingent upon achievement of the performance criteria during the Performance Period as described in Section 2(a) below. </w:t>
      </w:r>
    </w:p>
    <w:p>
      <w:pPr>
        <w:pStyle w:val="TextBody"/>
        <w:bidi w:val="0"/>
        <w:spacing w:lineRule="auto" w:line="276" w:before="0" w:after="180"/>
        <w:ind w:left="0" w:right="0" w:firstLine="720"/>
        <w:jc w:val="left"/>
        <w:rPr/>
      </w:pPr>
      <w:r>
        <w:rPr>
          <w:rFonts w:ascii="Times New Roman;serif" w:hAnsi="Times New Roman;serif"/>
          <w:b/>
          <w:color w:val="000000"/>
          <w:sz w:val="20"/>
        </w:rPr>
        <w:t>a. Performance Criteria.</w:t>
      </w:r>
      <w:r>
        <w:rPr>
          <w:color w:val="000000"/>
        </w:rPr>
        <w:t xml:space="preserve"> </w:t>
      </w:r>
      <w:r>
        <w:rPr>
          <w:rFonts w:ascii="Times New Roman;serif" w:hAnsi="Times New Roman;serif"/>
          <w:b w:val="false"/>
          <w:color w:val="000000"/>
          <w:sz w:val="20"/>
        </w:rPr>
        <w:t xml:space="preserve">For the purposes of this agreement, performance is subject to the achievement of both Policies-in-Force and Gross Accident Period Loss Ratio goals during the Performance period as outlined in the matrices set forth in </w:t>
      </w:r>
      <w:r>
        <w:rPr>
          <w:rFonts w:ascii="Times New Roman;serif" w:hAnsi="Times New Roman;serif"/>
          <w:b/>
          <w:color w:val="000000"/>
          <w:sz w:val="20"/>
        </w:rPr>
        <w:t>Appendix A</w:t>
      </w:r>
      <w:r>
        <w:rPr>
          <w:rFonts w:ascii="Times New Roman;serif" w:hAnsi="Times New Roman;serif"/>
          <w:b w:val="false"/>
          <w:color w:val="000000"/>
          <w:sz w:val="20"/>
        </w:rPr>
        <w:t xml:space="preserve">, as certified by the Compensation Committee. The Compensation Committee retains discretion to adjust the matrices as set forth in the Plan.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performance falls between any of the amounts set forth in the matrices, the number of Earned Units shall be determined by interpolation. Any portion of the target award not earned during the term of the Award based upon the Company’s actual performance as measured against the applicable performance criteria shall expire and be forfeited. </w:t>
      </w:r>
    </w:p>
    <w:p>
      <w:pPr>
        <w:pStyle w:val="TextBody"/>
        <w:bidi w:val="0"/>
        <w:spacing w:lineRule="auto" w:line="276"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 For the purposes of this Agreement, Policies-in-Force is defined as the number of current and active auto insurance policyholders underwritten by the Company as of the performance period. </w:t>
      </w:r>
    </w:p>
    <w:p>
      <w:pPr>
        <w:pStyle w:val="TextBody"/>
        <w:bidi w:val="0"/>
        <w:spacing w:lineRule="auto" w:line="276"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ii. For the purposes of this Agreement, Gross Accident Period Loss Ratio, expressed as a percentage, is defined as all losses and claims expected to arise from insured events that occurred during the applicable period regardless of when they are reported and finally settled divided by gross premiums earned for the same period. </w:t>
      </w:r>
    </w:p>
    <w:p>
      <w:pPr>
        <w:pStyle w:val="TextBody"/>
        <w:bidi w:val="0"/>
        <w:spacing w:lineRule="auto" w:line="276" w:before="0" w:after="180"/>
        <w:ind w:left="0" w:right="0" w:firstLine="720"/>
        <w:jc w:val="left"/>
        <w:rPr/>
      </w:pPr>
      <w:r>
        <w:rPr>
          <w:rFonts w:ascii="Times New Roman;serif" w:hAnsi="Times New Roman;serif"/>
          <w:b/>
          <w:color w:val="000000"/>
          <w:sz w:val="20"/>
        </w:rPr>
        <w:t xml:space="preserve">b. Annual Vesting Opportunity. </w:t>
      </w:r>
      <w:r>
        <w:rPr>
          <w:rFonts w:ascii="Times New Roman;serif" w:hAnsi="Times New Roman;serif"/>
          <w:b w:val="false"/>
          <w:color w:val="000000"/>
          <w:sz w:val="20"/>
        </w:rPr>
        <w:t xml:space="preserve">The Performance Period will consist of three subperiods ending on December 31st of 2025, 2026, and 2027 where a portion of the target award, as set forth in the table below, may be earned. Annual vesting opportunity is subject to the achievement of performance criteria as outlined in the matrices set forth in </w:t>
      </w:r>
      <w:r>
        <w:rPr>
          <w:rFonts w:ascii="Times New Roman;serif" w:hAnsi="Times New Roman;serif"/>
          <w:b/>
          <w:color w:val="000000"/>
          <w:sz w:val="20"/>
        </w:rPr>
        <w:t>Appendix A</w:t>
      </w:r>
      <w:r>
        <w:rPr>
          <w:rFonts w:ascii="Times New Roman;serif" w:hAnsi="Times New Roman;serif"/>
          <w:b w:val="false"/>
          <w:color w:val="000000"/>
          <w:sz w:val="20"/>
        </w:rPr>
        <w:t xml:space="preserve">. If performance is achieved at levels that fall in between the values set forth in the matrices, then linear interpolation shall be used to determine the achievement, except in the cases where performance is achieved at levels that fall in between a 0% payout and a non-0% payout at which point no units will be earned.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Earned units, if any, at the end of each subperiod shall vest in the first quarter of the following year on the date that the Compensation Committee certifies performance as set forth in Section 2(a). In the event that performance in subperiods 2 or 3 is achieved at a level lower than the prior subperiod, no shares will be earned in such subperiod, and the earned units in the prior subperiod, if any, will be unchanged.</w:t>
      </w:r>
    </w:p>
    <w:tbl>
      <w:tblPr>
        <w:tblW w:w="8775" w:type="dxa"/>
        <w:jc w:val="left"/>
        <w:tblInd w:w="0" w:type="dxa"/>
        <w:tblLayout w:type="fixed"/>
        <w:tblCellMar>
          <w:top w:w="28" w:type="dxa"/>
          <w:left w:w="28" w:type="dxa"/>
          <w:bottom w:w="28" w:type="dxa"/>
          <w:right w:w="28" w:type="dxa"/>
        </w:tblCellMar>
      </w:tblPr>
      <w:tblGrid>
        <w:gridCol w:w="359"/>
        <w:gridCol w:w="315"/>
        <w:gridCol w:w="317"/>
        <w:gridCol w:w="534"/>
        <w:gridCol w:w="534"/>
        <w:gridCol w:w="537"/>
        <w:gridCol w:w="597"/>
        <w:gridCol w:w="597"/>
        <w:gridCol w:w="605"/>
        <w:gridCol w:w="1279"/>
        <w:gridCol w:w="1279"/>
        <w:gridCol w:w="182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Subperiod</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Start Date</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End Date</w:t>
            </w:r>
          </w:p>
        </w:tc>
        <w:tc>
          <w:tcPr>
            <w:tcW w:w="4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of Target Award Eligible to be Earned</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01, 2025</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31, 2025</w:t>
            </w:r>
          </w:p>
        </w:tc>
        <w:tc>
          <w:tcPr>
            <w:tcW w:w="4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r>
      <w:tr>
        <w:trPr/>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1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01, 2025</w:t>
            </w:r>
          </w:p>
        </w:tc>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31, 2026</w:t>
            </w:r>
          </w:p>
        </w:tc>
        <w:tc>
          <w:tcPr>
            <w:tcW w:w="43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 (minus amount earned in subperiod 1)</w:t>
            </w:r>
          </w:p>
        </w:tc>
      </w:tr>
      <w:tr>
        <w:trPr/>
        <w:tc>
          <w:tcPr>
            <w:tcW w:w="9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6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01, 2025</w:t>
            </w:r>
          </w:p>
        </w:tc>
        <w:tc>
          <w:tcPr>
            <w:tcW w:w="1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31, 2027</w:t>
            </w:r>
          </w:p>
        </w:tc>
        <w:tc>
          <w:tcPr>
            <w:tcW w:w="43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 (minus amount earned in subperiods 1 &amp; 2</w:t>
            </w:r>
          </w:p>
        </w:tc>
      </w:tr>
    </w:tbl>
    <w:p>
      <w:pPr>
        <w:pStyle w:val="TextBody"/>
        <w:bidi w:val="0"/>
        <w:spacing w:lineRule="auto" w:line="276" w:before="0" w:after="180"/>
        <w:ind w:left="0" w:right="0" w:firstLine="360"/>
        <w:jc w:val="left"/>
        <w:rPr/>
      </w:pPr>
      <w:r>
        <w:rPr>
          <w:rFonts w:ascii="Times New Roman;serif" w:hAnsi="Times New Roman;serif"/>
          <w:b/>
          <w:color w:val="000000"/>
          <w:sz w:val="20"/>
        </w:rPr>
        <w:t>3. Termination of Continuous Service</w:t>
      </w:r>
      <w:r>
        <w:rPr>
          <w:color w:val="000000"/>
        </w:rPr>
        <w:t xml:space="preserve"> </w:t>
      </w:r>
    </w:p>
    <w:p>
      <w:pPr>
        <w:pStyle w:val="TextBody"/>
        <w:bidi w:val="0"/>
        <w:spacing w:lineRule="auto" w:line="276" w:before="0" w:after="180"/>
        <w:ind w:left="0" w:right="0" w:firstLine="1080"/>
        <w:jc w:val="left"/>
        <w:rPr/>
      </w:pPr>
      <w:r>
        <w:rPr>
          <w:rFonts w:ascii="Times New Roman;serif" w:hAnsi="Times New Roman;serif"/>
          <w:b/>
          <w:color w:val="000000"/>
          <w:sz w:val="20"/>
        </w:rPr>
        <w:t>a.</w:t>
      </w:r>
      <w:r>
        <w:rPr>
          <w:rFonts w:ascii="Times New Roman;serif" w:hAnsi="Times New Roman;serif"/>
          <w:b/>
          <w:color w:val="000000"/>
          <w:sz w:val="20"/>
        </w:rPr>
        <w:t xml:space="preserve">Impact of Change in Control. </w:t>
      </w:r>
      <w:r>
        <w:rPr>
          <w:rFonts w:ascii="Times New Roman;serif" w:hAnsi="Times New Roman;serif"/>
          <w:b w:val="false"/>
          <w:color w:val="000000"/>
          <w:sz w:val="20"/>
        </w:rPr>
        <w:t xml:space="preserve">If, during the Performance Period, a Change in Control occurs then the Performance Period will be shortened such that the Performance Period will end as of immediately prior to the Change in Control and will vest at the greater of target or, to the extent that any of the Performance Criteria are achieved on a prorated basis based on the number of days in the Performance Period that have elapsed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Control, as certified by the Compensation Committee within five business days prior to the Change in Control, such higher amount and the Earned Units will become immediately vested. </w:t>
      </w:r>
    </w:p>
    <w:p>
      <w:pPr>
        <w:pStyle w:val="TextBody"/>
        <w:bidi w:val="0"/>
        <w:spacing w:lineRule="auto" w:line="276" w:before="0" w:after="180"/>
        <w:ind w:left="0" w:right="0" w:firstLine="1080"/>
        <w:jc w:val="left"/>
        <w:rPr/>
      </w:pPr>
      <w:r>
        <w:rPr>
          <w:rFonts w:ascii="Times New Roman;serif" w:hAnsi="Times New Roman;serif"/>
          <w:b/>
          <w:color w:val="000000"/>
          <w:sz w:val="20"/>
        </w:rPr>
        <w:t>b.</w:t>
      </w:r>
      <w:r>
        <w:rPr>
          <w:rFonts w:ascii="Times New Roman;serif" w:hAnsi="Times New Roman;serif"/>
          <w:b/>
          <w:color w:val="000000"/>
          <w:sz w:val="20"/>
        </w:rPr>
        <w:t>Impact of Retirement.</w:t>
      </w:r>
      <w:r>
        <w:rPr>
          <w:color w:val="000000"/>
        </w:rPr>
        <w:t xml:space="preserve"> </w:t>
      </w:r>
      <w:r>
        <w:rPr>
          <w:rFonts w:ascii="Times New Roman;serif" w:hAnsi="Times New Roman;serif"/>
          <w:b w:val="false"/>
          <w:color w:val="000000"/>
          <w:sz w:val="20"/>
        </w:rPr>
        <w:t xml:space="preserve">If, during the Performance Period the Participant terminates his or her Continuous Service by reason of Retirement, the Award shall remain outstanding and eligible to be earned and to vest pursuant to the foregoing provisions of this Exhibit A (including the provisions with respect to a Change in Control) and the number of Earned Units shall be equal to the number of Earned Units (if any) determined pursuant to the foregoing provisions of this Exhibit A based on the Company’s actual performance as measured against the applicable performance criteria multiplied by a fraction, the numerator of which is the number of days in the Performance Period that the Participant was in Continuous Service with the Company and the denominator of which is 365.“Retirement” shall mean a termination of Continuous Service with the Company (including a termination by reason of death or Disability) that is not a termination for Cause and that occurs (i) upon or following the attainment of age of 55 with 10 years of service with the Company, (ii) more than six months following the date of grant of this Award and (iii) where the termination is initiated by the Participant, upon no less than six months’ advance written notice by the Participant. “Retirement” shall not mean a termination of Continuous Service that results from an act or omission permitting the Compensation Committee to exercise its discretion to seek recovery of Incentive-Based Compensation under any of the clawback policies and provisions described in Section 12 of the Agreement. </w:t>
      </w:r>
    </w:p>
    <w:p>
      <w:pPr>
        <w:pStyle w:val="TextBody"/>
        <w:bidi w:val="0"/>
        <w:spacing w:lineRule="auto" w:line="276" w:before="0" w:after="180"/>
        <w:ind w:left="0" w:right="0" w:firstLine="1080"/>
        <w:jc w:val="left"/>
        <w:rPr/>
      </w:pPr>
      <w:r>
        <w:rPr>
          <w:rFonts w:ascii="Times New Roman;serif" w:hAnsi="Times New Roman;serif"/>
          <w:b/>
          <w:color w:val="000000"/>
          <w:sz w:val="20"/>
        </w:rPr>
        <w:t>c.</w:t>
      </w:r>
      <w:r>
        <w:rPr>
          <w:rFonts w:ascii="Times New Roman;serif" w:hAnsi="Times New Roman;serif"/>
          <w:b/>
          <w:color w:val="000000"/>
          <w:sz w:val="20"/>
        </w:rPr>
        <w:t>Termination other than Retirement.</w:t>
      </w:r>
      <w:r>
        <w:rPr>
          <w:color w:val="000000"/>
        </w:rPr>
        <w:t xml:space="preserve"> </w:t>
      </w:r>
      <w:r>
        <w:rPr>
          <w:rFonts w:ascii="Times New Roman;serif" w:hAnsi="Times New Roman;serif"/>
          <w:b w:val="false"/>
          <w:color w:val="000000"/>
          <w:sz w:val="20"/>
        </w:rPr>
        <w:t xml:space="preserve">If, during the Performance Period, the Participant terminates his or her Continuous Service for reasons other than a Retirement, the Award shall be canceled and forfeited as of the date of such termination, except as may be set forth in a written employment or severance arrangement between the Participant and the Company. </w:t>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10.42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Non-Employee Director Compensation Policy</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 xml:space="preserve">Restricted Stock Unit Deferral Election Form </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For Eligible Directors</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 xml:space="preserve">(Amended and Restated and Effective as of October 30, 2025) </w:t>
      </w:r>
    </w:p>
    <w:p>
      <w:pPr>
        <w:pStyle w:val="TextBody"/>
        <w:bidi w:val="0"/>
        <w:spacing w:before="0" w:after="0"/>
        <w:jc w:val="center"/>
        <w:rPr/>
      </w:pPr>
      <w:r>
        <w:rPr/>
      </w:r>
    </w:p>
    <w:p>
      <w:pPr>
        <w:pStyle w:val="TextBody"/>
        <w:bidi w:val="0"/>
        <w:spacing w:lineRule="auto" w:line="268" w:before="0" w:after="180"/>
        <w:jc w:val="both"/>
        <w:rPr/>
      </w:pPr>
      <w:r>
        <w:rPr>
          <w:rFonts w:ascii="Times New Roman;serif" w:hAnsi="Times New Roman;serif"/>
          <w:b w:val="false"/>
          <w:color w:val="000000"/>
          <w:sz w:val="20"/>
        </w:rPr>
        <w:t>Please complete and return this Restricted Stock Unit Deferral Election Form (the “</w:t>
      </w:r>
      <w:r>
        <w:rPr>
          <w:rFonts w:ascii="Times New Roman;serif" w:hAnsi="Times New Roman;serif"/>
          <w:b/>
          <w:i/>
          <w:color w:val="000000"/>
          <w:sz w:val="20"/>
        </w:rPr>
        <w:t>Election Form</w:t>
      </w:r>
      <w:r>
        <w:rPr>
          <w:color w:val="000000"/>
        </w:rPr>
        <w:t>”</w:t>
      </w:r>
      <w:r>
        <w:rPr>
          <w:rFonts w:ascii="Times New Roman;serif" w:hAnsi="Times New Roman;serif"/>
          <w:b w:val="false"/>
          <w:color w:val="000000"/>
          <w:sz w:val="20"/>
        </w:rPr>
        <w:t>), as described below: (1) for existing non-employee Directors making elections with respect to restricted stock units awards (“</w:t>
      </w:r>
      <w:r>
        <w:rPr>
          <w:rFonts w:ascii="Times New Roman;serif" w:hAnsi="Times New Roman;serif"/>
          <w:b/>
          <w:i/>
          <w:color w:val="000000"/>
          <w:sz w:val="20"/>
        </w:rPr>
        <w:t>RSU Awards</w:t>
      </w:r>
      <w:r>
        <w:rPr>
          <w:color w:val="000000"/>
        </w:rPr>
        <w:t>”</w:t>
      </w:r>
      <w:r>
        <w:rPr>
          <w:rFonts w:ascii="Times New Roman;serif" w:hAnsi="Times New Roman;serif"/>
          <w:b w:val="false"/>
          <w:color w:val="000000"/>
          <w:sz w:val="20"/>
        </w:rPr>
        <w:t>) granted in 2026 or any year thereafter, by December 15 of the year prior to the calendar year in which the RSU Award(s) to which the deferral election relates would be granted; and (2) for new non-employee Directors making elections for the year in which they join the Board: within 30 days following the date you join the Board</w:t>
      </w:r>
      <w:r>
        <w:rPr>
          <w:color w:val="000000"/>
        </w:rPr>
        <w:t xml:space="preserve"> </w:t>
      </w:r>
      <w:r>
        <w:rPr>
          <w:rFonts w:ascii="Times New Roman;serif" w:hAnsi="Times New Roman;serif"/>
          <w:b w:val="false"/>
          <w:color w:val="000000"/>
          <w:sz w:val="20"/>
        </w:rPr>
        <w:t>(as applicable, the “</w:t>
      </w:r>
      <w:r>
        <w:rPr>
          <w:rFonts w:ascii="Times New Roman;serif" w:hAnsi="Times New Roman;serif"/>
          <w:b/>
          <w:i/>
          <w:color w:val="000000"/>
          <w:sz w:val="20"/>
        </w:rPr>
        <w:t>Submission Deadline</w:t>
      </w:r>
      <w:r>
        <w:rPr>
          <w:color w:val="000000"/>
        </w:rPr>
        <w:t>”</w:t>
      </w:r>
      <w:r>
        <w:rPr>
          <w:rFonts w:ascii="Times New Roman;serif" w:hAnsi="Times New Roman;serif"/>
          <w:b w:val="false"/>
          <w:color w:val="000000"/>
          <w:sz w:val="20"/>
        </w:rPr>
        <w:t>), to Jodi Baker, by e-mail to jodi.baker@joinroot.com.</w:t>
      </w:r>
    </w:p>
    <w:p>
      <w:pPr>
        <w:pStyle w:val="TextBody"/>
        <w:bidi w:val="0"/>
        <w:spacing w:lineRule="auto" w:line="268" w:before="0" w:after="180"/>
        <w:jc w:val="both"/>
        <w:rPr/>
      </w:pPr>
      <w:r>
        <w:rPr>
          <w:rFonts w:ascii="Times New Roman;serif" w:hAnsi="Times New Roman;serif"/>
          <w:b w:val="false"/>
          <w:color w:val="000000"/>
          <w:sz w:val="20"/>
        </w:rPr>
        <w:t>Neither the provision of this Election Form nor your completion of this Election Form represents a commitment by the Company to grant an RSU Award to you. The grant of an RSU Award remains subject to the terms of the Company’s Non-Employee Director Compensation Policy as may be hereinafter amended (the “</w:t>
      </w:r>
      <w:r>
        <w:rPr>
          <w:rFonts w:ascii="Times New Roman;serif" w:hAnsi="Times New Roman;serif"/>
          <w:b/>
          <w:i/>
          <w:color w:val="000000"/>
          <w:sz w:val="20"/>
        </w:rPr>
        <w:t>Policy</w:t>
      </w:r>
      <w:r>
        <w:rPr>
          <w:color w:val="000000"/>
        </w:rPr>
        <w:t>”</w:t>
      </w:r>
      <w:r>
        <w:rPr>
          <w:rFonts w:ascii="Times New Roman;serif" w:hAnsi="Times New Roman;serif"/>
          <w:b w:val="false"/>
          <w:color w:val="000000"/>
          <w:sz w:val="20"/>
        </w:rPr>
        <w:t>). Terms not otherwise defined herein shall have the meaning set forth in the Policy or the Company’s 2020 Equity Incentive Plan (or any successor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as applicable. </w:t>
      </w:r>
    </w:p>
    <w:p>
      <w:pPr>
        <w:pStyle w:val="TextBody"/>
        <w:bidi w:val="0"/>
        <w:spacing w:lineRule="auto" w:line="268" w:before="0" w:after="180"/>
        <w:jc w:val="left"/>
        <w:rPr>
          <w:rFonts w:ascii="Times New Roman;serif" w:hAnsi="Times New Roman;serif"/>
          <w:b/>
          <w:color w:val="000000"/>
          <w:sz w:val="20"/>
        </w:rPr>
      </w:pPr>
      <w:r>
        <w:rPr>
          <w:rFonts w:ascii="Times New Roman;serif" w:hAnsi="Times New Roman;serif"/>
          <w:b/>
          <w:color w:val="000000"/>
          <w:sz w:val="20"/>
        </w:rPr>
        <w:t xml:space="preserve">I understand that my Election Form will become irrevocable and effective as of the Submission Deadline. </w:t>
      </w:r>
    </w:p>
    <w:p>
      <w:pPr>
        <w:pStyle w:val="TextBody"/>
        <w:bidi w:val="0"/>
        <w:spacing w:lineRule="auto" w:line="268" w:before="0" w:after="180"/>
        <w:ind w:left="0" w:right="0" w:firstLine="10"/>
        <w:jc w:val="left"/>
        <w:rPr/>
      </w:pPr>
      <w:r>
        <w:rPr>
          <w:rFonts w:ascii="Times New Roman;serif" w:hAnsi="Times New Roman;serif"/>
          <w:b/>
          <w:color w:val="000000"/>
          <w:sz w:val="20"/>
        </w:rPr>
        <w:t>I.</w:t>
      </w:r>
      <w:r>
        <w:rPr>
          <w:color w:val="000000"/>
        </w:rPr>
        <w:t xml:space="preserve"> </w:t>
      </w:r>
      <w:r>
        <w:rPr>
          <w:rFonts w:ascii="Times New Roman;serif" w:hAnsi="Times New Roman;serif"/>
          <w:b/>
          <w:color w:val="000000"/>
          <w:sz w:val="20"/>
          <w:u w:val="single"/>
        </w:rPr>
        <w:t>PERSONAL INFORMATION</w:t>
      </w:r>
      <w:r>
        <w:rPr>
          <w:color w:val="000000"/>
        </w:rPr>
        <w:t xml:space="preserve"> </w:t>
      </w:r>
    </w:p>
    <w:p>
      <w:pPr>
        <w:pStyle w:val="TextBody"/>
        <w:bidi w:val="0"/>
        <w:spacing w:lineRule="auto" w:line="26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(Please print) </w:t>
      </w:r>
    </w:p>
    <w:p>
      <w:pPr>
        <w:pStyle w:val="TextBody"/>
        <w:bidi w:val="0"/>
        <w:spacing w:lineRule="auto" w:line="268" w:before="0" w:after="180"/>
        <w:jc w:val="left"/>
        <w:rPr/>
      </w:pPr>
      <w:r>
        <w:rPr>
          <w:rFonts w:ascii="Times New Roman;serif" w:hAnsi="Times New Roman;serif"/>
          <w:b w:val="false"/>
          <w:color w:val="000000"/>
          <w:sz w:val="20"/>
        </w:rPr>
        <w:t>Participant Name: (the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xml:space="preserve">) </w:t>
      </w:r>
    </w:p>
    <w:p>
      <w:pPr>
        <w:pStyle w:val="TextBody"/>
        <w:bidi w:val="0"/>
        <w:spacing w:lineRule="auto" w:line="268" w:before="0" w:after="180"/>
        <w:ind w:left="0" w:right="0" w:firstLine="10"/>
        <w:jc w:val="left"/>
        <w:rPr/>
      </w:pPr>
      <w:r>
        <w:rPr>
          <w:rFonts w:ascii="Times New Roman;serif" w:hAnsi="Times New Roman;serif"/>
          <w:b/>
          <w:color w:val="000000"/>
          <w:sz w:val="20"/>
        </w:rPr>
        <w:t>II.</w:t>
      </w:r>
      <w:r>
        <w:rPr>
          <w:color w:val="000000"/>
        </w:rPr>
        <w:t xml:space="preserve"> </w:t>
      </w:r>
      <w:r>
        <w:rPr>
          <w:rFonts w:ascii="Times New Roman;serif" w:hAnsi="Times New Roman;serif"/>
          <w:b/>
          <w:color w:val="000000"/>
          <w:sz w:val="20"/>
          <w:u w:val="single"/>
        </w:rPr>
        <w:t xml:space="preserve">RSU AWARD DEFERRAL ELECTION </w:t>
      </w:r>
    </w:p>
    <w:p>
      <w:pPr>
        <w:pStyle w:val="TextBody"/>
        <w:bidi w:val="0"/>
        <w:spacing w:lineRule="auto" w:line="268" w:before="0" w:after="180"/>
        <w:ind w:left="0" w:right="0" w:firstLine="360"/>
        <w:jc w:val="both"/>
        <w:rPr/>
      </w:pPr>
      <w:r>
        <w:rPr>
          <w:rFonts w:ascii="Times New Roman;serif" w:hAnsi="Times New Roman;serif"/>
          <w:b w:val="false"/>
          <w:color w:val="000000"/>
          <w:sz w:val="20"/>
        </w:rPr>
        <w:t>By signing below, I elect to defer in accordance with this Article II 100%</w:t>
      </w:r>
      <w:r>
        <w:rPr>
          <w:color w:val="000000"/>
        </w:rPr>
        <w:t xml:space="preserve"> </w:t>
      </w:r>
      <w:r>
        <w:rPr>
          <w:rFonts w:ascii="Times New Roman;serif" w:hAnsi="Times New Roman;serif"/>
          <w:b w:val="false"/>
          <w:color w:val="000000"/>
          <w:sz w:val="20"/>
        </w:rPr>
        <w:t xml:space="preserve">of any RSU Awards that may be granted to me as compensation for my service on the Board, if any, under the Plan and pursuant to the Policy in the calendar year following the calendar year in which I tender this election (or if I first became eligible to participate in the Policy in a calendar year in which I tender this election, in the calendar year in which I tender this election). This Election Form also applies to any earnings with respect to any deferred RSU Awards. If I do not timely submit a properly completed Election Form, then my RSU Awards will vest and settle in accordance with the terms of the Policy, the Plan, and the applicable Award Agreement. This Election Form applies only to RSU Awards granted in the applicable calendar year. </w:t>
      </w:r>
    </w:p>
    <w:p>
      <w:pPr>
        <w:pStyle w:val="TextBody"/>
        <w:bidi w:val="0"/>
        <w:spacing w:lineRule="auto" w:line="26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I am completing and submitting this Election Form ONLY because I wish to defer the payout and taxation of certain RSU Awards (to the extent they become vested and nonforfeitable) that, absent completing and submitting this Election Form, would be paid to me and taxed as otherwise provided for under the Policy, the Plan, the Award Agreements under which such RSU Awards are granted and/or any applicable law (including, but not limited to, Section 409A).</w:t>
      </w:r>
    </w:p>
    <w:p>
      <w:pPr>
        <w:pStyle w:val="TextBody"/>
        <w:bidi w:val="0"/>
        <w:spacing w:lineRule="auto" w:line="268" w:before="0" w:after="180"/>
        <w:ind w:left="0" w:right="0" w:firstLine="360"/>
        <w:jc w:val="both"/>
        <w:rPr/>
      </w:pPr>
      <w:r>
        <w:rPr>
          <w:rFonts w:ascii="Times New Roman;serif" w:hAnsi="Times New Roman;serif"/>
          <w:b w:val="false"/>
          <w:color w:val="000000"/>
          <w:sz w:val="20"/>
        </w:rPr>
        <w:t>All RSU Awards (and any related earnings) that are deferred pursuant to this Section II are referred to as “</w:t>
      </w:r>
      <w:r>
        <w:rPr>
          <w:rFonts w:ascii="Times New Roman;serif" w:hAnsi="Times New Roman;serif"/>
          <w:b/>
          <w:i/>
          <w:color w:val="000000"/>
          <w:sz w:val="20"/>
        </w:rPr>
        <w:t>Deferred Awards</w:t>
      </w:r>
      <w:r>
        <w:rPr>
          <w:color w:val="000000"/>
        </w:rPr>
        <w:t xml:space="preserve">” </w:t>
      </w:r>
      <w:r>
        <w:rPr>
          <w:rFonts w:ascii="Times New Roman;serif" w:hAnsi="Times New Roman;serif"/>
          <w:b w:val="false"/>
          <w:color w:val="000000"/>
          <w:sz w:val="20"/>
        </w:rPr>
        <w:t xml:space="preserve">in this Election Form. </w:t>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By selecting only </w:t>
      </w:r>
      <w:r>
        <w:rPr>
          <w:rFonts w:ascii="Times New Roman;serif" w:hAnsi="Times New Roman;serif"/>
          <w:b w:val="false"/>
          <w:color w:val="000000"/>
          <w:sz w:val="20"/>
          <w:u w:val="single"/>
        </w:rPr>
        <w:t>one</w:t>
      </w:r>
      <w:r>
        <w:rPr>
          <w:color w:val="000000"/>
        </w:rPr>
        <w:t xml:space="preserve"> </w:t>
      </w:r>
      <w:r>
        <w:rPr>
          <w:rFonts w:ascii="Times New Roman;serif" w:hAnsi="Times New Roman;serif"/>
          <w:b w:val="false"/>
          <w:color w:val="000000"/>
          <w:sz w:val="20"/>
        </w:rPr>
        <w:t xml:space="preserve">of the deferral alternatives set forth below and signing this Election Form below, I elect to have each of my Deferred Awards for the applicable year settled as follows to the extent it becomes vested and nonforfeitable (select only </w:t>
      </w:r>
      <w:r>
        <w:rPr>
          <w:rFonts w:ascii="Times New Roman;serif" w:hAnsi="Times New Roman;serif"/>
          <w:b w:val="false"/>
          <w:color w:val="000000"/>
          <w:sz w:val="20"/>
          <w:u w:val="single"/>
        </w:rPr>
        <w:t>one</w:t>
      </w:r>
      <w:r>
        <w:rPr>
          <w:color w:val="000000"/>
        </w:rPr>
        <w:t xml:space="preserve"> </w:t>
      </w:r>
      <w:r>
        <w:rPr>
          <w:rFonts w:ascii="Times New Roman;serif" w:hAnsi="Times New Roman;serif"/>
          <w:b w:val="false"/>
          <w:color w:val="000000"/>
          <w:sz w:val="20"/>
        </w:rPr>
        <w:t xml:space="preserve">of the following deferral alternatives): </w:t>
      </w:r>
    </w:p>
    <w:p>
      <w:pPr>
        <w:pStyle w:val="TextBody"/>
        <w:bidi w:val="0"/>
        <w:spacing w:before="0" w:after="0"/>
        <w:jc w:val="left"/>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color w:val="000000"/>
          <w:sz w:val="20"/>
        </w:rPr>
        <w:t>Alternative One: _____ (check here):</w:t>
      </w:r>
      <w:r>
        <w:rPr>
          <w:color w:val="000000"/>
        </w:rPr>
        <w:t xml:space="preserve"> </w:t>
      </w:r>
      <w:r>
        <w:rPr>
          <w:rFonts w:ascii="Times New Roman;serif" w:hAnsi="Times New Roman;serif"/>
          <w:b w:val="false"/>
          <w:color w:val="000000"/>
          <w:sz w:val="20"/>
        </w:rPr>
        <w:t xml:space="preserve">Subject to the final two paragraphs of this Section II below, and to the extent my Deferred Awards become vested and nonforfeitable, my Deferred Awards will be settled in a </w:t>
      </w:r>
      <w:r>
        <w:rPr>
          <w:rFonts w:ascii="Times New Roman;serif" w:hAnsi="Times New Roman;serif"/>
          <w:b w:val="false"/>
          <w:color w:val="000000"/>
          <w:sz w:val="20"/>
          <w:u w:val="single"/>
        </w:rPr>
        <w:t>single lump sum installment</w:t>
      </w:r>
      <w:r>
        <w:rPr>
          <w:color w:val="000000"/>
        </w:rPr>
        <w:t xml:space="preserve"> </w:t>
      </w:r>
      <w:r>
        <w:rPr>
          <w:rFonts w:ascii="Times New Roman;serif" w:hAnsi="Times New Roman;serif"/>
          <w:b w:val="false"/>
          <w:color w:val="000000"/>
          <w:sz w:val="20"/>
        </w:rPr>
        <w:t>in whole shares on the earlier of:</w:t>
      </w:r>
    </w:p>
    <w:p>
      <w:pPr>
        <w:pStyle w:val="TextBody"/>
        <w:bidi w:val="0"/>
        <w:spacing w:before="0" w:after="0"/>
        <w:jc w:val="left"/>
        <w:rPr/>
      </w:pPr>
      <w:r>
        <w:rPr/>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immediately prior to a Change in Control; or</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within 60 days following my Separation Date. </w:t>
      </w:r>
    </w:p>
    <w:p>
      <w:pPr>
        <w:pStyle w:val="TextBody"/>
        <w:bidi w:val="0"/>
        <w:spacing w:lineRule="auto" w:line="276" w:before="0" w:after="180"/>
        <w:ind w:left="0" w:right="0" w:firstLine="720"/>
        <w:jc w:val="left"/>
        <w:rPr/>
      </w:pPr>
      <w:r>
        <w:rPr>
          <w:rFonts w:ascii="Times New Roman;serif" w:hAnsi="Times New Roman;serif"/>
          <w:b w:val="false"/>
          <w:color w:val="000000"/>
          <w:sz w:val="20"/>
        </w:rPr>
        <w:t>For the purposes of this Alternative One, “</w:t>
      </w:r>
      <w:r>
        <w:rPr>
          <w:rFonts w:ascii="Times New Roman;serif" w:hAnsi="Times New Roman;serif"/>
          <w:b/>
          <w:i/>
          <w:color w:val="000000"/>
          <w:sz w:val="20"/>
        </w:rPr>
        <w:t>Separation Date</w:t>
      </w:r>
      <w:r>
        <w:rPr>
          <w:color w:val="000000"/>
        </w:rPr>
        <w:t xml:space="preserve">” </w:t>
      </w:r>
      <w:r>
        <w:rPr>
          <w:rFonts w:ascii="Times New Roman;serif" w:hAnsi="Times New Roman;serif"/>
          <w:b w:val="false"/>
          <w:color w:val="000000"/>
          <w:sz w:val="20"/>
        </w:rPr>
        <w:t xml:space="preserve">means the date of my retirement or other separation from service with the Company and all of its Affiliates (as determined in accordance with Section 409A(2)(A)(i) of the Code and Treasury Regulation Section 1.409A-1(h)). </w:t>
      </w:r>
    </w:p>
    <w:p>
      <w:pPr>
        <w:pStyle w:val="TextBody"/>
        <w:bidi w:val="0"/>
        <w:spacing w:lineRule="auto" w:line="276" w:before="0" w:after="180"/>
        <w:ind w:left="0" w:right="0" w:firstLine="720"/>
        <w:jc w:val="left"/>
        <w:rPr/>
      </w:pPr>
      <w:r>
        <w:rPr>
          <w:rFonts w:ascii="Times New Roman;serif" w:hAnsi="Times New Roman;serif"/>
          <w:b/>
          <w:color w:val="000000"/>
          <w:sz w:val="20"/>
        </w:rPr>
        <w:t>Alternative Two: _____ (check here):</w:t>
      </w:r>
      <w:r>
        <w:rPr>
          <w:color w:val="000000"/>
        </w:rPr>
        <w:t xml:space="preserve"> </w:t>
      </w:r>
      <w:r>
        <w:rPr>
          <w:rFonts w:ascii="Times New Roman;serif" w:hAnsi="Times New Roman;serif"/>
          <w:b w:val="false"/>
          <w:color w:val="000000"/>
          <w:sz w:val="20"/>
        </w:rPr>
        <w:t xml:space="preserve">Subject to the final two paragraphs of this Section II below, and to the extent my Deferred Awards become vested and nonforfeitable, my Deferred Awards will be settled: </w:t>
      </w:r>
    </w:p>
    <w:p>
      <w:pPr>
        <w:pStyle w:val="TextBody"/>
        <w:bidi w:val="0"/>
        <w:spacing w:lineRule="auto" w:line="276" w:before="0" w:after="180"/>
        <w:ind w:left="0" w:right="0" w:firstLine="720"/>
        <w:jc w:val="left"/>
        <w:rPr/>
      </w:pPr>
      <w:r>
        <w:rPr>
          <w:rFonts w:ascii="Times New Roman;serif" w:hAnsi="Times New Roman;serif"/>
          <w:b w:val="false"/>
          <w:color w:val="000000"/>
          <w:sz w:val="20"/>
        </w:rPr>
        <w:t xml:space="preserve">(a) in __________ (write in a number from 2 to 10, and not to exceed 10) </w:t>
      </w:r>
      <w:r>
        <w:rPr>
          <w:rFonts w:ascii="Times New Roman;serif" w:hAnsi="Times New Roman;serif"/>
          <w:b w:val="false"/>
          <w:color w:val="000000"/>
          <w:sz w:val="20"/>
          <w:u w:val="single"/>
        </w:rPr>
        <w:t>annual installments</w:t>
      </w:r>
      <w:r>
        <w:rPr>
          <w:color w:val="000000"/>
        </w:rPr>
        <w:t xml:space="preserve"> </w:t>
      </w:r>
      <w:r>
        <w:rPr>
          <w:rFonts w:ascii="Times New Roman;serif" w:hAnsi="Times New Roman;serif"/>
          <w:b w:val="false"/>
          <w:color w:val="000000"/>
          <w:sz w:val="20"/>
        </w:rPr>
        <w:t xml:space="preserve">in whole shares (with each installment rounded as applicable to the nearest number of whole shares) commencing within 60 days following my Separation Date; provided, however, that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if a Change in Control occurs before some or all of the annual installments elected above under this Alternative Two have been made, in a single lump sum installment in whole shares immediately prior to such Change in Control. </w:t>
      </w:r>
    </w:p>
    <w:p>
      <w:pPr>
        <w:pStyle w:val="TextBody"/>
        <w:bidi w:val="0"/>
        <w:spacing w:lineRule="auto" w:line="276" w:before="0" w:after="180"/>
        <w:ind w:left="0" w:right="0" w:firstLine="720"/>
        <w:jc w:val="left"/>
        <w:rPr/>
      </w:pPr>
      <w:r>
        <w:rPr>
          <w:rFonts w:ascii="Times New Roman;serif" w:hAnsi="Times New Roman;serif"/>
          <w:b w:val="false"/>
          <w:color w:val="000000"/>
          <w:sz w:val="20"/>
        </w:rPr>
        <w:t>For the purposes of this Alternative Two, “</w:t>
      </w:r>
      <w:r>
        <w:rPr>
          <w:rFonts w:ascii="Times New Roman;serif" w:hAnsi="Times New Roman;serif"/>
          <w:b/>
          <w:i/>
          <w:color w:val="000000"/>
          <w:sz w:val="20"/>
        </w:rPr>
        <w:t>Separation Date</w:t>
      </w:r>
      <w:r>
        <w:rPr>
          <w:color w:val="000000"/>
        </w:rPr>
        <w:t xml:space="preserve">” </w:t>
      </w:r>
      <w:r>
        <w:rPr>
          <w:rFonts w:ascii="Times New Roman;serif" w:hAnsi="Times New Roman;serif"/>
          <w:b w:val="false"/>
          <w:color w:val="000000"/>
          <w:sz w:val="20"/>
        </w:rPr>
        <w:t xml:space="preserve">means the date of my retirement or other separation from service with the Company and all of its Affiliates (as determined in accordance with Section 409A(2)(A)(i) of the Code and Treasury Regulation Section 1.409A-1(h)).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 distribution under either Alternative One or Alternative Two is triggered because of my Separation Date and I am a “specified employee” within the meaning of Section 409A of the Code at the time of my Separation Date, then the distribution that I would otherwise be entitled to receive upon the Separation Date will not be settled until the date that is 6 months and 1 day following the Separation Date, unless I die following my Separation Date, in which case, my distribution will commence as soon as practicable following, and in all events within sixty (60) days after, the date of my death.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each of Alternative One and Alternative Two, for the avoidance of doubt, a transaction will not be deemed a Change in Control unless the transaction qualifies as a change in control event within the meaning of Treasury Regulation Section 1.409A-3. </w:t>
      </w:r>
    </w:p>
    <w:p>
      <w:pPr>
        <w:pStyle w:val="TextBody"/>
        <w:bidi w:val="0"/>
        <w:spacing w:lineRule="auto" w:line="276" w:before="0" w:after="180"/>
        <w:ind w:left="0" w:right="0" w:firstLine="720"/>
        <w:jc w:val="left"/>
        <w:rPr/>
      </w:pPr>
      <w:r>
        <w:rPr>
          <w:rFonts w:ascii="Times New Roman;serif" w:hAnsi="Times New Roman;serif"/>
          <w:b/>
          <w:color w:val="000000"/>
          <w:sz w:val="20"/>
        </w:rPr>
        <w:t>III.</w:t>
      </w:r>
      <w:r>
        <w:rPr>
          <w:color w:val="000000"/>
        </w:rPr>
        <w:t xml:space="preserve"> </w:t>
      </w:r>
      <w:r>
        <w:rPr>
          <w:rFonts w:ascii="Times New Roman;serif" w:hAnsi="Times New Roman;serif"/>
          <w:b/>
          <w:color w:val="000000"/>
          <w:sz w:val="20"/>
          <w:u w:val="single"/>
        </w:rPr>
        <w:t>PARTICIPANT ACKNOWLEDGEMENTS AND SIGNATURE</w:t>
      </w:r>
      <w:r>
        <w:rPr>
          <w:color w:val="000000"/>
        </w:rPr>
        <w:t xml:space="preserve">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I agree to all of the terms and conditions of this Election Form.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I acknowledge that I have received and read a copy of the Plan’s prospectus and that I am familiar with the terms and provisions of the Plan.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I agree to the right of the Board or the Compensation Committee to amend or terminate my election under Article II at any time and for any reason, with or without notice; provided that such termination or amendment is performed in compliance with Section 409A (as determined by Company legal counsel in its sole and absolute discretion).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4. I understand that the obligation of the Company to settle any Deferred Awards is unfunded and that no assets of any kind have been segregated in a trust or otherwise set aside to satisfy any obligation under this Election Form. I also understand that any election to defer the settlement of any RSU Awards pursuant to this Election Form will make me only a general, unsecured creditor of the Company.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5. 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understand that I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responsible for all taxes and any other costs owed with respect to any deferrals or payments made with respect to my RSU Awards.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6. I understand that the Company will be under no obligation to settle any Deferred Awards until any applicable tax withholding obligations are satisfied and that if I fail to satisfy any such tax withholding obligations I will forfeit my right to receive the shares subject to my Deferred Award. I understand that the Company has the right (but not the obligation) to withhold taxes from my Deferred Awards (including pursuant to net share withholding) in any amount and through such procedure as the Company deems necessary or desirable to satisfy any required income or other tax obligations incurred with respect to my RSU Awards.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7. I understand that it is my responsibility to consult with my own tax advisors as to any federal, state, local and other taxes I may owe in connection with the settlement of any Deferred Awards.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8. I understand, acknowledge and agree that the Board or the Compensation Committee has the discretion to make all determinations and decisions regarding any elections set forth on this Election Form.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9. I understand that this Election Form and the elections made hereunder are intended to comply with the requirements of Section 409A so that none of the Deferred Awards issuable will be subject to the tax acceleration and additional penalty taxes imposed under Section 409A, and any ambiguities herein will be interpreted to so comply. If applicable, I understand that I am solely responsible for any accelerated income taxes and additional taxes and tax penalties imposed by Section 409A. </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10. I also understand that this Election Form and the elections made hereunder will in all respects be subject to the terms and conditions of the Policy, the applicable Award Agreement and the Plan, as applicable. Should any inconsistency exist between this Election Form, the Policy, the Plan, the Award Agreement under which an RSU Award was granted, and/or any applicable law, then the provisions of either the applicable law (including, but not limited to, Section 409A) or the Plan will control, with the Plan subordinated to the applicable law and the Award Agreement and the Policy subordinated to this Election Form. </w:t>
      </w:r>
    </w:p>
    <w:p>
      <w:pPr>
        <w:pStyle w:val="TextBody"/>
        <w:bidi w:val="0"/>
        <w:spacing w:before="0" w:after="0"/>
        <w:jc w:val="left"/>
        <w:rPr/>
      </w:pPr>
      <w:r>
        <w:rPr/>
      </w:r>
    </w:p>
    <w:p>
      <w:pPr>
        <w:pStyle w:val="TextBody"/>
        <w:bidi w:val="0"/>
        <w:spacing w:before="0" w:after="0"/>
        <w:ind w:left="0" w:right="0" w:firstLine="1080"/>
        <w:jc w:val="both"/>
        <w:rPr/>
      </w:pPr>
      <w:r>
        <w:rPr/>
      </w:r>
    </w:p>
    <w:p>
      <w:pPr>
        <w:pStyle w:val="TextBody"/>
        <w:bidi w:val="0"/>
        <w:spacing w:before="0" w:after="0"/>
        <w:ind w:left="0" w:right="0" w:firstLine="360"/>
        <w:jc w:val="both"/>
        <w:rPr/>
      </w:pPr>
      <w:r>
        <w:rPr/>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By signing this Election Form, I authorize the implementation of the above elections. I understand that my deferral election is irrevocable effective as of the Submission Deadline and may not be changed in the future, except in accordance with the requirements of Section 409A and the procedures specified by the Board or the Compensation Committee.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Signed: Date: ___________________________, ______</w:t>
      </w:r>
    </w:p>
    <w:p>
      <w:pPr>
        <w:pStyle w:val="TextBody"/>
        <w:bidi w:val="0"/>
        <w:spacing w:lineRule="auto" w:line="276" w:before="0" w:after="18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Participant </w:t>
      </w:r>
    </w:p>
    <w:p>
      <w:pPr>
        <w:pStyle w:val="TextBody"/>
        <w:bidi w:val="0"/>
        <w:spacing w:lineRule="auto" w:line="276" w:before="0" w:after="180"/>
        <w:jc w:val="left"/>
        <w:rPr/>
      </w:pPr>
      <w:r>
        <w:rPr>
          <w:rFonts w:ascii="Times New Roman;serif" w:hAnsi="Times New Roman;serif"/>
          <w:b/>
          <w:color w:val="000000"/>
          <w:sz w:val="20"/>
        </w:rPr>
        <w:t>Agreed to and accepted:</w:t>
      </w:r>
      <w:r>
        <w:rPr>
          <w:color w:val="000000"/>
        </w:rPr>
        <w:t xml:space="preserve"> </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Root, Inc. </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By: Date: ___________________________, _______ </w:t>
      </w:r>
    </w:p>
    <w:p>
      <w:pPr>
        <w:pStyle w:val="TextBody"/>
        <w:bidi w:val="0"/>
        <w:spacing w:lineRule="auto" w:line="276" w:before="0" w:after="0"/>
        <w:jc w:val="left"/>
        <w:rPr/>
      </w:pPr>
      <w:r>
        <w:rPr>
          <w:rFonts w:ascii="Times New Roman;serif" w:hAnsi="Times New Roman;serif"/>
          <w:b/>
          <w:i/>
          <w:color w:val="000000"/>
          <w:sz w:val="20"/>
          <w:u w:val="single"/>
        </w:rPr>
        <w:t>IMPORTANT DEADLINE</w:t>
      </w:r>
      <w:r>
        <w:rPr>
          <w:rFonts w:ascii="Times New Roman;serif" w:hAnsi="Times New Roman;serif"/>
          <w:b w:val="false"/>
          <w:color w:val="000000"/>
          <w:sz w:val="20"/>
        </w:rPr>
        <w:t xml:space="preserve">: </w:t>
      </w:r>
      <w:r>
        <w:rPr>
          <w:rFonts w:ascii="Times New Roman;serif" w:hAnsi="Times New Roman;serif"/>
          <w:b/>
          <w:i/>
          <w:color w:val="000000"/>
          <w:sz w:val="20"/>
        </w:rPr>
        <w:t xml:space="preserve">Please remember that if you wish to make any election set forth on this Election Form, then the properly completed Election Form must be signed by you and returned ON OR BEFORE THE SUBMISSION DEADLINE to Jodi Baker by e-mail to jodi.baker@joinroot.com.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Subsidiaries of Root, Inc.</w:t>
      </w:r>
    </w:p>
    <w:p>
      <w:pPr>
        <w:pStyle w:val="TextBody"/>
        <w:bidi w:val="0"/>
        <w:spacing w:before="0" w:after="0"/>
        <w:jc w:val="left"/>
        <w:rPr/>
      </w:pPr>
      <w:r>
        <w:rPr/>
      </w:r>
    </w:p>
    <w:tbl>
      <w:tblPr>
        <w:tblW w:w="5459" w:type="dxa"/>
        <w:jc w:val="left"/>
        <w:tblInd w:w="0" w:type="dxa"/>
        <w:tblLayout w:type="fixed"/>
        <w:tblCellMar>
          <w:top w:w="28" w:type="dxa"/>
          <w:left w:w="28" w:type="dxa"/>
          <w:bottom w:w="28" w:type="dxa"/>
          <w:right w:w="28" w:type="dxa"/>
        </w:tblCellMar>
      </w:tblPr>
      <w:tblGrid>
        <w:gridCol w:w="1453"/>
        <w:gridCol w:w="1277"/>
        <w:gridCol w:w="1289"/>
        <w:gridCol w:w="422"/>
        <w:gridCol w:w="422"/>
        <w:gridCol w:w="596"/>
      </w:tblGrid>
      <w:tr>
        <w:trPr/>
        <w:tc>
          <w:tcPr>
            <w:tcW w:w="145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Caret Holdings, Inc.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Enterprise, LLC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Insurance Agency, LLC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Insurance Company</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Lone Star Insurance Agency, Inc.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Property &amp; Casualty Insurance Company</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Reinsurance Company, Ltd.</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Scout, LLC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Florida Insurance Company</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0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Republic Managing General Agency, LLC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Root Texas Managing General Agency, LLC</w:t>
            </w:r>
          </w:p>
        </w:tc>
        <w:tc>
          <w:tcPr>
            <w:tcW w:w="14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consent to the incorporation by reference in Registration Statements No. 333-287796, No. 333-279785, No. 333-272270, No. 333-264267, No. 333-256076, and No. 333-249777 on Form S-8 of our reports dated February 25, 2026 relating to the financial statements of Root, Inc. and the effectiveness of Root Inc.’s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DELOITTE &amp; TOUCHE LLP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Columbus, Ohio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February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1"/>
        <w:gridCol w:w="1807"/>
        <w:gridCol w:w="2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both"/>
              <w:rPr/>
            </w:pPr>
            <w:r>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5576" w:type="dxa"/>
        <w:jc w:val="left"/>
        <w:tblInd w:w="0" w:type="dxa"/>
        <w:tblLayout w:type="fixed"/>
        <w:tblCellMar>
          <w:top w:w="28" w:type="dxa"/>
          <w:left w:w="28" w:type="dxa"/>
          <w:bottom w:w="28" w:type="dxa"/>
          <w:right w:w="28" w:type="dxa"/>
        </w:tblCellMar>
      </w:tblPr>
      <w:tblGrid>
        <w:gridCol w:w="770"/>
        <w:gridCol w:w="678"/>
        <w:gridCol w:w="682"/>
        <w:gridCol w:w="109"/>
        <w:gridCol w:w="109"/>
        <w:gridCol w:w="109"/>
        <w:gridCol w:w="910"/>
        <w:gridCol w:w="910"/>
        <w:gridCol w:w="1299"/>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25,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213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1"/>
        <w:gridCol w:w="1807"/>
        <w:gridCol w:w="2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871" w:type="dxa"/>
        <w:jc w:val="left"/>
        <w:tblInd w:w="0" w:type="dxa"/>
        <w:tblLayout w:type="fixed"/>
        <w:tblCellMar>
          <w:top w:w="28" w:type="dxa"/>
          <w:left w:w="28" w:type="dxa"/>
          <w:bottom w:w="28" w:type="dxa"/>
          <w:right w:w="28" w:type="dxa"/>
        </w:tblCellMar>
      </w:tblPr>
      <w:tblGrid>
        <w:gridCol w:w="770"/>
        <w:gridCol w:w="678"/>
        <w:gridCol w:w="682"/>
        <w:gridCol w:w="109"/>
        <w:gridCol w:w="109"/>
        <w:gridCol w:w="109"/>
        <w:gridCol w:w="705"/>
        <w:gridCol w:w="705"/>
        <w:gridCol w:w="1004"/>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25,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213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76"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(the “Exchange Act”) and Section 1350 of Chapter 63 of Title 18 of the United States Code (18 U.S.C. §1350), Alexander Timm, Chief Executive Officer of Root, Inc. (the “Company”), and Megan Binkley, Chief Financial Officer of the Company, each hereby certifies that, to the best of his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3"/>
        <w:gridCol w:w="1533"/>
        <w:gridCol w:w="1533"/>
        <w:gridCol w:w="1533"/>
        <w:gridCol w:w="1533"/>
        <w:gridCol w:w="2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fiscal year ended December 31, 2025, to which this Certification is attached as Exhibit 32.1 (the “Annual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Annual Report fairly presents, in all material respects, the financial condition and results of operations of the Company.</w:t>
            </w:r>
          </w:p>
        </w:tc>
      </w:tr>
    </w:tbl>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Dated: February 25, 2026 </w:t>
      </w:r>
    </w:p>
    <w:p>
      <w:pPr>
        <w:pStyle w:val="TextBody"/>
        <w:bidi w:val="0"/>
        <w:spacing w:lineRule="auto" w:line="276" w:before="160" w:after="283"/>
        <w:ind w:left="0" w:right="0" w:firstLine="360"/>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undersigned have set their hands hereto as of the 25th day of February, 2026.</w:t>
      </w:r>
    </w:p>
    <w:tbl>
      <w:tblPr>
        <w:tblW w:w="6590" w:type="dxa"/>
        <w:jc w:val="left"/>
        <w:tblInd w:w="0" w:type="dxa"/>
        <w:tblLayout w:type="fixed"/>
        <w:tblCellMar>
          <w:top w:w="28" w:type="dxa"/>
          <w:left w:w="28" w:type="dxa"/>
          <w:bottom w:w="28" w:type="dxa"/>
          <w:right w:w="28" w:type="dxa"/>
        </w:tblCellMar>
      </w:tblPr>
      <w:tblGrid>
        <w:gridCol w:w="1116"/>
        <w:gridCol w:w="981"/>
        <w:gridCol w:w="992"/>
        <w:gridCol w:w="109"/>
        <w:gridCol w:w="109"/>
        <w:gridCol w:w="109"/>
        <w:gridCol w:w="109"/>
        <w:gridCol w:w="109"/>
        <w:gridCol w:w="109"/>
        <w:gridCol w:w="109"/>
        <w:gridCol w:w="109"/>
        <w:gridCol w:w="109"/>
        <w:gridCol w:w="736"/>
        <w:gridCol w:w="736"/>
        <w:gridCol w:w="1048"/>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30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76"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10-K to which it relates, is not deemed filed with the Securities and Exchange Commission and is not to be incorporated by reference into any filing of Root, Inc. under the Securities Act of 1933, or the Securities Exchange Act of 1934 (whether made before or after the date of the Form 10-K),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8882/000162828020015173/exhibit31-8xkxamendeda.htm" TargetMode="External"/><Relationship Id="rId3" Type="http://schemas.openxmlformats.org/officeDocument/2006/relationships/hyperlink" Target="http://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www.sec.gov/Archives/edgar/data/0001788882/000119312521289291/d236036dex31.htm" TargetMode="External"/><Relationship Id="rId6" Type="http://schemas.openxmlformats.org/officeDocument/2006/relationships/hyperlink" Target="http://www.sec.gov/Archives/edgar/data/1788882/000162828020014581/exhibit41-sx1a1xformof.htm" TargetMode="External"/><Relationship Id="rId7" Type="http://schemas.openxmlformats.org/officeDocument/2006/relationships/hyperlink" Target="http://www.sec.gov/Archives/edgar/data/0001788882/000119312521289291/d236036dex41.htm" TargetMode="External"/><Relationship Id="rId8" Type="http://schemas.openxmlformats.org/officeDocument/2006/relationships/hyperlink" Target="http://www.sec.gov/Archives/edgar/data/1788882/000119312522018949/d295910dex41.htm" TargetMode="External"/><Relationship Id="rId9" Type="http://schemas.openxmlformats.org/officeDocument/2006/relationships/hyperlink" Target="https://www.sec.gov/Archives/edgar/data/1788882/000162828024044321/a45firstamendmenttoformofc.htm" TargetMode="External"/><Relationship Id="rId10" Type="http://schemas.openxmlformats.org/officeDocument/2006/relationships/hyperlink" Target="https://www.sec.gov/Archives/edgar/data/1788882/000178888221000042/a992-espp.htm" TargetMode="External"/><Relationship Id="rId11" Type="http://schemas.openxmlformats.org/officeDocument/2006/relationships/hyperlink" Target="https://www.sec.gov/Archives/edgar/data/1788882/000162828022029241/a101firstamendmentto2020em.htm" TargetMode="External"/><Relationship Id="rId12" Type="http://schemas.openxmlformats.org/officeDocument/2006/relationships/hyperlink" Target="http://www.sec.gov/Archives/edgar/data/1788882/000178888220000016/a101rootinc2020equityi.htm" TargetMode="External"/><Relationship Id="rId13" Type="http://schemas.openxmlformats.org/officeDocument/2006/relationships/hyperlink" Target="https://www.sec.gov/Archives/edgar/data/1788882/000162828022029241/a102firstamendmentto2020eq.htm" TargetMode="External"/><Relationship Id="rId14" Type="http://schemas.openxmlformats.org/officeDocument/2006/relationships/hyperlink" Target="http://www.sec.gov/Archives/edgar/data/1788882/000162828020014305/exhibit101-sx1xamended.htm" TargetMode="External"/><Relationship Id="rId15" Type="http://schemas.openxmlformats.org/officeDocument/2006/relationships/hyperlink" Target="https://www.sec.gov/Archives/edgar/data/1788882/000162828022029241/a103firstamendmentto2015am.htm" TargetMode="External"/><Relationship Id="rId16" Type="http://schemas.openxmlformats.org/officeDocument/2006/relationships/hyperlink" Target="http://www.sec.gov/Archives/edgar/data/0001788882/000178888221000011/atimmemploymentagreement-1.htm" TargetMode="External"/><Relationship Id="rId17" Type="http://schemas.openxmlformats.org/officeDocument/2006/relationships/hyperlink" Target="https://www.sec.gov/Archives/edgar/data/1788882/000162828022003524/a1026firstamendmenttooffer.htm" TargetMode="External"/><Relationship Id="rId18" Type="http://schemas.openxmlformats.org/officeDocument/2006/relationships/hyperlink" Target="https://www.sec.gov/Archives/edgar/data/1788882/000178888222000025/a102executiveemploymentagr.htm" TargetMode="External"/><Relationship Id="rId19" Type="http://schemas.openxmlformats.org/officeDocument/2006/relationships/hyperlink" Target="http://www.sec.gov/Archives/edgar/data/1788882/000162828020014305/exhibit102-sx1xformofn.htm" TargetMode="External"/><Relationship Id="rId20" Type="http://schemas.openxmlformats.org/officeDocument/2006/relationships/hyperlink" Target="http://www.sec.gov/Archives/edgar/data/1788882/000178888221000011/exhibit107-formofnoticeofs.htm" TargetMode="External"/><Relationship Id="rId21" Type="http://schemas.openxmlformats.org/officeDocument/2006/relationships/hyperlink" Target="http://www.sec.gov/Archives/edgar/data/0001788882/000178888221000033/a102formofrootinc2020equit.htm" TargetMode="External"/><Relationship Id="rId22" Type="http://schemas.openxmlformats.org/officeDocument/2006/relationships/hyperlink" Target="http://www.sec.gov/Archives/edgar/data/0001788882/000178888221000062/a101rootincstockoptiongran.htm" TargetMode="External"/><Relationship Id="rId23" Type="http://schemas.openxmlformats.org/officeDocument/2006/relationships/hyperlink" Target="https://www.sec.gov/Archives/edgar/data/1788882/000162828022003524/a1022formofdirectorandoffi.htm" TargetMode="External"/><Relationship Id="rId24" Type="http://schemas.openxmlformats.org/officeDocument/2006/relationships/hyperlink" Target="http://www.sec.gov/Archives/edgar/data/1788882/000162828020014305/exhibit104-sx1xformofr.htm" TargetMode="External"/><Relationship Id="rId25" Type="http://schemas.openxmlformats.org/officeDocument/2006/relationships/hyperlink" Target="https://www.sec.gov/Archives/edgar/data/1788882/000178888222000020/a101termloanagreementexecu.htm" TargetMode="External"/><Relationship Id="rId26" Type="http://schemas.openxmlformats.org/officeDocument/2006/relationships/hyperlink" Target="http://www.sec.gov/Archives/edgar/data/0001788882/000119312521289291/d236036dex101.htm" TargetMode="External"/><Relationship Id="rId27" Type="http://schemas.openxmlformats.org/officeDocument/2006/relationships/hyperlink" Target="https://www.sec.gov/Archives/edgar/data/1788882/000178888222000025/a103firstamendmenttocommer.htm" TargetMode="External"/><Relationship Id="rId28" Type="http://schemas.openxmlformats.org/officeDocument/2006/relationships/hyperlink" Target="http://www.sec.gov/Archives/edgar/data/1788882/000095012321010425/d72455dex101.htm" TargetMode="External"/><Relationship Id="rId29" Type="http://schemas.openxmlformats.org/officeDocument/2006/relationships/hyperlink" Target="http://www.sec.gov/Archives/edgar/data/0001788882/000119312521289291/d236036dex103.htm" TargetMode="External"/><Relationship Id="rId30" Type="http://schemas.openxmlformats.org/officeDocument/2006/relationships/hyperlink" Target="http://www.sec.gov/Archives/edgar/data/1788882/000162828020014305/exhibit42-sx1xfifthame.htm" TargetMode="External"/><Relationship Id="rId31" Type="http://schemas.openxmlformats.org/officeDocument/2006/relationships/hyperlink" Target="https://www.sec.gov/Archives/edgar/data/1788882/000162828022003524/a105amendmenttothefifthame.htm" TargetMode="External"/><Relationship Id="rId32" Type="http://schemas.openxmlformats.org/officeDocument/2006/relationships/hyperlink" Target="http://www.sec.gov/Archives/edgar/data/1788882/000119312522018949/d295910dex103.htm" TargetMode="External"/><Relationship Id="rId33" Type="http://schemas.openxmlformats.org/officeDocument/2006/relationships/hyperlink" Target="https://www.sec.gov/Archives/edgar/data/1788882/000162828023005851/executiveemploymentagreeme.htm" TargetMode="External"/><Relationship Id="rId34" Type="http://schemas.openxmlformats.org/officeDocument/2006/relationships/hyperlink" Target="https://www.sec.gov/Archives/edgar/data/1788882/000162828023029070/rootincexecutiveretentiona.htm" TargetMode="External"/><Relationship Id="rId35" Type="http://schemas.openxmlformats.org/officeDocument/2006/relationships/hyperlink" Target="https://www.sec.gov/Archives/edgar/data/1788882/000162828023035968/a102performance-basedrsuaw.htm" TargetMode="External"/><Relationship Id="rId36" Type="http://schemas.openxmlformats.org/officeDocument/2006/relationships/hyperlink" Target="https://www.sec.gov/Archives/edgar/data/1788882/000162828023035296/rootincnon-employeedirecto.htm" TargetMode="External"/><Relationship Id="rId37" Type="http://schemas.openxmlformats.org/officeDocument/2006/relationships/hyperlink" Target="https://www.sec.gov/Archives/edgar/data/1788882/000162828024044321/a101firstamendmenttotermlo.htm" TargetMode="External"/><Relationship Id="rId38" Type="http://schemas.openxmlformats.org/officeDocument/2006/relationships/hyperlink" Target="https://www.sec.gov/Archives/edgar/data/1788882/000162828024044321/a102secondamendmenttoterml.htm" TargetMode="External"/><Relationship Id="rId39" Type="http://schemas.openxmlformats.org/officeDocument/2006/relationships/hyperlink" Target="https://www.sec.gov/Archives/edgar/data/1788882/000162828024044321/a103amendedandrestatedboar.htm" TargetMode="External"/><Relationship Id="rId40" Type="http://schemas.openxmlformats.org/officeDocument/2006/relationships/hyperlink" Target="https://www.sec.gov/Archives/edgar/data/1788882/000162828025008137/a1034executiveemploymentag.htm" TargetMode="External"/><Relationship Id="rId41" Type="http://schemas.openxmlformats.org/officeDocument/2006/relationships/hyperlink" Target="https://www.sec.gov/Archives/edgar/data/1788882/000162828025023151/a101rootincnon-employeedir.htm" TargetMode="External"/><Relationship Id="rId42" Type="http://schemas.openxmlformats.org/officeDocument/2006/relationships/hyperlink" Target="https://www.sec.gov/Archives/edgar/data/1788882/000162828025023151/a102formofrootincnon-emplo.htm" TargetMode="External"/><Relationship Id="rId43" Type="http://schemas.openxmlformats.org/officeDocument/2006/relationships/hyperlink" Target="https://www.sec.gov/Archives/edgar/data/1788882/000162828025023151/a1032025short-termincentiv.htm" TargetMode="External"/><Relationship Id="rId44" Type="http://schemas.openxmlformats.org/officeDocument/2006/relationships/hyperlink" Target="https://www.sec.gov/Archives/edgar/data/1788882/000178888225000031/a101amendedandrestatedform.htm" TargetMode="External"/><Relationship Id="rId45" Type="http://schemas.openxmlformats.org/officeDocument/2006/relationships/hyperlink" Target="https://www.sec.gov/Archives/edgar/data/1788882/000178888225000031/a102amendedandrestatedform.htm" TargetMode="External"/><Relationship Id="rId46" Type="http://schemas.openxmlformats.org/officeDocument/2006/relationships/hyperlink" Target="https://www.sec.gov/Archives/edgar/data/1788882/000178888225000031/a103policyfortheaccelerati.htm" TargetMode="External"/><Relationship Id="rId47" Type="http://schemas.openxmlformats.org/officeDocument/2006/relationships/hyperlink" Target="https://www.sec.gov/Archives/edgar/data/1788882/000178888225000031/a104rootincnon-employeedir.htm" TargetMode="External"/><Relationship Id="rId48" Type="http://schemas.openxmlformats.org/officeDocument/2006/relationships/hyperlink" Target="https://www.sec.gov/Archives/edgar/data/1788882/000178888225000048/a101rootincrsuagreementgra.htm" TargetMode="External"/><Relationship Id="rId49" Type="http://schemas.openxmlformats.org/officeDocument/2006/relationships/hyperlink" Target="https://www.sec.gov/Archives/edgar/data/1788882/000162828025008137/a191amendedandrestatedinsi.htm" TargetMode="External"/><Relationship Id="rId50" Type="http://schemas.openxmlformats.org/officeDocument/2006/relationships/hyperlink" Target="https://www.sec.gov/Archives/edgar/data/1788882/000162828025008137/a971rootinccompensationrec.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92933</Words>
  <Characters>514830</Characters>
  <CharactersWithSpaces>604546</CharactersWithSpaces>
  <Paragraphs>5741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