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518160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48895</wp:posOffset>
            </wp:positionV>
            <wp:extent cx="14636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5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62" w:lineRule="exact"/>
        <w:rPr>
          <w:sz w:val="24"/>
          <w:szCs w:val="24"/>
          <w:color w:val="auto"/>
        </w:rPr>
      </w:pPr>
    </w:p>
    <w:p>
      <w:pPr>
        <w:jc w:val="center"/>
        <w:ind w:left="4020" w:right="1500" w:hanging="2529"/>
        <w:spacing w:after="0" w:line="253" w:lineRule="auto"/>
        <w:tabs>
          <w:tab w:leader="none" w:pos="167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jc w:val="center"/>
        <w:ind w:right="20"/>
        <w:spacing w:after="0" w:line="235" w:lineRule="auto"/>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jc w:val="center"/>
        <w:ind w:left="3580" w:right="1500" w:hanging="2095"/>
        <w:spacing w:after="0" w:line="568" w:lineRule="auto"/>
        <w:tabs>
          <w:tab w:leader="none" w:pos="167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Commission File Number: 001-39658</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ROOT, INC.</w:t>
      </w:r>
    </w:p>
    <w:p>
      <w:pPr>
        <w:sectPr>
          <w:pgSz w:w="11900" w:h="16838" w:orient="portrait"/>
          <w:cols w:equalWidth="0" w:num="1">
            <w:col w:w="11260"/>
          </w:cols>
          <w:pgMar w:left="320" w:top="898" w:right="319" w:bottom="1440" w:gutter="0" w:footer="0" w:header="0"/>
        </w:sectPr>
      </w:pPr>
    </w:p>
    <w:p>
      <w:pPr>
        <w:spacing w:after="0" w:line="3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55880</wp:posOffset>
            </wp:positionV>
            <wp:extent cx="1463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0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Delaware</w:t>
      </w:r>
    </w:p>
    <w:p>
      <w:pPr>
        <w:spacing w:after="0" w:line="5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(State or other jurisdiction of</w:t>
      </w:r>
    </w:p>
    <w:p>
      <w:pPr>
        <w:spacing w:after="0" w:line="14" w:lineRule="exact"/>
        <w:rPr>
          <w:sz w:val="24"/>
          <w:szCs w:val="24"/>
          <w:color w:val="auto"/>
        </w:rPr>
      </w:pPr>
    </w:p>
    <w:p>
      <w:pPr>
        <w:ind w:left="960"/>
        <w:spacing w:after="0"/>
        <w:rPr>
          <w:sz w:val="20"/>
          <w:szCs w:val="20"/>
          <w:color w:val="auto"/>
        </w:rPr>
      </w:pPr>
      <w:r>
        <w:rPr>
          <w:rFonts w:ascii="Arial" w:cs="Arial" w:eastAsia="Arial" w:hAnsi="Arial"/>
          <w:sz w:val="14"/>
          <w:szCs w:val="14"/>
          <w:b w:val="1"/>
          <w:bCs w:val="1"/>
          <w:color w:val="auto"/>
        </w:rPr>
        <w:t>incorporation or organization)</w:t>
      </w:r>
    </w:p>
    <w:p>
      <w:pPr>
        <w:spacing w:after="0" w:line="35"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80 E. Rich Street, Suite 500</w:t>
      </w:r>
    </w:p>
    <w:p>
      <w:pPr>
        <w:spacing w:after="0" w:line="14" w:lineRule="exact"/>
        <w:rPr>
          <w:sz w:val="24"/>
          <w:szCs w:val="24"/>
          <w:color w:val="auto"/>
        </w:rPr>
      </w:pPr>
    </w:p>
    <w:p>
      <w:pPr>
        <w:jc w:val="center"/>
        <w:ind w:right="4200"/>
        <w:spacing w:after="0"/>
        <w:rPr>
          <w:sz w:val="20"/>
          <w:szCs w:val="20"/>
          <w:color w:val="auto"/>
        </w:rPr>
      </w:pPr>
      <w:r>
        <w:rPr>
          <w:rFonts w:ascii="Arial" w:cs="Arial" w:eastAsia="Arial" w:hAnsi="Arial"/>
          <w:sz w:val="14"/>
          <w:szCs w:val="14"/>
          <w:b w:val="1"/>
          <w:bCs w:val="1"/>
          <w:color w:val="auto"/>
        </w:rPr>
        <w:t>Columbus, Ohio</w:t>
      </w:r>
    </w:p>
    <w:p>
      <w:pPr>
        <w:spacing w:after="0" w:line="35" w:lineRule="exact"/>
        <w:rPr>
          <w:sz w:val="24"/>
          <w:szCs w:val="24"/>
          <w:color w:val="auto"/>
        </w:rPr>
      </w:pPr>
    </w:p>
    <w:p>
      <w:pPr>
        <w:ind w:left="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1" w:lineRule="exact"/>
        <w:rPr>
          <w:sz w:val="24"/>
          <w:szCs w:val="24"/>
          <w:color w:val="auto"/>
        </w:rPr>
      </w:pPr>
    </w:p>
    <w:p>
      <w:pPr>
        <w:jc w:val="center"/>
        <w:ind w:left="3320"/>
        <w:spacing w:after="0"/>
        <w:rPr>
          <w:sz w:val="20"/>
          <w:szCs w:val="20"/>
          <w:color w:val="auto"/>
        </w:rPr>
      </w:pPr>
      <w:r>
        <w:rPr>
          <w:rFonts w:ascii="Arial" w:cs="Arial" w:eastAsia="Arial" w:hAnsi="Arial"/>
          <w:sz w:val="18"/>
          <w:szCs w:val="18"/>
          <w:b w:val="1"/>
          <w:bCs w:val="1"/>
          <w:color w:val="auto"/>
        </w:rPr>
        <w:t>(866) 980-9431</w:t>
      </w:r>
    </w:p>
    <w:p>
      <w:pPr>
        <w:spacing w:after="0" w:line="22" w:lineRule="exact"/>
        <w:rPr>
          <w:sz w:val="24"/>
          <w:szCs w:val="24"/>
          <w:color w:val="auto"/>
        </w:rPr>
      </w:pPr>
    </w:p>
    <w:p>
      <w:pPr>
        <w:jc w:val="center"/>
        <w:ind w:left="33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84-2717903</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(I.R.S. Employer</w:t>
      </w:r>
    </w:p>
    <w:p>
      <w:pPr>
        <w:spacing w:after="0" w:line="14" w:lineRule="exact"/>
        <w:rPr>
          <w:sz w:val="24"/>
          <w:szCs w:val="24"/>
          <w:color w:val="auto"/>
        </w:rPr>
      </w:pPr>
    </w:p>
    <w:p>
      <w:pPr>
        <w:jc w:val="center"/>
        <w:ind w:right="1200"/>
        <w:spacing w:after="0"/>
        <w:rPr>
          <w:sz w:val="20"/>
          <w:szCs w:val="20"/>
          <w:color w:val="auto"/>
        </w:rPr>
      </w:pPr>
      <w:r>
        <w:rPr>
          <w:rFonts w:ascii="Arial" w:cs="Arial" w:eastAsia="Arial" w:hAnsi="Arial"/>
          <w:sz w:val="13"/>
          <w:szCs w:val="13"/>
          <w:b w:val="1"/>
          <w:bCs w:val="1"/>
          <w:color w:val="auto"/>
        </w:rPr>
        <w:t>Identification Number)</w:t>
      </w:r>
    </w:p>
    <w:p>
      <w:pPr>
        <w:spacing w:after="0" w:line="126"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43215</w:t>
      </w:r>
    </w:p>
    <w:p>
      <w:pPr>
        <w:spacing w:after="0" w:line="13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(Zip Code)</w:t>
      </w:r>
    </w:p>
    <w:p>
      <w:pPr>
        <w:spacing w:after="0" w:line="704" w:lineRule="exact"/>
        <w:rPr>
          <w:sz w:val="24"/>
          <w:szCs w:val="24"/>
          <w:color w:val="auto"/>
        </w:rPr>
      </w:pPr>
    </w:p>
    <w:p>
      <w:pPr>
        <w:sectPr>
          <w:pgSz w:w="11900" w:h="16838" w:orient="portrait"/>
          <w:cols w:equalWidth="0" w:num="2">
            <w:col w:w="7940" w:space="720"/>
            <w:col w:w="2600"/>
          </w:cols>
          <w:pgMar w:left="320" w:top="898"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54610</wp:posOffset>
            </wp:positionV>
            <wp:extent cx="1463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16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ROOT</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180"/>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$0.0001 par value per share</w:t>
            </w:r>
          </w:p>
        </w:tc>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r>
      <w:tr>
        <w:trPr>
          <w:trHeight w:val="2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133" w:lineRule="exact"/>
        <w:rPr>
          <w:sz w:val="24"/>
          <w:szCs w:val="24"/>
          <w:color w:val="auto"/>
        </w:rPr>
      </w:pPr>
    </w:p>
    <w:p>
      <w:pPr>
        <w:ind w:right="20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7" w:lineRule="exact"/>
        <w:rPr>
          <w:sz w:val="24"/>
          <w:szCs w:val="24"/>
          <w:color w:val="auto"/>
        </w:rPr>
      </w:pPr>
    </w:p>
    <w:p>
      <w:pPr>
        <w:ind w:right="14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0"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51"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01" w:lineRule="exact"/>
        <w:rPr>
          <w:sz w:val="24"/>
          <w:szCs w:val="24"/>
          <w:color w:val="auto"/>
        </w:rPr>
      </w:pPr>
    </w:p>
    <w:p>
      <w:pPr>
        <w:ind w:right="480" w:firstLine="318"/>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ind w:right="120" w:firstLine="318"/>
        <w:spacing w:after="0" w:line="294" w:lineRule="auto"/>
        <w:rPr>
          <w:sz w:val="20"/>
          <w:szCs w:val="20"/>
          <w:color w:val="auto"/>
        </w:rPr>
      </w:pPr>
      <w:r>
        <w:rPr>
          <w:rFonts w:ascii="Arial" w:cs="Arial" w:eastAsia="Arial" w:hAnsi="Arial"/>
          <w:sz w:val="17"/>
          <w:szCs w:val="17"/>
          <w:color w:val="auto"/>
        </w:rPr>
        <w:t>As of April 27, 2022, the number of outstanding shares of the registrant’s Class A common stock, par value $0.0001 per share, was 155.0 million and the number of outstanding shares of the registrant’s Class B common stock, par value $0.0001 per share, was 99.5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898" w:right="319" w:bottom="1440" w:gutter="0" w:footer="0" w:header="0"/>
          <w:type w:val="continuous"/>
        </w:sectPr>
      </w:pPr>
    </w:p>
    <w:bookmarkStart w:id="1" w:name="page2"/>
    <w:bookmarkEnd w:id="1"/>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60" w:type="dxa"/>
            <w:vAlign w:val="bottom"/>
            <w:gridSpan w:val="1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Pa</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60" w:type="dxa"/>
            <w:vAlign w:val="bottom"/>
            <w:gridSpan w:val="25"/>
          </w:tcPr>
          <w:p>
            <w:pPr>
              <w:spacing w:after="0" w:line="167" w:lineRule="exact"/>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8"/>
          </w:tcPr>
          <w:p>
            <w:pPr>
              <w:jc w:val="center"/>
              <w:spacing w:after="0"/>
              <w:rPr>
                <w:rFonts w:ascii="Arial" w:cs="Arial" w:eastAsia="Arial" w:hAnsi="Arial"/>
                <w:sz w:val="18"/>
                <w:szCs w:val="18"/>
                <w:b w:val="1"/>
                <w:bCs w:val="1"/>
                <w:color w:val="0000FF"/>
                <w:w w:val="93"/>
              </w:rPr>
            </w:pPr>
            <w:hyperlink w:anchor="page4">
              <w:r>
                <w:rPr>
                  <w:rFonts w:ascii="Arial" w:cs="Arial" w:eastAsia="Arial" w:hAnsi="Arial"/>
                  <w:sz w:val="18"/>
                  <w:szCs w:val="18"/>
                  <w:b w:val="1"/>
                  <w:bCs w:val="1"/>
                  <w:color w:val="0000FF"/>
                  <w:w w:val="93"/>
                </w:rPr>
                <w:t>Part I. Financial Information</w:t>
              </w:r>
            </w:hyperlink>
          </w:p>
        </w:tc>
        <w:tc>
          <w:tcPr>
            <w:tcW w:w="3440" w:type="dxa"/>
            <w:vAlign w:val="bottom"/>
            <w:gridSpan w:val="4"/>
          </w:tcPr>
          <w:p>
            <w:pPr>
              <w:spacing w:after="0"/>
              <w:rPr>
                <w:sz w:val="24"/>
                <w:szCs w:val="24"/>
                <w:color w:val="auto"/>
              </w:rPr>
            </w:pPr>
          </w:p>
        </w:tc>
        <w:tc>
          <w:tcPr>
            <w:tcW w:w="62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gridSpan w:val="21"/>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Redeemable Convertible Preferred Stock and Stockholders’ Equity - Unaudited</w:t>
              </w:r>
            </w:hyperlink>
          </w:p>
        </w:tc>
        <w:tc>
          <w:tcPr>
            <w:tcW w:w="96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120" w:type="dxa"/>
            <w:vAlign w:val="bottom"/>
            <w:gridSpan w:val="20"/>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 Unaudited</w:t>
              </w:r>
            </w:hyperlink>
          </w:p>
        </w:tc>
        <w:tc>
          <w:tcPr>
            <w:tcW w:w="960" w:type="dxa"/>
            <w:vAlign w:val="bottom"/>
          </w:tcPr>
          <w:p>
            <w:pPr>
              <w:spacing w:after="0"/>
              <w:rPr>
                <w:sz w:val="17"/>
                <w:szCs w:val="17"/>
                <w:color w:val="auto"/>
              </w:rPr>
            </w:pPr>
          </w:p>
        </w:tc>
        <w:tc>
          <w:tcPr>
            <w:tcW w:w="620" w:type="dxa"/>
            <w:vAlign w:val="bottom"/>
            <w:gridSpan w:val="4"/>
          </w:tcPr>
          <w:p>
            <w:pPr>
              <w:jc w:val="right"/>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 Unaudited</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tcBorders>
              <w:bottom w:val="single" w:sz="8" w:color="0000FF"/>
            </w:tcBorders>
            <w:gridSpan w:val="19"/>
          </w:tcPr>
          <w:p>
            <w:pPr>
              <w:spacing w:after="0" w:line="205"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Management's Discussion and Analysis of Financial Condition and Results of Operations</w:t>
              </w:r>
            </w:hyperlink>
          </w:p>
        </w:tc>
        <w:tc>
          <w:tcPr>
            <w:tcW w:w="27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39">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80" w:type="dxa"/>
            <w:vAlign w:val="bottom"/>
            <w:tcBorders>
              <w:bottom w:val="single" w:sz="8" w:color="0000FF"/>
            </w:tcBorders>
            <w:gridSpan w:val="13"/>
          </w:tcPr>
          <w:p>
            <w:pPr>
              <w:spacing w:after="0" w:line="205"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Quantitative and Qualitative Disclosures About Market Risk</w:t>
              </w:r>
            </w:hyperlink>
          </w:p>
        </w:tc>
        <w:tc>
          <w:tcPr>
            <w:tcW w:w="48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36</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205" w:lineRule="exact"/>
              <w:rPr>
                <w:rFonts w:ascii="Arial" w:cs="Arial" w:eastAsia="Arial" w:hAnsi="Arial"/>
                <w:sz w:val="18"/>
                <w:szCs w:val="18"/>
                <w:color w:val="0000FF"/>
                <w:w w:val="87"/>
              </w:rPr>
            </w:pPr>
            <w:hyperlink w:anchor="page40">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bottom w:val="single" w:sz="8" w:color="0000FF"/>
            </w:tcBorders>
            <w:gridSpan w:val="6"/>
          </w:tcPr>
          <w:p>
            <w:pPr>
              <w:spacing w:after="0" w:line="205" w:lineRule="exact"/>
              <w:rPr>
                <w:rFonts w:ascii="Arial" w:cs="Arial" w:eastAsia="Arial" w:hAnsi="Arial"/>
                <w:sz w:val="18"/>
                <w:szCs w:val="18"/>
                <w:color w:val="0000FF"/>
                <w:w w:val="86"/>
              </w:rPr>
            </w:pPr>
            <w:hyperlink w:anchor="page40">
              <w:r>
                <w:rPr>
                  <w:rFonts w:ascii="Arial" w:cs="Arial" w:eastAsia="Arial" w:hAnsi="Arial"/>
                  <w:sz w:val="18"/>
                  <w:szCs w:val="18"/>
                  <w:color w:val="0000FF"/>
                  <w:w w:val="86"/>
                </w:rPr>
                <w:t>Controls and Procedures</w:t>
              </w:r>
            </w:hyperlink>
          </w:p>
        </w:tc>
        <w:tc>
          <w:tcPr>
            <w:tcW w:w="734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0">
              <w:r>
                <w:rPr>
                  <w:rFonts w:ascii="Arial" w:cs="Arial" w:eastAsia="Arial" w:hAnsi="Arial"/>
                  <w:sz w:val="15"/>
                  <w:szCs w:val="15"/>
                  <w:color w:val="0000FF"/>
                  <w:w w:val="71"/>
                </w:rPr>
                <w:t>37</w:t>
              </w:r>
            </w:hyperlink>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5"/>
              </w:rPr>
            </w:pPr>
            <w:hyperlink w:anchor="page41">
              <w:r>
                <w:rPr>
                  <w:rFonts w:ascii="Arial" w:cs="Arial" w:eastAsia="Arial" w:hAnsi="Arial"/>
                  <w:sz w:val="18"/>
                  <w:szCs w:val="18"/>
                  <w:b w:val="1"/>
                  <w:bCs w:val="1"/>
                  <w:color w:val="0000FF"/>
                  <w:w w:val="95"/>
                </w:rPr>
                <w:t>Part II. Other Information</w:t>
              </w:r>
            </w:hyperlink>
          </w:p>
        </w:tc>
        <w:tc>
          <w:tcPr>
            <w:tcW w:w="35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3"/>
          </w:tcPr>
          <w:p>
            <w:pPr>
              <w:jc w:val="right"/>
              <w:spacing w:after="0"/>
              <w:rPr>
                <w:rFonts w:ascii="Arial" w:cs="Arial" w:eastAsia="Arial" w:hAnsi="Arial"/>
                <w:sz w:val="15"/>
                <w:szCs w:val="15"/>
                <w:color w:val="0000FF"/>
                <w:w w:val="71"/>
              </w:rPr>
            </w:pPr>
            <w:hyperlink w:anchor="page41">
              <w:r>
                <w:rPr>
                  <w:rFonts w:ascii="Arial" w:cs="Arial" w:eastAsia="Arial" w:hAnsi="Arial"/>
                  <w:sz w:val="15"/>
                  <w:szCs w:val="15"/>
                  <w:color w:val="0000FF"/>
                  <w:w w:val="71"/>
                </w:rPr>
                <w:t>38</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2">
              <w:r>
                <w:rPr>
                  <w:rFonts w:ascii="Arial" w:cs="Arial" w:eastAsia="Arial" w:hAnsi="Arial"/>
                  <w:sz w:val="18"/>
                  <w:szCs w:val="18"/>
                  <w:color w:val="0000FF"/>
                  <w:w w:val="87"/>
                </w:rPr>
                <w:t>Item 1.</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320" w:type="dxa"/>
            <w:vAlign w:val="bottom"/>
            <w:gridSpan w:val="2"/>
            <w:vMerge w:val="restart"/>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1A.</w:t>
              </w:r>
            </w:hyperlink>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rPr>
            </w:pPr>
            <w:hyperlink w:anchor="page42">
              <w:r>
                <w:rPr>
                  <w:rFonts w:ascii="Arial" w:cs="Arial" w:eastAsia="Arial" w:hAnsi="Arial"/>
                  <w:sz w:val="18"/>
                  <w:szCs w:val="18"/>
                  <w:color w:val="0000FF"/>
                </w:rPr>
                <w:t>Item</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0000FF"/>
            </w:tcBorders>
            <w:gridSpan w:val="5"/>
            <w:vMerge w:val="restart"/>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7780" w:type="dxa"/>
            <w:vAlign w:val="bottom"/>
            <w:gridSpan w:val="16"/>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40" w:type="dxa"/>
            <w:vAlign w:val="bottom"/>
            <w:tcBorders>
              <w:top w:val="single" w:sz="8" w:color="0000FF"/>
            </w:tcBorders>
            <w:gridSpan w:val="3"/>
            <w:vMerge w:val="restart"/>
          </w:tcPr>
          <w:p>
            <w:pPr>
              <w:jc w:val="right"/>
              <w:spacing w:after="0"/>
              <w:rPr>
                <w:rFonts w:ascii="Arial" w:cs="Arial" w:eastAsia="Arial" w:hAnsi="Arial"/>
                <w:sz w:val="15"/>
                <w:szCs w:val="15"/>
                <w:color w:val="0000FF"/>
                <w:w w:val="71"/>
              </w:rPr>
            </w:pPr>
            <w:hyperlink w:anchor="page42">
              <w:r>
                <w:rPr>
                  <w:rFonts w:ascii="Arial" w:cs="Arial" w:eastAsia="Arial" w:hAnsi="Arial"/>
                  <w:sz w:val="15"/>
                  <w:szCs w:val="15"/>
                  <w:color w:val="0000FF"/>
                  <w:w w:val="71"/>
                </w:rPr>
                <w:t>39</w:t>
              </w:r>
            </w:hyperlink>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Borders>
              <w:top w:val="single" w:sz="8" w:color="0000FF"/>
            </w:tcBorders>
            <w:gridSpan w:val="5"/>
            <w:vMerge w:val="continue"/>
          </w:tcPr>
          <w:p>
            <w:pPr>
              <w:spacing w:after="0"/>
              <w:rPr>
                <w:sz w:val="13"/>
                <w:szCs w:val="13"/>
                <w:color w:val="auto"/>
              </w:rPr>
            </w:pPr>
          </w:p>
        </w:tc>
        <w:tc>
          <w:tcPr>
            <w:tcW w:w="7780" w:type="dxa"/>
            <w:vAlign w:val="bottom"/>
            <w:gridSpan w:val="16"/>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Borders>
              <w:top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3">
              <w:r>
                <w:rPr>
                  <w:rFonts w:ascii="Arial" w:cs="Arial" w:eastAsia="Arial" w:hAnsi="Arial"/>
                  <w:sz w:val="18"/>
                  <w:szCs w:val="18"/>
                  <w:color w:val="0000FF"/>
                  <w:w w:val="87"/>
                </w:rPr>
                <w:t>Item 2.</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Item 3.</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top w:val="single" w:sz="8" w:color="0000FF"/>
            </w:tcBorders>
            <w:gridSpan w:val="12"/>
          </w:tcPr>
          <w:p>
            <w:pPr>
              <w:spacing w:after="0" w:line="205" w:lineRule="exact"/>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48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4">
              <w:r>
                <w:rPr>
                  <w:rFonts w:ascii="Arial" w:cs="Arial" w:eastAsia="Arial" w:hAnsi="Arial"/>
                  <w:sz w:val="15"/>
                  <w:szCs w:val="15"/>
                  <w:color w:val="0000FF"/>
                  <w:w w:val="71"/>
                </w:rPr>
                <w:t>41</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7"/>
              </w:rPr>
            </w:pPr>
            <w:hyperlink w:anchor="page45">
              <w:r>
                <w:rPr>
                  <w:rFonts w:ascii="Arial" w:cs="Arial" w:eastAsia="Arial" w:hAnsi="Arial"/>
                  <w:sz w:val="18"/>
                  <w:szCs w:val="18"/>
                  <w:color w:val="0000FF"/>
                  <w:w w:val="87"/>
                </w:rPr>
                <w:t>Item 4.</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line="205"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Mine Safety Disclosures</w:t>
              </w:r>
            </w:hyperlink>
          </w:p>
        </w:tc>
        <w:tc>
          <w:tcPr>
            <w:tcW w:w="540" w:type="dxa"/>
            <w:vAlign w:val="bottom"/>
            <w:tcBorders>
              <w:top w:val="single" w:sz="8" w:color="0000FF"/>
            </w:tcBorders>
          </w:tcPr>
          <w:p>
            <w:pPr>
              <w:spacing w:after="0"/>
              <w:rPr>
                <w:sz w:val="17"/>
                <w:szCs w:val="17"/>
                <w:color w:val="auto"/>
              </w:rPr>
            </w:pPr>
          </w:p>
        </w:tc>
        <w:tc>
          <w:tcPr>
            <w:tcW w:w="680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right"/>
              <w:spacing w:after="0"/>
              <w:rPr>
                <w:rFonts w:ascii="Arial" w:cs="Arial" w:eastAsia="Arial" w:hAnsi="Arial"/>
                <w:sz w:val="15"/>
                <w:szCs w:val="15"/>
                <w:color w:val="0000FF"/>
                <w:w w:val="71"/>
              </w:rPr>
            </w:pPr>
            <w:hyperlink w:anchor="page45">
              <w:r>
                <w:rPr>
                  <w:rFonts w:ascii="Arial" w:cs="Arial" w:eastAsia="Arial" w:hAnsi="Arial"/>
                  <w:sz w:val="15"/>
                  <w:szCs w:val="15"/>
                  <w:color w:val="0000FF"/>
                  <w:w w:val="71"/>
                </w:rPr>
                <w:t>42</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line="205" w:lineRule="exact"/>
              <w:rPr>
                <w:rFonts w:ascii="Arial" w:cs="Arial" w:eastAsia="Arial" w:hAnsi="Arial"/>
                <w:sz w:val="18"/>
                <w:szCs w:val="18"/>
                <w:color w:val="0000FF"/>
                <w:w w:val="87"/>
              </w:rPr>
            </w:pPr>
            <w:hyperlink w:anchor="page46">
              <w:r>
                <w:rPr>
                  <w:rFonts w:ascii="Arial" w:cs="Arial" w:eastAsia="Arial" w:hAnsi="Arial"/>
                  <w:sz w:val="18"/>
                  <w:szCs w:val="18"/>
                  <w:color w:val="0000FF"/>
                  <w:w w:val="87"/>
                </w:rPr>
                <w:t>Item 5.</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gridSpan w:val="2"/>
          </w:tcPr>
          <w:p>
            <w:pPr>
              <w:spacing w:after="0" w:line="205" w:lineRule="exact"/>
              <w:rPr>
                <w:rFonts w:ascii="Arial" w:cs="Arial" w:eastAsia="Arial" w:hAnsi="Arial"/>
                <w:sz w:val="18"/>
                <w:szCs w:val="18"/>
                <w:color w:val="0000FF"/>
                <w:w w:val="87"/>
              </w:rPr>
            </w:pPr>
            <w:hyperlink w:anchor="page47">
              <w:r>
                <w:rPr>
                  <w:rFonts w:ascii="Arial" w:cs="Arial" w:eastAsia="Arial" w:hAnsi="Arial"/>
                  <w:sz w:val="18"/>
                  <w:szCs w:val="18"/>
                  <w:color w:val="0000FF"/>
                  <w:w w:val="87"/>
                </w:rPr>
                <w:t>Item 6.</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780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FF"/>
            </w:tcBorders>
            <w:gridSpan w:val="3"/>
          </w:tcPr>
          <w:p>
            <w:pPr>
              <w:jc w:val="right"/>
              <w:spacing w:after="0"/>
              <w:rPr>
                <w:rFonts w:ascii="Arial" w:cs="Arial" w:eastAsia="Arial" w:hAnsi="Arial"/>
                <w:sz w:val="15"/>
                <w:szCs w:val="15"/>
                <w:color w:val="0000FF"/>
                <w:w w:val="71"/>
              </w:rPr>
            </w:pPr>
            <w:hyperlink w:anchor="page47">
              <w:r>
                <w:rPr>
                  <w:rFonts w:ascii="Arial" w:cs="Arial" w:eastAsia="Arial" w:hAnsi="Arial"/>
                  <w:sz w:val="15"/>
                  <w:szCs w:val="15"/>
                  <w:color w:val="0000FF"/>
                  <w:w w:val="71"/>
                </w:rPr>
                <w:t>44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80" w:type="dxa"/>
            <w:vAlign w:val="bottom"/>
            <w:gridSpan w:val="21"/>
          </w:tcPr>
          <w:p>
            <w:pPr>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620" w:type="dxa"/>
            <w:vAlign w:val="bottom"/>
            <w:gridSpan w:val="4"/>
          </w:tcPr>
          <w:p>
            <w:pPr>
              <w:jc w:val="right"/>
              <w:spacing w:after="0" w:line="205"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1656"/>
        </w:trPr>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64"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net income/(loss), adjusted gross profit/(loss), direct contribution, adjusted EBITDA, gross loss ratio, marketing costs, gross loss adjustment expense, or LAE, ratio, quota share levels and expansion of our renewal premium base;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financial performance;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build an embedded insurance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974090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11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reduce customer acquisition costs and realize other expected benefits related to the partnership with Carvana Group, LLC, or Carvana;</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or hire personnel, in a competitive labor market and to offer competitive compensation and benefits;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meet Nasdaq listing standards;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956310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9"/>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4"/>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240"/>
              <w:spacing w:after="0" w:line="159" w:lineRule="exact"/>
              <w:rPr>
                <w:sz w:val="20"/>
                <w:szCs w:val="20"/>
                <w:color w:val="auto"/>
              </w:rPr>
            </w:pPr>
            <w:r>
              <w:rPr>
                <w:rFonts w:ascii="Arial" w:cs="Arial" w:eastAsia="Arial" w:hAnsi="Arial"/>
                <w:sz w:val="17"/>
                <w:szCs w:val="17"/>
                <w:color w:val="auto"/>
                <w:w w:val="99"/>
              </w:rPr>
              <w:t>Fixed maturities available-for sale, at fair value (amortized cost: $132.4 and $129.5 at March 31, 2022 and</w:t>
            </w: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2021, respectively)</w:t>
            </w: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240"/>
              <w:spacing w:after="0"/>
              <w:rPr>
                <w:sz w:val="20"/>
                <w:szCs w:val="20"/>
                <w:color w:val="auto"/>
              </w:rPr>
            </w:pPr>
            <w:r>
              <w:rPr>
                <w:rFonts w:ascii="Arial" w:cs="Arial" w:eastAsia="Arial" w:hAnsi="Arial"/>
                <w:sz w:val="17"/>
                <w:szCs w:val="17"/>
                <w:color w:val="auto"/>
                <w:w w:val="93"/>
              </w:rPr>
              <w:t>Short-term investments (amortized cost: $0.5 and zero at March 31, 2022 and December 31, 2021, respectively)</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investments</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4"/>
              </w:rPr>
              <w:t>Premiums receivable, net of allowance of $3.8 and $5.4 at March 31, 2022 and December 31, 2021, respectively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89"/>
              </w:rPr>
              <w:t>Reinsurance recoverable and receivable, net of allowance of $0.1 and $0.2 at March 31, 2022 and December 31, 2021,</w:t>
            </w:r>
          </w:p>
        </w:tc>
        <w:tc>
          <w:tcPr>
            <w:tcW w:w="2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159.4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reinsurance premiums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Loss and loss adjustment expense reserves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308.4</w:t>
            </w:r>
          </w:p>
        </w:tc>
        <w:tc>
          <w:tcPr>
            <w:tcW w:w="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Unearned premiums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Long-term debt and warrants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Reinsurance premiums payable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05"/>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670.9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20"/>
              <w:spacing w:after="0" w:line="159" w:lineRule="exact"/>
              <w:rPr>
                <w:sz w:val="20"/>
                <w:szCs w:val="20"/>
                <w:color w:val="auto"/>
              </w:rPr>
            </w:pPr>
            <w:r>
              <w:rPr>
                <w:rFonts w:ascii="Arial" w:cs="Arial" w:eastAsia="Arial" w:hAnsi="Arial"/>
                <w:sz w:val="17"/>
                <w:szCs w:val="17"/>
                <w:color w:val="auto"/>
                <w:w w:val="88"/>
              </w:rPr>
              <w:t>Redeemable convertible preferred stock, $0.0001 par value, 100.0 shares authorized, 14.1 shares issued and outstanding</w:t>
            </w:r>
          </w:p>
        </w:tc>
        <w:tc>
          <w:tcPr>
            <w:tcW w:w="2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12"/>
        </w:trPr>
        <w:tc>
          <w:tcPr>
            <w:tcW w:w="8160" w:type="dxa"/>
            <w:vAlign w:val="bottom"/>
          </w:tcPr>
          <w:p>
            <w:pPr>
              <w:ind w:left="180"/>
              <w:spacing w:after="0"/>
              <w:rPr>
                <w:sz w:val="20"/>
                <w:szCs w:val="20"/>
                <w:color w:val="auto"/>
              </w:rPr>
            </w:pPr>
            <w:r>
              <w:rPr>
                <w:rFonts w:ascii="Arial" w:cs="Arial" w:eastAsia="Arial" w:hAnsi="Arial"/>
                <w:sz w:val="17"/>
                <w:szCs w:val="17"/>
                <w:color w:val="auto"/>
              </w:rPr>
              <w:t>at March 31, 2022 and December 31, 2021, respectively (liquidation preference of $126.5)</w:t>
            </w: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tcPr>
          <w:p>
            <w:pPr>
              <w:ind w:left="120"/>
              <w:spacing w:after="0" w:line="159" w:lineRule="exact"/>
              <w:rPr>
                <w:sz w:val="20"/>
                <w:szCs w:val="20"/>
                <w:color w:val="auto"/>
              </w:rPr>
            </w:pPr>
            <w:r>
              <w:rPr>
                <w:rFonts w:ascii="Arial" w:cs="Arial" w:eastAsia="Arial" w:hAnsi="Arial"/>
                <w:sz w:val="17"/>
                <w:szCs w:val="17"/>
                <w:color w:val="auto"/>
                <w:w w:val="88"/>
              </w:rPr>
              <w:t>Class A common stock, $0.0001 par value, 1,000.0 shares authorized, 154.9 and 142.9 shares issued and outstanding at</w:t>
            </w:r>
          </w:p>
        </w:tc>
        <w:tc>
          <w:tcPr>
            <w:tcW w:w="28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tcPr>
          <w:p>
            <w:pPr>
              <w:ind w:left="280"/>
              <w:spacing w:after="0"/>
              <w:rPr>
                <w:sz w:val="20"/>
                <w:szCs w:val="20"/>
                <w:color w:val="auto"/>
              </w:rPr>
            </w:pPr>
            <w:r>
              <w:rPr>
                <w:rFonts w:ascii="Arial" w:cs="Arial" w:eastAsia="Arial" w:hAnsi="Arial"/>
                <w:sz w:val="17"/>
                <w:szCs w:val="17"/>
                <w:color w:val="auto"/>
              </w:rPr>
              <w:t>March 31, 2022 and December 31, 2021, respectively</w:t>
            </w:r>
          </w:p>
        </w:tc>
        <w:tc>
          <w:tcPr>
            <w:tcW w:w="2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16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90"/>
              </w:rPr>
              <w:t>Class B common stock, $0.0001 par value, 269.0 shares authorized, 99.5 and 109.9 shares issued and outstanding at</w:t>
            </w:r>
          </w:p>
        </w:tc>
        <w:tc>
          <w:tcPr>
            <w:tcW w:w="2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March 31, 2022 and December 31, 2021, respectively</w:t>
            </w:r>
          </w:p>
        </w:tc>
        <w:tc>
          <w:tcPr>
            <w:tcW w:w="2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1,806.1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 income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Accumulated loss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(1,270.1)</w:t>
            </w:r>
          </w:p>
        </w:tc>
        <w:tc>
          <w:tcPr>
            <w:tcW w:w="0" w:type="dxa"/>
            <w:vAlign w:val="bottom"/>
          </w:tcPr>
          <w:p>
            <w:pPr>
              <w:spacing w:after="0"/>
              <w:rPr>
                <w:sz w:val="1"/>
                <w:szCs w:val="1"/>
                <w:color w:val="auto"/>
              </w:rPr>
            </w:pPr>
          </w:p>
        </w:tc>
      </w:tr>
      <w:tr>
        <w:trPr>
          <w:trHeight w:val="205"/>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468.7</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0" w:type="dxa"/>
            <w:vAlign w:val="bottom"/>
          </w:tcPr>
          <w:p>
            <w:pPr>
              <w:spacing w:after="0"/>
              <w:rPr>
                <w:sz w:val="1"/>
                <w:szCs w:val="1"/>
                <w:color w:val="auto"/>
              </w:rPr>
            </w:pPr>
          </w:p>
        </w:tc>
      </w:tr>
      <w:tr>
        <w:trPr>
          <w:trHeight w:val="205"/>
        </w:trPr>
        <w:tc>
          <w:tcPr>
            <w:tcW w:w="8160" w:type="dxa"/>
            <w:vAlign w:val="bottom"/>
          </w:tcPr>
          <w:p>
            <w:pPr>
              <w:ind w:left="340"/>
              <w:spacing w:after="0"/>
              <w:rPr>
                <w:sz w:val="20"/>
                <w:szCs w:val="20"/>
                <w:color w:val="auto"/>
              </w:rPr>
            </w:pPr>
            <w:r>
              <w:rPr>
                <w:rFonts w:ascii="Arial" w:cs="Arial" w:eastAsia="Arial" w:hAnsi="Arial"/>
                <w:sz w:val="17"/>
                <w:szCs w:val="17"/>
                <w:color w:val="auto"/>
              </w:rPr>
              <w:t>Total liabilities, redeemable convertible preferred stock and stockholders’ equity</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 w:name="page6"/>
    <w:bookmarkEnd w:id="5"/>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8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980" w:type="dxa"/>
            <w:vAlign w:val="bottom"/>
          </w:tcPr>
          <w:p>
            <w:pPr>
              <w:jc w:val="right"/>
              <w:ind w:right="80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808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80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5"/>
        </w:trPr>
        <w:tc>
          <w:tcPr>
            <w:tcW w:w="8080" w:type="dxa"/>
            <w:vAlign w:val="bottom"/>
          </w:tcPr>
          <w:p>
            <w:pPr>
              <w:ind w:left="120"/>
              <w:spacing w:after="0"/>
              <w:rPr>
                <w:sz w:val="20"/>
                <w:szCs w:val="20"/>
                <w:color w:val="auto"/>
              </w:rPr>
            </w:pPr>
            <w:r>
              <w:rPr>
                <w:rFonts w:ascii="Arial" w:cs="Arial" w:eastAsia="Arial" w:hAnsi="Arial"/>
                <w:sz w:val="18"/>
                <w:szCs w:val="18"/>
                <w:color w:val="auto"/>
              </w:rPr>
              <w:t>Other insurance expense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808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Other comprehensive loss:</w:t>
            </w: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net unrealized losses on investments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80" w:type="dxa"/>
            <w:vAlign w:val="bottom"/>
            <w:vMerge w:val="continue"/>
          </w:tcPr>
          <w:p>
            <w:pPr>
              <w:spacing w:after="0"/>
              <w:rPr>
                <w:sz w:val="17"/>
                <w:szCs w:val="17"/>
                <w:color w:val="auto"/>
              </w:rPr>
            </w:pPr>
          </w:p>
        </w:tc>
        <w:tc>
          <w:tcPr>
            <w:tcW w:w="980" w:type="dxa"/>
            <w:vAlign w:val="bottom"/>
          </w:tcPr>
          <w:p>
            <w:pPr>
              <w:jc w:val="right"/>
              <w:ind w:right="801"/>
              <w:spacing w:after="0" w:line="198"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8" w:lineRule="exact"/>
              <w:rPr>
                <w:sz w:val="20"/>
                <w:szCs w:val="20"/>
                <w:color w:val="auto"/>
              </w:rPr>
            </w:pPr>
            <w:r>
              <w:rPr>
                <w:rFonts w:ascii="Arial" w:cs="Arial" w:eastAsia="Arial" w:hAnsi="Arial"/>
                <w:sz w:val="18"/>
                <w:szCs w:val="18"/>
                <w:color w:val="auto"/>
              </w:rPr>
              <w:t>(0.30)</w:t>
            </w:r>
          </w:p>
        </w:tc>
        <w:tc>
          <w:tcPr>
            <w:tcW w:w="80" w:type="dxa"/>
            <w:vAlign w:val="bottom"/>
          </w:tcPr>
          <w:p>
            <w:pPr>
              <w:spacing w:after="0"/>
              <w:rPr>
                <w:sz w:val="17"/>
                <w:szCs w:val="17"/>
                <w:color w:val="auto"/>
              </w:rPr>
            </w:pPr>
          </w:p>
        </w:tc>
        <w:tc>
          <w:tcPr>
            <w:tcW w:w="1000" w:type="dxa"/>
            <w:vAlign w:val="bottom"/>
          </w:tcPr>
          <w:p>
            <w:pPr>
              <w:jc w:val="right"/>
              <w:ind w:right="796"/>
              <w:spacing w:after="0" w:line="198"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198"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 (both Class A and B)</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ROOT, INC. AND SUBSIDIARIES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5"/>
          </w:tcPr>
          <w:p>
            <w:pPr>
              <w:jc w:val="center"/>
              <w:ind w:left="111"/>
              <w:spacing w:after="0"/>
              <w:rPr>
                <w:sz w:val="20"/>
                <w:szCs w:val="20"/>
                <w:color w:val="auto"/>
              </w:rPr>
            </w:pPr>
            <w:r>
              <w:rPr>
                <w:rFonts w:ascii="Arial" w:cs="Arial" w:eastAsia="Arial" w:hAnsi="Arial"/>
                <w:sz w:val="12"/>
                <w:szCs w:val="12"/>
                <w:b w:val="1"/>
                <w:bCs w:val="1"/>
                <w:color w:val="auto"/>
                <w:w w:val="90"/>
              </w:rPr>
              <w:t>Redeemable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400" w:type="dxa"/>
            <w:vAlign w:val="bottom"/>
            <w:gridSpan w:val="10"/>
          </w:tcPr>
          <w:p>
            <w:pPr>
              <w:jc w:val="center"/>
              <w:ind w:right="160"/>
              <w:spacing w:after="0" w:line="120" w:lineRule="exact"/>
              <w:rPr>
                <w:sz w:val="20"/>
                <w:szCs w:val="20"/>
                <w:color w:val="auto"/>
              </w:rPr>
            </w:pPr>
            <w:r>
              <w:rPr>
                <w:rFonts w:ascii="Arial" w:cs="Arial" w:eastAsia="Arial" w:hAnsi="Arial"/>
                <w:sz w:val="12"/>
                <w:szCs w:val="12"/>
                <w:b w:val="1"/>
                <w:bCs w:val="1"/>
                <w:color w:val="auto"/>
                <w:w w:val="94"/>
              </w:rPr>
              <w:t>Convertible Preferred</w:t>
            </w:r>
          </w:p>
        </w:tc>
        <w:tc>
          <w:tcPr>
            <w:tcW w:w="2040" w:type="dxa"/>
            <w:vAlign w:val="bottom"/>
            <w:gridSpan w:val="13"/>
            <w:vMerge w:val="restart"/>
          </w:tcPr>
          <w:p>
            <w:pPr>
              <w:jc w:val="center"/>
              <w:ind w:right="60"/>
              <w:spacing w:after="0"/>
              <w:rPr>
                <w:sz w:val="20"/>
                <w:szCs w:val="20"/>
                <w:color w:val="auto"/>
              </w:rPr>
            </w:pPr>
            <w:r>
              <w:rPr>
                <w:rFonts w:ascii="Arial" w:cs="Arial" w:eastAsia="Arial" w:hAnsi="Arial"/>
                <w:sz w:val="12"/>
                <w:szCs w:val="12"/>
                <w:b w:val="1"/>
                <w:bCs w:val="1"/>
                <w:color w:val="auto"/>
                <w:w w:val="91"/>
              </w:rPr>
              <w:t>Class A and Class B Common Stock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8"/>
            <w:vMerge w:val="restart"/>
          </w:tcPr>
          <w:p>
            <w:pPr>
              <w:ind w:left="160"/>
              <w:spacing w:after="0"/>
              <w:rPr>
                <w:sz w:val="20"/>
                <w:szCs w:val="20"/>
                <w:color w:val="auto"/>
              </w:rPr>
            </w:pPr>
            <w:r>
              <w:rPr>
                <w:rFonts w:ascii="Arial" w:cs="Arial" w:eastAsia="Arial" w:hAnsi="Arial"/>
                <w:sz w:val="12"/>
                <w:szCs w:val="12"/>
                <w:b w:val="1"/>
                <w:bCs w:val="1"/>
                <w:color w:val="auto"/>
              </w:rPr>
              <w:t>Treasury Stock</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restart"/>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5"/>
          </w:tcPr>
          <w:p>
            <w:pPr>
              <w:jc w:val="center"/>
              <w:ind w:left="111"/>
              <w:spacing w:after="0" w:line="120" w:lineRule="exact"/>
              <w:rPr>
                <w:sz w:val="20"/>
                <w:szCs w:val="20"/>
                <w:color w:val="auto"/>
              </w:rPr>
            </w:pPr>
            <w:r>
              <w:rPr>
                <w:rFonts w:ascii="Arial" w:cs="Arial" w:eastAsia="Arial" w:hAnsi="Arial"/>
                <w:sz w:val="12"/>
                <w:szCs w:val="12"/>
                <w:b w:val="1"/>
                <w:bCs w:val="1"/>
                <w:color w:val="auto"/>
                <w:w w:val="85"/>
              </w:rPr>
              <w:t>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4"/>
          </w:tcPr>
          <w:p>
            <w:pPr>
              <w:jc w:val="center"/>
              <w:ind w:right="360"/>
              <w:spacing w:after="0" w:line="53" w:lineRule="exact"/>
              <w:rPr>
                <w:sz w:val="20"/>
                <w:szCs w:val="20"/>
                <w:color w:val="auto"/>
              </w:rPr>
            </w:pPr>
            <w:r>
              <w:rPr>
                <w:rFonts w:ascii="Arial" w:cs="Arial" w:eastAsia="Arial" w:hAnsi="Arial"/>
                <w:sz w:val="6"/>
                <w:szCs w:val="6"/>
                <w:b w:val="1"/>
                <w:bCs w:val="1"/>
                <w:color w:val="auto"/>
              </w:rPr>
              <w:t>Other</w:t>
            </w: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jc w:val="center"/>
              <w:ind w:right="52"/>
              <w:spacing w:after="0" w:line="53"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4"/>
              </w:rPr>
              <w:t>Shares</w:t>
            </w:r>
          </w:p>
        </w:tc>
        <w:tc>
          <w:tcPr>
            <w:tcW w:w="20" w:type="dxa"/>
            <w:vAlign w:val="bottom"/>
          </w:tcPr>
          <w:p>
            <w:pPr>
              <w:spacing w:after="0"/>
              <w:rPr>
                <w:sz w:val="10"/>
                <w:szCs w:val="10"/>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Class A</w:t>
            </w:r>
          </w:p>
        </w:tc>
        <w:tc>
          <w:tcPr>
            <w:tcW w:w="60" w:type="dxa"/>
            <w:vAlign w:val="bottom"/>
          </w:tcPr>
          <w:p>
            <w:pPr>
              <w:spacing w:after="0"/>
              <w:rPr>
                <w:sz w:val="10"/>
                <w:szCs w:val="10"/>
                <w:color w:val="auto"/>
              </w:rPr>
            </w:pPr>
          </w:p>
        </w:tc>
        <w:tc>
          <w:tcPr>
            <w:tcW w:w="620" w:type="dxa"/>
            <w:vAlign w:val="bottom"/>
            <w:gridSpan w:val="3"/>
          </w:tcPr>
          <w:p>
            <w:pPr>
              <w:jc w:val="center"/>
              <w:ind w:right="200"/>
              <w:spacing w:after="0" w:line="126" w:lineRule="exact"/>
              <w:rPr>
                <w:sz w:val="20"/>
                <w:szCs w:val="20"/>
                <w:color w:val="auto"/>
              </w:rPr>
            </w:pPr>
            <w:r>
              <w:rPr>
                <w:rFonts w:ascii="Arial" w:cs="Arial" w:eastAsia="Arial" w:hAnsi="Arial"/>
                <w:sz w:val="12"/>
                <w:szCs w:val="12"/>
                <w:b w:val="1"/>
                <w:bCs w:val="1"/>
                <w:color w:val="auto"/>
                <w:w w:val="86"/>
              </w:rPr>
              <w:t>Class B</w:t>
            </w:r>
          </w:p>
        </w:tc>
        <w:tc>
          <w:tcPr>
            <w:tcW w:w="6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w:t>
            </w:r>
          </w:p>
        </w:tc>
        <w:tc>
          <w:tcPr>
            <w:tcW w:w="10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Additional Paid-</w:t>
            </w:r>
          </w:p>
        </w:tc>
        <w:tc>
          <w:tcPr>
            <w:tcW w:w="60" w:type="dxa"/>
            <w:vAlign w:val="bottom"/>
          </w:tcPr>
          <w:p>
            <w:pPr>
              <w:spacing w:after="0"/>
              <w:rPr>
                <w:sz w:val="10"/>
                <w:szCs w:val="10"/>
                <w:color w:val="auto"/>
              </w:rPr>
            </w:pPr>
          </w:p>
        </w:tc>
        <w:tc>
          <w:tcPr>
            <w:tcW w:w="1020" w:type="dxa"/>
            <w:vAlign w:val="bottom"/>
            <w:gridSpan w:val="6"/>
          </w:tcPr>
          <w:p>
            <w:pPr>
              <w:spacing w:after="0" w:line="126"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10"/>
                <w:szCs w:val="10"/>
                <w:color w:val="auto"/>
              </w:rPr>
            </w:pPr>
          </w:p>
        </w:tc>
        <w:tc>
          <w:tcPr>
            <w:tcW w:w="94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840" w:type="dxa"/>
            <w:vAlign w:val="bottom"/>
          </w:tcPr>
          <w:p>
            <w:pPr>
              <w:jc w:val="center"/>
              <w:ind w:right="52"/>
              <w:spacing w:after="0" w:line="12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6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in 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93"/>
              </w:rPr>
              <w:t>Income (Loss)</w:t>
            </w:r>
          </w:p>
        </w:tc>
        <w:tc>
          <w:tcPr>
            <w:tcW w:w="80" w:type="dxa"/>
            <w:vAlign w:val="bottom"/>
          </w:tcPr>
          <w:p>
            <w:pPr>
              <w:spacing w:after="0"/>
              <w:rPr>
                <w:sz w:val="14"/>
                <w:szCs w:val="14"/>
                <w:color w:val="auto"/>
              </w:rPr>
            </w:pPr>
          </w:p>
        </w:tc>
        <w:tc>
          <w:tcPr>
            <w:tcW w:w="940" w:type="dxa"/>
            <w:vAlign w:val="bottom"/>
            <w:gridSpan w:val="4"/>
          </w:tcPr>
          <w:p>
            <w:pPr>
              <w:ind w:left="240"/>
              <w:spacing w:after="0"/>
              <w:rPr>
                <w:sz w:val="20"/>
                <w:szCs w:val="20"/>
                <w:color w:val="auto"/>
              </w:rPr>
            </w:pPr>
            <w:r>
              <w:rPr>
                <w:rFonts w:ascii="Arial" w:cs="Arial" w:eastAsia="Arial" w:hAnsi="Arial"/>
                <w:sz w:val="12"/>
                <w:szCs w:val="12"/>
                <w:b w:val="1"/>
                <w:bCs w:val="1"/>
                <w:color w:val="auto"/>
              </w:rPr>
              <w:t>Loss</w:t>
            </w:r>
          </w:p>
        </w:tc>
        <w:tc>
          <w:tcPr>
            <w:tcW w:w="80" w:type="dxa"/>
            <w:vAlign w:val="bottom"/>
          </w:tcPr>
          <w:p>
            <w:pPr>
              <w:spacing w:after="0"/>
              <w:rPr>
                <w:sz w:val="14"/>
                <w:szCs w:val="14"/>
                <w:color w:val="auto"/>
              </w:rPr>
            </w:pPr>
          </w:p>
        </w:tc>
        <w:tc>
          <w:tcPr>
            <w:tcW w:w="840" w:type="dxa"/>
            <w:vAlign w:val="bottom"/>
          </w:tcPr>
          <w:p>
            <w:pPr>
              <w:jc w:val="center"/>
              <w:ind w:right="5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5"/>
          </w:tcPr>
          <w:p>
            <w:pPr>
              <w:spacing w:after="0"/>
              <w:rPr>
                <w:sz w:val="20"/>
                <w:szCs w:val="20"/>
                <w:color w:val="auto"/>
              </w:rPr>
            </w:pPr>
            <w:r>
              <w:rPr>
                <w:rFonts w:ascii="Arial" w:cs="Arial" w:eastAsia="Arial" w:hAnsi="Arial"/>
                <w:sz w:val="12"/>
                <w:szCs w:val="12"/>
                <w:b w:val="1"/>
                <w:bCs w:val="1"/>
                <w:color w:val="auto"/>
              </w:rPr>
              <w:t>(in millions)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14.1</w:t>
            </w:r>
          </w:p>
        </w:tc>
        <w:tc>
          <w:tcPr>
            <w:tcW w:w="30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112.0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loss</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4"/>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0" w:type="dxa"/>
            <w:vAlign w:val="bottom"/>
          </w:tcPr>
          <w:p>
            <w:pPr>
              <w:ind w:left="20"/>
              <w:spacing w:after="0" w:line="133" w:lineRule="exact"/>
              <w:rPr>
                <w:sz w:val="20"/>
                <w:szCs w:val="20"/>
                <w:color w:val="auto"/>
              </w:rPr>
            </w:pPr>
            <w:r>
              <w:rPr>
                <w:rFonts w:ascii="Arial" w:cs="Arial" w:eastAsia="Arial" w:hAnsi="Arial"/>
                <w:sz w:val="14"/>
                <w:szCs w:val="14"/>
                <w:color w:val="auto"/>
                <w:w w:val="95"/>
              </w:rPr>
              <w:t>Reclassification of early-exercised stock</w:t>
            </w:r>
          </w:p>
        </w:tc>
        <w:tc>
          <w:tcPr>
            <w:tcW w:w="100" w:type="dxa"/>
            <w:vAlign w:val="bottom"/>
          </w:tcPr>
          <w:p>
            <w:pPr>
              <w:spacing w:after="0"/>
              <w:rPr>
                <w:sz w:val="11"/>
                <w:szCs w:val="1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vMerge w:val="restart"/>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40" w:type="dxa"/>
            <w:vAlign w:val="bottom"/>
            <w:gridSpan w:val="4"/>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240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Warrant compensation expense</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4"/>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issuance costs</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Term Loan C warrants issued</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4"/>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7"/>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Balance—March 31, 2022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112.0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300" w:type="dxa"/>
            <w:vAlign w:val="bottom"/>
            <w:gridSpan w:val="3"/>
          </w:tcPr>
          <w:p>
            <w:pPr>
              <w:spacing w:after="0"/>
              <w:rPr>
                <w:sz w:val="19"/>
                <w:szCs w:val="19"/>
                <w:color w:val="auto"/>
              </w:rPr>
            </w:pPr>
          </w:p>
        </w:tc>
        <w:tc>
          <w:tcPr>
            <w:tcW w:w="38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4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2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other comprehensive loss</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10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stock—option exercises and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restricted stock units vesting, net of</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gridSpan w:val="4"/>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for employee taxes</w:t>
            </w: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00" w:type="dxa"/>
            <w:vAlign w:val="bottom"/>
          </w:tcPr>
          <w:p>
            <w:pPr>
              <w:ind w:left="20"/>
              <w:spacing w:after="0" w:line="133" w:lineRule="exact"/>
              <w:rPr>
                <w:sz w:val="20"/>
                <w:szCs w:val="20"/>
                <w:color w:val="auto"/>
              </w:rPr>
            </w:pPr>
            <w:r>
              <w:rPr>
                <w:rFonts w:ascii="Arial" w:cs="Arial" w:eastAsia="Arial" w:hAnsi="Arial"/>
                <w:sz w:val="14"/>
                <w:szCs w:val="14"/>
                <w:color w:val="auto"/>
                <w:w w:val="95"/>
              </w:rPr>
              <w:t>Reclassification of early-exercised stock</w:t>
            </w:r>
          </w:p>
        </w:tc>
        <w:tc>
          <w:tcPr>
            <w:tcW w:w="100" w:type="dxa"/>
            <w:vAlign w:val="bottom"/>
          </w:tcPr>
          <w:p>
            <w:pPr>
              <w:spacing w:after="0"/>
              <w:rPr>
                <w:sz w:val="11"/>
                <w:szCs w:val="1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4"/>
            <w:vMerge w:val="restart"/>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2400" w:type="dxa"/>
            <w:vAlign w:val="bottom"/>
          </w:tcPr>
          <w:p>
            <w:pPr>
              <w:ind w:left="180"/>
              <w:spacing w:after="0"/>
              <w:rPr>
                <w:sz w:val="20"/>
                <w:szCs w:val="20"/>
                <w:color w:val="auto"/>
              </w:rPr>
            </w:pPr>
            <w:r>
              <w:rPr>
                <w:rFonts w:ascii="Arial" w:cs="Arial" w:eastAsia="Arial" w:hAnsi="Arial"/>
                <w:sz w:val="14"/>
                <w:szCs w:val="14"/>
                <w:color w:val="auto"/>
              </w:rPr>
              <w:t>options from liabilities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gridSpan w:val="4"/>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4"/>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00" w:type="dxa"/>
            <w:vAlign w:val="bottom"/>
          </w:tcPr>
          <w:p>
            <w:pPr>
              <w:ind w:left="20"/>
              <w:spacing w:after="0"/>
              <w:rPr>
                <w:sz w:val="20"/>
                <w:szCs w:val="20"/>
                <w:color w:val="auto"/>
              </w:rPr>
            </w:pPr>
            <w:r>
              <w:rPr>
                <w:rFonts w:ascii="Arial" w:cs="Arial" w:eastAsia="Arial" w:hAnsi="Arial"/>
                <w:sz w:val="14"/>
                <w:szCs w:val="14"/>
                <w:color w:val="auto"/>
              </w:rPr>
              <w:t>Balance—March 31, 2021</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166.4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934.3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60" w:type="dxa"/>
            <w:vAlign w:val="bottom"/>
            <w:tcBorders>
              <w:top w:val="single" w:sz="8" w:color="auto"/>
            </w:tcBorders>
          </w:tcPr>
          <w:p>
            <w:pPr>
              <w:spacing w:after="0"/>
              <w:rPr>
                <w:sz w:val="15"/>
                <w:szCs w:val="15"/>
                <w:color w:val="auto"/>
              </w:rPr>
            </w:pPr>
          </w:p>
        </w:tc>
        <w:tc>
          <w:tcPr>
            <w:tcW w:w="2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top w:val="single" w:sz="8" w:color="auto"/>
              <w:bottom w:val="single" w:sz="8" w:color="auto"/>
            </w:tcBorders>
          </w:tcPr>
          <w:p>
            <w:pPr>
              <w:spacing w:after="0"/>
              <w:rPr>
                <w:sz w:val="15"/>
                <w:szCs w:val="15"/>
                <w:color w:val="auto"/>
              </w:rPr>
            </w:pPr>
          </w:p>
        </w:tc>
      </w:tr>
      <w:tr>
        <w:trPr>
          <w:trHeight w:val="178"/>
        </w:trPr>
        <w:tc>
          <w:tcPr>
            <w:tcW w:w="8160" w:type="dxa"/>
            <w:vAlign w:val="bottom"/>
          </w:tcPr>
          <w:p>
            <w:pPr>
              <w:spacing w:after="0"/>
              <w:rPr>
                <w:sz w:val="15"/>
                <w:szCs w:val="15"/>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179"/>
        </w:trPr>
        <w:tc>
          <w:tcPr>
            <w:tcW w:w="8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gridSpan w:val="3"/>
          </w:tcPr>
          <w:p>
            <w:pPr>
              <w:jc w:val="right"/>
              <w:ind w:right="543"/>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8"/>
                <w:szCs w:val="18"/>
                <w:color w:val="auto"/>
              </w:rPr>
            </w:pP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 compensation expense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Bad debt expense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Payment-in-kind interest expense</w:t>
            </w:r>
          </w:p>
        </w:tc>
        <w:tc>
          <w:tcPr>
            <w:tcW w:w="9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realized gains on investments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Premiums receivable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Reinsurance recoverable and receivable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reinsurance premiums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Losses and loss adjustment expenses reserves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8160" w:type="dxa"/>
            <w:vAlign w:val="bottom"/>
          </w:tcPr>
          <w:p>
            <w:pPr>
              <w:ind w:left="120"/>
              <w:spacing w:after="0"/>
              <w:rPr>
                <w:sz w:val="20"/>
                <w:szCs w:val="20"/>
                <w:color w:val="auto"/>
              </w:rPr>
            </w:pPr>
            <w:r>
              <w:rPr>
                <w:rFonts w:ascii="Arial" w:cs="Arial" w:eastAsia="Arial" w:hAnsi="Arial"/>
                <w:sz w:val="16"/>
                <w:szCs w:val="16"/>
                <w:color w:val="auto"/>
              </w:rPr>
              <w:t>Unearned premiums</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Reinsurance premiums payable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19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call and pay downs of investments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Sales of investments</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Capitalization of internally developed software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Purchases of fixed assets</w:t>
            </w:r>
          </w:p>
        </w:tc>
        <w:tc>
          <w:tcPr>
            <w:tcW w:w="9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r>
      <w:tr>
        <w:trPr>
          <w:trHeight w:val="19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8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debt and related warrants, net of issuance costs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9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08"/>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286.2</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228.7</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707.0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1,113.8</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935.7</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1,107.3</w:t>
            </w:r>
          </w:p>
        </w:tc>
      </w:tr>
      <w:tr>
        <w:trPr>
          <w:trHeight w:val="20"/>
        </w:trPr>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8" w:name="page9"/>
    <w:bookmarkEnd w:id="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47"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0"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8"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We offer auto and renters insurance products underwritten by Root Insurance Company and Root Property &amp; Casualty Insurance Company.</w:t>
      </w:r>
    </w:p>
    <w:p>
      <w:pPr>
        <w:spacing w:after="0" w:line="129"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64" w:lineRule="exact"/>
        <w:rPr>
          <w:sz w:val="20"/>
          <w:szCs w:val="20"/>
          <w:color w:val="auto"/>
        </w:rPr>
      </w:pPr>
    </w:p>
    <w:p>
      <w:pPr>
        <w:ind w:firstLine="318"/>
        <w:spacing w:after="0" w:line="274"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—In our opinion, all adjustments necessary for a fair presentation of the condensed consolidated financial statements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2021 filed with the SEC on February 23, 2022, or the 2021 10-K.</w:t>
      </w:r>
    </w:p>
    <w:p>
      <w:pPr>
        <w:spacing w:after="0" w:line="114" w:lineRule="exact"/>
        <w:rPr>
          <w:sz w:val="20"/>
          <w:szCs w:val="20"/>
          <w:color w:val="auto"/>
        </w:rPr>
      </w:pPr>
    </w:p>
    <w:p>
      <w:pPr>
        <w:jc w:val="both"/>
        <w:ind w:right="80" w:firstLine="318"/>
        <w:spacing w:after="0" w:line="258"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wholly owned. These financial statements have been prepared in accordance with accounting principles generally accepted in the United States, or GAAP. All intercompany accounts and transactions have been eliminated.</w:t>
      </w:r>
    </w:p>
    <w:p>
      <w:pPr>
        <w:spacing w:after="0" w:line="127" w:lineRule="exact"/>
        <w:rPr>
          <w:sz w:val="20"/>
          <w:szCs w:val="20"/>
          <w:color w:val="auto"/>
        </w:rPr>
      </w:pPr>
    </w:p>
    <w:p>
      <w:pPr>
        <w:ind w:right="180" w:firstLine="318"/>
        <w:spacing w:after="0" w:line="314" w:lineRule="auto"/>
        <w:rPr>
          <w:sz w:val="20"/>
          <w:szCs w:val="20"/>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—The preparation of the unaudited condensed consolidated financial statements requires management to make certain estimates and</w:t>
      </w:r>
      <w:r>
        <w:rPr>
          <w:rFonts w:ascii="Arial" w:cs="Arial" w:eastAsia="Arial" w:hAnsi="Arial"/>
          <w:sz w:val="15"/>
          <w:szCs w:val="15"/>
          <w:b w:val="1"/>
          <w:bCs w:val="1"/>
          <w:color w:val="auto"/>
        </w:rPr>
        <w:t xml:space="preserve"> </w:t>
      </w:r>
      <w:r>
        <w:rPr>
          <w:rFonts w:ascii="Arial" w:cs="Arial" w:eastAsia="Arial" w:hAnsi="Arial"/>
          <w:sz w:val="15"/>
          <w:szCs w:val="15"/>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allowance for expected credit losses on premium receivables and valuation allowances for income taxes.</w:t>
      </w:r>
    </w:p>
    <w:p>
      <w:pPr>
        <w:spacing w:after="0" w:line="91"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b w:val="1"/>
          <w:bCs w:val="1"/>
          <w:color w:val="auto"/>
        </w:rPr>
        <w:t>COVID-19</w:t>
      </w:r>
      <w:r>
        <w:rPr>
          <w:rFonts w:ascii="Arial" w:cs="Arial" w:eastAsia="Arial" w:hAnsi="Arial"/>
          <w:sz w:val="15"/>
          <w:szCs w:val="15"/>
          <w:color w:val="auto"/>
        </w:rPr>
        <w:t>—In March 2020, the World Health Organization declared COVID-19 to be a global pandemic. The pandemic and related measures taken to</w:t>
      </w:r>
      <w:r>
        <w:rPr>
          <w:rFonts w:ascii="Arial" w:cs="Arial" w:eastAsia="Arial" w:hAnsi="Arial"/>
          <w:sz w:val="15"/>
          <w:szCs w:val="15"/>
          <w:b w:val="1"/>
          <w:bCs w:val="1"/>
          <w:color w:val="auto"/>
        </w:rPr>
        <w:t xml:space="preserve"> </w:t>
      </w:r>
      <w:r>
        <w:rPr>
          <w:rFonts w:ascii="Arial" w:cs="Arial" w:eastAsia="Arial" w:hAnsi="Arial"/>
          <w:sz w:val="15"/>
          <w:szCs w:val="15"/>
          <w:color w:val="auto"/>
        </w:rPr>
        <w:t>contain the spread of COVID-19, such as government-mandated business closures, orders to “shelter in place”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COVID-19-related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 As a result of certain factors related to the COVID-19 global pandemic, we continue to file in multiple states to establish rates that more closely follow the evolving loss cost trends.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13" w:lineRule="exact"/>
        <w:rPr>
          <w:sz w:val="20"/>
          <w:szCs w:val="20"/>
          <w:color w:val="auto"/>
        </w:rPr>
      </w:pPr>
    </w:p>
    <w:p>
      <w:pPr>
        <w:ind w:right="400" w:firstLine="318"/>
        <w:spacing w:after="0" w:line="374" w:lineRule="auto"/>
        <w:rPr>
          <w:sz w:val="20"/>
          <w:szCs w:val="20"/>
          <w:color w:val="auto"/>
        </w:rPr>
      </w:pPr>
      <w:r>
        <w:rPr>
          <w:rFonts w:ascii="Arial" w:cs="Arial" w:eastAsia="Arial" w:hAnsi="Arial"/>
          <w:sz w:val="15"/>
          <w:szCs w:val="15"/>
          <w:b w:val="1"/>
          <w:bCs w:val="1"/>
          <w:color w:val="auto"/>
        </w:rPr>
        <w:t>Cash, Cash Equivalents and Restricted Cash</w:t>
      </w:r>
      <w:r>
        <w:rPr>
          <w:rFonts w:ascii="Arial" w:cs="Arial" w:eastAsia="Arial" w:hAnsi="Arial"/>
          <w:sz w:val="15"/>
          <w:szCs w:val="15"/>
          <w:color w:val="auto"/>
        </w:rPr>
        <w:t>—The following table provides a reconciliation of cash, cash equivalents and restricted cash reported</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the condensed consolidated balance sheets that sum to the total of the same such amount in the condensed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802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4"/>
        </w:trPr>
        <w:tc>
          <w:tcPr>
            <w:tcW w:w="8020" w:type="dxa"/>
            <w:vAlign w:val="bottom"/>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3220" w:type="dxa"/>
            <w:vAlign w:val="bottom"/>
            <w:gridSpan w:val="5"/>
          </w:tcPr>
          <w:p>
            <w:pPr>
              <w:jc w:val="right"/>
              <w:ind w:right="939"/>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934.7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935.7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13"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March 31, 2022 and December 31, 2021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March 31, 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Allowance for</w:t>
            </w:r>
          </w:p>
        </w:tc>
        <w:tc>
          <w:tcPr>
            <w:tcW w:w="440" w:type="dxa"/>
            <w:vAlign w:val="bottom"/>
          </w:tcPr>
          <w:p>
            <w:pPr>
              <w:spacing w:after="0"/>
              <w:rPr>
                <w:sz w:val="11"/>
                <w:szCs w:val="11"/>
                <w:color w:val="auto"/>
              </w:rPr>
            </w:pPr>
          </w:p>
        </w:tc>
        <w:tc>
          <w:tcPr>
            <w:tcW w:w="13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460" w:type="dxa"/>
            <w:vAlign w:val="bottom"/>
          </w:tcPr>
          <w:p>
            <w:pPr>
              <w:spacing w:after="0"/>
              <w:rPr>
                <w:sz w:val="11"/>
                <w:szCs w:val="11"/>
                <w:color w:val="auto"/>
              </w:rPr>
            </w:pPr>
          </w:p>
        </w:tc>
        <w:tc>
          <w:tcPr>
            <w:tcW w:w="13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Expected Credit Losses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left="198"/>
              <w:spacing w:after="0"/>
              <w:rPr>
                <w:sz w:val="20"/>
                <w:szCs w:val="20"/>
                <w:color w:val="auto"/>
              </w:rPr>
            </w:pPr>
            <w:r>
              <w:rPr>
                <w:rFonts w:ascii="Arial" w:cs="Arial" w:eastAsia="Arial" w:hAnsi="Arial"/>
                <w:sz w:val="14"/>
                <w:szCs w:val="14"/>
                <w:b w:val="1"/>
                <w:bCs w:val="1"/>
                <w:color w:val="auto"/>
                <w:w w:val="91"/>
              </w:rPr>
              <w:t>(dollars in millions)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rPr>
              <w:t>U.S. Treasury securities and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agencies</w:t>
            </w:r>
          </w:p>
        </w:tc>
        <w:tc>
          <w:tcPr>
            <w:tcW w:w="4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5"/>
        </w:trPr>
        <w:tc>
          <w:tcPr>
            <w:tcW w:w="25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Residential mortgage-backed</w:t>
            </w:r>
          </w:p>
        </w:tc>
        <w:tc>
          <w:tcPr>
            <w:tcW w:w="4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w w:val="99"/>
              </w:rPr>
              <w:t>Commercial mortgage backed</w:t>
            </w:r>
          </w:p>
        </w:tc>
        <w:tc>
          <w:tcPr>
            <w:tcW w:w="4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540" w:type="dxa"/>
            <w:vAlign w:val="bottom"/>
          </w:tcPr>
          <w:p>
            <w:pPr>
              <w:ind w:left="560"/>
              <w:spacing w:after="0"/>
              <w:rPr>
                <w:sz w:val="20"/>
                <w:szCs w:val="20"/>
                <w:color w:val="auto"/>
              </w:rPr>
            </w:pPr>
            <w:r>
              <w:rPr>
                <w:rFonts w:ascii="Arial" w:cs="Arial" w:eastAsia="Arial" w:hAnsi="Arial"/>
                <w:sz w:val="18"/>
                <w:szCs w:val="18"/>
                <w:color w:val="auto"/>
              </w:rPr>
              <w:t>Total fixed maturities</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9"/>
        </w:trPr>
        <w:tc>
          <w:tcPr>
            <w:tcW w:w="25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5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2021</w:t>
            </w: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Allowance for</w:t>
            </w:r>
          </w:p>
        </w:tc>
        <w:tc>
          <w:tcPr>
            <w:tcW w:w="440" w:type="dxa"/>
            <w:vAlign w:val="bottom"/>
          </w:tcPr>
          <w:p>
            <w:pPr>
              <w:spacing w:after="0"/>
              <w:rPr>
                <w:sz w:val="11"/>
                <w:szCs w:val="11"/>
                <w:color w:val="auto"/>
              </w:rPr>
            </w:pPr>
          </w:p>
        </w:tc>
        <w:tc>
          <w:tcPr>
            <w:tcW w:w="13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460" w:type="dxa"/>
            <w:vAlign w:val="bottom"/>
          </w:tcPr>
          <w:p>
            <w:pPr>
              <w:spacing w:after="0"/>
              <w:rPr>
                <w:sz w:val="11"/>
                <w:szCs w:val="11"/>
                <w:color w:val="auto"/>
              </w:rPr>
            </w:pPr>
          </w:p>
        </w:tc>
        <w:tc>
          <w:tcPr>
            <w:tcW w:w="13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Gross Unrealized</w:t>
            </w:r>
          </w:p>
        </w:tc>
        <w:tc>
          <w:tcPr>
            <w:tcW w:w="560" w:type="dxa"/>
            <w:vAlign w:val="bottom"/>
          </w:tcPr>
          <w:p>
            <w:pPr>
              <w:spacing w:after="0"/>
              <w:rPr>
                <w:sz w:val="11"/>
                <w:szCs w:val="11"/>
                <w:color w:val="auto"/>
              </w:rPr>
            </w:pPr>
          </w:p>
        </w:tc>
        <w:tc>
          <w:tcPr>
            <w:tcW w:w="11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Expected Credit Losses</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Losses</w:t>
            </w: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tcPr>
          <w:p>
            <w:pPr>
              <w:jc w:val="center"/>
              <w:ind w:left="198"/>
              <w:spacing w:after="0"/>
              <w:rPr>
                <w:sz w:val="20"/>
                <w:szCs w:val="20"/>
                <w:color w:val="auto"/>
              </w:rPr>
            </w:pPr>
            <w:r>
              <w:rPr>
                <w:rFonts w:ascii="Arial" w:cs="Arial" w:eastAsia="Arial" w:hAnsi="Arial"/>
                <w:sz w:val="14"/>
                <w:szCs w:val="14"/>
                <w:b w:val="1"/>
                <w:bCs w:val="1"/>
                <w:color w:val="auto"/>
                <w:w w:val="91"/>
              </w:rPr>
              <w:t>(dollars in millions)</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maturities: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rPr>
              <w:t>U.S. Treasury securities and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5"/>
                <w:szCs w:val="15"/>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agencies</w:t>
            </w:r>
          </w:p>
        </w:tc>
        <w:tc>
          <w:tcPr>
            <w:tcW w:w="4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5"/>
        </w:trPr>
        <w:tc>
          <w:tcPr>
            <w:tcW w:w="254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74"/>
        </w:trPr>
        <w:tc>
          <w:tcPr>
            <w:tcW w:w="2540" w:type="dxa"/>
            <w:vAlign w:val="bottom"/>
            <w:shd w:val="clear" w:color="auto" w:fill="CCEEFF"/>
          </w:tcPr>
          <w:p>
            <w:pPr>
              <w:ind w:left="120"/>
              <w:spacing w:after="0" w:line="174" w:lineRule="exact"/>
              <w:rPr>
                <w:sz w:val="20"/>
                <w:szCs w:val="20"/>
                <w:color w:val="auto"/>
              </w:rPr>
            </w:pPr>
            <w:r>
              <w:rPr>
                <w:rFonts w:ascii="Arial" w:cs="Arial" w:eastAsia="Arial" w:hAnsi="Arial"/>
                <w:sz w:val="18"/>
                <w:szCs w:val="18"/>
                <w:color w:val="auto"/>
              </w:rPr>
              <w:t>Residential mortgage-backed</w:t>
            </w:r>
          </w:p>
        </w:tc>
        <w:tc>
          <w:tcPr>
            <w:tcW w:w="4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40" w:type="dxa"/>
            <w:vAlign w:val="bottom"/>
          </w:tcPr>
          <w:p>
            <w:pPr>
              <w:ind w:left="120"/>
              <w:spacing w:after="0" w:line="173" w:lineRule="exact"/>
              <w:rPr>
                <w:sz w:val="20"/>
                <w:szCs w:val="20"/>
                <w:color w:val="auto"/>
              </w:rPr>
            </w:pPr>
            <w:r>
              <w:rPr>
                <w:rFonts w:ascii="Arial" w:cs="Arial" w:eastAsia="Arial" w:hAnsi="Arial"/>
                <w:sz w:val="18"/>
                <w:szCs w:val="18"/>
                <w:color w:val="auto"/>
                <w:w w:val="99"/>
              </w:rPr>
              <w:t>Commercial mortgage backed</w:t>
            </w:r>
          </w:p>
        </w:tc>
        <w:tc>
          <w:tcPr>
            <w:tcW w:w="4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4"/>
        </w:trPr>
        <w:tc>
          <w:tcPr>
            <w:tcW w:w="2540" w:type="dxa"/>
            <w:vAlign w:val="bottom"/>
          </w:tcPr>
          <w:p>
            <w:pPr>
              <w:ind w:left="280"/>
              <w:spacing w:after="0"/>
              <w:rPr>
                <w:sz w:val="20"/>
                <w:szCs w:val="20"/>
                <w:color w:val="auto"/>
              </w:rPr>
            </w:pPr>
            <w:r>
              <w:rPr>
                <w:rFonts w:ascii="Arial" w:cs="Arial" w:eastAsia="Arial" w:hAnsi="Arial"/>
                <w:sz w:val="18"/>
                <w:szCs w:val="18"/>
                <w:color w:val="auto"/>
              </w:rPr>
              <w:t>securities</w:t>
            </w:r>
          </w:p>
        </w:tc>
        <w:tc>
          <w:tcPr>
            <w:tcW w:w="4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2540" w:type="dxa"/>
            <w:vAlign w:val="bottom"/>
          </w:tcPr>
          <w:p>
            <w:pPr>
              <w:ind w:left="66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Management reviewed the available-for-sale securities at each balance sheet date to consider whether it was necessary to recognize a credit loss as of March 31, 2022 and December 31, 2021 related to any of the above securities.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recognized for the periods ended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64" w:lineRule="exact"/>
        <w:rPr>
          <w:sz w:val="20"/>
          <w:szCs w:val="20"/>
          <w:color w:val="auto"/>
        </w:rPr>
      </w:pPr>
    </w:p>
    <w:p>
      <w:pPr>
        <w:ind w:right="500" w:firstLine="318"/>
        <w:spacing w:after="0" w:line="318" w:lineRule="auto"/>
        <w:rPr>
          <w:sz w:val="20"/>
          <w:szCs w:val="20"/>
          <w:color w:val="auto"/>
        </w:rPr>
      </w:pPr>
      <w:r>
        <w:rPr>
          <w:rFonts w:ascii="Arial" w:cs="Arial" w:eastAsia="Arial" w:hAnsi="Arial"/>
          <w:sz w:val="15"/>
          <w:szCs w:val="15"/>
          <w:color w:val="auto"/>
        </w:rPr>
        <w:t>As of March 31, 2022 and December 31, 2021, other investments related to our private equity investments were $4.4 million and $4.7 million, respectively. We recognized $1.2 million of realized gains in the three months ended March 31, 2022 resulting from the sale of one of our private equity investments within net realized gains on investments in our condensed consolidated statements of operations and comprehensive loss. There were no unrealized gains or impairment losses recognized on private equity investments for the three months ended March 31, 2022 and 2021.</w:t>
      </w:r>
    </w:p>
    <w:p>
      <w:pPr>
        <w:spacing w:after="0" w:line="93"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March 31, 2022 and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31, 2022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5"/>
                <w:szCs w:val="15"/>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12 Months or More</w:t>
            </w:r>
          </w:p>
        </w:tc>
        <w:tc>
          <w:tcPr>
            <w:tcW w:w="2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5"/>
              <w:spacing w:after="0" w:line="12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5"/>
              <w:spacing w:after="0" w:line="12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5"/>
              <w:spacing w:after="0" w:line="127"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(dollars 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58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maturities: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U.S. Treasury securities and agencies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Municipal securities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debt securities</w:t>
      </w:r>
    </w:p>
    <w:p>
      <w:pPr>
        <w:spacing w:after="0" w:line="58" w:lineRule="exact"/>
        <w:rPr>
          <w:sz w:val="20"/>
          <w:szCs w:val="20"/>
          <w:color w:val="auto"/>
        </w:rPr>
      </w:pPr>
    </w:p>
    <w:p>
      <w:pPr>
        <w:ind w:left="120"/>
        <w:spacing w:after="0" w:line="396" w:lineRule="auto"/>
        <w:rPr>
          <w:sz w:val="20"/>
          <w:szCs w:val="20"/>
          <w:color w:val="auto"/>
        </w:rPr>
      </w:pPr>
      <w:r>
        <w:rPr>
          <w:rFonts w:ascii="Arial" w:cs="Arial" w:eastAsia="Arial" w:hAnsi="Arial"/>
          <w:sz w:val="15"/>
          <w:szCs w:val="15"/>
          <w:color w:val="auto"/>
        </w:rPr>
        <w:t>Residential mortgage-backed securities Commercial mortgage-backed securities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fixed maturities</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Arial" w:cs="Arial" w:eastAsia="Arial" w:hAnsi="Arial"/>
          <w:sz w:val="14"/>
          <w:szCs w:val="14"/>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6"/>
              <w:spacing w:after="0" w:line="127"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6"/>
              <w:spacing w:after="0" w:line="12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96"/>
              <w:spacing w:after="0" w:line="127"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8"/>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-1193800</wp:posOffset>
            </wp:positionV>
            <wp:extent cx="71348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-882650</wp:posOffset>
            </wp:positionV>
            <wp:extent cx="7134860" cy="168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-546100</wp:posOffset>
            </wp:positionV>
            <wp:extent cx="713486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-209550</wp:posOffset>
            </wp:positionV>
            <wp:extent cx="7134860"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00"/>
            <w:col w:w="76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119" w:lineRule="exact"/>
        <w:rPr>
          <w:sz w:val="20"/>
          <w:szCs w:val="20"/>
          <w:color w:val="auto"/>
        </w:rPr>
      </w:pPr>
    </w:p>
    <w:p>
      <w:pPr>
        <w:ind w:right="200" w:firstLine="318"/>
        <w:spacing w:after="0" w:line="315" w:lineRule="auto"/>
        <w:rPr>
          <w:sz w:val="20"/>
          <w:szCs w:val="20"/>
          <w:color w:val="auto"/>
        </w:rPr>
      </w:pPr>
      <w:r>
        <w:rPr>
          <w:rFonts w:ascii="Arial" w:cs="Arial" w:eastAsia="Arial" w:hAnsi="Arial"/>
          <w:sz w:val="15"/>
          <w:szCs w:val="15"/>
          <w:color w:val="auto"/>
        </w:rPr>
        <w:t>The following table reflects the gross and net realized gains and losses on short-term investments, fixed maturities and other investments that have been included in the condensed consolidated statements of operations and comprehensive loss for the three months ended March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3"/>
        </w:trPr>
        <w:tc>
          <w:tcPr>
            <w:tcW w:w="7500" w:type="dxa"/>
            <w:vAlign w:val="bottom"/>
          </w:tcPr>
          <w:p>
            <w:pPr>
              <w:spacing w:after="0"/>
              <w:rPr>
                <w:sz w:val="15"/>
                <w:szCs w:val="15"/>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r>
      <w:tr>
        <w:trPr>
          <w:trHeight w:val="179"/>
        </w:trPr>
        <w:tc>
          <w:tcPr>
            <w:tcW w:w="7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gridSpan w:val="3"/>
          </w:tcPr>
          <w:p>
            <w:pPr>
              <w:jc w:val="right"/>
              <w:ind w:right="558"/>
              <w:spacing w:after="0"/>
              <w:rPr>
                <w:sz w:val="20"/>
                <w:szCs w:val="20"/>
                <w:color w:val="auto"/>
              </w:rPr>
            </w:pPr>
            <w:r>
              <w:rPr>
                <w:rFonts w:ascii="Arial" w:cs="Arial" w:eastAsia="Arial" w:hAnsi="Arial"/>
                <w:sz w:val="14"/>
                <w:szCs w:val="14"/>
                <w:b w:val="1"/>
                <w:bCs w:val="1"/>
                <w:color w:val="auto"/>
                <w:w w:val="99"/>
              </w:rPr>
              <w:t>(dollars in millions)</w:t>
            </w:r>
          </w:p>
        </w:tc>
        <w:tc>
          <w:tcPr>
            <w:tcW w:w="480" w:type="dxa"/>
            <w:vAlign w:val="bottom"/>
          </w:tcPr>
          <w:p>
            <w:pPr>
              <w:spacing w:after="0"/>
              <w:rPr>
                <w:sz w:val="15"/>
                <w:szCs w:val="15"/>
                <w:color w:val="auto"/>
              </w:rPr>
            </w:pPr>
          </w:p>
        </w:tc>
      </w:tr>
      <w:tr>
        <w:trPr>
          <w:trHeight w:val="22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gains on investments</w:t>
            </w:r>
          </w:p>
        </w:tc>
        <w:tc>
          <w:tcPr>
            <w:tcW w:w="13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7"/>
              </w:rPr>
              <w:t>2.5</w:t>
            </w:r>
          </w:p>
        </w:tc>
      </w:tr>
      <w:tr>
        <w:trPr>
          <w:trHeight w:val="225"/>
        </w:trPr>
        <w:tc>
          <w:tcPr>
            <w:tcW w:w="7500" w:type="dxa"/>
            <w:vAlign w:val="bottom"/>
          </w:tcPr>
          <w:p>
            <w:pPr>
              <w:ind w:left="340"/>
              <w:spacing w:after="0"/>
              <w:rPr>
                <w:sz w:val="20"/>
                <w:szCs w:val="20"/>
                <w:color w:val="auto"/>
              </w:rPr>
            </w:pPr>
            <w:r>
              <w:rPr>
                <w:rFonts w:ascii="Arial" w:cs="Arial" w:eastAsia="Arial" w:hAnsi="Arial"/>
                <w:sz w:val="18"/>
                <w:szCs w:val="18"/>
                <w:color w:val="auto"/>
              </w:rPr>
              <w:t>Realized losses on investments</w:t>
            </w:r>
          </w:p>
        </w:tc>
        <w:tc>
          <w:tcPr>
            <w:tcW w:w="13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480" w:type="dxa"/>
            <w:vAlign w:val="bottom"/>
          </w:tcPr>
          <w:p>
            <w:pPr>
              <w:jc w:val="center"/>
              <w:ind w:left="12"/>
              <w:spacing w:after="0"/>
              <w:rPr>
                <w:sz w:val="20"/>
                <w:szCs w:val="20"/>
                <w:color w:val="auto"/>
              </w:rPr>
            </w:pPr>
            <w:r>
              <w:rPr>
                <w:rFonts w:ascii="Arial" w:cs="Arial" w:eastAsia="Arial" w:hAnsi="Arial"/>
                <w:sz w:val="18"/>
                <w:szCs w:val="18"/>
                <w:color w:val="auto"/>
                <w:w w:val="91"/>
              </w:rPr>
              <w:t>(0.1)</w:t>
            </w:r>
          </w:p>
        </w:tc>
      </w:tr>
      <w:tr>
        <w:trPr>
          <w:trHeight w:val="244"/>
        </w:trPr>
        <w:tc>
          <w:tcPr>
            <w:tcW w:w="7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realized gains on investments</w:t>
            </w:r>
          </w:p>
        </w:tc>
        <w:tc>
          <w:tcPr>
            <w:tcW w:w="132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7"/>
              </w:rPr>
              <w:t>2.4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amortized cost and fair value of short-term investments and fixed maturity securities by contractual maturity at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March 31, 2022</w:t>
            </w:r>
          </w:p>
        </w:tc>
        <w:tc>
          <w:tcPr>
            <w:tcW w:w="1100" w:type="dxa"/>
            <w:vAlign w:val="bottom"/>
            <w:tcBorders>
              <w:bottom w:val="single" w:sz="8" w:color="auto"/>
            </w:tcBorders>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5"/>
              </w:rPr>
              <w:t>Fair Value</w:t>
            </w:r>
          </w:p>
        </w:tc>
      </w:tr>
      <w:tr>
        <w:trPr>
          <w:trHeight w:val="179"/>
        </w:trPr>
        <w:tc>
          <w:tcPr>
            <w:tcW w:w="7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5"/>
                <w:szCs w:val="15"/>
                <w:color w:val="auto"/>
              </w:rPr>
            </w:pP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in one year or less</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5"/>
        </w:trPr>
        <w:tc>
          <w:tcPr>
            <w:tcW w:w="7460" w:type="dxa"/>
            <w:vAlign w:val="bottom"/>
          </w:tcPr>
          <w:p>
            <w:pPr>
              <w:ind w:left="340"/>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2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five years through 10 years</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Due after 10 years</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44"/>
        </w:trPr>
        <w:tc>
          <w:tcPr>
            <w:tcW w:w="7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components of net investment income for the three months ended March 31,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bonds</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938"/>
              <w:spacing w:after="0"/>
              <w:rPr>
                <w:sz w:val="20"/>
                <w:szCs w:val="20"/>
                <w:color w:val="auto"/>
              </w:rPr>
            </w:pPr>
            <w:r>
              <w:rPr>
                <w:rFonts w:ascii="Arial" w:cs="Arial" w:eastAsia="Arial" w:hAnsi="Arial"/>
                <w:sz w:val="18"/>
                <w:szCs w:val="18"/>
                <w:color w:val="auto"/>
                <w:w w:val="95"/>
              </w:rPr>
              <w:t>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on deposits and cash equivalents</w:t>
            </w:r>
          </w:p>
        </w:tc>
        <w:tc>
          <w:tcPr>
            <w:tcW w:w="5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938"/>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938"/>
              <w:spacing w:after="0"/>
              <w:rPr>
                <w:sz w:val="20"/>
                <w:szCs w:val="20"/>
                <w:color w:val="auto"/>
              </w:rPr>
            </w:pPr>
            <w:r>
              <w:rPr>
                <w:rFonts w:ascii="Arial" w:cs="Arial" w:eastAsia="Arial" w:hAnsi="Arial"/>
                <w:sz w:val="18"/>
                <w:szCs w:val="18"/>
                <w:color w:val="auto"/>
                <w:w w:val="95"/>
              </w:rPr>
              <w:t>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Investment expense</w:t>
            </w:r>
          </w:p>
        </w:tc>
        <w:tc>
          <w:tcPr>
            <w:tcW w:w="5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left="918"/>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jc w:val="center"/>
              <w:ind w:left="938"/>
              <w:spacing w:after="0"/>
              <w:rPr>
                <w:sz w:val="20"/>
                <w:szCs w:val="20"/>
                <w:color w:val="auto"/>
              </w:rPr>
            </w:pPr>
            <w:r>
              <w:rPr>
                <w:rFonts w:ascii="Arial" w:cs="Arial" w:eastAsia="Arial" w:hAnsi="Arial"/>
                <w:sz w:val="18"/>
                <w:szCs w:val="18"/>
                <w:color w:val="auto"/>
                <w:w w:val="95"/>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9420" w:type="dxa"/>
            <w:vAlign w:val="bottom"/>
            <w:gridSpan w:val="9"/>
          </w:tcPr>
          <w:p>
            <w:pPr>
              <w:ind w:left="320"/>
              <w:spacing w:after="0"/>
              <w:rPr>
                <w:sz w:val="20"/>
                <w:szCs w:val="20"/>
                <w:color w:val="auto"/>
              </w:rPr>
            </w:pPr>
            <w:r>
              <w:rPr>
                <w:rFonts w:ascii="Arial" w:cs="Arial" w:eastAsia="Arial" w:hAnsi="Arial"/>
                <w:sz w:val="18"/>
                <w:szCs w:val="18"/>
                <w:color w:val="auto"/>
              </w:rPr>
              <w:t>The following tables summarize the credit ratings of investments at March 31, 2022 and December 31, 2021:</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5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March 31, 2022</w:t>
            </w:r>
          </w:p>
        </w:tc>
        <w:tc>
          <w:tcPr>
            <w:tcW w:w="1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40" w:type="dxa"/>
            <w:vAlign w:val="bottom"/>
          </w:tcPr>
          <w:p>
            <w:pPr>
              <w:spacing w:after="0"/>
              <w:rPr>
                <w:sz w:val="11"/>
                <w:szCs w:val="11"/>
                <w:color w:val="auto"/>
              </w:rPr>
            </w:pPr>
          </w:p>
        </w:tc>
        <w:tc>
          <w:tcPr>
            <w:tcW w:w="14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4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tcPr>
          <w:p>
            <w:pPr>
              <w:ind w:left="340"/>
              <w:spacing w:after="0"/>
              <w:rPr>
                <w:sz w:val="20"/>
                <w:szCs w:val="20"/>
                <w:color w:val="auto"/>
              </w:rPr>
            </w:pPr>
            <w:r>
              <w:rPr>
                <w:rFonts w:ascii="Arial" w:cs="Arial" w:eastAsia="Arial" w:hAnsi="Arial"/>
                <w:sz w:val="14"/>
                <w:szCs w:val="14"/>
                <w:b w:val="1"/>
                <w:bCs w:val="1"/>
                <w:color w:val="auto"/>
              </w:rPr>
              <w:t>S&amp;P Global rating or equivalent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(dollars in millions)</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340"/>
              <w:spacing w:after="0"/>
              <w:rPr>
                <w:sz w:val="20"/>
                <w:szCs w:val="20"/>
                <w:color w:val="auto"/>
              </w:rPr>
            </w:pPr>
            <w:r>
              <w:rPr>
                <w:rFonts w:ascii="Arial" w:cs="Arial" w:eastAsia="Arial" w:hAnsi="Arial"/>
                <w:sz w:val="18"/>
                <w:szCs w:val="18"/>
                <w:color w:val="auto"/>
              </w:rPr>
              <w:t>AA+, AA, AA-, A-1</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A, A-</w:t>
            </w: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BBB+, BBB, BBB-</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7"/>
              <w:spacing w:after="0" w:line="131"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4"/>
        </w:trPr>
        <w:tc>
          <w:tcPr>
            <w:tcW w:w="6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17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700" w:type="dxa"/>
            <w:vAlign w:val="bottom"/>
          </w:tcPr>
          <w:p>
            <w:pPr>
              <w:jc w:val="right"/>
              <w:ind w:right="137"/>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3"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following tables provide information about our financial assets measured and reported at fair value as of March 31, 2022 and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4"/>
              </w:rPr>
              <w:t>March 31, 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124.1</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9"/>
        </w:trPr>
        <w:tc>
          <w:tcPr>
            <w:tcW w:w="4040" w:type="dxa"/>
            <w:vAlign w:val="bottom"/>
          </w:tcPr>
          <w:p>
            <w:pPr>
              <w:ind w:left="760"/>
              <w:spacing w:after="0"/>
              <w:rPr>
                <w:sz w:val="20"/>
                <w:szCs w:val="20"/>
                <w:color w:val="auto"/>
              </w:rPr>
            </w:pPr>
            <w:r>
              <w:rPr>
                <w:rFonts w:ascii="Arial" w:cs="Arial" w:eastAsia="Arial" w:hAnsi="Arial"/>
                <w:sz w:val="18"/>
                <w:szCs w:val="18"/>
                <w:color w:val="auto"/>
              </w:rPr>
              <w:t>Total assets at fair value</w:t>
            </w: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107.3</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498"/>
              <w:spacing w:after="0"/>
              <w:rPr>
                <w:sz w:val="20"/>
                <w:szCs w:val="20"/>
                <w:color w:val="auto"/>
              </w:rPr>
            </w:pPr>
            <w:r>
              <w:rPr>
                <w:rFonts w:ascii="Arial" w:cs="Arial" w:eastAsia="Arial" w:hAnsi="Arial"/>
                <w:sz w:val="14"/>
                <w:szCs w:val="14"/>
                <w:b w:val="1"/>
                <w:bCs w:val="1"/>
                <w:color w:val="auto"/>
                <w:w w:val="90"/>
              </w:rPr>
              <w:t>December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right"/>
              <w:ind w:right="475"/>
              <w:spacing w:after="0" w:line="13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20" w:type="dxa"/>
            <w:vAlign w:val="bottom"/>
            <w:gridSpan w:val="3"/>
          </w:tcPr>
          <w:p>
            <w:pPr>
              <w:jc w:val="center"/>
              <w:ind w:right="498"/>
              <w:spacing w:after="0"/>
              <w:rPr>
                <w:sz w:val="20"/>
                <w:szCs w:val="20"/>
                <w:color w:val="auto"/>
              </w:rPr>
            </w:pPr>
            <w:r>
              <w:rPr>
                <w:rFonts w:ascii="Arial" w:cs="Arial" w:eastAsia="Arial" w:hAnsi="Arial"/>
                <w:sz w:val="14"/>
                <w:szCs w:val="14"/>
                <w:b w:val="1"/>
                <w:bCs w:val="1"/>
                <w:color w:val="auto"/>
                <w:w w:val="91"/>
              </w:rPr>
              <w:t>(dollars in millions)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Arial" w:cs="Arial" w:eastAsia="Arial" w:hAnsi="Arial"/>
                <w:sz w:val="18"/>
                <w:szCs w:val="18"/>
                <w:color w:val="auto"/>
              </w:rPr>
              <w:t>Fixed maturities:</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 Treasury securities and agencies</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Municipal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 debt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5"/>
        </w:trPr>
        <w:tc>
          <w:tcPr>
            <w:tcW w:w="4040" w:type="dxa"/>
            <w:vAlign w:val="bottom"/>
          </w:tcPr>
          <w:p>
            <w:pPr>
              <w:ind w:left="5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debt obligations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fixed maturities</w:t>
            </w: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Cash equivalents</w:t>
            </w:r>
          </w:p>
        </w:tc>
        <w:tc>
          <w:tcPr>
            <w:tcW w:w="1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9"/>
        </w:trPr>
        <w:tc>
          <w:tcPr>
            <w:tcW w:w="4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assets at fair value</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107.3</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carrying amount of long-term debt is recorded at the unpaid balance, net of debt issuance costs. The fair value of outstanding long-term debt is classified within Level 2 of the fair value hierarchy. The fair value is based on a model referencing observable interest rates and spreads to project and discount cash flows to present value. As of March 31, 2022 and December 31, 2021, the carrying amounts and fair values of these financial instruments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vMerge w:val="restart"/>
          </w:tcPr>
          <w:p>
            <w:pPr>
              <w:jc w:val="center"/>
              <w:ind w:right="243"/>
              <w:spacing w:after="0"/>
              <w:rPr>
                <w:sz w:val="20"/>
                <w:szCs w:val="20"/>
                <w:color w:val="auto"/>
              </w:rPr>
            </w:pPr>
            <w:r>
              <w:rPr>
                <w:rFonts w:ascii="Arial" w:cs="Arial" w:eastAsia="Arial" w:hAnsi="Arial"/>
                <w:sz w:val="14"/>
                <w:szCs w:val="14"/>
                <w:b w:val="1"/>
                <w:bCs w:val="1"/>
                <w:color w:val="auto"/>
                <w:w w:val="94"/>
              </w:rPr>
              <w:t>Carrying Amount</w:t>
            </w:r>
          </w:p>
        </w:tc>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Estimated Fair Value as of</w:t>
            </w:r>
          </w:p>
        </w:tc>
        <w:tc>
          <w:tcPr>
            <w:tcW w:w="1700" w:type="dxa"/>
            <w:vAlign w:val="bottom"/>
          </w:tcPr>
          <w:p>
            <w:pPr>
              <w:jc w:val="center"/>
              <w:ind w:left="425"/>
              <w:spacing w:after="0"/>
              <w:rPr>
                <w:sz w:val="20"/>
                <w:szCs w:val="20"/>
                <w:color w:val="auto"/>
              </w:rPr>
            </w:pPr>
            <w:r>
              <w:rPr>
                <w:rFonts w:ascii="Arial" w:cs="Arial" w:eastAsia="Arial" w:hAnsi="Arial"/>
                <w:sz w:val="14"/>
                <w:szCs w:val="14"/>
                <w:b w:val="1"/>
                <w:bCs w:val="1"/>
                <w:color w:val="auto"/>
                <w:w w:val="94"/>
              </w:rPr>
              <w:t>Carrying Amount</w:t>
            </w:r>
          </w:p>
        </w:tc>
        <w:tc>
          <w:tcPr>
            <w:tcW w:w="44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1"/>
              </w:rPr>
              <w:t>Estimated Fair Value as of</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1700" w:type="dxa"/>
            <w:vAlign w:val="bottom"/>
          </w:tcPr>
          <w:p>
            <w:pPr>
              <w:jc w:val="center"/>
              <w:ind w:left="425"/>
              <w:spacing w:after="0" w:line="133" w:lineRule="exact"/>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2"/>
              </w:rPr>
              <w:t>as of March 31, 2022</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w w:val="96"/>
              </w:rPr>
              <w:t>March 31, 2022</w:t>
            </w:r>
          </w:p>
        </w:tc>
        <w:tc>
          <w:tcPr>
            <w:tcW w:w="1700" w:type="dxa"/>
            <w:vAlign w:val="bottom"/>
            <w:tcBorders>
              <w:bottom w:val="single" w:sz="8" w:color="auto"/>
            </w:tcBorders>
          </w:tcPr>
          <w:p>
            <w:pPr>
              <w:jc w:val="center"/>
              <w:ind w:left="405"/>
              <w:spacing w:after="0"/>
              <w:rPr>
                <w:sz w:val="20"/>
                <w:szCs w:val="20"/>
                <w:color w:val="auto"/>
              </w:rPr>
            </w:pPr>
            <w:r>
              <w:rPr>
                <w:rFonts w:ascii="Arial" w:cs="Arial" w:eastAsia="Arial" w:hAnsi="Arial"/>
                <w:sz w:val="14"/>
                <w:szCs w:val="14"/>
                <w:b w:val="1"/>
                <w:bCs w:val="1"/>
                <w:color w:val="auto"/>
                <w:w w:val="90"/>
              </w:rPr>
              <w:t>December 31, 2021</w:t>
            </w: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5"/>
              </w:rPr>
              <w:t>December 31, 2021</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0" w:type="dxa"/>
            <w:vAlign w:val="bottom"/>
            <w:gridSpan w:val="2"/>
          </w:tcPr>
          <w:p>
            <w:pPr>
              <w:jc w:val="right"/>
              <w:ind w:right="1005"/>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290.8</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304.0</w:t>
            </w:r>
          </w:p>
        </w:tc>
        <w:tc>
          <w:tcPr>
            <w:tcW w:w="1700" w:type="dxa"/>
            <w:vAlign w:val="bottom"/>
            <w:shd w:val="clear" w:color="auto" w:fill="CCEEFF"/>
          </w:tcPr>
          <w:p>
            <w:pPr>
              <w:jc w:val="right"/>
              <w:ind w:right="130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58"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179"/>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8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incurred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5"/>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Net paid loss and LAE related to:</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Prior years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8"/>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March 31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March 31</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Incurred losses and LAE attributable to prior accident years was a decrease of $0.1 million and $9.9 million for the three months ended March 31, 2022 and 2021, respectively. For the three months ended March 31, 2022, the development of incurred losses related to prior periods was primarily related to lower-than-expected loss adjustment expenses on prior accident period claims, offset by higher-than-expected reported losses on material damage claims from inflationary impacts. For the three months ended March 31, 2021, the development of incurred losses related to prior periods was primarily related to lower-than-expected reported losses on bodily injury and uninsured motorist bodily injury claims and greater than expected recoveries from subrogation and salvage from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3"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0"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following table reflects amounts affecting the condensed consolidated statements of operations and comprehensive loss for reinsurance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written: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(101.1)</w:t>
            </w:r>
          </w:p>
        </w:tc>
        <w:tc>
          <w:tcPr>
            <w:tcW w:w="0" w:type="dxa"/>
            <w:vAlign w:val="bottom"/>
          </w:tcPr>
          <w:p>
            <w:pPr>
              <w:spacing w:after="0"/>
              <w:rPr>
                <w:sz w:val="1"/>
                <w:szCs w:val="1"/>
                <w:color w:val="auto"/>
              </w:rPr>
            </w:pPr>
          </w:p>
        </w:tc>
      </w:tr>
      <w:tr>
        <w:trPr>
          <w:trHeight w:val="219"/>
        </w:trPr>
        <w:tc>
          <w:tcPr>
            <w:tcW w:w="804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Losses and LAE incurred:</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6"/>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and LAE incurred</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In the event that all or any of the reinsuring companies might be unable to meet their obligations under existing reinsurance agreements, we would be liable to the policyholder for such defaulted amounts.</w:t>
      </w:r>
    </w:p>
    <w:p>
      <w:pPr>
        <w:spacing w:after="0" w:line="122"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0"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In January 2022, we entered into a $300.0 million five-year term loan, or Term Loan C, with the principal amount due and payable upon maturity on January 27, 2027. Interest is payable quarterly and is determined on a floating interest rate currently calculated on the Secured Overnight Financing Rate, or SOFR, with a 1.0% floor, plus 9.0%, plus 0.26161% per annum. As part of the loan agreement, we issued warrants to the lender to purchase 5.7 million shares of our Class A common stock at a strike price of $9.00 per share. Such warrants will expire on the later of the repayment in full of the Term Loan C and January 27, 2027. The fair value of these warrants at January 27, 2022 was $0.1132 per warrant for a total fair value of $0.6 million.</w:t>
      </w:r>
    </w:p>
    <w:p>
      <w:pPr>
        <w:spacing w:after="0" w:line="98"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The Term Loan C contains debt covenants which, among other things, require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earned premium of 12%; or ceasing any customer acquisition spend outside of the Carvana agreement and reducing our monthly cash burn to no greater than $12 million.</w:t>
      </w:r>
    </w:p>
    <w:p>
      <w:pPr>
        <w:spacing w:after="0" w:line="93"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Under the latter set of circumstances, we must issue additional warrants to purchase shares of our Class A common stock equal to 1.0% of the aggregate number of issued and outstanding shares of Class A common stock on a fully-diluted basis as of the date the threshold is reduced. The additional warrants, if issued, would have an exercise price equal to the 30-trading day volume weighted average price of the Class A common stock as of the trading day immediately prior to the triggering date. The additional warrants will expire on the later of the repayment in full of the Term Loan C, January 27, 2027 and the date that falls 12 months after the issuance of these warrants. As of March 31, 2022 the fair value of these 1.0% warrants were immaterial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carrying value of long-term debt as of March 31, 2022 and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December 31, 2021</w:t>
            </w:r>
          </w:p>
        </w:tc>
      </w:t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4"/>
          </w:tcPr>
          <w:p>
            <w:pPr>
              <w:ind w:left="940"/>
              <w:spacing w:after="0"/>
              <w:rPr>
                <w:sz w:val="20"/>
                <w:szCs w:val="20"/>
                <w:color w:val="auto"/>
              </w:rPr>
            </w:pPr>
            <w:r>
              <w:rPr>
                <w:rFonts w:ascii="Arial" w:cs="Arial" w:eastAsia="Arial" w:hAnsi="Arial"/>
                <w:sz w:val="14"/>
                <w:szCs w:val="14"/>
                <w:b w:val="1"/>
                <w:bCs w:val="1"/>
                <w:color w:val="auto"/>
              </w:rPr>
              <w:t>(dollars in millions)</w:t>
            </w:r>
          </w:p>
        </w:tc>
      </w:tr>
      <w:tr>
        <w:trPr>
          <w:trHeight w:val="24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C</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5"/>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58"/>
        </w:trPr>
        <w:tc>
          <w:tcPr>
            <w:tcW w:w="768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consolidated effective tax rate was zero for the three months ended March 31, 2022 and 2021. The difference between these rates and the U.S. federal income tax rate of 21% was primarily due to a full valuation allowance on our U.S. deferred tax assets.</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March 31, 2022 and December 31, 2021, we did not have any unrecognized tax benefits for uncertain tax positions and had no interest or penalties related to uncertain tax positions.</w:t>
      </w:r>
    </w:p>
    <w:p>
      <w:pPr>
        <w:spacing w:after="0" w:line="360"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COSTS</w:t>
      </w:r>
    </w:p>
    <w:p>
      <w:pPr>
        <w:spacing w:after="0" w:line="17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In January 2022, we instituted an organizational realignment, which included an involuntary workforce reduction, due to inflation and loss cost trends and to further drive efficiency and increased focus on our strategic priorities. We recognized charges of $5.6 million for severance, benefits and related costs as a result of these actions, of which $3.3 million resulted in cash expenditures for the three months ended March 31, 2022. Additionally, we ceased using certain floors of our corporate headquarters in Columbus, Ohio. To the extent we have no intent or ability to sublease the space, we accelerated the amortization of the related right-of-use assets, leasehold improvements and furniture and fixtures. For certain other space that we ceased using, we currently have the intent or ability to sublease that space and have not recognized any related charges related to accelerated amortization of the right-of-use asset. If that changes in a future period, we may incur additional restructuring charges. We recognized charges of $1.5 million for these real estate exit costs for the three months ended March 31, 2022. In addition, we recognized charges of $0.7 million related to accelerated expense for software that no longer has future economic benefit. These charges are included in general and administrative expenses on the condensed consolidated statements of operations and comprehensive loss.</w:t>
      </w:r>
    </w:p>
    <w:p>
      <w:pPr>
        <w:spacing w:after="0" w:line="101"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maintain an equity incentive plan for the issuance and grant of equity awards (restricted stock, restricted stock units, or RSUs, and incentive and nonqualified stock options) to our officers, directors, employees and certain advisors. As of March 31, 2022, we had 43.9 million common shares authorized and available for issuance under the plan.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October 2021, we issued Carvana 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 129.1 million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As of March 31, 2022, we determined that all short-term warrants were probable of vesting. Under that scenario, it is not a possible outcome for the long-term warrants to also vest, so they are considered not probable of vesting. We recognized $5.3 million and zero of warrant compensation expense related to these equity-classified warrants based on progress toward completing the integrated automobile insurance solution for Carvana’s car buying platform, or Integrated Platform, for the three months ended March 31, 2022 and 2021, respectively. This expense is included in sales and marketing of our condensed consolidated statements of operations and comprehensive loss. All of these warrants are out-of-the-money and therefore have no intrinsic value as of March 31, 2022.</w:t>
      </w:r>
    </w:p>
    <w:p>
      <w:pPr>
        <w:spacing w:after="0" w:line="14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As of March 31, 2022, there was $30.3 million of unrecognized compensation cost related to warrants. The remaining costs are expected to be recognized over a period of approximately two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Share-Based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displays share-based compensation expense recorded in the condensed consolidated statements of operations and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Borders>
              <w:bottom w:val="single" w:sz="8" w:color="auto"/>
            </w:tcBorders>
            <w:gridSpan w:val="6"/>
          </w:tcPr>
          <w:p>
            <w:pPr>
              <w:jc w:val="right"/>
              <w:ind w:right="98"/>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144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120"/>
              <w:spacing w:after="0"/>
              <w:rPr>
                <w:sz w:val="20"/>
                <w:szCs w:val="20"/>
                <w:color w:val="auto"/>
              </w:rPr>
            </w:pPr>
            <w:r>
              <w:rPr>
                <w:rFonts w:ascii="Arial" w:cs="Arial" w:eastAsia="Arial" w:hAnsi="Arial"/>
                <w:sz w:val="18"/>
                <w:szCs w:val="18"/>
                <w:color w:val="auto"/>
              </w:rPr>
              <w:t>Other insurance expense</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9"/>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440" w:type="dxa"/>
            <w:vAlign w:val="bottom"/>
            <w:gridSpan w:val="2"/>
            <w:shd w:val="clear" w:color="auto" w:fill="CCEEFF"/>
          </w:tcPr>
          <w:p>
            <w:pPr>
              <w:jc w:val="right"/>
              <w:ind w:right="749"/>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provides total share-based compensation expense by type of award:</w:t>
            </w: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5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5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98"/>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w w:val="90"/>
              </w:rPr>
              <w:t>(dollars in millions)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440"/>
              <w:spacing w:after="0"/>
              <w:rPr>
                <w:sz w:val="20"/>
                <w:szCs w:val="20"/>
                <w:color w:val="auto"/>
              </w:rPr>
            </w:pPr>
            <w:r>
              <w:rPr>
                <w:rFonts w:ascii="Arial" w:cs="Arial" w:eastAsia="Arial" w:hAnsi="Arial"/>
                <w:sz w:val="18"/>
                <w:szCs w:val="18"/>
                <w:color w:val="auto"/>
              </w:rPr>
              <w:t>Restricted stock unit expense</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85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 expense</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9"/>
        </w:trPr>
        <w:tc>
          <w:tcPr>
            <w:tcW w:w="7500" w:type="dxa"/>
            <w:vAlign w:val="bottom"/>
          </w:tcPr>
          <w:p>
            <w:pPr>
              <w:ind w:left="560"/>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5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part of the January 2022 organizational realignment discussed in Note 9 “Restructuring Costs,” we modified certain share-based awards which resulted in $2.1 million of share-based compensation expense recognized in general and administrative expenses during the three months ended March 31, 2022.</w:t>
      </w:r>
    </w:p>
    <w:p>
      <w:pPr>
        <w:spacing w:after="0" w:line="58"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As of March 31, 2022, there was $4.1 million and $46.4 million of unrecognized compensation cost related to unvested stock options and RSUs, respectively. The remaining costs are expected to be recognized over a period of approximately four years for unvested stock options and four years for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RSU activity for the three months ended March 31,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 March 31, 2022</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tcPr>
          <w:p>
            <w:pPr>
              <w:jc w:val="right"/>
              <w:ind w:right="297"/>
              <w:spacing w:after="0" w:line="131" w:lineRule="exact"/>
              <w:rPr>
                <w:sz w:val="20"/>
                <w:szCs w:val="20"/>
                <w:color w:val="auto"/>
              </w:rPr>
            </w:pPr>
            <w:r>
              <w:rPr>
                <w:rFonts w:ascii="Arial" w:cs="Arial" w:eastAsia="Arial" w:hAnsi="Arial"/>
                <w:sz w:val="14"/>
                <w:szCs w:val="14"/>
                <w:b w:val="1"/>
                <w:bCs w:val="1"/>
                <w:color w:val="auto"/>
                <w:w w:val="95"/>
              </w:rPr>
              <w:t>Weighted-Average</w:t>
            </w:r>
          </w:p>
        </w:tc>
        <w:tc>
          <w:tcPr>
            <w:tcW w:w="380" w:type="dxa"/>
            <w:vAlign w:val="bottom"/>
          </w:tcPr>
          <w:p>
            <w:pPr>
              <w:spacing w:after="0"/>
              <w:rPr>
                <w:sz w:val="11"/>
                <w:szCs w:val="11"/>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3"/>
        </w:trPr>
        <w:tc>
          <w:tcPr>
            <w:tcW w:w="5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Restricted Stock Units</w:t>
            </w:r>
          </w:p>
        </w:tc>
        <w:tc>
          <w:tcPr>
            <w:tcW w:w="150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2"/>
              </w:rPr>
              <w:t>Number of Shares</w:t>
            </w:r>
          </w:p>
        </w:tc>
        <w:tc>
          <w:tcPr>
            <w:tcW w:w="2100" w:type="dxa"/>
            <w:vAlign w:val="bottom"/>
            <w:gridSpan w:val="2"/>
          </w:tcPr>
          <w:p>
            <w:pPr>
              <w:jc w:val="right"/>
              <w:ind w:right="517"/>
              <w:spacing w:after="0" w:line="133" w:lineRule="exact"/>
              <w:rPr>
                <w:sz w:val="20"/>
                <w:szCs w:val="20"/>
                <w:color w:val="auto"/>
              </w:rPr>
            </w:pPr>
            <w:r>
              <w:rPr>
                <w:rFonts w:ascii="Arial" w:cs="Arial" w:eastAsia="Arial" w:hAnsi="Arial"/>
                <w:sz w:val="14"/>
                <w:szCs w:val="14"/>
                <w:b w:val="1"/>
                <w:bCs w:val="1"/>
                <w:color w:val="auto"/>
              </w:rPr>
              <w:t>Grant Date Fair</w:t>
            </w:r>
          </w:p>
        </w:tc>
        <w:tc>
          <w:tcPr>
            <w:tcW w:w="3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2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jc w:val="right"/>
              <w:ind w:right="537"/>
              <w:spacing w:after="0"/>
              <w:rPr>
                <w:sz w:val="20"/>
                <w:szCs w:val="20"/>
                <w:color w:val="auto"/>
              </w:rPr>
            </w:pPr>
            <w:r>
              <w:rPr>
                <w:rFonts w:ascii="Arial" w:cs="Arial" w:eastAsia="Arial" w:hAnsi="Arial"/>
                <w:sz w:val="14"/>
                <w:szCs w:val="14"/>
                <w:b w:val="1"/>
                <w:bCs w:val="1"/>
                <w:color w:val="auto"/>
                <w:w w:val="88"/>
              </w:rPr>
              <w:t>Value per Share</w:t>
            </w:r>
          </w:p>
        </w:tc>
        <w:tc>
          <w:tcPr>
            <w:tcW w:w="380" w:type="dxa"/>
            <w:vAlign w:val="bottom"/>
          </w:tcPr>
          <w:p>
            <w:pPr>
              <w:spacing w:after="0"/>
              <w:rPr>
                <w:sz w:val="16"/>
                <w:szCs w:val="16"/>
                <w:color w:val="auto"/>
              </w:rPr>
            </w:pPr>
          </w:p>
        </w:tc>
        <w:tc>
          <w:tcPr>
            <w:tcW w:w="1340" w:type="dxa"/>
            <w:vAlign w:val="bottom"/>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Nonvested at January 1, 2022</w:t>
            </w:r>
          </w:p>
        </w:tc>
        <w:tc>
          <w:tcPr>
            <w:tcW w:w="1500" w:type="dxa"/>
            <w:vAlign w:val="bottom"/>
            <w:shd w:val="clear" w:color="auto" w:fill="CCEEFF"/>
          </w:tcPr>
          <w:p>
            <w:pPr>
              <w:jc w:val="center"/>
              <w:ind w:left="1075"/>
              <w:spacing w:after="0"/>
              <w:rPr>
                <w:sz w:val="20"/>
                <w:szCs w:val="20"/>
                <w:color w:val="auto"/>
              </w:rPr>
            </w:pPr>
            <w:r>
              <w:rPr>
                <w:rFonts w:ascii="Arial" w:cs="Arial" w:eastAsia="Arial" w:hAnsi="Arial"/>
                <w:sz w:val="18"/>
                <w:szCs w:val="18"/>
                <w:color w:val="auto"/>
                <w:w w:val="87"/>
              </w:rPr>
              <w:t>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9.02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5"/>
        </w:trPr>
        <w:tc>
          <w:tcPr>
            <w:tcW w:w="592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1075"/>
              <w:spacing w:after="0"/>
              <w:rPr>
                <w:sz w:val="20"/>
                <w:szCs w:val="20"/>
                <w:color w:val="auto"/>
              </w:rPr>
            </w:pPr>
            <w:r>
              <w:rPr>
                <w:rFonts w:ascii="Arial" w:cs="Arial" w:eastAsia="Arial" w:hAnsi="Arial"/>
                <w:sz w:val="18"/>
                <w:szCs w:val="18"/>
                <w:color w:val="auto"/>
                <w:w w:val="87"/>
              </w:rPr>
              <w:t>2.4</w:t>
            </w:r>
          </w:p>
        </w:tc>
        <w:tc>
          <w:tcPr>
            <w:tcW w:w="520" w:type="dxa"/>
            <w:vAlign w:val="bottom"/>
          </w:tcPr>
          <w:p>
            <w:pPr>
              <w:spacing w:after="0"/>
              <w:rPr>
                <w:sz w:val="19"/>
                <w:szCs w:val="19"/>
                <w:color w:val="auto"/>
              </w:rPr>
            </w:pPr>
          </w:p>
        </w:tc>
        <w:tc>
          <w:tcPr>
            <w:tcW w:w="1580" w:type="dxa"/>
            <w:vAlign w:val="bottom"/>
          </w:tcPr>
          <w:p>
            <w:pPr>
              <w:jc w:val="right"/>
              <w:ind w:right="177"/>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center"/>
              <w:ind w:left="1035"/>
              <w:spacing w:after="0"/>
              <w:rPr>
                <w:sz w:val="20"/>
                <w:szCs w:val="20"/>
                <w:color w:val="auto"/>
              </w:rPr>
            </w:pPr>
            <w:r>
              <w:rPr>
                <w:rFonts w:ascii="Arial" w:cs="Arial" w:eastAsia="Arial" w:hAnsi="Arial"/>
                <w:sz w:val="18"/>
                <w:szCs w:val="18"/>
                <w:color w:val="auto"/>
                <w:w w:val="91"/>
              </w:rPr>
              <w:t>(0.9)</w:t>
            </w: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10.48</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5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 expired or canceled</w:t>
            </w:r>
          </w:p>
        </w:tc>
        <w:tc>
          <w:tcPr>
            <w:tcW w:w="1500" w:type="dxa"/>
            <w:vAlign w:val="bottom"/>
            <w:tcBorders>
              <w:bottom w:val="single" w:sz="8" w:color="auto"/>
            </w:tcBorders>
          </w:tcPr>
          <w:p>
            <w:pPr>
              <w:jc w:val="center"/>
              <w:ind w:left="1035"/>
              <w:spacing w:after="0"/>
              <w:rPr>
                <w:sz w:val="20"/>
                <w:szCs w:val="20"/>
                <w:color w:val="auto"/>
              </w:rPr>
            </w:pPr>
            <w:r>
              <w:rPr>
                <w:rFonts w:ascii="Arial" w:cs="Arial" w:eastAsia="Arial" w:hAnsi="Arial"/>
                <w:sz w:val="18"/>
                <w:szCs w:val="18"/>
                <w:color w:val="auto"/>
                <w:w w:val="91"/>
              </w:rPr>
              <w:t>(1.8)</w:t>
            </w:r>
          </w:p>
        </w:tc>
        <w:tc>
          <w:tcPr>
            <w:tcW w:w="5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ind w:right="177"/>
              <w:spacing w:after="0"/>
              <w:rPr>
                <w:sz w:val="20"/>
                <w:szCs w:val="20"/>
                <w:color w:val="auto"/>
              </w:rPr>
            </w:pPr>
            <w:r>
              <w:rPr>
                <w:rFonts w:ascii="Arial" w:cs="Arial" w:eastAsia="Arial" w:hAnsi="Arial"/>
                <w:sz w:val="18"/>
                <w:szCs w:val="18"/>
                <w:color w:val="auto"/>
              </w:rPr>
              <w:t>8.68</w:t>
            </w:r>
          </w:p>
        </w:tc>
        <w:tc>
          <w:tcPr>
            <w:tcW w:w="3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Nonvested at March 31, 2022</w:t>
            </w:r>
          </w:p>
        </w:tc>
        <w:tc>
          <w:tcPr>
            <w:tcW w:w="1500" w:type="dxa"/>
            <w:vAlign w:val="bottom"/>
            <w:tcBorders>
              <w:bottom w:val="single" w:sz="8" w:color="auto"/>
            </w:tcBorders>
            <w:shd w:val="clear" w:color="auto" w:fill="CCEEFF"/>
          </w:tcPr>
          <w:p>
            <w:pPr>
              <w:jc w:val="center"/>
              <w:ind w:left="1075"/>
              <w:spacing w:after="0"/>
              <w:rPr>
                <w:sz w:val="20"/>
                <w:szCs w:val="20"/>
                <w:color w:val="auto"/>
              </w:rPr>
            </w:pPr>
            <w:r>
              <w:rPr>
                <w:rFonts w:ascii="Arial" w:cs="Arial" w:eastAsia="Arial" w:hAnsi="Arial"/>
                <w:sz w:val="18"/>
                <w:szCs w:val="18"/>
                <w:color w:val="auto"/>
                <w:w w:val="87"/>
              </w:rPr>
              <w:t>8.6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6.29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option activity for the three months ended March 31, 2022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Weighted-Average</w:t>
            </w:r>
          </w:p>
        </w:tc>
        <w:tc>
          <w:tcPr>
            <w:tcW w:w="1880" w:type="dxa"/>
            <w:vAlign w:val="bottom"/>
          </w:tcPr>
          <w:p>
            <w:pPr>
              <w:jc w:val="right"/>
              <w:ind w:right="262"/>
              <w:spacing w:after="0" w:line="131" w:lineRule="exact"/>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1"/>
                <w:szCs w:val="11"/>
                <w:color w:val="auto"/>
              </w:rPr>
            </w:pPr>
          </w:p>
        </w:tc>
        <w:tc>
          <w:tcPr>
            <w:tcW w:w="13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3"/>
        </w:trPr>
        <w:tc>
          <w:tcPr>
            <w:tcW w:w="4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Options</w:t>
            </w: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880" w:type="dxa"/>
            <w:vAlign w:val="bottom"/>
          </w:tcPr>
          <w:p>
            <w:pPr>
              <w:jc w:val="right"/>
              <w:ind w:right="262"/>
              <w:spacing w:after="0" w:line="133" w:lineRule="exact"/>
              <w:rPr>
                <w:sz w:val="20"/>
                <w:szCs w:val="20"/>
                <w:color w:val="auto"/>
              </w:rPr>
            </w:pPr>
            <w:r>
              <w:rPr>
                <w:rFonts w:ascii="Arial" w:cs="Arial" w:eastAsia="Arial" w:hAnsi="Arial"/>
                <w:sz w:val="14"/>
                <w:szCs w:val="14"/>
                <w:b w:val="1"/>
                <w:bCs w:val="1"/>
                <w:color w:val="auto"/>
                <w:w w:val="99"/>
              </w:rPr>
              <w:t>Remaining Contractual</w:t>
            </w: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4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1"/>
              </w:rPr>
              <w:t>Exercise Price</w:t>
            </w:r>
          </w:p>
        </w:tc>
        <w:tc>
          <w:tcPr>
            <w:tcW w:w="18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Term (in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4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9"/>
              </w:rPr>
              <w:t>(in millions, except exercise price and term amounts)</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and exercisable at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8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43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 expired or 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6.04</w:t>
            </w:r>
          </w:p>
        </w:tc>
        <w:tc>
          <w:tcPr>
            <w:tcW w:w="1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March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188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20" w:hanging="614"/>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5"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of 1933, in connection with and following the Company’s initial public offering.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6"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3"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following table presents the changes in our accumulated other comprehensive (loss) income, or AOCI,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183"/>
        </w:trPr>
        <w:tc>
          <w:tcPr>
            <w:tcW w:w="8440" w:type="dxa"/>
            <w:vAlign w:val="bottom"/>
          </w:tcPr>
          <w:p>
            <w:pPr>
              <w:spacing w:after="0"/>
              <w:rPr>
                <w:sz w:val="15"/>
                <w:szCs w:val="15"/>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r>
      <w:tr>
        <w:trPr>
          <w:trHeight w:val="179"/>
        </w:trPr>
        <w:tc>
          <w:tcPr>
            <w:tcW w:w="8440" w:type="dxa"/>
            <w:vAlign w:val="bottom"/>
          </w:tcPr>
          <w:p>
            <w:pPr>
              <w:spacing w:after="0"/>
              <w:rPr>
                <w:sz w:val="15"/>
                <w:szCs w:val="15"/>
                <w:color w:val="auto"/>
              </w:rPr>
            </w:pPr>
          </w:p>
        </w:tc>
        <w:tc>
          <w:tcPr>
            <w:tcW w:w="240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5"/>
                <w:szCs w:val="15"/>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(1.1)</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 reclassified from AOCI to net loss</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r>
      <w:tr>
        <w:trPr>
          <w:trHeight w:val="21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(3.5)</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displays the computation of basic and diluted loss per share for both Class A and Class B common stock for the three months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20" w:type="dxa"/>
            <w:vAlign w:val="bottom"/>
          </w:tcPr>
          <w:p>
            <w:pPr>
              <w:spacing w:after="0"/>
              <w:rPr>
                <w:sz w:val="15"/>
                <w:szCs w:val="15"/>
                <w:color w:val="auto"/>
              </w:rPr>
            </w:pPr>
          </w:p>
        </w:tc>
        <w:tc>
          <w:tcPr>
            <w:tcW w:w="322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5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(99.6)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 diluted (both Class A and B)</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20" w:type="dxa"/>
            <w:vAlign w:val="bottom"/>
            <w:tcBorders>
              <w:bottom w:val="single" w:sz="8" w:color="CCEEFF"/>
            </w:tcBorders>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80"/>
              <w:spacing w:after="0" w:line="198" w:lineRule="exact"/>
              <w:rPr>
                <w:sz w:val="20"/>
                <w:szCs w:val="20"/>
                <w:color w:val="auto"/>
              </w:rPr>
            </w:pPr>
            <w:r>
              <w:rPr>
                <w:rFonts w:ascii="Arial" w:cs="Arial" w:eastAsia="Arial" w:hAnsi="Arial"/>
                <w:sz w:val="18"/>
                <w:szCs w:val="18"/>
                <w:color w:val="auto"/>
                <w:w w:val="97"/>
              </w:rPr>
              <w:t>251.7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100"/>
              <w:spacing w:after="0" w:line="198" w:lineRule="exact"/>
              <w:rPr>
                <w:sz w:val="20"/>
                <w:szCs w:val="20"/>
                <w:color w:val="auto"/>
              </w:rPr>
            </w:pPr>
            <w:r>
              <w:rPr>
                <w:rFonts w:ascii="Arial" w:cs="Arial" w:eastAsia="Arial" w:hAnsi="Arial"/>
                <w:sz w:val="18"/>
                <w:szCs w:val="18"/>
                <w:color w:val="auto"/>
                <w:w w:val="97"/>
              </w:rPr>
              <w:t>247.1</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Loss per common share: basic and diluted (both Class A and B)</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(0.40)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spacing w:after="0" w:line="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As of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179"/>
        </w:trPr>
        <w:tc>
          <w:tcPr>
            <w:tcW w:w="8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26"/>
        </w:trPr>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9140" w:type="dxa"/>
            <w:vAlign w:val="bottom"/>
            <w:gridSpan w:val="2"/>
          </w:tcPr>
          <w:p>
            <w:pPr>
              <w:ind w:left="340"/>
              <w:spacing w:after="0"/>
              <w:rPr>
                <w:sz w:val="20"/>
                <w:szCs w:val="20"/>
                <w:color w:val="auto"/>
              </w:rPr>
            </w:pPr>
            <w:r>
              <w:rPr>
                <w:rFonts w:ascii="Arial" w:cs="Arial" w:eastAsia="Arial" w:hAnsi="Arial"/>
                <w:sz w:val="18"/>
                <w:szCs w:val="18"/>
                <w:color w:val="auto"/>
              </w:rPr>
              <w:t>Nonvested shares subject to repurchase</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9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9140" w:type="dxa"/>
            <w:vAlign w:val="bottom"/>
            <w:gridSpan w:val="2"/>
          </w:tcPr>
          <w:p>
            <w:pPr>
              <w:ind w:left="34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to purchase common stock</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80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3"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WRITTEN PREMIUM</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written premium by state is as follows for the three months ended March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 March 31,</w:t>
            </w:r>
          </w:p>
        </w:tc>
        <w:tc>
          <w:tcPr>
            <w:tcW w:w="960" w:type="dxa"/>
            <w:vAlign w:val="bottom"/>
            <w:tcBorders>
              <w:bottom w:val="single" w:sz="8" w:color="auto"/>
            </w:tcBorders>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r>
      <w:tr>
        <w:trPr>
          <w:trHeight w:val="178"/>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of Total</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 of Total</w:t>
            </w:r>
          </w:p>
        </w:tc>
      </w:tr>
      <w:tr>
        <w:trPr>
          <w:trHeight w:val="207"/>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(dollars in millions)</w:t>
            </w:r>
          </w:p>
        </w:tc>
        <w:tc>
          <w:tcPr>
            <w:tcW w:w="960" w:type="dxa"/>
            <w:vAlign w:val="bottom"/>
          </w:tcPr>
          <w:p>
            <w:pPr>
              <w:spacing w:after="0"/>
              <w:rPr>
                <w:sz w:val="17"/>
                <w:szCs w:val="17"/>
                <w:color w:val="auto"/>
              </w:rPr>
            </w:pPr>
          </w:p>
        </w:tc>
      </w:tr>
      <w:tr>
        <w:trPr>
          <w:trHeight w:val="225"/>
        </w:trPr>
        <w:tc>
          <w:tcPr>
            <w:tcW w:w="64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Texas</w:t>
            </w:r>
            <w:r>
              <w:rPr>
                <w:rFonts w:ascii="Arial" w:cs="Arial" w:eastAsia="Arial" w:hAnsi="Arial"/>
                <w:sz w:val="22"/>
                <w:szCs w:val="22"/>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Georgia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9.4</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Colorado</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4.4</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Utah</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4.2</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3.0</w:t>
            </w:r>
          </w:p>
        </w:tc>
      </w:tr>
      <w:tr>
        <w:trPr>
          <w:trHeight w:val="22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r>
      <w:tr>
        <w:trPr>
          <w:trHeight w:val="225"/>
        </w:trPr>
        <w:tc>
          <w:tcPr>
            <w:tcW w:w="6480" w:type="dxa"/>
            <w:vAlign w:val="bottom"/>
          </w:tcPr>
          <w:p>
            <w:pPr>
              <w:ind w:left="20"/>
              <w:spacing w:after="0"/>
              <w:rPr>
                <w:sz w:val="20"/>
                <w:szCs w:val="20"/>
                <w:color w:val="auto"/>
              </w:rPr>
            </w:pPr>
            <w:r>
              <w:rPr>
                <w:rFonts w:ascii="Arial" w:cs="Arial" w:eastAsia="Arial" w:hAnsi="Arial"/>
                <w:sz w:val="18"/>
                <w:szCs w:val="18"/>
                <w:color w:val="auto"/>
              </w:rPr>
              <w:t>Missouri</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3.9</w:t>
            </w:r>
          </w:p>
        </w:tc>
      </w:tr>
      <w:tr>
        <w:trPr>
          <w:trHeight w:val="22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36.3</w:t>
            </w:r>
          </w:p>
        </w:tc>
      </w:tr>
      <w:tr>
        <w:trPr>
          <w:trHeight w:val="219"/>
        </w:trPr>
        <w:tc>
          <w:tcPr>
            <w:tcW w:w="648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9" w:lineRule="exact"/>
        <w:rPr>
          <w:sz w:val="20"/>
          <w:szCs w:val="20"/>
          <w:color w:val="auto"/>
        </w:rPr>
      </w:pPr>
    </w:p>
    <w:p>
      <w:pPr>
        <w:ind w:left="320" w:right="680" w:hanging="314"/>
        <w:spacing w:after="0" w:line="284" w:lineRule="auto"/>
        <w:tabs>
          <w:tab w:leader="none" w:pos="20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assumed premiums, which commenced in August 2021. Assumed written premium for the three months ended March 31, 2022 was $13.7 million. Prior to the fronting carrier commencement, we did not assume any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40" w:firstLine="318"/>
        <w:spacing w:after="0" w:line="30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2021 filed with the Securities and Exchange Commission, or SEC, on February 23, 2022, or the 2021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2021 10-K for a discussion of important factors that could cause our actual results to differ materially from those anticipated in these forward-looking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ind w:right="480" w:firstLine="318"/>
        <w:spacing w:after="0" w:line="365" w:lineRule="auto"/>
        <w:rPr>
          <w:sz w:val="20"/>
          <w:szCs w:val="20"/>
          <w:color w:val="auto"/>
        </w:rPr>
      </w:pPr>
      <w:r>
        <w:rPr>
          <w:rFonts w:ascii="Arial" w:cs="Arial" w:eastAsia="Arial" w:hAnsi="Arial"/>
          <w:sz w:val="15"/>
          <w:szCs w:val="15"/>
          <w:color w:val="auto"/>
        </w:rPr>
        <w:t>Root is a technology company revolutionizing personal insurance with a pricing model based upon fairness and a modern customer experience. We operate primarily a direct-to-consumer model in which we currently acquire the majority of our customers through mobile applications.</w:t>
      </w:r>
    </w:p>
    <w:p>
      <w:pPr>
        <w:spacing w:after="0" w:line="58" w:lineRule="exact"/>
        <w:rPr>
          <w:sz w:val="20"/>
          <w:szCs w:val="20"/>
          <w:color w:val="auto"/>
        </w:rPr>
      </w:pPr>
    </w:p>
    <w:p>
      <w:pPr>
        <w:jc w:val="both"/>
        <w:ind w:right="340" w:firstLine="318"/>
        <w:spacing w:after="0" w:line="318" w:lineRule="auto"/>
        <w:rPr>
          <w:sz w:val="20"/>
          <w:szCs w:val="20"/>
          <w:color w:val="auto"/>
        </w:rPr>
      </w:pPr>
      <w:r>
        <w:rPr>
          <w:rFonts w:ascii="Arial" w:cs="Arial" w:eastAsia="Arial" w:hAnsi="Arial"/>
          <w:sz w:val="15"/>
          <w:szCs w:val="15"/>
          <w:color w:val="auto"/>
        </w:rPr>
        <w:t>We believe the $273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93" w:lineRule="exact"/>
        <w:rPr>
          <w:sz w:val="20"/>
          <w:szCs w:val="20"/>
          <w:color w:val="auto"/>
        </w:rPr>
      </w:pPr>
    </w:p>
    <w:p>
      <w:pPr>
        <w:jc w:val="both"/>
        <w:ind w:right="40" w:firstLine="318"/>
        <w:spacing w:after="0" w:line="271" w:lineRule="auto"/>
        <w:rPr>
          <w:sz w:val="20"/>
          <w:szCs w:val="20"/>
          <w:color w:val="auto"/>
        </w:rPr>
      </w:pPr>
      <w:r>
        <w:rPr>
          <w:rFonts w:ascii="Arial" w:cs="Arial" w:eastAsia="Arial" w:hAnsi="Arial"/>
          <w:sz w:val="17"/>
          <w:szCs w:val="17"/>
          <w:color w:val="auto"/>
        </w:rPr>
        <w:t>We believe the Root advantage is derived from our unique ability to efficiently and effectively bind auto insurance policies quickly, aided by segmenting individual risk based on complex behavioral data and proprietary telematics, a customer experience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24" w:lineRule="exact"/>
        <w:rPr>
          <w:sz w:val="20"/>
          <w:szCs w:val="20"/>
          <w:color w:val="auto"/>
        </w:rPr>
      </w:pPr>
    </w:p>
    <w:p>
      <w:pPr>
        <w:ind w:right="280" w:firstLine="318"/>
        <w:spacing w:after="0" w:line="294" w:lineRule="auto"/>
        <w:rPr>
          <w:sz w:val="20"/>
          <w:szCs w:val="20"/>
          <w:color w:val="auto"/>
        </w:rPr>
      </w:pPr>
      <w:r>
        <w:rPr>
          <w:rFonts w:ascii="Arial" w:cs="Arial" w:eastAsia="Arial" w:hAnsi="Arial"/>
          <w:sz w:val="17"/>
          <w:szCs w:val="17"/>
          <w:color w:val="auto"/>
        </w:rPr>
        <w:t>Our model benefits from portfolio maturity. As we scale the business, our results are disproportionately weighted towards new customers compared to traditional insurance carriers. As we build an underlying base of recurring customers, we expect the following financial impacts:</w:t>
      </w:r>
    </w:p>
    <w:p>
      <w:pPr>
        <w:spacing w:after="0" w:line="104" w:lineRule="exact"/>
        <w:rPr>
          <w:sz w:val="20"/>
          <w:szCs w:val="20"/>
          <w:color w:val="auto"/>
        </w:rPr>
      </w:pPr>
    </w:p>
    <w:p>
      <w:pPr>
        <w:ind w:left="640" w:right="16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loss ratio. </w:t>
      </w:r>
      <w:r>
        <w:rPr>
          <w:rFonts w:ascii="Arial" w:cs="Arial" w:eastAsia="Arial" w:hAnsi="Arial"/>
          <w:sz w:val="18"/>
          <w:szCs w:val="18"/>
          <w:color w:val="auto"/>
        </w:rPr>
        <w:t>Renewal premiums, referring to premiums from a customer’s second term and beyond, have lower loss ratios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premiums in the customer’s first term. As we grow our business, we anticipate, consistent with industry norms, that a greater proportion of our premiums will be from customer renewals and drive down the loss ratio across our portfolio.</w:t>
      </w:r>
    </w:p>
    <w:p>
      <w:pPr>
        <w:spacing w:after="0" w:line="135" w:lineRule="exact"/>
        <w:rPr>
          <w:rFonts w:ascii="Arial" w:cs="Arial" w:eastAsia="Arial" w:hAnsi="Arial"/>
          <w:sz w:val="18"/>
          <w:szCs w:val="18"/>
          <w:color w:val="auto"/>
        </w:rPr>
      </w:pPr>
    </w:p>
    <w:p>
      <w:pPr>
        <w:ind w:left="640" w:right="38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marketing as a percentage of premium. </w:t>
      </w:r>
      <w:r>
        <w:rPr>
          <w:rFonts w:ascii="Arial" w:cs="Arial" w:eastAsia="Arial" w:hAnsi="Arial"/>
          <w:sz w:val="18"/>
          <w:szCs w:val="18"/>
          <w:color w:val="auto"/>
        </w:rPr>
        <w:t>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35" w:lineRule="exact"/>
        <w:rPr>
          <w:rFonts w:ascii="Arial" w:cs="Arial" w:eastAsia="Arial" w:hAnsi="Arial"/>
          <w:sz w:val="18"/>
          <w:szCs w:val="18"/>
          <w:color w:val="auto"/>
        </w:rPr>
      </w:pPr>
    </w:p>
    <w:p>
      <w:pPr>
        <w:ind w:left="640" w:hanging="316"/>
        <w:spacing w:after="0" w:line="318" w:lineRule="auto"/>
        <w:tabs>
          <w:tab w:leader="none" w:pos="635"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Improved retention. </w:t>
      </w:r>
      <w:r>
        <w:rPr>
          <w:rFonts w:ascii="Arial" w:cs="Arial" w:eastAsia="Arial" w:hAnsi="Arial"/>
          <w:sz w:val="15"/>
          <w:szCs w:val="15"/>
          <w:color w:val="auto"/>
        </w:rPr>
        <w:t>As a young insurance carrier weighted towards new customers, we naturally have a higher percentage of more frequent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shoppers. As our business tenures and our flywheel spins, allowing us to increase our pricing advantage, we will have the opportunity to acquire more long-standing customers and retain those that might naturally shop frequently. In addition to our pricing advantage, we anticipate our expanding relationships with customers through product bundling will demonstrate further improvement in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19" w:lineRule="exact"/>
        <w:rPr>
          <w:sz w:val="20"/>
          <w:szCs w:val="20"/>
          <w:color w:val="auto"/>
        </w:rPr>
      </w:pPr>
    </w:p>
    <w:p>
      <w:pPr>
        <w:ind w:left="640" w:right="50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28"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through enhancements to our UBI model and take appropriate rate actions. We efficiently acquire customers directly through multiple channels, including embedded, digital (performance), channel media, referrals and agency. Our marketing costs have historically been well below industry averages, although in any given period, these costs can vary by channel mix, by state, or due to seasonality or the competitive environment. Today, we acquire the vast majority of our customers through our mobile app and mobile website. We believe that through prudent investment in and diversification of our marketing channels, including a focus on embedded insurance through our exclusive partnership with Carvana, and leveraging proprietary data science and technology to build out independent agent products and relationships, will position us for more sustainable, long-term and profitable growth. Additionally, we are realizing operating efficiencies as we scale against our fixed expense base. Our claims management expenses, as represented by our loss adjustment expenses, or LAE, are in line with peers within only three years of bringing claims management in-house and are expected to improve as we further embed machine learning into our processes.</w:t>
      </w:r>
    </w:p>
    <w:p>
      <w:pPr>
        <w:spacing w:after="0" w:line="321"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8"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As a full-stack insurance company, we currently employ a “capital-light”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while rapidly growing our business in order to operate a capital light business model. As our business scales, we expect to have the flexibility to reduce our quota share levels to maximize the return to shareholders.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top-line growth and resulting capital requirements, which are relieved, in part, by obtaining reinsurance. The gross basis metrics include gross written premium, gross earned premium, direct contribution, ratio of direct contribution to total revenue, ratio of direct contribution to gross earned premium, gross loss ratio, gross LAE ratio and gross accident period loss ratio. We have added a new key performance indicator to strengthen investor understanding of our business results that exclude certain non-cash, unusual or infrequent transactions. We believe that adjusted earnings before interest, tax, depreciation, amortization, or adjusted EBITDA, will provide investors with useful insight into the underlying performance of our business. For additional information, including definitions of these metrics, see “— Key Performance Indicators”, and for a reconciliation of our non-GAAP measures to the most directly comparable generally accepted accounting principles in the United States, or GAAP, measures, see “—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March 2020, the World Health Organization declared COVID-19 a global pandemic. The pandemic and related measures taken to contain the spread of COVID-19, such as government-mandated business closures, “shelter in place” orders, or SIPs, and travel and transportation restrictions, have negatively affected the U.S. and global economies, disrupted global supply chains and led to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12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economic instability caused by the COVID-19 pandemic has led to acute inflationary pressures and supply chain disruptions, which have increased the value of used vehicles and replacement parts. These cost increases have resulted in greater claims severity while being partially offset by higher salvage and subrogation recoveries on damaged vehicles. As a result of certain factors related to the COVID-19 global pandemic, we continue to file in multiple states to establish rates that more closely follow the evolving loss cost trends.</w:t>
      </w:r>
    </w:p>
    <w:p>
      <w:pPr>
        <w:spacing w:after="0" w:line="13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As the COVID-19 pandemic continues, there is ongoing uncertainty around the severity and duration of the pandemic and the pandemic’s potential impact on our business and our financial performance. See the section titled “Risk Factors” in the 2021 10-K for more details.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Comprehensive Reinsurance</w:t>
      </w:r>
    </w:p>
    <w:p>
      <w:pPr>
        <w:spacing w:after="0" w:line="170"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third-party insurance companies. We distribute website and app policy inquiry leads in geographies where we do not have a presence to third parties in exchange for fee revenue. We also generate revenue through fee income from our customers paying on installment and from net investment income earned on our investment portfolio.</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Investment Income</w:t>
      </w:r>
    </w:p>
    <w:p>
      <w:pPr>
        <w:spacing w:after="0" w:line="170" w:lineRule="exact"/>
        <w:rPr>
          <w:sz w:val="20"/>
          <w:szCs w:val="20"/>
          <w:color w:val="auto"/>
        </w:rPr>
      </w:pPr>
    </w:p>
    <w:p>
      <w:pPr>
        <w:jc w:val="both"/>
        <w:ind w:right="460" w:firstLine="318"/>
        <w:spacing w:after="0" w:line="252"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less investment expenses, and unrealized gains from our private equity investments. Net investment income is directly correlated with the overall size of our investment portfolio, market level of interest rates and changes in fair value of our private equity investments. Net investment income will vary with the size of our investment portfolio, market returns and the investment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Realized Gains on Investments</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Net realized gains on investments represents the net positive difference between the amount received by us on the sale of an investment as compared to the investment’s cost basis.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 and Other Income</w:t>
      </w:r>
    </w:p>
    <w:p>
      <w:pPr>
        <w:spacing w:after="0" w:line="17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operating expenses consist of loss and LAE, sales and marketing, other insurance expense, technology and development, and general and administrative expenses.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28"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3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Various other expenses incurred during claims processing are considered LAE. These amounts include claims salaries, health benefits, bonuses, employee retirement plan related expenses and employee share-based compensation expense, or Personnel Costs; software expense; internally developed software amortization; and overhead allocated based on headcount, or Overhead.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340" w:firstLine="318"/>
        <w:spacing w:after="0" w:line="271" w:lineRule="auto"/>
        <w:rPr>
          <w:sz w:val="20"/>
          <w:szCs w:val="20"/>
          <w:color w:val="auto"/>
        </w:rPr>
      </w:pPr>
      <w:r>
        <w:rPr>
          <w:rFonts w:ascii="Arial" w:cs="Arial" w:eastAsia="Arial" w:hAnsi="Arial"/>
          <w:sz w:val="17"/>
          <w:szCs w:val="17"/>
          <w:color w:val="auto"/>
        </w:rPr>
        <w:t>Sales and marketing expense includes spend related to performance and embedded channels, channel media, advertising, branding, public relations, consumer insights and referral fees. These expenses also include related Personnel Costs, Overhead and warrant compensation expense related to our embedded channel. We incur sales and marketing expenses for all product offerings. Sales and marketing are expensed as incurred. Warrant compensation expense is recognized on a pro-rata basis considering progress toward completing the Integrated Platform.</w:t>
      </w:r>
    </w:p>
    <w:p>
      <w:pPr>
        <w:spacing w:after="0" w:line="12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plan to continue investing in and diversifying our marketing channels to attract and acquire new customers, increase our brand awareness, and expand our product offerings. We expect that in the long 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Insurance Expense</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Other insurance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and Development</w:t>
      </w:r>
    </w:p>
    <w:p>
      <w:pPr>
        <w:spacing w:after="0" w:line="170"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2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General and administrative expenses primarily relate to external professional service expenses; Personnel Costs and Overhead for corporate functions; depreciation expense for computers, furniture and other fixed assets; and restructuring costs associated with the organizational realignment. General and administrative expenses are expensed as incurred.</w:t>
      </w:r>
    </w:p>
    <w:p>
      <w:pPr>
        <w:spacing w:after="0" w:line="13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adjusted gross profit/(loss), direct contribution and adjusted EBITDA and their reconciliations to the most directly comparable GAAP measures.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520" w:type="dxa"/>
            <w:vAlign w:val="bottom"/>
          </w:tcPr>
          <w:p>
            <w:pPr>
              <w:spacing w:after="0"/>
              <w:rPr>
                <w:sz w:val="16"/>
                <w:szCs w:val="16"/>
                <w:color w:val="auto"/>
              </w:rPr>
            </w:pPr>
          </w:p>
        </w:tc>
        <w:tc>
          <w:tcPr>
            <w:tcW w:w="800" w:type="dxa"/>
            <w:vAlign w:val="bottom"/>
          </w:tcPr>
          <w:p>
            <w:pPr>
              <w:jc w:val="right"/>
              <w:ind w:right="41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5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w w:val="98"/>
              </w:rPr>
              <w:t>(dollars in millions, except premiums per policy)</w:t>
            </w:r>
          </w:p>
        </w:tc>
        <w:tc>
          <w:tcPr>
            <w:tcW w:w="32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2"/>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Policies in force</w:t>
            </w:r>
          </w:p>
        </w:tc>
        <w:tc>
          <w:tcPr>
            <w:tcW w:w="7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r>
      <w:tr>
        <w:trPr>
          <w:trHeight w:val="245"/>
        </w:trPr>
        <w:tc>
          <w:tcPr>
            <w:tcW w:w="6700" w:type="dxa"/>
            <w:vAlign w:val="bottom"/>
          </w:tcPr>
          <w:p>
            <w:pPr>
              <w:ind w:left="560"/>
              <w:spacing w:after="0"/>
              <w:rPr>
                <w:sz w:val="20"/>
                <w:szCs w:val="20"/>
                <w:color w:val="auto"/>
              </w:rPr>
            </w:pPr>
            <w:r>
              <w:rPr>
                <w:rFonts w:ascii="Arial" w:cs="Arial" w:eastAsia="Arial" w:hAnsi="Arial"/>
                <w:sz w:val="18"/>
                <w:szCs w:val="18"/>
                <w:color w:val="auto"/>
              </w:rPr>
              <w:t>Auto</w:t>
            </w:r>
          </w:p>
        </w:tc>
        <w:tc>
          <w:tcPr>
            <w:tcW w:w="70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335,273</w:t>
            </w:r>
          </w:p>
        </w:tc>
        <w:tc>
          <w:tcPr>
            <w:tcW w:w="152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86"/>
              </w:rPr>
              <w:t>360,290</w:t>
            </w:r>
          </w:p>
        </w:tc>
        <w:tc>
          <w:tcPr>
            <w:tcW w:w="320" w:type="dxa"/>
            <w:vAlign w:val="bottom"/>
          </w:tcPr>
          <w:p>
            <w:pPr>
              <w:spacing w:after="0"/>
              <w:rPr>
                <w:sz w:val="21"/>
                <w:szCs w:val="21"/>
                <w:color w:val="auto"/>
              </w:rPr>
            </w:pPr>
          </w:p>
        </w:tc>
      </w:tr>
      <w:tr>
        <w:trPr>
          <w:trHeight w:val="259"/>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8,351</w:t>
            </w:r>
          </w:p>
        </w:tc>
        <w:tc>
          <w:tcPr>
            <w:tcW w:w="15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8,835</w:t>
            </w:r>
          </w:p>
        </w:tc>
        <w:tc>
          <w:tcPr>
            <w:tcW w:w="320" w:type="dxa"/>
            <w:vAlign w:val="bottom"/>
            <w:shd w:val="clear" w:color="auto" w:fill="CCEEFF"/>
          </w:tcPr>
          <w:p>
            <w:pPr>
              <w:spacing w:after="0"/>
              <w:rPr>
                <w:sz w:val="22"/>
                <w:szCs w:val="22"/>
                <w:color w:val="auto"/>
              </w:rPr>
            </w:pPr>
          </w:p>
        </w:tc>
      </w:tr>
      <w:tr>
        <w:trPr>
          <w:trHeight w:val="245"/>
        </w:trPr>
        <w:tc>
          <w:tcPr>
            <w:tcW w:w="6700" w:type="dxa"/>
            <w:vAlign w:val="bottom"/>
          </w:tcPr>
          <w:p>
            <w:pPr>
              <w:ind w:left="340"/>
              <w:spacing w:after="0"/>
              <w:rPr>
                <w:sz w:val="20"/>
                <w:szCs w:val="20"/>
                <w:color w:val="auto"/>
              </w:rPr>
            </w:pPr>
            <w:r>
              <w:rPr>
                <w:rFonts w:ascii="Arial" w:cs="Arial" w:eastAsia="Arial" w:hAnsi="Arial"/>
                <w:sz w:val="18"/>
                <w:szCs w:val="18"/>
                <w:color w:val="auto"/>
              </w:rPr>
              <w:t>Premiums per policy</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9"/>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Auto</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1,040</w:t>
            </w:r>
          </w:p>
        </w:tc>
        <w:tc>
          <w:tcPr>
            <w:tcW w:w="15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958</w:t>
            </w:r>
          </w:p>
        </w:tc>
        <w:tc>
          <w:tcPr>
            <w:tcW w:w="320" w:type="dxa"/>
            <w:vAlign w:val="bottom"/>
            <w:shd w:val="clear" w:color="auto" w:fill="CCEEFF"/>
          </w:tcPr>
          <w:p>
            <w:pPr>
              <w:spacing w:after="0"/>
              <w:rPr>
                <w:sz w:val="22"/>
                <w:szCs w:val="22"/>
                <w:color w:val="auto"/>
              </w:rPr>
            </w:pPr>
          </w:p>
        </w:tc>
      </w:tr>
      <w:tr>
        <w:trPr>
          <w:trHeight w:val="245"/>
        </w:trPr>
        <w:tc>
          <w:tcPr>
            <w:tcW w:w="6700" w:type="dxa"/>
            <w:vAlign w:val="bottom"/>
          </w:tcPr>
          <w:p>
            <w:pPr>
              <w:ind w:left="560"/>
              <w:spacing w:after="0"/>
              <w:rPr>
                <w:sz w:val="20"/>
                <w:szCs w:val="20"/>
                <w:color w:val="auto"/>
              </w:rPr>
            </w:pPr>
            <w:r>
              <w:rPr>
                <w:rFonts w:ascii="Arial" w:cs="Arial" w:eastAsia="Arial" w:hAnsi="Arial"/>
                <w:sz w:val="18"/>
                <w:szCs w:val="18"/>
                <w:color w:val="auto"/>
              </w:rPr>
              <w:t>Renters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140</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1"/>
                <w:szCs w:val="21"/>
                <w:color w:val="auto"/>
              </w:rPr>
            </w:pPr>
          </w:p>
        </w:tc>
      </w:tr>
      <w:tr>
        <w:trPr>
          <w:trHeight w:val="25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in force</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45"/>
        </w:trPr>
        <w:tc>
          <w:tcPr>
            <w:tcW w:w="6700" w:type="dxa"/>
            <w:vAlign w:val="bottom"/>
          </w:tcPr>
          <w:p>
            <w:pPr>
              <w:ind w:left="560"/>
              <w:spacing w:after="0"/>
              <w:rPr>
                <w:sz w:val="20"/>
                <w:szCs w:val="20"/>
                <w:color w:val="auto"/>
              </w:rPr>
            </w:pPr>
            <w:r>
              <w:rPr>
                <w:rFonts w:ascii="Arial" w:cs="Arial" w:eastAsia="Arial" w:hAnsi="Arial"/>
                <w:sz w:val="18"/>
                <w:szCs w:val="18"/>
                <w:color w:val="auto"/>
              </w:rPr>
              <w:t>Auto</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697.4</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690.3</w:t>
            </w:r>
          </w:p>
        </w:tc>
        <w:tc>
          <w:tcPr>
            <w:tcW w:w="320" w:type="dxa"/>
            <w:vAlign w:val="bottom"/>
          </w:tcPr>
          <w:p>
            <w:pPr>
              <w:spacing w:after="0"/>
              <w:rPr>
                <w:sz w:val="21"/>
                <w:szCs w:val="21"/>
                <w:color w:val="auto"/>
              </w:rPr>
            </w:pPr>
          </w:p>
        </w:tc>
      </w:tr>
      <w:tr>
        <w:trPr>
          <w:trHeight w:val="259"/>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Renters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5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2"/>
                <w:szCs w:val="22"/>
                <w:color w:val="auto"/>
              </w:rPr>
            </w:pPr>
          </w:p>
        </w:tc>
      </w:tr>
      <w:tr>
        <w:trPr>
          <w:trHeight w:val="252"/>
        </w:trPr>
        <w:tc>
          <w:tcPr>
            <w:tcW w:w="6700" w:type="dxa"/>
            <w:vAlign w:val="bottom"/>
          </w:tcPr>
          <w:p>
            <w:pPr>
              <w:ind w:left="340"/>
              <w:spacing w:after="0" w:line="251" w:lineRule="exact"/>
              <w:rPr>
                <w:sz w:val="20"/>
                <w:szCs w:val="20"/>
                <w:color w:val="auto"/>
              </w:rPr>
            </w:pPr>
            <w:r>
              <w:rPr>
                <w:rFonts w:ascii="Arial" w:cs="Arial" w:eastAsia="Arial" w:hAnsi="Arial"/>
                <w:sz w:val="18"/>
                <w:szCs w:val="18"/>
                <w:color w:val="auto"/>
              </w:rPr>
              <w:t>Gross written premium</w:t>
            </w:r>
            <w:r>
              <w:rPr>
                <w:rFonts w:ascii="Arial" w:cs="Arial" w:eastAsia="Arial" w:hAnsi="Arial"/>
                <w:sz w:val="22"/>
                <w:szCs w:val="22"/>
                <w:color w:val="auto"/>
                <w:vertAlign w:val="superscript"/>
              </w:rPr>
              <w:t>(1)</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187.2</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21"/>
                <w:szCs w:val="21"/>
                <w:color w:val="auto"/>
              </w:rPr>
            </w:pPr>
          </w:p>
        </w:tc>
      </w:tr>
      <w:tr>
        <w:trPr>
          <w:trHeight w:val="265"/>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earned premium</w:t>
            </w:r>
            <w:r>
              <w:rPr>
                <w:rFonts w:ascii="Arial" w:cs="Arial" w:eastAsia="Arial" w:hAnsi="Arial"/>
                <w:sz w:val="22"/>
                <w:szCs w:val="22"/>
                <w:color w:val="auto"/>
                <w:vertAlign w:val="superscript"/>
              </w:rPr>
              <w:t>(1)</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174.7</w:t>
            </w:r>
          </w:p>
        </w:tc>
        <w:tc>
          <w:tcPr>
            <w:tcW w:w="15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160.2</w:t>
            </w:r>
          </w:p>
        </w:tc>
        <w:tc>
          <w:tcPr>
            <w:tcW w:w="320" w:type="dxa"/>
            <w:vAlign w:val="bottom"/>
            <w:shd w:val="clear" w:color="auto" w:fill="CCEEFF"/>
          </w:tcPr>
          <w:p>
            <w:pPr>
              <w:spacing w:after="0"/>
              <w:rPr>
                <w:sz w:val="23"/>
                <w:szCs w:val="23"/>
                <w:color w:val="auto"/>
              </w:rPr>
            </w:pPr>
          </w:p>
        </w:tc>
      </w:tr>
      <w:tr>
        <w:trPr>
          <w:trHeight w:val="245"/>
        </w:trPr>
        <w:tc>
          <w:tcPr>
            <w:tcW w:w="6700" w:type="dxa"/>
            <w:vAlign w:val="bottom"/>
          </w:tcPr>
          <w:p>
            <w:pPr>
              <w:ind w:left="340"/>
              <w:spacing w:after="0"/>
              <w:rPr>
                <w:sz w:val="20"/>
                <w:szCs w:val="20"/>
                <w:color w:val="auto"/>
              </w:rPr>
            </w:pPr>
            <w:r>
              <w:rPr>
                <w:rFonts w:ascii="Arial" w:cs="Arial" w:eastAsia="Arial" w:hAnsi="Arial"/>
                <w:sz w:val="18"/>
                <w:szCs w:val="18"/>
                <w:color w:val="auto"/>
              </w:rPr>
              <w:t>Gross profit/(loss)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(12.3)</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r>
      <w:tr>
        <w:trPr>
          <w:trHeight w:val="25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(14.4)</w:t>
            </w:r>
          </w:p>
        </w:tc>
        <w:tc>
          <w:tcPr>
            <w:tcW w:w="152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00" w:type="dxa"/>
            <w:vAlign w:val="bottom"/>
          </w:tcPr>
          <w:p>
            <w:pPr>
              <w:ind w:left="340"/>
              <w:spacing w:after="0"/>
              <w:rPr>
                <w:sz w:val="20"/>
                <w:szCs w:val="20"/>
                <w:color w:val="auto"/>
              </w:rPr>
            </w:pPr>
            <w:r>
              <w:rPr>
                <w:rFonts w:ascii="Arial" w:cs="Arial" w:eastAsia="Arial" w:hAnsi="Arial"/>
                <w:sz w:val="18"/>
                <w:szCs w:val="18"/>
                <w:color w:val="auto"/>
              </w:rPr>
              <w:t>Adjusted gross profit/(loss)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(5.5)</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21"/>
                <w:szCs w:val="21"/>
                <w:color w:val="auto"/>
              </w:rPr>
            </w:pPr>
          </w:p>
        </w:tc>
      </w:tr>
      <w:tr>
        <w:trPr>
          <w:trHeight w:val="272"/>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 contribution</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w:t>
            </w:r>
          </w:p>
        </w:tc>
        <w:tc>
          <w:tcPr>
            <w:tcW w:w="15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23"/>
                <w:szCs w:val="23"/>
                <w:color w:val="auto"/>
              </w:rPr>
            </w:pPr>
          </w:p>
        </w:tc>
      </w:tr>
      <w:tr>
        <w:trPr>
          <w:trHeight w:val="251"/>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(76.4)</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21"/>
                <w:szCs w:val="21"/>
                <w:color w:val="auto"/>
              </w:rPr>
            </w:pPr>
          </w:p>
        </w:tc>
      </w:tr>
      <w:tr>
        <w:trPr>
          <w:trHeight w:val="252"/>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(51.2)</w:t>
            </w:r>
          </w:p>
        </w:tc>
        <w:tc>
          <w:tcPr>
            <w:tcW w:w="15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(90.2)</w:t>
            </w:r>
          </w:p>
        </w:tc>
        <w:tc>
          <w:tcPr>
            <w:tcW w:w="320" w:type="dxa"/>
            <w:vAlign w:val="bottom"/>
            <w:shd w:val="clear" w:color="auto" w:fill="CCEEFF"/>
          </w:tcPr>
          <w:p>
            <w:pPr>
              <w:spacing w:after="0"/>
              <w:rPr>
                <w:sz w:val="21"/>
                <w:szCs w:val="21"/>
                <w:color w:val="auto"/>
              </w:rPr>
            </w:pPr>
          </w:p>
        </w:tc>
      </w:tr>
      <w:tr>
        <w:trPr>
          <w:trHeight w:val="245"/>
        </w:trPr>
        <w:tc>
          <w:tcPr>
            <w:tcW w:w="670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7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1520" w:type="dxa"/>
            <w:vAlign w:val="bottom"/>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w:t>
            </w:r>
          </w:p>
        </w:tc>
        <w:tc>
          <w:tcPr>
            <w:tcW w:w="152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00" w:type="dxa"/>
            <w:vAlign w:val="bottom"/>
          </w:tcPr>
          <w:p>
            <w:pPr>
              <w:ind w:left="340"/>
              <w:spacing w:after="0"/>
              <w:rPr>
                <w:sz w:val="20"/>
                <w:szCs w:val="20"/>
                <w:color w:val="auto"/>
              </w:rPr>
            </w:pPr>
            <w:r>
              <w:rPr>
                <w:rFonts w:ascii="Arial" w:cs="Arial" w:eastAsia="Arial" w:hAnsi="Arial"/>
                <w:sz w:val="18"/>
                <w:szCs w:val="18"/>
                <w:color w:val="auto"/>
              </w:rPr>
              <w:t>Ratio of direct contribution to total revenue</w:t>
            </w:r>
          </w:p>
        </w:tc>
        <w:tc>
          <w:tcPr>
            <w:tcW w:w="70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1520" w:type="dxa"/>
            <w:vAlign w:val="bottom"/>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00" w:type="dxa"/>
            <w:vAlign w:val="bottom"/>
          </w:tcPr>
          <w:p>
            <w:pPr>
              <w:ind w:left="340"/>
              <w:spacing w:after="0"/>
              <w:rPr>
                <w:sz w:val="20"/>
                <w:szCs w:val="20"/>
                <w:color w:val="auto"/>
              </w:rPr>
            </w:pPr>
            <w:r>
              <w:rPr>
                <w:rFonts w:ascii="Arial" w:cs="Arial" w:eastAsia="Arial" w:hAnsi="Arial"/>
                <w:sz w:val="18"/>
                <w:szCs w:val="18"/>
                <w:color w:val="auto"/>
              </w:rPr>
              <w:t>Gross loss ratio</w:t>
            </w:r>
          </w:p>
        </w:tc>
        <w:tc>
          <w:tcPr>
            <w:tcW w:w="70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84.1</w:t>
            </w:r>
          </w:p>
        </w:tc>
        <w:tc>
          <w:tcPr>
            <w:tcW w:w="1520" w:type="dxa"/>
            <w:vAlign w:val="bottom"/>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LAE ratio</w:t>
            </w:r>
          </w:p>
        </w:tc>
        <w:tc>
          <w:tcPr>
            <w:tcW w:w="7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w:t>
            </w:r>
          </w:p>
        </w:tc>
        <w:tc>
          <w:tcPr>
            <w:tcW w:w="152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700" w:type="dxa"/>
            <w:vAlign w:val="bottom"/>
          </w:tcPr>
          <w:p>
            <w:pPr>
              <w:ind w:left="340"/>
              <w:spacing w:after="0"/>
              <w:rPr>
                <w:sz w:val="20"/>
                <w:szCs w:val="20"/>
                <w:color w:val="auto"/>
              </w:rPr>
            </w:pPr>
            <w:r>
              <w:rPr>
                <w:rFonts w:ascii="Arial" w:cs="Arial" w:eastAsia="Arial" w:hAnsi="Arial"/>
                <w:sz w:val="18"/>
                <w:szCs w:val="18"/>
                <w:color w:val="auto"/>
              </w:rPr>
              <w:t>Gross accident period loss ratio</w:t>
            </w:r>
          </w:p>
        </w:tc>
        <w:tc>
          <w:tcPr>
            <w:tcW w:w="70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81.4</w:t>
            </w:r>
          </w:p>
        </w:tc>
        <w:tc>
          <w:tcPr>
            <w:tcW w:w="1520" w:type="dxa"/>
            <w:vAlign w:val="bottom"/>
          </w:tcPr>
          <w:p>
            <w:pPr>
              <w:jc w:val="right"/>
              <w:ind w:right="1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700" w:type="dxa"/>
            <w:vAlign w:val="bottom"/>
          </w:tcPr>
          <w:p>
            <w:pPr>
              <w:spacing w:after="0"/>
              <w:rPr>
                <w:sz w:val="20"/>
                <w:szCs w:val="20"/>
                <w:color w:val="auto"/>
              </w:rPr>
            </w:pPr>
            <w:r>
              <w:rPr>
                <w:rFonts w:ascii="Arial" w:cs="Arial" w:eastAsia="Arial" w:hAnsi="Arial"/>
                <w:sz w:val="18"/>
                <w:szCs w:val="18"/>
                <w:color w:val="auto"/>
              </w:rPr>
              <w:t>______________</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41" w:lineRule="exact"/>
        <w:rPr>
          <w:sz w:val="20"/>
          <w:szCs w:val="20"/>
          <w:color w:val="auto"/>
        </w:rPr>
      </w:pPr>
    </w:p>
    <w:p>
      <w:pPr>
        <w:ind w:left="320" w:right="120" w:hanging="314"/>
        <w:spacing w:after="0" w:line="265" w:lineRule="auto"/>
        <w:tabs>
          <w:tab w:leader="none" w:pos="20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premiums assumed from the fronting carrier that commenced in August 2021. Assumed written premium and assumed earned premium for the three months ended March 31, 2022 was $13.7 million and $9.2 million, respectively. Prior to the fronting carrier commencement, we did not assume any premiums.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Policies in Force</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per Policy</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define premiums per policy as the ratio of gross written premium on policies in force divided by policies in force. We view premiums per policy as an important metric since the higher the premiums per policy the greater the amount of earned premium we expect from each policy. As discussed below in gross written premium, this key performance indicator has been updated to include assumed written premiums beginning during the third quarter of 2021.</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Premiums in Force</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define premiums in force for our auto policies as premiums per policy multiplied by policies in force multiplied by two. We view premiums in force as an estimate of annualized run rate of gross written premium as of a given period. Since our auto policies are six-month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Written Premium</w:t>
      </w:r>
    </w:p>
    <w:p>
      <w:pPr>
        <w:spacing w:after="0" w:line="17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define gross written premium as the total amount of gross premium on policies that were bound during the period less the prorated impact of policy cancellations. Gross written premiums include direct premiums and assumed premiums. We began assuming premium during the third quarter of 2021 in connection with our entry into an arrangement with a fronting carrier in Texas. We view gross written premium as an important metric because it is the metric that most closely correlates with our growth in gross earned premium. We use gross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Earned Premium</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define gross earned premium as the amount of gross premium that was earned during the period. Premiums are earned over the period in which insurance protection is provided, which is typically six months. Gross earned premium includes direct premiums and assumed premiums. We began assuming premium during the third quarter of 2021 in connection with our entry into an arrangement with a fronting carrier in Texas. We view gross earned premium as an important metric as it allows us to evaluate our growth prior to the impacts of reinsurance. It is the primary driver of our consolidated GAAP revenues. As with gross written premium, we use gross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Profit/(Loss)</w:t>
      </w:r>
    </w:p>
    <w:p>
      <w:pPr>
        <w:spacing w:after="0" w:line="170" w:lineRule="exact"/>
        <w:rPr>
          <w:sz w:val="20"/>
          <w:szCs w:val="20"/>
          <w:color w:val="auto"/>
        </w:rPr>
      </w:pPr>
    </w:p>
    <w:p>
      <w:pPr>
        <w:ind w:right="200" w:firstLine="318"/>
        <w:spacing w:after="0" w:line="294" w:lineRule="auto"/>
        <w:rPr>
          <w:sz w:val="20"/>
          <w:szCs w:val="20"/>
          <w:color w:val="auto"/>
        </w:rPr>
      </w:pPr>
      <w:r>
        <w:rPr>
          <w:rFonts w:ascii="Arial" w:cs="Arial" w:eastAsia="Arial" w:hAnsi="Arial"/>
          <w:sz w:val="17"/>
          <w:szCs w:val="17"/>
          <w:color w:val="auto"/>
        </w:rPr>
        <w:t>We define gross profit/(loss) as total revenue minus net loss and LAE and other insurance expense inclusive of depreciation and amortization. We view gross profit/(loss) as an important metric because we believe it is informative of the financial performance of our core insurance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Gross Profit/(Loss)</w:t>
      </w:r>
    </w:p>
    <w:p>
      <w:pPr>
        <w:spacing w:after="0" w:line="17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expense. After these adjustments, the resulting calculation is inclusive of only those variable costs of revenue incurred on the successful acquisition of business. We view adjusted gross profit/(loss) as an important metric because we believe it measures our progress towards profitability for our core insurance business.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Direct Contribution</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but exclusive of net ceding commission, ceded loss and LAE and other impacts of reinsurance ceded. We view direct contribution as an important metric because we believe it measures progress towards the profitability of our total policy portfolio prior to the impact of reinsurance.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EBITDA</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define adjusted EBITDA, a non-GAAP financial measure, as net loss excluding interest expense, income tax expense, depreciation and amortization, share-based compensation, warrant compensation expense and restructuring charges.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substitute for net loss calculated in accordance with GAAP, and other companies may define adjusted EBITDA differently.</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section titled “— Non-GAAP Financial Measures” for a reconciliation of net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Adjusted Gross Profit/(Loss) to Gross Earned Premium</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ratio of adjusted gross profit/(loss) to gross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gross earned premium as the denominator in calculating this ratio because it reflects business volume free of elective capital-light choices related to our reinsurance programs. As discussed above in gross written premium, this key performance indicator has been updated to include assumed earned premiums in the calculation of ratio of adjusted gross profit/(loss) to gross earned premium during the third quarter of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640" w:type="dxa"/>
            <w:vAlign w:val="bottom"/>
          </w:tcPr>
          <w:p>
            <w:pPr>
              <w:spacing w:after="0"/>
              <w:rPr>
                <w:sz w:val="15"/>
                <w:szCs w:val="15"/>
                <w:color w:val="auto"/>
              </w:rPr>
            </w:pPr>
          </w:p>
        </w:tc>
        <w:tc>
          <w:tcPr>
            <w:tcW w:w="780" w:type="dxa"/>
            <w:vAlign w:val="bottom"/>
          </w:tcPr>
          <w:p>
            <w:pPr>
              <w:jc w:val="right"/>
              <w:ind w:right="396"/>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jc w:val="right"/>
              <w:ind w:right="316"/>
              <w:spacing w:after="0"/>
              <w:rPr>
                <w:sz w:val="20"/>
                <w:szCs w:val="20"/>
                <w:color w:val="auto"/>
              </w:rPr>
            </w:pPr>
            <w:r>
              <w:rPr>
                <w:rFonts w:ascii="Arial" w:cs="Arial" w:eastAsia="Arial" w:hAnsi="Arial"/>
                <w:sz w:val="14"/>
                <w:szCs w:val="14"/>
                <w:b w:val="1"/>
                <w:bCs w:val="1"/>
                <w:color w:val="auto"/>
                <w:w w:val="95"/>
              </w:rPr>
              <w:t>(dollars in millions)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5"/>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Adjusted gross profit/(loss)</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23"/>
                <w:szCs w:val="23"/>
                <w:color w:val="auto"/>
              </w:rPr>
            </w:pPr>
          </w:p>
        </w:tc>
      </w:tr>
      <w:tr>
        <w:trPr>
          <w:trHeight w:val="258"/>
        </w:trPr>
        <w:tc>
          <w:tcPr>
            <w:tcW w:w="6700" w:type="dxa"/>
            <w:vAlign w:val="bottom"/>
          </w:tcPr>
          <w:p>
            <w:pPr>
              <w:ind w:left="340"/>
              <w:spacing w:after="0"/>
              <w:rPr>
                <w:sz w:val="20"/>
                <w:szCs w:val="20"/>
                <w:color w:val="auto"/>
              </w:rPr>
            </w:pPr>
            <w:r>
              <w:rPr>
                <w:rFonts w:ascii="Arial" w:cs="Arial" w:eastAsia="Arial" w:hAnsi="Arial"/>
                <w:sz w:val="18"/>
                <w:szCs w:val="18"/>
                <w:color w:val="auto"/>
              </w:rPr>
              <w:t>Denominator: total gross earned premium</w:t>
            </w: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174.7</w:t>
            </w:r>
          </w:p>
        </w:tc>
        <w:tc>
          <w:tcPr>
            <w:tcW w:w="164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2"/>
                <w:szCs w:val="22"/>
                <w:color w:val="auto"/>
              </w:rPr>
            </w:pPr>
          </w:p>
        </w:tc>
      </w:tr>
      <w:tr>
        <w:trPr>
          <w:trHeight w:val="25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7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Direct Contribution to Gross Earned Premium</w:t>
      </w:r>
    </w:p>
    <w:p>
      <w:pPr>
        <w:spacing w:after="0" w:line="170"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ratio of direct contribution to gross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 gross earned premium as the denominator in calculating this ratio because it reflects business volume free of elective capital-light cession or commission structure choices from our reinsurance ceded programs. As discussed above in gross written premium, this key performance indicator has been updated to include assumed earned premiums in the calculation of ratio of direct contribution to gross earned premium during the third quarter of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1660" w:type="dxa"/>
            <w:vAlign w:val="bottom"/>
          </w:tcPr>
          <w:p>
            <w:pPr>
              <w:spacing w:after="0"/>
              <w:rPr>
                <w:sz w:val="15"/>
                <w:szCs w:val="15"/>
                <w:color w:val="auto"/>
              </w:rPr>
            </w:pPr>
          </w:p>
        </w:tc>
        <w:tc>
          <w:tcPr>
            <w:tcW w:w="780" w:type="dxa"/>
            <w:vAlign w:val="bottom"/>
          </w:tcPr>
          <w:p>
            <w:pPr>
              <w:jc w:val="right"/>
              <w:ind w:right="396"/>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1"/>
        </w:trPr>
        <w:tc>
          <w:tcPr>
            <w:tcW w:w="6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tcPr>
          <w:p>
            <w:pPr>
              <w:jc w:val="right"/>
              <w:ind w:right="316"/>
              <w:spacing w:after="0"/>
              <w:rPr>
                <w:sz w:val="20"/>
                <w:szCs w:val="20"/>
                <w:color w:val="auto"/>
              </w:rPr>
            </w:pPr>
            <w:r>
              <w:rPr>
                <w:rFonts w:ascii="Arial" w:cs="Arial" w:eastAsia="Arial" w:hAnsi="Arial"/>
                <w:sz w:val="14"/>
                <w:szCs w:val="14"/>
                <w:b w:val="1"/>
                <w:bCs w:val="1"/>
                <w:color w:val="auto"/>
                <w:w w:val="96"/>
              </w:rPr>
              <w:t>(dollars in millions)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5"/>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direct contribution</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6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CEEFF"/>
          </w:tcPr>
          <w:p>
            <w:pPr>
              <w:spacing w:after="0"/>
              <w:rPr>
                <w:sz w:val="23"/>
                <w:szCs w:val="23"/>
                <w:color w:val="auto"/>
              </w:rPr>
            </w:pPr>
          </w:p>
        </w:tc>
      </w:tr>
      <w:tr>
        <w:trPr>
          <w:trHeight w:val="258"/>
        </w:trPr>
        <w:tc>
          <w:tcPr>
            <w:tcW w:w="6700" w:type="dxa"/>
            <w:vAlign w:val="bottom"/>
          </w:tcPr>
          <w:p>
            <w:pPr>
              <w:ind w:left="340"/>
              <w:spacing w:after="0"/>
              <w:rPr>
                <w:sz w:val="20"/>
                <w:szCs w:val="20"/>
                <w:color w:val="auto"/>
              </w:rPr>
            </w:pPr>
            <w:r>
              <w:rPr>
                <w:rFonts w:ascii="Arial" w:cs="Arial" w:eastAsia="Arial" w:hAnsi="Arial"/>
                <w:sz w:val="18"/>
                <w:szCs w:val="18"/>
                <w:color w:val="auto"/>
              </w:rPr>
              <w:t>Denominator: total gross earned premium</w:t>
            </w: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174.7</w:t>
            </w:r>
          </w:p>
        </w:tc>
        <w:tc>
          <w:tcPr>
            <w:tcW w:w="166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rPr>
              <w:t>160.2</w:t>
            </w:r>
          </w:p>
        </w:tc>
        <w:tc>
          <w:tcPr>
            <w:tcW w:w="340" w:type="dxa"/>
            <w:vAlign w:val="bottom"/>
          </w:tcPr>
          <w:p>
            <w:pPr>
              <w:spacing w:after="0"/>
              <w:rPr>
                <w:sz w:val="22"/>
                <w:szCs w:val="22"/>
                <w:color w:val="auto"/>
              </w:rPr>
            </w:pPr>
          </w:p>
        </w:tc>
      </w:tr>
      <w:tr>
        <w:trPr>
          <w:trHeight w:val="25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7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6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Loss Ratio</w:t>
      </w:r>
    </w:p>
    <w:p>
      <w:pPr>
        <w:spacing w:after="0" w:line="17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We define gross loss ratio, expressed as a percentage, as the ratio of gross losses to gross earned premium. Gross loss ratio excludes LAE. We view gross loss ratio as an important metric because it allows us to evaluate incurred losses and LAE separately prior to the impact of reinsurance. As discussed above in gross written premium, this key performance indicator has been changed to include assumed losses and assumed earned premiums in the calculation of gross loss ratio beginning during the third quarter of 2021.</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LAE Ratio</w:t>
      </w:r>
    </w:p>
    <w:p>
      <w:pPr>
        <w:spacing w:after="0" w:line="170"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define gross LAE ratio, expressed as a percentage, as the ratio of gross LAE to gross earned premium.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As discussed above in gross written premium, this key performance indicator has been changed to include assumed LAE and assumed earned premium in the calculation of gross LAE ratio beginning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Gross Accident Period Loss Ratio</w:t>
      </w:r>
    </w:p>
    <w:p>
      <w:pPr>
        <w:spacing w:after="0" w:line="170"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Gross accident period loss ratio, expressed as a percentage, represents all losses and claims expected to arise from insured events that occurred during the applicable period regardless of when they are reported and finally settled divided by gross earned premiums for the same period. Changes to our ultimate loss estimates from prior periods are the primary driver of the difference between our gross accident period loss ratio and gross loss ratio. We believe that gross accident period loss ratio is useful in evaluating expected losses prior to the impact of reinsurance. As discussed above in gross written premium, this key performance indicator has been changed to include assumed accident period losses and assumed earned premium in the calculation of gross accident period loss ratio beginning during the third quarter of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 March 31,</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(dollars in millions)</w:t>
            </w:r>
          </w:p>
        </w:tc>
        <w:tc>
          <w:tcPr>
            <w:tcW w:w="13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4"/>
        </w:trPr>
        <w:tc>
          <w:tcPr>
            <w:tcW w:w="6040" w:type="dxa"/>
            <w:vAlign w:val="bottom"/>
          </w:tcPr>
          <w:p>
            <w:pPr>
              <w:ind w:left="12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3"/>
                <w:szCs w:val="23"/>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32.5 %</w:t>
            </w:r>
          </w:p>
        </w:tc>
      </w:tr>
      <w:tr>
        <w:trPr>
          <w:trHeight w:val="26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64"/>
        </w:trPr>
        <w:tc>
          <w:tcPr>
            <w:tcW w:w="6040" w:type="dxa"/>
            <w:vAlign w:val="bottom"/>
          </w:tcPr>
          <w:p>
            <w:pPr>
              <w:ind w:left="12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and other income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1"/>
        </w:trPr>
        <w:tc>
          <w:tcPr>
            <w:tcW w:w="60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61.4 %</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65"/>
        </w:trPr>
        <w:tc>
          <w:tcPr>
            <w:tcW w:w="6040" w:type="dxa"/>
            <w:vAlign w:val="bottom"/>
          </w:tcPr>
          <w:p>
            <w:pPr>
              <w:ind w:left="120"/>
              <w:spacing w:after="0"/>
              <w:rPr>
                <w:sz w:val="20"/>
                <w:szCs w:val="20"/>
                <w:color w:val="auto"/>
              </w:rPr>
            </w:pPr>
            <w:r>
              <w:rPr>
                <w:rFonts w:ascii="Arial" w:cs="Arial" w:eastAsia="Arial" w:hAnsi="Arial"/>
                <w:sz w:val="18"/>
                <w:szCs w:val="18"/>
                <w:color w:val="auto"/>
              </w:rPr>
              <w:t>Other insurance expense</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65"/>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65"/>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63.0 %</w:t>
            </w:r>
          </w:p>
        </w:tc>
      </w:tr>
      <w:tr>
        <w:trPr>
          <w:trHeight w:val="259"/>
        </w:trPr>
        <w:tc>
          <w:tcPr>
            <w:tcW w:w="6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6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
        </w:trPr>
        <w:tc>
          <w:tcPr>
            <w:tcW w:w="6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8"/>
        </w:trPr>
        <w:tc>
          <w:tcPr>
            <w:tcW w:w="6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5"/>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net unrealized losses on investments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change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Net Premiums Earned</w:t>
      </w:r>
    </w:p>
    <w:p>
      <w:pPr>
        <w:spacing w:after="0" w:line="170" w:lineRule="exact"/>
        <w:rPr>
          <w:sz w:val="20"/>
          <w:szCs w:val="20"/>
          <w:color w:val="auto"/>
        </w:rPr>
      </w:pPr>
    </w:p>
    <w:p>
      <w:pPr>
        <w:ind w:right="360" w:firstLine="318"/>
        <w:spacing w:after="0" w:line="294" w:lineRule="auto"/>
        <w:rPr>
          <w:sz w:val="20"/>
          <w:szCs w:val="20"/>
          <w:color w:val="auto"/>
        </w:rPr>
      </w:pPr>
      <w:r>
        <w:rPr>
          <w:rFonts w:ascii="Arial" w:cs="Arial" w:eastAsia="Arial" w:hAnsi="Arial"/>
          <w:sz w:val="17"/>
          <w:szCs w:val="17"/>
          <w:color w:val="auto"/>
        </w:rPr>
        <w:t>Net premiums earned increased $19.2 million, or 32.5%, to $78.3 million for the three months ended March 31, 2022 compared to the same period in 2021. The increase was primarily due to growth in gross earned premium and lower cession rates on gross earned premiums.</w:t>
      </w:r>
    </w:p>
    <w:p>
      <w:pPr>
        <w:spacing w:after="0" w:line="104" w:lineRule="exact"/>
        <w:rPr>
          <w:sz w:val="20"/>
          <w:szCs w:val="20"/>
          <w:color w:val="auto"/>
        </w:rPr>
      </w:pPr>
    </w:p>
    <w:p>
      <w:pPr>
        <w:jc w:val="both"/>
        <w:ind w:right="620" w:firstLine="318"/>
        <w:spacing w:after="0" w:line="255" w:lineRule="auto"/>
        <w:rPr>
          <w:sz w:val="20"/>
          <w:szCs w:val="20"/>
          <w:color w:val="auto"/>
        </w:rPr>
      </w:pPr>
      <w:r>
        <w:rPr>
          <w:rFonts w:ascii="Arial" w:cs="Arial" w:eastAsia="Arial" w:hAnsi="Arial"/>
          <w:sz w:val="18"/>
          <w:szCs w:val="18"/>
          <w:color w:val="auto"/>
        </w:rPr>
        <w:t>During the three months ended March 31, 2022 and 2021, we ceded approximately 55.2% and 63.1% of our gross earned premiums to third-party reinsurers, respectively. The change in ceding percentage between the periods was primarily driven by retaining a larger share of our renewal book of business.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presents gross written premium, ceded written premium, net written premium, gross earned premium, ceded earned premium and net earned premium for the three months ended March 31, 2022 and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Three Months Ended March 31,</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(dollars in millions)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5"/>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written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Ceded written premium</w:t>
            </w: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5"/>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earned premium</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5000" w:type="dxa"/>
            <w:vAlign w:val="bottom"/>
          </w:tcPr>
          <w:p>
            <w:pPr>
              <w:ind w:left="340"/>
              <w:spacing w:after="0"/>
              <w:rPr>
                <w:sz w:val="20"/>
                <w:szCs w:val="20"/>
                <w:color w:val="auto"/>
              </w:rPr>
            </w:pPr>
            <w:r>
              <w:rPr>
                <w:rFonts w:ascii="Arial" w:cs="Arial" w:eastAsia="Arial" w:hAnsi="Arial"/>
                <w:sz w:val="18"/>
                <w:szCs w:val="18"/>
                <w:color w:val="auto"/>
              </w:rPr>
              <w:t>Ceded earned premium</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31"/>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earned premium</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
        </w:trPr>
        <w:tc>
          <w:tcPr>
            <w:tcW w:w="5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Gross earned premium growth was primarily due to an 8.6% increase in premium per policy for automobile insurance primarily resulting from pricing increases in several states and improved customer retention between the periods. This increase was partially offset by lower gross written premium as a result of reducing marketing expenditures.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Loss and Loss Adjustment Expenses</w:t>
      </w:r>
    </w:p>
    <w:p>
      <w:pPr>
        <w:spacing w:after="0" w:line="170"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Loss and LAE increased $36.8 million, or 61.4%, to $96.7 million for the three months ended March 31, 2022 compared to the same period in 2021. The increase was primarily due to retaining a larger share of business, as the reinsurance ceding percentage was lower for the three months ended March 31, 2022 compared to the same period in 2021. In addition, we experienced higher claim severity due to inflation, greater claims volume and a reduction in favorable prior accident years development for the three months ended March 31, 2022 compared to the prior period. For further information on prior accident years development, see Note 5, “Loss and Loss Adjustment Expense Reserves,” in the Notes to Condensed Consolidated Financial Statements.</w:t>
      </w:r>
    </w:p>
    <w:p>
      <w:pPr>
        <w:spacing w:after="0" w:line="98"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Gross accident period loss ratios increased to 81.4% from 76.2% for the three months ended March 31, 2022 and 2021, respectively. The change in the ratios was driven by higher loss costs from increased severity per claim due to inflation, as the industry experienced higher replacement parts cost and growth in used car values. The increase in loss costs was partially offset by growth in average premium per policy and improved tenure mix of our book of business.</w:t>
      </w:r>
    </w:p>
    <w:p>
      <w:pPr>
        <w:spacing w:after="0" w:line="84"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We also experienced a 12 percent increase in severity per claim and a slight increase in claim frequency of two percent for the three months ended March 31, 2022 compared to the same period in 2021. The severity and frequency estimates are based on bodily injury, collision and property damage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170"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Sales and marketing expense decreased $53.7 million, or 78.5%, to $14.7 million for the three months ended March 31, 2022 compared to the same period in 2021. The decrease was primarily due to a decline in performance marketing of $45.9 million and branding and advertising of $12.0 million as a result of lower marketing expenditures. This was partially offset by $5.3 million of warrant compensation expense related to Carvana’s progress toward the Integrated Platform.</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w:t>
      </w:r>
    </w:p>
    <w:p>
      <w:pPr>
        <w:spacing w:after="0" w:line="170"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General and administrative increased $11.6 million, or 63.0%, to $30.0 million for the three months ended March 31, 2022 compared to the same period in 2021. The increase was driven by $7.8 million in restructuring costs related to an organizational realignment in the first quarter of 2022. In addition, we incurred a $2.9 million increase in employee-related costs as a result of an increase in headcount compared to the same period in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adjusted gross profit/(loss),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26"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1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following table provides a reconciliation of total revenue to adjusted gross profit/(loss) and direct contribution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186"/>
        </w:trPr>
        <w:tc>
          <w:tcPr>
            <w:tcW w:w="7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8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w w:val="99"/>
              </w:rPr>
              <w:t>(dollars in millions)</w:t>
            </w:r>
          </w:p>
        </w:tc>
        <w:tc>
          <w:tcPr>
            <w:tcW w:w="660" w:type="dxa"/>
            <w:vAlign w:val="bottom"/>
          </w:tcPr>
          <w:p>
            <w:pPr>
              <w:spacing w:after="0"/>
              <w:rPr>
                <w:sz w:val="15"/>
                <w:szCs w:val="15"/>
                <w:color w:val="auto"/>
              </w:rPr>
            </w:pPr>
          </w:p>
        </w:tc>
      </w:tr>
      <w:tr>
        <w:trPr>
          <w:trHeight w:val="24"/>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w:t>
            </w:r>
          </w:p>
        </w:tc>
      </w:tr>
      <w:tr>
        <w:trPr>
          <w:trHeight w:val="264"/>
        </w:trPr>
        <w:tc>
          <w:tcPr>
            <w:tcW w:w="778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102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(59.9)</w:t>
            </w:r>
          </w:p>
        </w:tc>
      </w:tr>
      <w:tr>
        <w:trPr>
          <w:trHeight w:val="26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expense</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1020" w:type="dxa"/>
            <w:vAlign w:val="bottom"/>
          </w:tcPr>
          <w:p>
            <w:pPr>
              <w:jc w:val="right"/>
              <w:ind w:right="83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6.3</w:t>
            </w:r>
          </w:p>
        </w:tc>
      </w:tr>
      <w:tr>
        <w:trPr>
          <w:trHeight w:val="28"/>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Less: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r>
      <w:tr>
        <w:trPr>
          <w:trHeight w:val="264"/>
        </w:trPr>
        <w:tc>
          <w:tcPr>
            <w:tcW w:w="778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1020" w:type="dxa"/>
            <w:vAlign w:val="bottom"/>
          </w:tcPr>
          <w:p>
            <w:pPr>
              <w:spacing w:after="0"/>
              <w:rPr>
                <w:sz w:val="23"/>
                <w:szCs w:val="23"/>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(2.4)</w:t>
            </w:r>
          </w:p>
        </w:tc>
      </w:tr>
      <w:tr>
        <w:trPr>
          <w:trHeight w:val="26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2"/>
                <w:szCs w:val="22"/>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102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17.0</w:t>
            </w:r>
          </w:p>
        </w:tc>
      </w:tr>
      <w:tr>
        <w:trPr>
          <w:trHeight w:val="28"/>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3"/>
              </w:rPr>
              <w:t>101.1</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1020" w:type="dxa"/>
            <w:vAlign w:val="bottom"/>
          </w:tcPr>
          <w:p>
            <w:pPr>
              <w:spacing w:after="0"/>
              <w:rPr>
                <w:sz w:val="20"/>
                <w:szCs w:val="20"/>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(69.3)</w:t>
            </w:r>
          </w:p>
        </w:tc>
      </w:tr>
      <w:tr>
        <w:trPr>
          <w:trHeight w:val="28"/>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2"/>
                <w:szCs w:val="22"/>
                <w:color w:val="auto"/>
                <w:vertAlign w:val="superscript"/>
              </w:rPr>
              <w:t>(2)</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102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26.6</w:t>
            </w:r>
          </w:p>
        </w:tc>
      </w:tr>
      <w:tr>
        <w:trPr>
          <w:trHeight w:val="28"/>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7"/>
              </w:rPr>
              <w:t>174.7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3"/>
              </w:rPr>
              <w:t>160.2</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7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gross earned premium</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38.8 %</w:t>
            </w:r>
          </w:p>
        </w:tc>
      </w:tr>
      <w:tr>
        <w:trPr>
          <w:trHeight w:val="27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gross earned premium</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45" w:lineRule="exact"/>
        <w:rPr>
          <w:sz w:val="20"/>
          <w:szCs w:val="20"/>
          <w:color w:val="auto"/>
        </w:rPr>
      </w:pPr>
    </w:p>
    <w:p>
      <w:pPr>
        <w:ind w:left="200" w:hanging="194"/>
        <w:spacing w:after="0"/>
        <w:tabs>
          <w:tab w:leader="none" w:pos="2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69" w:lineRule="exact"/>
        <w:rPr>
          <w:rFonts w:ascii="Arial" w:cs="Arial" w:eastAsia="Arial" w:hAnsi="Arial"/>
          <w:sz w:val="14"/>
          <w:szCs w:val="14"/>
          <w:color w:val="auto"/>
        </w:rPr>
      </w:pPr>
    </w:p>
    <w:p>
      <w:pPr>
        <w:ind w:left="320" w:right="20" w:hanging="314"/>
        <w:spacing w:after="0" w:line="265" w:lineRule="auto"/>
        <w:tabs>
          <w:tab w:leader="none" w:pos="202"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 ceded.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EBITDA</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loss to adjusted EBITDA for the three months ended March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right"/>
              <w:ind w:right="398"/>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
        </w:trPr>
        <w:tc>
          <w:tcPr>
            <w:tcW w:w="8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6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6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compensation expense</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2"/>
                <w:szCs w:val="22"/>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(1) Restructuring costs consist of severance, benefits, related costs and real estate exit costs comprising of accelerated amortization of certain right of use assets, leasehold improvements, furniture</w:t>
      </w:r>
    </w:p>
    <w:p>
      <w:pPr>
        <w:spacing w:after="0" w:line="42" w:lineRule="exact"/>
        <w:rPr>
          <w:sz w:val="20"/>
          <w:szCs w:val="20"/>
          <w:color w:val="auto"/>
        </w:rPr>
      </w:pPr>
    </w:p>
    <w:p>
      <w:pPr>
        <w:ind w:left="320" w:right="60"/>
        <w:spacing w:after="0" w:line="281" w:lineRule="auto"/>
        <w:rPr>
          <w:sz w:val="20"/>
          <w:szCs w:val="20"/>
          <w:color w:val="auto"/>
        </w:rPr>
      </w:pPr>
      <w:r>
        <w:rPr>
          <w:rFonts w:ascii="Arial" w:cs="Arial" w:eastAsia="Arial" w:hAnsi="Arial"/>
          <w:sz w:val="14"/>
          <w:szCs w:val="14"/>
          <w:color w:val="auto"/>
        </w:rPr>
        <w:t>and fixtures</w:t>
      </w:r>
      <w:r>
        <w:rPr>
          <w:rFonts w:ascii="Arial" w:cs="Arial" w:eastAsia="Arial" w:hAnsi="Arial"/>
          <w:sz w:val="17"/>
          <w:szCs w:val="17"/>
          <w:color w:val="auto"/>
        </w:rPr>
        <w:t>.</w:t>
      </w:r>
      <w:r>
        <w:rPr>
          <w:rFonts w:ascii="Arial" w:cs="Arial" w:eastAsia="Arial" w:hAnsi="Arial"/>
          <w:sz w:val="14"/>
          <w:szCs w:val="14"/>
          <w:color w:val="auto"/>
        </w:rPr>
        <w:t xml:space="preserve"> This includes $2.1M of share-based compensation and $1.0M in depreciation and amortization. For further information on restructuring costs, see Note 9, “Restructuring Cost,” in the Notes to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70"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Regulatory Considerations</w:t>
      </w:r>
    </w:p>
    <w:p>
      <w:pPr>
        <w:spacing w:after="0" w:line="17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March 31, 2022, they were not permitted to pay any dividends without approval of the applicable superintendent, commissioner and/or director.</w:t>
      </w:r>
    </w:p>
    <w:p>
      <w:pPr>
        <w:spacing w:after="0" w:line="141"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As our insurance subsidiaries’ businesses grow,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2022, our insurance subsidiaries maintained a risk-based capital level that is in excess of an amount that would require any corrective actions on our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Cayman Islands Monetary Authority, or CIMA. At March 31, 2022, Root Re was subject to compliance with certain capital levels and a net earned premium to capital ratio of 15:1, which we maintained as of March 31, 2022.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Financing Arrangements</w:t>
      </w:r>
    </w:p>
    <w:p>
      <w:pPr>
        <w:spacing w:after="0" w:line="170"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On January 26, 2022, we closed on a $300.0 million five-year term loan, or Term Loan C. The maturity of the term loan is January 27, 2027. Interest is payable quarterly and is determined on a floating interest rate calculated on the SOFR, with a 1.0% floor, plus 9%, plus 0.26161% per annum. Concurrently with the term loan, we also issued to the lender warrants to purchase 5.7 million shares of Class A common stock. Under certain contingent scenarios, the lender may also receive additional warrants to purchase shares of Class A common stock equal to 1.0% of the aggregate number of issued and outstanding shares of our Class A common stock on a fully-diluted basis as of the triggering date.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w:t>
      </w:r>
    </w:p>
    <w:p>
      <w:pPr>
        <w:spacing w:after="0" w:line="17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March 31, 2022, we had $934.7 million in cash and cash equivalents, of which $735.9 million was held outside of regulated insurance entities. We also had $129.6 million in marketable securities.</w:t>
      </w:r>
    </w:p>
    <w:p>
      <w:pPr>
        <w:spacing w:after="0" w:line="128"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w:t>
      </w:r>
    </w:p>
    <w:p>
      <w:pPr>
        <w:spacing w:after="0" w:line="58" w:lineRule="exact"/>
        <w:rPr>
          <w:sz w:val="20"/>
          <w:szCs w:val="20"/>
          <w:color w:val="auto"/>
        </w:rPr>
      </w:pPr>
    </w:p>
    <w:p>
      <w:pPr>
        <w:ind w:right="500" w:firstLine="318"/>
        <w:spacing w:after="0" w:line="294" w:lineRule="auto"/>
        <w:rPr>
          <w:sz w:val="20"/>
          <w:szCs w:val="20"/>
          <w:color w:val="auto"/>
        </w:rPr>
      </w:pPr>
      <w:r>
        <w:rPr>
          <w:rFonts w:ascii="Arial" w:cs="Arial" w:eastAsia="Arial" w:hAnsi="Arial"/>
          <w:sz w:val="17"/>
          <w:szCs w:val="17"/>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Our long-term capital requirements depend on many factors, including our insurance premium growth rate, renewal activity, including the timing and the amount of cash received from customers, the performance of our embedded product, the timing and extent of spending to support development efforts, the introduction of new and enhanced products, the continuing market adoption of offerings on our platform, and the ongoing uncertainty in the global markets resulting from the global COVID-19 pandemic. In the first quarter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In the first quarter of 2022, we recognized charges of $5.6 million for severance, benefits and related costs as a result of these actions, of which $3.3 million resulted in cash expenditures. Additionally, we incurred real estate exit costs related to accelerated amortization of certain right of use assets and related leasehold improvements and furniture and fixtures of $1.5 million. We also recognized $0.7 million related to accelerated expense for software that no had no economic value. For certain other space that we ceased using, we currently have the intent or ability to sublease that space and have not recognized any related charges related to accelerated amortization of the right-of-use asset. If that changes in a future period, we may incur additional restructuring charges. Through prudent deployment of capital we believe we have sufficient resources, and access to additional debt and equity capital, to adequately meet our obligations as they come due.</w:t>
      </w:r>
    </w:p>
    <w:p>
      <w:pPr>
        <w:spacing w:after="0" w:line="323" w:lineRule="exact"/>
        <w:rPr>
          <w:sz w:val="20"/>
          <w:szCs w:val="20"/>
          <w:color w:val="auto"/>
        </w:rPr>
      </w:pPr>
    </w:p>
    <w:p>
      <w:pPr>
        <w:ind w:right="400" w:firstLine="318"/>
        <w:spacing w:after="0" w:line="271" w:lineRule="auto"/>
        <w:rPr>
          <w:sz w:val="20"/>
          <w:szCs w:val="20"/>
          <w:color w:val="auto"/>
        </w:rPr>
      </w:pPr>
      <w:r>
        <w:rPr>
          <w:rFonts w:ascii="Arial" w:cs="Arial" w:eastAsia="Arial" w:hAnsi="Arial"/>
          <w:sz w:val="17"/>
          <w:szCs w:val="17"/>
          <w:color w:val="auto"/>
        </w:rPr>
        <w:t>Currently, our debt covenants require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earned premium of 12%; or ceasing any customer acquisition spend outside of the Carvana agreement and reducing our monthly cash burn to no greater than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3240" w:type="dxa"/>
            <w:vAlign w:val="bottom"/>
            <w:tcBorders>
              <w:bottom w:val="single" w:sz="8" w:color="auto"/>
            </w:tcBorders>
            <w:gridSpan w:val="3"/>
          </w:tcPr>
          <w:p>
            <w:pPr>
              <w:jc w:val="center"/>
              <w:ind w:left="783"/>
              <w:spacing w:after="0"/>
              <w:rPr>
                <w:sz w:val="20"/>
                <w:szCs w:val="20"/>
                <w:color w:val="auto"/>
              </w:rPr>
            </w:pPr>
            <w:r>
              <w:rPr>
                <w:rFonts w:ascii="Arial" w:cs="Arial" w:eastAsia="Arial" w:hAnsi="Arial"/>
                <w:sz w:val="14"/>
                <w:szCs w:val="14"/>
                <w:b w:val="1"/>
                <w:bCs w:val="1"/>
                <w:color w:val="auto"/>
                <w:w w:val="93"/>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7460" w:type="dxa"/>
            <w:vAlign w:val="bottom"/>
          </w:tcPr>
          <w:p>
            <w:pPr>
              <w:spacing w:after="0"/>
              <w:rPr>
                <w:sz w:val="16"/>
                <w:szCs w:val="16"/>
                <w:color w:val="auto"/>
              </w:rPr>
            </w:pPr>
          </w:p>
        </w:tc>
        <w:tc>
          <w:tcPr>
            <w:tcW w:w="1300" w:type="dxa"/>
            <w:vAlign w:val="bottom"/>
          </w:tcPr>
          <w:p>
            <w:pPr>
              <w:jc w:val="right"/>
              <w:ind w:right="3"/>
              <w:spacing w:after="0"/>
              <w:rPr>
                <w:sz w:val="20"/>
                <w:szCs w:val="20"/>
                <w:color w:val="auto"/>
              </w:rPr>
            </w:pPr>
            <w:r>
              <w:rPr>
                <w:rFonts w:ascii="Arial" w:cs="Arial" w:eastAsia="Arial" w:hAnsi="Arial"/>
                <w:sz w:val="14"/>
                <w:szCs w:val="14"/>
                <w:b w:val="1"/>
                <w:bCs w:val="1"/>
                <w:color w:val="auto"/>
              </w:rPr>
              <w:t>2022</w:t>
            </w:r>
          </w:p>
        </w:tc>
        <w:tc>
          <w:tcPr>
            <w:tcW w:w="740" w:type="dxa"/>
            <w:vAlign w:val="bottom"/>
          </w:tcPr>
          <w:p>
            <w:pPr>
              <w:spacing w:after="0"/>
              <w:rPr>
                <w:sz w:val="16"/>
                <w:szCs w:val="16"/>
                <w:color w:val="auto"/>
              </w:rPr>
            </w:pPr>
          </w:p>
        </w:tc>
        <w:tc>
          <w:tcPr>
            <w:tcW w:w="120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7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4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1"/>
              </w:rPr>
              <w:t>(in millions)</w:t>
            </w:r>
          </w:p>
        </w:tc>
        <w:tc>
          <w:tcPr>
            <w:tcW w:w="540" w:type="dxa"/>
            <w:vAlign w:val="bottom"/>
          </w:tcPr>
          <w:p>
            <w:pPr>
              <w:spacing w:after="0"/>
              <w:rPr>
                <w:sz w:val="15"/>
                <w:szCs w:val="15"/>
                <w:color w:val="auto"/>
              </w:rPr>
            </w:pPr>
          </w:p>
        </w:tc>
      </w:tr>
      <w:tr>
        <w:trPr>
          <w:trHeight w:val="24"/>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2"/>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shd w:val="clear" w:color="auto" w:fill="CCEEFF"/>
          </w:tcPr>
          <w:p>
            <w:pPr>
              <w:jc w:val="right"/>
              <w:ind w:right="8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(51.2)</w:t>
            </w:r>
          </w:p>
        </w:tc>
        <w:tc>
          <w:tcPr>
            <w:tcW w:w="12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45"/>
        </w:trPr>
        <w:tc>
          <w:tcPr>
            <w:tcW w:w="746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1300" w:type="dxa"/>
            <w:vAlign w:val="bottom"/>
          </w:tcPr>
          <w:p>
            <w:pPr>
              <w:spacing w:after="0"/>
              <w:rPr>
                <w:sz w:val="21"/>
                <w:szCs w:val="21"/>
                <w:color w:val="auto"/>
              </w:rPr>
            </w:pPr>
          </w:p>
        </w:tc>
        <w:tc>
          <w:tcPr>
            <w:tcW w:w="740" w:type="dxa"/>
            <w:vAlign w:val="bottom"/>
          </w:tcPr>
          <w:p>
            <w:pPr>
              <w:jc w:val="right"/>
              <w:ind w:right="136"/>
              <w:spacing w:after="0"/>
              <w:rPr>
                <w:sz w:val="20"/>
                <w:szCs w:val="20"/>
                <w:color w:val="auto"/>
              </w:rPr>
            </w:pPr>
            <w:r>
              <w:rPr>
                <w:rFonts w:ascii="Arial" w:cs="Arial" w:eastAsia="Arial" w:hAnsi="Arial"/>
                <w:sz w:val="18"/>
                <w:szCs w:val="18"/>
                <w:color w:val="auto"/>
              </w:rPr>
              <w:t>(6.3)</w:t>
            </w:r>
          </w:p>
        </w:tc>
        <w:tc>
          <w:tcPr>
            <w:tcW w:w="1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5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286.2</w:t>
            </w:r>
          </w:p>
        </w:tc>
        <w:tc>
          <w:tcPr>
            <w:tcW w:w="12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39"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Net cash used in operating activities for the three months ended March 31, 2022 was $51.2 million compared to $90.9 million of net cash used in operating activities for the three months ended March 31, 2021. The decrease in cash used in operating activities was primarily due to timing of payments and cash receipts related to reinsurance activity, a decline in net loss incurred primarily a result of a decrease in marketing expense and timing of premium receipts and claim payments during the three months ended March 31, 2022 compared to the same period in 2021.</w:t>
      </w:r>
    </w:p>
    <w:p>
      <w:pPr>
        <w:spacing w:after="0" w:line="12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Net cash used in investing activities for the three months ended March 31, 2022 was $6.3 million, primarily due to purchases of investments and indefinite-lived intangible assets and capitalization of internally developed software, which was partially offset by sales, maturities, calls and pay downs of investments. Net cash provided by investing activities for the three months ended March 31, 2021 was $81.3 million, primarily due to proceeds from the sale, maturities, calls and pay downs of investments.</w:t>
      </w:r>
    </w:p>
    <w:p>
      <w:pPr>
        <w:spacing w:after="0" w:line="13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Net cash provided by financing activities for the three months ended March 31, 2022 was $286.2 million, primarily due to proceeds from our Term Loan C. Net cash provided by financing activities for the three months ended March 31, 2021 was $3.1 million primarily due to proceeds from employees exercising stock options, net of tax proceeds (withholding), which was offset by a partial repayment of long term debt.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Material Cash Requirements from Contractual and Other Obligations</w:t>
      </w:r>
    </w:p>
    <w:p>
      <w:pPr>
        <w:spacing w:after="0" w:line="17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There have been no material changes to our contractual and other obligations from those described in our 2021 10-K other than entering into a $300.0 million five-year Term Loan C. The maturity of this term loan is January 27, 2027. For additional information regarding the term loan refer to Note 7 “Long-Term Debt,” in the Notes to Condensed Consolidated Financial Statements.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2021 10-K and the Notes to Condensed Consolidated Financial Statements appearing elsewhere in this Quarterly Report on Form 10-Q. During the three months ended March 31, 2022, there were no material changes to our critical accounting policies from those discussed in our 2021 10-K, other than the potential accounting effects resulting from net operating loss, or NOL, limitations discussed below.</w:t>
      </w:r>
    </w:p>
    <w:p>
      <w:pPr>
        <w:spacing w:after="0" w:line="14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We calculate the tax effects of temporary differences that give rise to deferred tax assets and deferred tax liabilities in accordance with ASC 740,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The application of ASC 740 requires a company to evaluate the recoverability of deferred tax assets and to establish a valuation allowance if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w:t>
      </w:r>
    </w:p>
    <w:p>
      <w:pPr>
        <w:spacing w:after="0" w:line="12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As of March 31, 2022, we had federal income tax NOLs of approximately $1,087.6 million available to offset our future taxable income, if any, prior to consideration of annual limitations that may be imposed under Section 382 of the Internal Revenue Code, or the Code, or otherwise. We have recognized a deferred tax asset of $228.4 million related to these NOLs, which is fully offset by a valuation allowance.</w:t>
      </w:r>
    </w:p>
    <w:p>
      <w:pPr>
        <w:spacing w:after="0" w:line="135"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w:t>
      </w:r>
    </w:p>
    <w:p>
      <w:pPr>
        <w:spacing w:after="0" w:line="8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We performed an estimated ownership change analysis as of March 31, 2022 and concluded there was no ownership change. However, our estimated ownership percentage by certain shareholders over the most recent rolling three-year period changed significantly, although such change did not exceed the 50% threshold. We may experience ownership changes in the future as a result of subsequent shifts in our stock ownership, some of which may be outside of our control, or a change in our methodology for determining such ownership. If we undergo an ownership change, we may be prevented from fully utilizing our NOLs existing at the time of the ownership change prior to their expiration. To the extent there is a limitation, there could be a substantial reduction in the deferred tax asset with an offsetting reduction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in the quantitative and qualitative market risk disclosures included in the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at the reasonable assurance level as of March 31, 2022.</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2022 that materially affected, or are reasonably likely to materially affect, our internal control over financial reporting.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2" w:name="page43"/>
    <w:bookmarkEnd w:id="4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There have been no material changes in our risk factors from those disclosed in the 2021 10-K. In addition to the other information set forth in this Quarterly Report on Form 10-Q, you should carefully consider the risk factors discussed in Part I, Item IA, “Risk Factors” in the 2021 10-K. You should not interpret the disclosure of any risk factor to imply the risk has not already materialized.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3" w:name="page44"/>
    <w:bookmarkEnd w:id="4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Total number of shares</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 number of shares</w:t>
            </w:r>
          </w:p>
        </w:tc>
        <w:tc>
          <w:tcPr>
            <w:tcW w:w="2140" w:type="dxa"/>
            <w:vAlign w:val="bottom"/>
          </w:tcPr>
          <w:p>
            <w:pPr>
              <w:ind w:left="380"/>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33"/>
        </w:trPr>
        <w:tc>
          <w:tcPr>
            <w:tcW w:w="210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1"/>
              </w:rPr>
              <w:t>Average price paid per share</w:t>
            </w:r>
          </w:p>
        </w:tc>
        <w:tc>
          <w:tcPr>
            <w:tcW w:w="80" w:type="dxa"/>
            <w:vAlign w:val="bottom"/>
            <w:vMerge w:val="restart"/>
          </w:tcPr>
          <w:p>
            <w:pPr>
              <w:spacing w:after="0"/>
              <w:rPr>
                <w:sz w:val="11"/>
                <w:szCs w:val="11"/>
                <w:color w:val="auto"/>
              </w:rPr>
            </w:pPr>
          </w:p>
        </w:tc>
        <w:tc>
          <w:tcPr>
            <w:tcW w:w="22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2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that may yet be purchased under</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 or programs</w:t>
            </w:r>
          </w:p>
        </w:tc>
        <w:tc>
          <w:tcPr>
            <w:tcW w:w="8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plans or programs</w:t>
            </w:r>
          </w:p>
        </w:tc>
        <w:tc>
          <w:tcPr>
            <w:tcW w:w="0" w:type="dxa"/>
            <w:vAlign w:val="bottom"/>
          </w:tcPr>
          <w:p>
            <w:pPr>
              <w:spacing w:after="0"/>
              <w:rPr>
                <w:sz w:val="1"/>
                <w:szCs w:val="1"/>
                <w:color w:val="auto"/>
              </w:rPr>
            </w:pPr>
          </w:p>
        </w:tc>
      </w:tr>
      <w:tr>
        <w:trPr>
          <w:trHeight w:val="246"/>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1/1/2022 - 1/31/2022</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100" w:type="dxa"/>
            <w:vAlign w:val="bottom"/>
          </w:tcPr>
          <w:p>
            <w:pPr>
              <w:jc w:val="right"/>
              <w:ind w:right="176"/>
              <w:spacing w:after="0"/>
              <w:rPr>
                <w:sz w:val="20"/>
                <w:szCs w:val="20"/>
                <w:color w:val="auto"/>
              </w:rPr>
            </w:pPr>
            <w:r>
              <w:rPr>
                <w:rFonts w:ascii="Arial" w:cs="Arial" w:eastAsia="Arial" w:hAnsi="Arial"/>
                <w:sz w:val="18"/>
                <w:szCs w:val="18"/>
                <w:color w:val="auto"/>
              </w:rPr>
              <w:t>2/1/2022 - 2/28/2022</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0.68</w:t>
            </w:r>
          </w:p>
        </w:tc>
        <w:tc>
          <w:tcPr>
            <w:tcW w:w="80" w:type="dxa"/>
            <w:vAlign w:val="bottom"/>
          </w:tcPr>
          <w:p>
            <w:pPr>
              <w:spacing w:after="0"/>
              <w:rPr>
                <w:sz w:val="21"/>
                <w:szCs w:val="21"/>
                <w:color w:val="auto"/>
              </w:rPr>
            </w:pPr>
          </w:p>
        </w:tc>
        <w:tc>
          <w:tcPr>
            <w:tcW w:w="220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3/1/2022 - 3/31/2022</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60" w:firstLine="318"/>
        <w:spacing w:after="0" w:line="277" w:lineRule="auto"/>
        <w:rPr>
          <w:sz w:val="20"/>
          <w:szCs w:val="20"/>
          <w:color w:val="auto"/>
        </w:rPr>
      </w:pPr>
      <w:r>
        <w:rPr>
          <w:rFonts w:ascii="Arial" w:cs="Arial" w:eastAsia="Arial" w:hAnsi="Arial"/>
          <w:sz w:val="17"/>
          <w:szCs w:val="17"/>
          <w:color w:val="auto"/>
        </w:rPr>
        <w:t>All of the shares repurchased, as reflected in the table above, were repurchases of unvested shares of our Class A and Class B common stock that had been issued upon early exercise of stock options. Pursuant to the associated option award agreements, upon termination of employment of a person holding unvested shares, we were entitled to repurchase the unvested shares at the original exercise price.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64"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in the future.</w:t>
      </w:r>
    </w:p>
    <w:p>
      <w:pPr>
        <w:spacing w:after="0" w:line="104"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The payment of any extraordinary dividend by one of our regulated insurance subsidiaries requires the prior approval of the superintendent of the supervisory Department of Insurance, or DOI. “Extraordinary dividend” is defined under the Ohio Revised Code and Delaware Insurance Code, or Code, as:</w:t>
      </w:r>
    </w:p>
    <w:p>
      <w:pPr>
        <w:spacing w:after="0" w:line="1" w:lineRule="exact"/>
        <w:rPr>
          <w:sz w:val="20"/>
          <w:szCs w:val="20"/>
          <w:color w:val="auto"/>
        </w:rPr>
      </w:pPr>
    </w:p>
    <w:p>
      <w:pPr>
        <w:ind w:right="20" w:firstLine="6"/>
        <w:spacing w:after="0" w:line="246" w:lineRule="auto"/>
        <w:tabs>
          <w:tab w:leader="none" w:pos="2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2021, neither Root Insurance Company nor Root Property &amp; Casualty Insurance Company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 included in the 2021 10-K.</w:t>
      </w:r>
    </w:p>
    <w:p>
      <w:pPr>
        <w:spacing w:after="0" w:line="14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Further, Term Loan C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5" w:name="page46"/>
    <w:bookmarkEnd w:id="4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6" w:name="page47"/>
    <w:bookmarkEnd w:id="4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May 2, 2022, the Compensation Committee of the Board of Directors (the “Board”) of Root, Inc. (the “Company”) approved certain changes to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compensation arrangements for Alexander Timm, Chief Executive Officer and Co-Founder and Daniel Rosenthal, Chief Revenue and Operating Officer.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Representing 60% of Mr. Timm’s target annual long-term incentive opportunity of $7,000,000, Mr. Timm’s opportunity for 2022 will have a value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$4,200,000, with one-half of such value granted in the form of restricted stock units (“RSUs”) under the Company’s 2020 Equity Incentive Plan (the “2020</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 vesting over two years, and the remainder granted pursuant to the form of the cash incentive agreement (the “Cash Incentive Agreement”) set forth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Exhibit 10.9 hereto and incorporated herein by reference, vesting April 1, 2023. Representing 60% of Mr. Rosenthal’s target annual long-term incentive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opportunity of $4,000,000, Mr. Rosenthal’s target opportunity for 2022 will have a value of $2,400,000, with one-half of such value granted in the form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RSUs under the 2020 Plan, vesting over two years, and the remainder granted pursuant to the form of the Cash Incentive Agreement, vesting April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580" w:type="dxa"/>
            <w:vAlign w:val="bottom"/>
          </w:tcPr>
          <w:p>
            <w:pPr>
              <w:ind w:left="320"/>
              <w:spacing w:after="0"/>
              <w:rPr>
                <w:sz w:val="20"/>
                <w:szCs w:val="20"/>
                <w:color w:val="auto"/>
              </w:rPr>
            </w:pPr>
            <w:r>
              <w:rPr>
                <w:rFonts w:ascii="Arial" w:cs="Arial" w:eastAsia="Arial" w:hAnsi="Arial"/>
                <w:sz w:val="18"/>
                <w:szCs w:val="18"/>
                <w:color w:val="auto"/>
              </w:rPr>
              <w:t>(a)</w:t>
            </w:r>
          </w:p>
        </w:tc>
        <w:tc>
          <w:tcPr>
            <w:tcW w:w="128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gridSpan w:val="2"/>
          </w:tcPr>
          <w:p>
            <w:pPr>
              <w:ind w:left="840"/>
              <w:spacing w:after="0"/>
              <w:rPr>
                <w:sz w:val="20"/>
                <w:szCs w:val="20"/>
                <w:color w:val="auto"/>
              </w:rPr>
            </w:pPr>
            <w:r>
              <w:rPr>
                <w:rFonts w:ascii="Arial" w:cs="Arial" w:eastAsia="Arial" w:hAnsi="Arial"/>
                <w:sz w:val="14"/>
                <w:szCs w:val="14"/>
                <w:b w:val="1"/>
                <w:bCs w:val="1"/>
                <w:color w:val="auto"/>
                <w:w w:val="99"/>
              </w:rPr>
              <w:t>Incorporation by Reference</w:t>
            </w: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8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w w:val="94"/>
              </w:rPr>
              <w:t>Exhibit</w:t>
            </w:r>
          </w:p>
        </w:tc>
        <w:tc>
          <w:tcPr>
            <w:tcW w:w="3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860" w:type="dxa"/>
            <w:vAlign w:val="bottom"/>
            <w:gridSpan w:val="4"/>
            <w:vMerge w:val="continue"/>
          </w:tcPr>
          <w:p>
            <w:pPr>
              <w:spacing w:after="0"/>
              <w:rPr>
                <w:sz w:val="12"/>
                <w:szCs w:val="12"/>
                <w:color w:val="auto"/>
              </w:rPr>
            </w:pPr>
          </w:p>
        </w:tc>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6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Form</w:t>
            </w:r>
          </w:p>
        </w:tc>
        <w:tc>
          <w:tcPr>
            <w:tcW w:w="150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314" w:right="339" w:bottom="1440" w:gutter="0" w:footer="0" w:header="0"/>
        </w:sect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3.1</w:t>
            </w:r>
          </w:p>
        </w:tc>
        <w:tc>
          <w:tcPr>
            <w:tcW w:w="3900" w:type="dxa"/>
            <w:vAlign w:val="bottom"/>
            <w:gridSpan w:val="27"/>
          </w:tcPr>
          <w:p>
            <w:pPr>
              <w:spacing w:after="0"/>
              <w:rPr>
                <w:rFonts w:ascii="Arial" w:cs="Arial" w:eastAsia="Arial" w:hAnsi="Arial"/>
                <w:sz w:val="16"/>
                <w:szCs w:val="16"/>
                <w:color w:val="0000FF"/>
                <w:w w:val="92"/>
              </w:rPr>
            </w:pPr>
            <w:hyperlink r:id="rId67">
              <w:r>
                <w:rPr>
                  <w:rFonts w:ascii="Arial" w:cs="Arial" w:eastAsia="Arial" w:hAnsi="Arial"/>
                  <w:sz w:val="16"/>
                  <w:szCs w:val="16"/>
                  <w:color w:val="0000FF"/>
                  <w:w w:val="92"/>
                </w:rPr>
                <w:t>Amended and Restated Certificate of Incorporation of Root,</w:t>
              </w:r>
            </w:hyperlink>
          </w:p>
        </w:tc>
      </w:tr>
      <w:tr>
        <w:trPr>
          <w:trHeight w:val="139"/>
        </w:trPr>
        <w:tc>
          <w:tcPr>
            <w:tcW w:w="1120" w:type="dxa"/>
            <w:vAlign w:val="bottom"/>
          </w:tcPr>
          <w:p>
            <w:pPr>
              <w:spacing w:after="0"/>
              <w:rPr>
                <w:sz w:val="12"/>
                <w:szCs w:val="12"/>
                <w:color w:val="auto"/>
              </w:rPr>
            </w:pPr>
          </w:p>
        </w:tc>
        <w:tc>
          <w:tcPr>
            <w:tcW w:w="24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5"/>
              </w:rPr>
            </w:pPr>
            <w:hyperlink r:id="rId67">
              <w:r>
                <w:rPr>
                  <w:rFonts w:ascii="Arial" w:cs="Arial" w:eastAsia="Arial" w:hAnsi="Arial"/>
                  <w:sz w:val="16"/>
                  <w:szCs w:val="16"/>
                  <w:color w:val="0000FF"/>
                  <w:w w:val="85"/>
                </w:rPr>
                <w:t>Inc.</w:t>
              </w:r>
            </w:hyperlink>
          </w:p>
        </w:tc>
        <w:tc>
          <w:tcPr>
            <w:tcW w:w="36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3.2</w:t>
            </w:r>
          </w:p>
        </w:tc>
        <w:tc>
          <w:tcPr>
            <w:tcW w:w="2840" w:type="dxa"/>
            <w:vAlign w:val="bottom"/>
            <w:tcBorders>
              <w:bottom w:val="single" w:sz="8" w:color="0000FF"/>
            </w:tcBorders>
            <w:gridSpan w:val="7"/>
          </w:tcPr>
          <w:p>
            <w:pPr>
              <w:spacing w:after="0"/>
              <w:rPr>
                <w:rFonts w:ascii="Arial" w:cs="Arial" w:eastAsia="Arial" w:hAnsi="Arial"/>
                <w:sz w:val="16"/>
                <w:szCs w:val="16"/>
                <w:color w:val="0000FF"/>
                <w:w w:val="89"/>
              </w:rPr>
            </w:pPr>
            <w:hyperlink r:id="rId68">
              <w:r>
                <w:rPr>
                  <w:rFonts w:ascii="Arial" w:cs="Arial" w:eastAsia="Arial" w:hAnsi="Arial"/>
                  <w:sz w:val="16"/>
                  <w:szCs w:val="16"/>
                  <w:color w:val="0000FF"/>
                  <w:w w:val="89"/>
                </w:rPr>
                <w:t>Amended and Restated Bylaws of Root, Inc.</w:t>
              </w:r>
            </w:hyperlink>
          </w:p>
        </w:tc>
        <w:tc>
          <w:tcPr>
            <w:tcW w:w="1060" w:type="dxa"/>
            <w:vAlign w:val="bottom"/>
            <w:gridSpan w:val="20"/>
          </w:tcPr>
          <w:p>
            <w:pPr>
              <w:spacing w:after="0"/>
              <w:rPr>
                <w:sz w:val="21"/>
                <w:szCs w:val="2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3.3</w:t>
            </w:r>
          </w:p>
        </w:tc>
        <w:tc>
          <w:tcPr>
            <w:tcW w:w="3900" w:type="dxa"/>
            <w:vAlign w:val="bottom"/>
            <w:gridSpan w:val="27"/>
          </w:tcPr>
          <w:p>
            <w:pPr>
              <w:spacing w:after="0"/>
              <w:rPr>
                <w:rFonts w:ascii="Arial" w:cs="Arial" w:eastAsia="Arial" w:hAnsi="Arial"/>
                <w:sz w:val="16"/>
                <w:szCs w:val="16"/>
                <w:color w:val="0000FF"/>
                <w:w w:val="91"/>
              </w:rPr>
            </w:pPr>
            <w:hyperlink r:id="rId69">
              <w:r>
                <w:rPr>
                  <w:rFonts w:ascii="Arial" w:cs="Arial" w:eastAsia="Arial" w:hAnsi="Arial"/>
                  <w:sz w:val="16"/>
                  <w:szCs w:val="16"/>
                  <w:color w:val="0000FF"/>
                  <w:w w:val="91"/>
                </w:rPr>
                <w:t>Certificate of Designations of Series A Preferred Stock, filed</w:t>
              </w:r>
            </w:hyperlink>
          </w:p>
        </w:tc>
      </w:tr>
      <w:tr>
        <w:trPr>
          <w:trHeight w:val="139"/>
        </w:trPr>
        <w:tc>
          <w:tcPr>
            <w:tcW w:w="112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15"/>
          </w:tcPr>
          <w:p>
            <w:pPr>
              <w:spacing w:after="0" w:line="139" w:lineRule="exact"/>
              <w:rPr>
                <w:rFonts w:ascii="Arial" w:cs="Arial" w:eastAsia="Arial" w:hAnsi="Arial"/>
                <w:sz w:val="16"/>
                <w:szCs w:val="16"/>
                <w:color w:val="0000FF"/>
                <w:w w:val="89"/>
              </w:rPr>
            </w:pPr>
            <w:hyperlink r:id="rId69">
              <w:r>
                <w:rPr>
                  <w:rFonts w:ascii="Arial" w:cs="Arial" w:eastAsia="Arial" w:hAnsi="Arial"/>
                  <w:sz w:val="16"/>
                  <w:szCs w:val="16"/>
                  <w:color w:val="0000FF"/>
                  <w:w w:val="89"/>
                </w:rPr>
                <w:t>with the Delaware Secretary of State on October 1, 2021</w:t>
              </w:r>
            </w:hyperlink>
          </w:p>
        </w:tc>
        <w:tc>
          <w:tcPr>
            <w:tcW w:w="2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r>
      <w:tr>
        <w:trPr>
          <w:trHeight w:val="285"/>
        </w:trPr>
        <w:tc>
          <w:tcPr>
            <w:tcW w:w="1120" w:type="dxa"/>
            <w:vAlign w:val="bottom"/>
          </w:tcPr>
          <w:p>
            <w:pPr>
              <w:spacing w:after="0"/>
              <w:rPr>
                <w:sz w:val="20"/>
                <w:szCs w:val="20"/>
                <w:color w:val="auto"/>
              </w:rPr>
            </w:pPr>
            <w:r>
              <w:rPr>
                <w:rFonts w:ascii="Arial" w:cs="Arial" w:eastAsia="Arial" w:hAnsi="Arial"/>
                <w:sz w:val="16"/>
                <w:szCs w:val="16"/>
                <w:color w:val="auto"/>
              </w:rPr>
              <w:t>4.1</w:t>
            </w:r>
          </w:p>
        </w:tc>
        <w:tc>
          <w:tcPr>
            <w:tcW w:w="2740" w:type="dxa"/>
            <w:vAlign w:val="bottom"/>
            <w:tcBorders>
              <w:bottom w:val="single" w:sz="8" w:color="0000FF"/>
            </w:tcBorders>
            <w:gridSpan w:val="6"/>
          </w:tcPr>
          <w:p>
            <w:pPr>
              <w:spacing w:after="0"/>
              <w:rPr>
                <w:rFonts w:ascii="Arial" w:cs="Arial" w:eastAsia="Arial" w:hAnsi="Arial"/>
                <w:sz w:val="16"/>
                <w:szCs w:val="16"/>
                <w:color w:val="0000FF"/>
                <w:w w:val="90"/>
              </w:rPr>
            </w:pPr>
            <w:hyperlink r:id="rId70">
              <w:r>
                <w:rPr>
                  <w:rFonts w:ascii="Arial" w:cs="Arial" w:eastAsia="Arial" w:hAnsi="Arial"/>
                  <w:sz w:val="16"/>
                  <w:szCs w:val="16"/>
                  <w:color w:val="0000FF"/>
                  <w:w w:val="90"/>
                </w:rPr>
                <w:t>Form of Class A common stock certificate.</w:t>
              </w:r>
            </w:hyperlink>
          </w:p>
        </w:tc>
        <w:tc>
          <w:tcPr>
            <w:tcW w:w="1160" w:type="dxa"/>
            <w:vAlign w:val="bottom"/>
            <w:gridSpan w:val="21"/>
          </w:tcPr>
          <w:p>
            <w:pPr>
              <w:spacing w:after="0"/>
              <w:rPr>
                <w:sz w:val="24"/>
                <w:szCs w:val="24"/>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6"/>
                <w:szCs w:val="16"/>
                <w:color w:val="auto"/>
              </w:rPr>
              <w:t>4.2</w:t>
            </w:r>
          </w:p>
        </w:tc>
        <w:tc>
          <w:tcPr>
            <w:tcW w:w="3900" w:type="dxa"/>
            <w:vAlign w:val="bottom"/>
            <w:gridSpan w:val="27"/>
          </w:tcPr>
          <w:p>
            <w:pPr>
              <w:spacing w:after="0"/>
              <w:rPr>
                <w:rFonts w:ascii="Arial" w:cs="Arial" w:eastAsia="Arial" w:hAnsi="Arial"/>
                <w:sz w:val="16"/>
                <w:szCs w:val="16"/>
                <w:color w:val="0000FF"/>
                <w:w w:val="92"/>
              </w:rPr>
            </w:pPr>
            <w:hyperlink r:id="rId71">
              <w:r>
                <w:rPr>
                  <w:rFonts w:ascii="Arial" w:cs="Arial" w:eastAsia="Arial" w:hAnsi="Arial"/>
                  <w:sz w:val="16"/>
                  <w:szCs w:val="16"/>
                  <w:color w:val="0000FF"/>
                  <w:w w:val="92"/>
                </w:rPr>
                <w:t>Common Stock Purchase Warrants, dated as of October 1,</w:t>
              </w:r>
            </w:hyperlink>
          </w:p>
        </w:tc>
      </w:tr>
      <w:tr>
        <w:trPr>
          <w:trHeight w:val="139"/>
        </w:trPr>
        <w:tc>
          <w:tcPr>
            <w:tcW w:w="11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7"/>
          </w:tcPr>
          <w:p>
            <w:pPr>
              <w:spacing w:after="0" w:line="139" w:lineRule="exact"/>
              <w:rPr>
                <w:rFonts w:ascii="Arial" w:cs="Arial" w:eastAsia="Arial" w:hAnsi="Arial"/>
                <w:sz w:val="16"/>
                <w:szCs w:val="16"/>
                <w:color w:val="0000FF"/>
                <w:w w:val="88"/>
              </w:rPr>
            </w:pPr>
            <w:hyperlink r:id="rId71">
              <w:r>
                <w:rPr>
                  <w:rFonts w:ascii="Arial" w:cs="Arial" w:eastAsia="Arial" w:hAnsi="Arial"/>
                  <w:sz w:val="16"/>
                  <w:szCs w:val="16"/>
                  <w:color w:val="0000FF"/>
                  <w:w w:val="88"/>
                </w:rPr>
                <w:t>2021, by and between Root, Inc. and Carvana Group, LLC</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4.3</w:t>
            </w:r>
          </w:p>
        </w:tc>
        <w:tc>
          <w:tcPr>
            <w:tcW w:w="3900" w:type="dxa"/>
            <w:vAlign w:val="bottom"/>
            <w:gridSpan w:val="27"/>
          </w:tcPr>
          <w:p>
            <w:pPr>
              <w:spacing w:after="0"/>
              <w:rPr>
                <w:rFonts w:ascii="Arial" w:cs="Arial" w:eastAsia="Arial" w:hAnsi="Arial"/>
                <w:sz w:val="16"/>
                <w:szCs w:val="16"/>
                <w:color w:val="0000FF"/>
                <w:w w:val="98"/>
              </w:rPr>
            </w:pPr>
            <w:hyperlink r:id="rId72">
              <w:r>
                <w:rPr>
                  <w:rFonts w:ascii="Arial" w:cs="Arial" w:eastAsia="Arial" w:hAnsi="Arial"/>
                  <w:sz w:val="16"/>
                  <w:szCs w:val="16"/>
                  <w:color w:val="0000FF"/>
                  <w:w w:val="98"/>
                </w:rPr>
                <w:t>Form of Common Stock Purchase Warrant (Tranche 1),</w:t>
              </w:r>
            </w:hyperlink>
          </w:p>
        </w:tc>
      </w:tr>
      <w:tr>
        <w:trPr>
          <w:trHeight w:val="139"/>
        </w:trPr>
        <w:tc>
          <w:tcPr>
            <w:tcW w:w="112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4"/>
          </w:tcPr>
          <w:p>
            <w:pPr>
              <w:spacing w:after="0" w:line="139" w:lineRule="exact"/>
              <w:rPr>
                <w:rFonts w:ascii="Arial" w:cs="Arial" w:eastAsia="Arial" w:hAnsi="Arial"/>
                <w:sz w:val="16"/>
                <w:szCs w:val="16"/>
                <w:color w:val="0000FF"/>
                <w:w w:val="86"/>
              </w:rPr>
            </w:pPr>
            <w:hyperlink r:id="rId72">
              <w:r>
                <w:rPr>
                  <w:rFonts w:ascii="Arial" w:cs="Arial" w:eastAsia="Arial" w:hAnsi="Arial"/>
                  <w:sz w:val="16"/>
                  <w:szCs w:val="16"/>
                  <w:color w:val="0000FF"/>
                  <w:w w:val="86"/>
                </w:rPr>
                <w:t>dated January 26, 2022</w:t>
              </w:r>
            </w:hyperlink>
          </w:p>
        </w:tc>
        <w:tc>
          <w:tcPr>
            <w:tcW w:w="2060" w:type="dxa"/>
            <w:vAlign w:val="bottom"/>
            <w:tcBorders>
              <w:top w:val="single" w:sz="8" w:color="0000FF"/>
            </w:tcBorders>
            <w:gridSpan w:val="8"/>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4.4</w:t>
            </w:r>
          </w:p>
        </w:tc>
        <w:tc>
          <w:tcPr>
            <w:tcW w:w="3900" w:type="dxa"/>
            <w:vAlign w:val="bottom"/>
            <w:gridSpan w:val="27"/>
          </w:tcPr>
          <w:p>
            <w:pPr>
              <w:spacing w:after="0"/>
              <w:rPr>
                <w:rFonts w:ascii="Arial" w:cs="Arial" w:eastAsia="Arial" w:hAnsi="Arial"/>
                <w:sz w:val="16"/>
                <w:szCs w:val="16"/>
                <w:color w:val="0000FF"/>
                <w:w w:val="99"/>
              </w:rPr>
            </w:pPr>
            <w:hyperlink r:id="rId73">
              <w:r>
                <w:rPr>
                  <w:rFonts w:ascii="Arial" w:cs="Arial" w:eastAsia="Arial" w:hAnsi="Arial"/>
                  <w:sz w:val="16"/>
                  <w:szCs w:val="16"/>
                  <w:color w:val="0000FF"/>
                  <w:w w:val="99"/>
                </w:rPr>
                <w:t>Form of Common Stock Purchase Warrant (Tranche 2)</w:t>
              </w:r>
            </w:hyperlink>
          </w:p>
        </w:tc>
      </w:tr>
      <w:tr>
        <w:trPr>
          <w:trHeight w:val="20"/>
        </w:trPr>
        <w:tc>
          <w:tcPr>
            <w:tcW w:w="11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10.1§</w:t>
            </w:r>
          </w:p>
        </w:tc>
        <w:tc>
          <w:tcPr>
            <w:tcW w:w="3860" w:type="dxa"/>
            <w:vAlign w:val="bottom"/>
            <w:tcBorders>
              <w:bottom w:val="single" w:sz="8" w:color="0000FF"/>
            </w:tcBorders>
            <w:gridSpan w:val="25"/>
          </w:tcPr>
          <w:p>
            <w:pPr>
              <w:spacing w:after="0"/>
              <w:rPr>
                <w:rFonts w:ascii="Arial" w:cs="Arial" w:eastAsia="Arial" w:hAnsi="Arial"/>
                <w:sz w:val="16"/>
                <w:szCs w:val="16"/>
                <w:color w:val="0000FF"/>
                <w:w w:val="88"/>
              </w:rPr>
            </w:pPr>
            <w:hyperlink w:anchor="page51">
              <w:r>
                <w:rPr>
                  <w:rFonts w:ascii="Arial" w:cs="Arial" w:eastAsia="Arial" w:hAnsi="Arial"/>
                  <w:sz w:val="16"/>
                  <w:szCs w:val="16"/>
                  <w:color w:val="0000FF"/>
                  <w:w w:val="88"/>
                </w:rPr>
                <w:t>Term Loan Agreement, dated as of January 26, 2022, by and</w:t>
              </w:r>
            </w:hyperlink>
          </w:p>
        </w:tc>
        <w:tc>
          <w:tcPr>
            <w:tcW w:w="40" w:type="dxa"/>
            <w:vAlign w:val="bottom"/>
            <w:gridSpan w:val="2"/>
          </w:tcPr>
          <w:p>
            <w:pPr>
              <w:spacing w:after="0"/>
              <w:rPr>
                <w:sz w:val="23"/>
                <w:szCs w:val="23"/>
                <w:color w:val="auto"/>
              </w:rPr>
            </w:pPr>
          </w:p>
        </w:tc>
      </w:tr>
      <w:tr>
        <w:trPr>
          <w:trHeight w:val="139"/>
        </w:trPr>
        <w:tc>
          <w:tcPr>
            <w:tcW w:w="1120" w:type="dxa"/>
            <w:vAlign w:val="bottom"/>
          </w:tcPr>
          <w:p>
            <w:pPr>
              <w:spacing w:after="0"/>
              <w:rPr>
                <w:sz w:val="12"/>
                <w:szCs w:val="12"/>
                <w:color w:val="auto"/>
              </w:rPr>
            </w:pPr>
          </w:p>
        </w:tc>
        <w:tc>
          <w:tcPr>
            <w:tcW w:w="3860" w:type="dxa"/>
            <w:vAlign w:val="bottom"/>
            <w:gridSpan w:val="25"/>
          </w:tcPr>
          <w:p>
            <w:pPr>
              <w:spacing w:after="0" w:line="139" w:lineRule="exact"/>
              <w:rPr>
                <w:rFonts w:ascii="Arial" w:cs="Arial" w:eastAsia="Arial" w:hAnsi="Arial"/>
                <w:sz w:val="16"/>
                <w:szCs w:val="16"/>
                <w:color w:val="0000FF"/>
                <w:w w:val="90"/>
              </w:rPr>
            </w:pPr>
            <w:hyperlink w:anchor="page51">
              <w:r>
                <w:rPr>
                  <w:rFonts w:ascii="Arial" w:cs="Arial" w:eastAsia="Arial" w:hAnsi="Arial"/>
                  <w:sz w:val="16"/>
                  <w:szCs w:val="16"/>
                  <w:color w:val="0000FF"/>
                  <w:w w:val="90"/>
                </w:rPr>
                <w:t>among the Company, Caret Holdings, Inc., as borrower, the</w:t>
              </w:r>
            </w:hyperlink>
          </w:p>
        </w:tc>
        <w:tc>
          <w:tcPr>
            <w:tcW w:w="40" w:type="dxa"/>
            <w:vAlign w:val="bottom"/>
            <w:gridSpan w:val="2"/>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780" w:type="dxa"/>
            <w:vAlign w:val="bottom"/>
            <w:tcBorders>
              <w:top w:val="single" w:sz="8" w:color="0000FF"/>
            </w:tcBorders>
            <w:gridSpan w:val="21"/>
          </w:tcPr>
          <w:p>
            <w:pPr>
              <w:spacing w:after="0" w:line="139" w:lineRule="exact"/>
              <w:rPr>
                <w:rFonts w:ascii="Arial" w:cs="Arial" w:eastAsia="Arial" w:hAnsi="Arial"/>
                <w:sz w:val="16"/>
                <w:szCs w:val="16"/>
                <w:color w:val="0000FF"/>
                <w:w w:val="94"/>
              </w:rPr>
            </w:pPr>
            <w:hyperlink w:anchor="page51">
              <w:r>
                <w:rPr>
                  <w:rFonts w:ascii="Arial" w:cs="Arial" w:eastAsia="Arial" w:hAnsi="Arial"/>
                  <w:sz w:val="16"/>
                  <w:szCs w:val="16"/>
                  <w:color w:val="0000FF"/>
                  <w:w w:val="94"/>
                </w:rPr>
                <w:t>loan parties party thereto and Acquiom Agency Services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600" w:type="dxa"/>
            <w:vAlign w:val="bottom"/>
            <w:tcBorders>
              <w:top w:val="single" w:sz="8" w:color="0000FF"/>
            </w:tcBorders>
            <w:gridSpan w:val="14"/>
          </w:tcPr>
          <w:p>
            <w:pPr>
              <w:spacing w:after="0" w:line="139" w:lineRule="exact"/>
              <w:rPr>
                <w:rFonts w:ascii="Arial" w:cs="Arial" w:eastAsia="Arial" w:hAnsi="Arial"/>
                <w:sz w:val="16"/>
                <w:szCs w:val="16"/>
                <w:color w:val="0000FF"/>
                <w:w w:val="95"/>
              </w:rPr>
            </w:pPr>
            <w:hyperlink w:anchor="page51">
              <w:r>
                <w:rPr>
                  <w:rFonts w:ascii="Arial" w:cs="Arial" w:eastAsia="Arial" w:hAnsi="Arial"/>
                  <w:sz w:val="16"/>
                  <w:szCs w:val="16"/>
                  <w:color w:val="0000FF"/>
                  <w:w w:val="95"/>
                </w:rPr>
                <w:t>LLC, as the administrative agent for the lenders party</w:t>
              </w:r>
            </w:hyperlink>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440" w:type="dxa"/>
            <w:vAlign w:val="bottom"/>
            <w:tcBorders>
              <w:top w:val="single" w:sz="8" w:color="0000FF"/>
              <w:bottom w:val="single" w:sz="8" w:color="0000FF"/>
            </w:tcBorders>
            <w:gridSpan w:val="2"/>
          </w:tcPr>
          <w:p>
            <w:pPr>
              <w:spacing w:after="0" w:line="139" w:lineRule="exact"/>
              <w:rPr>
                <w:rFonts w:ascii="Arial" w:cs="Arial" w:eastAsia="Arial" w:hAnsi="Arial"/>
                <w:sz w:val="16"/>
                <w:szCs w:val="16"/>
                <w:color w:val="0000FF"/>
                <w:w w:val="84"/>
              </w:rPr>
            </w:pPr>
            <w:hyperlink w:anchor="page51">
              <w:r>
                <w:rPr>
                  <w:rFonts w:ascii="Arial" w:cs="Arial" w:eastAsia="Arial" w:hAnsi="Arial"/>
                  <w:sz w:val="16"/>
                  <w:szCs w:val="16"/>
                  <w:color w:val="0000FF"/>
                  <w:w w:val="84"/>
                </w:rPr>
                <w:t>thereto</w:t>
              </w:r>
            </w:hyperlink>
          </w:p>
        </w:tc>
        <w:tc>
          <w:tcPr>
            <w:tcW w:w="2960" w:type="dxa"/>
            <w:vAlign w:val="bottom"/>
            <w:tcBorders>
              <w:top w:val="single" w:sz="8" w:color="0000FF"/>
            </w:tcBorders>
            <w:gridSpan w:val="8"/>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10.2</w:t>
            </w:r>
          </w:p>
        </w:tc>
        <w:tc>
          <w:tcPr>
            <w:tcW w:w="3900" w:type="dxa"/>
            <w:vAlign w:val="bottom"/>
            <w:gridSpan w:val="27"/>
          </w:tcPr>
          <w:p>
            <w:pPr>
              <w:spacing w:after="0"/>
              <w:rPr>
                <w:rFonts w:ascii="Arial" w:cs="Arial" w:eastAsia="Arial" w:hAnsi="Arial"/>
                <w:sz w:val="16"/>
                <w:szCs w:val="16"/>
                <w:color w:val="0000FF"/>
                <w:w w:val="92"/>
              </w:rPr>
            </w:pPr>
            <w:hyperlink r:id="rId74">
              <w:r>
                <w:rPr>
                  <w:rFonts w:ascii="Arial" w:cs="Arial" w:eastAsia="Arial" w:hAnsi="Arial"/>
                  <w:sz w:val="16"/>
                  <w:szCs w:val="16"/>
                  <w:color w:val="0000FF"/>
                  <w:w w:val="92"/>
                </w:rPr>
                <w:t>Registration Rights Agreement, dated January 26, 2022, by</w:t>
              </w:r>
            </w:hyperlink>
          </w:p>
        </w:tc>
      </w:tr>
      <w:tr>
        <w:trPr>
          <w:trHeight w:val="139"/>
        </w:trPr>
        <w:tc>
          <w:tcPr>
            <w:tcW w:w="1120" w:type="dxa"/>
            <w:vAlign w:val="bottom"/>
          </w:tcPr>
          <w:p>
            <w:pPr>
              <w:spacing w:after="0"/>
              <w:rPr>
                <w:sz w:val="12"/>
                <w:szCs w:val="12"/>
                <w:color w:val="auto"/>
              </w:rPr>
            </w:pPr>
          </w:p>
        </w:tc>
        <w:tc>
          <w:tcPr>
            <w:tcW w:w="3760" w:type="dxa"/>
            <w:vAlign w:val="bottom"/>
            <w:tcBorders>
              <w:top w:val="single" w:sz="8" w:color="0000FF"/>
            </w:tcBorders>
            <w:gridSpan w:val="20"/>
          </w:tcPr>
          <w:p>
            <w:pPr>
              <w:spacing w:after="0" w:line="139" w:lineRule="exact"/>
              <w:rPr>
                <w:rFonts w:ascii="Arial" w:cs="Arial" w:eastAsia="Arial" w:hAnsi="Arial"/>
                <w:sz w:val="16"/>
                <w:szCs w:val="16"/>
                <w:color w:val="0000FF"/>
                <w:w w:val="93"/>
              </w:rPr>
            </w:pPr>
            <w:hyperlink r:id="rId74">
              <w:r>
                <w:rPr>
                  <w:rFonts w:ascii="Arial" w:cs="Arial" w:eastAsia="Arial" w:hAnsi="Arial"/>
                  <w:sz w:val="16"/>
                  <w:szCs w:val="16"/>
                  <w:color w:val="0000FF"/>
                  <w:w w:val="93"/>
                </w:rPr>
                <w:t>and between the Company and the other parties thereto.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10.3</w:t>
            </w:r>
          </w:p>
        </w:tc>
        <w:tc>
          <w:tcPr>
            <w:tcW w:w="3900" w:type="dxa"/>
            <w:vAlign w:val="bottom"/>
            <w:gridSpan w:val="27"/>
          </w:tcPr>
          <w:p>
            <w:pPr>
              <w:spacing w:after="0"/>
              <w:rPr>
                <w:rFonts w:ascii="Arial" w:cs="Arial" w:eastAsia="Arial" w:hAnsi="Arial"/>
                <w:sz w:val="16"/>
                <w:szCs w:val="16"/>
                <w:color w:val="0000FF"/>
                <w:w w:val="99"/>
              </w:rPr>
            </w:pPr>
            <w:hyperlink r:id="rId75">
              <w:r>
                <w:rPr>
                  <w:rFonts w:ascii="Arial" w:cs="Arial" w:eastAsia="Arial" w:hAnsi="Arial"/>
                  <w:sz w:val="16"/>
                  <w:szCs w:val="16"/>
                  <w:color w:val="0000FF"/>
                  <w:w w:val="99"/>
                </w:rPr>
                <w:t>Root Inc, Non-Employee Director Compensation Policy</w:t>
              </w:r>
            </w:hyperlink>
          </w:p>
        </w:tc>
      </w:tr>
      <w:tr>
        <w:trPr>
          <w:trHeight w:val="139"/>
        </w:trPr>
        <w:tc>
          <w:tcPr>
            <w:tcW w:w="11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88"/>
              </w:rPr>
            </w:pPr>
            <w:hyperlink r:id="rId75">
              <w:r>
                <w:rPr>
                  <w:rFonts w:ascii="Arial" w:cs="Arial" w:eastAsia="Arial" w:hAnsi="Arial"/>
                  <w:sz w:val="16"/>
                  <w:szCs w:val="16"/>
                  <w:color w:val="0000FF"/>
                  <w:w w:val="88"/>
                </w:rPr>
                <w:t>adopted February 17, 2022</w:t>
              </w:r>
            </w:hyperlink>
          </w:p>
        </w:tc>
        <w:tc>
          <w:tcPr>
            <w:tcW w:w="1860" w:type="dxa"/>
            <w:vAlign w:val="bottom"/>
            <w:tcBorders>
              <w:top w:val="single" w:sz="8" w:color="0000FF"/>
            </w:tcBorders>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10.4</w:t>
            </w:r>
          </w:p>
        </w:tc>
        <w:tc>
          <w:tcPr>
            <w:tcW w:w="3900" w:type="dxa"/>
            <w:vAlign w:val="bottom"/>
            <w:gridSpan w:val="27"/>
          </w:tcPr>
          <w:p>
            <w:pPr>
              <w:spacing w:after="0"/>
              <w:rPr>
                <w:rFonts w:ascii="Arial" w:cs="Arial" w:eastAsia="Arial" w:hAnsi="Arial"/>
                <w:sz w:val="16"/>
                <w:szCs w:val="16"/>
                <w:color w:val="0000FF"/>
                <w:w w:val="93"/>
              </w:rPr>
            </w:pPr>
            <w:hyperlink r:id="rId76">
              <w:r>
                <w:rPr>
                  <w:rFonts w:ascii="Arial" w:cs="Arial" w:eastAsia="Arial" w:hAnsi="Arial"/>
                  <w:sz w:val="16"/>
                  <w:szCs w:val="16"/>
                  <w:color w:val="0000FF"/>
                  <w:w w:val="93"/>
                </w:rPr>
                <w:t>First Amendment to Offer Letter by and between Root, Inc.</w:t>
              </w:r>
            </w:hyperlink>
          </w:p>
        </w:tc>
      </w:tr>
      <w:tr>
        <w:trPr>
          <w:trHeight w:val="139"/>
        </w:trPr>
        <w:tc>
          <w:tcPr>
            <w:tcW w:w="1120" w:type="dxa"/>
            <w:vAlign w:val="bottom"/>
          </w:tcPr>
          <w:p>
            <w:pPr>
              <w:spacing w:after="0"/>
              <w:rPr>
                <w:sz w:val="12"/>
                <w:szCs w:val="12"/>
                <w:color w:val="auto"/>
              </w:rPr>
            </w:pPr>
          </w:p>
        </w:tc>
        <w:tc>
          <w:tcPr>
            <w:tcW w:w="3800" w:type="dxa"/>
            <w:vAlign w:val="bottom"/>
            <w:tcBorders>
              <w:top w:val="single" w:sz="8" w:color="0000FF"/>
            </w:tcBorders>
            <w:gridSpan w:val="22"/>
          </w:tcPr>
          <w:p>
            <w:pPr>
              <w:spacing w:after="0" w:line="139" w:lineRule="exact"/>
              <w:rPr>
                <w:rFonts w:ascii="Arial" w:cs="Arial" w:eastAsia="Arial" w:hAnsi="Arial"/>
                <w:sz w:val="16"/>
                <w:szCs w:val="16"/>
                <w:color w:val="0000FF"/>
              </w:rPr>
            </w:pPr>
            <w:hyperlink r:id="rId76">
              <w:r>
                <w:rPr>
                  <w:rFonts w:ascii="Arial" w:cs="Arial" w:eastAsia="Arial" w:hAnsi="Arial"/>
                  <w:sz w:val="16"/>
                  <w:szCs w:val="16"/>
                  <w:color w:val="0000FF"/>
                </w:rPr>
                <w:t>and Alexander Timm, dated February 22, 2022</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10.5</w:t>
            </w:r>
          </w:p>
        </w:tc>
        <w:tc>
          <w:tcPr>
            <w:tcW w:w="3900" w:type="dxa"/>
            <w:vAlign w:val="bottom"/>
            <w:gridSpan w:val="27"/>
          </w:tcPr>
          <w:p>
            <w:pPr>
              <w:spacing w:after="0"/>
              <w:rPr>
                <w:rFonts w:ascii="Arial" w:cs="Arial" w:eastAsia="Arial" w:hAnsi="Arial"/>
                <w:sz w:val="16"/>
                <w:szCs w:val="16"/>
                <w:color w:val="0000FF"/>
                <w:w w:val="92"/>
              </w:rPr>
            </w:pPr>
            <w:hyperlink r:id="rId77">
              <w:r>
                <w:rPr>
                  <w:rFonts w:ascii="Arial" w:cs="Arial" w:eastAsia="Arial" w:hAnsi="Arial"/>
                  <w:sz w:val="16"/>
                  <w:szCs w:val="16"/>
                  <w:color w:val="0000FF"/>
                  <w:w w:val="92"/>
                </w:rPr>
                <w:t>First Amendment to Amended and Restated Offer Letter by</w:t>
              </w:r>
            </w:hyperlink>
          </w:p>
        </w:tc>
      </w:tr>
      <w:tr>
        <w:trPr>
          <w:trHeight w:val="139"/>
        </w:trPr>
        <w:tc>
          <w:tcPr>
            <w:tcW w:w="1120" w:type="dxa"/>
            <w:vAlign w:val="bottom"/>
          </w:tcPr>
          <w:p>
            <w:pPr>
              <w:spacing w:after="0"/>
              <w:rPr>
                <w:sz w:val="12"/>
                <w:szCs w:val="12"/>
                <w:color w:val="auto"/>
              </w:rPr>
            </w:pPr>
          </w:p>
        </w:tc>
        <w:tc>
          <w:tcPr>
            <w:tcW w:w="3820" w:type="dxa"/>
            <w:vAlign w:val="bottom"/>
            <w:tcBorders>
              <w:top w:val="single" w:sz="8" w:color="0000FF"/>
            </w:tcBorders>
            <w:gridSpan w:val="23"/>
          </w:tcPr>
          <w:p>
            <w:pPr>
              <w:spacing w:after="0" w:line="139" w:lineRule="exact"/>
              <w:rPr>
                <w:rFonts w:ascii="Arial" w:cs="Arial" w:eastAsia="Arial" w:hAnsi="Arial"/>
                <w:sz w:val="16"/>
                <w:szCs w:val="16"/>
                <w:color w:val="0000FF"/>
              </w:rPr>
            </w:pPr>
            <w:hyperlink r:id="rId77">
              <w:r>
                <w:rPr>
                  <w:rFonts w:ascii="Arial" w:cs="Arial" w:eastAsia="Arial" w:hAnsi="Arial"/>
                  <w:sz w:val="16"/>
                  <w:szCs w:val="16"/>
                  <w:color w:val="0000FF"/>
                </w:rPr>
                <w:t>and between Root, Inc. and Daniel Rosenthal, dated</w:t>
              </w:r>
            </w:hyperlink>
          </w:p>
        </w:tc>
        <w:tc>
          <w:tcPr>
            <w:tcW w:w="80" w:type="dxa"/>
            <w:vAlign w:val="bottom"/>
            <w:gridSpan w:val="4"/>
          </w:tcPr>
          <w:p>
            <w:pPr>
              <w:spacing w:after="0"/>
              <w:rPr>
                <w:sz w:val="12"/>
                <w:szCs w:val="12"/>
                <w:color w:val="auto"/>
              </w:rPr>
            </w:pPr>
          </w:p>
        </w:tc>
      </w:tr>
      <w:tr>
        <w:trPr>
          <w:trHeight w:val="139"/>
        </w:trPr>
        <w:tc>
          <w:tcPr>
            <w:tcW w:w="1120" w:type="dxa"/>
            <w:vAlign w:val="bottom"/>
          </w:tcPr>
          <w:p>
            <w:pPr>
              <w:spacing w:after="0"/>
              <w:rPr>
                <w:sz w:val="12"/>
                <w:szCs w:val="12"/>
                <w:color w:val="auto"/>
              </w:rPr>
            </w:pPr>
          </w:p>
        </w:tc>
        <w:tc>
          <w:tcPr>
            <w:tcW w:w="3300" w:type="dxa"/>
            <w:vAlign w:val="bottom"/>
            <w:tcBorders>
              <w:top w:val="single" w:sz="8" w:color="0000FF"/>
            </w:tcBorders>
            <w:gridSpan w:val="9"/>
          </w:tcPr>
          <w:p>
            <w:pPr>
              <w:spacing w:after="0" w:line="139" w:lineRule="exact"/>
              <w:rPr>
                <w:rFonts w:ascii="Arial" w:cs="Arial" w:eastAsia="Arial" w:hAnsi="Arial"/>
                <w:sz w:val="16"/>
                <w:szCs w:val="16"/>
                <w:color w:val="0000FF"/>
              </w:rPr>
            </w:pPr>
            <w:hyperlink r:id="rId77">
              <w:r>
                <w:rPr>
                  <w:rFonts w:ascii="Arial" w:cs="Arial" w:eastAsia="Arial" w:hAnsi="Arial"/>
                  <w:sz w:val="16"/>
                  <w:szCs w:val="16"/>
                  <w:color w:val="0000FF"/>
                </w:rPr>
                <w:t>February 23, 2022</w:t>
              </w:r>
            </w:hyperlink>
          </w:p>
        </w:tc>
        <w:tc>
          <w:tcPr>
            <w:tcW w:w="240" w:type="dxa"/>
            <w:vAlign w:val="bottom"/>
            <w:gridSpan w:val="3"/>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160" w:type="dxa"/>
            <w:vAlign w:val="bottom"/>
            <w:gridSpan w:val="8"/>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6"/>
                <w:szCs w:val="16"/>
                <w:color w:val="auto"/>
              </w:rPr>
              <w:t>10.6</w:t>
            </w:r>
          </w:p>
        </w:tc>
        <w:tc>
          <w:tcPr>
            <w:tcW w:w="3900" w:type="dxa"/>
            <w:vAlign w:val="bottom"/>
            <w:gridSpan w:val="27"/>
          </w:tcPr>
          <w:p>
            <w:pPr>
              <w:spacing w:after="0"/>
              <w:rPr>
                <w:rFonts w:ascii="Arial" w:cs="Arial" w:eastAsia="Arial" w:hAnsi="Arial"/>
                <w:sz w:val="16"/>
                <w:szCs w:val="16"/>
                <w:color w:val="0000FF"/>
              </w:rPr>
            </w:pPr>
            <w:hyperlink r:id="rId78">
              <w:r>
                <w:rPr>
                  <w:rFonts w:ascii="Arial" w:cs="Arial" w:eastAsia="Arial" w:hAnsi="Arial"/>
                  <w:sz w:val="16"/>
                  <w:szCs w:val="16"/>
                  <w:color w:val="0000FF"/>
                </w:rPr>
                <w:t>Root, Inc. Executive Compensation Agreement</w:t>
              </w:r>
            </w:hyperlink>
          </w:p>
        </w:tc>
      </w:tr>
      <w:tr>
        <w:trPr>
          <w:trHeight w:val="20"/>
        </w:trPr>
        <w:tc>
          <w:tcPr>
            <w:tcW w:w="1120" w:type="dxa"/>
            <w:vAlign w:val="bottom"/>
          </w:tcPr>
          <w:p>
            <w:pPr>
              <w:spacing w:after="0" w:line="20" w:lineRule="exact"/>
              <w:rPr>
                <w:sz w:val="1"/>
                <w:szCs w:val="1"/>
                <w:color w:val="auto"/>
              </w:rPr>
            </w:pPr>
          </w:p>
        </w:tc>
        <w:tc>
          <w:tcPr>
            <w:tcW w:w="2980" w:type="dxa"/>
            <w:vAlign w:val="bottom"/>
            <w:tcBorders>
              <w:right w:val="single" w:sz="8" w:color="0000FF"/>
            </w:tcBorders>
            <w:gridSpan w:val="8"/>
            <w:shd w:val="clear" w:color="auto" w:fill="0000FF"/>
          </w:tcPr>
          <w:p>
            <w:pPr>
              <w:spacing w:after="0" w:line="20" w:lineRule="exact"/>
              <w:rPr>
                <w:sz w:val="1"/>
                <w:szCs w:val="1"/>
                <w:color w:val="auto"/>
              </w:rPr>
            </w:pPr>
          </w:p>
        </w:tc>
        <w:tc>
          <w:tcPr>
            <w:tcW w:w="560" w:type="dxa"/>
            <w:vAlign w:val="bottom"/>
            <w:tcBorders>
              <w:left w:val="single" w:sz="8" w:color="0000FF"/>
            </w:tcBorders>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10.7</w:t>
            </w:r>
          </w:p>
        </w:tc>
        <w:tc>
          <w:tcPr>
            <w:tcW w:w="3640" w:type="dxa"/>
            <w:vAlign w:val="bottom"/>
            <w:tcBorders>
              <w:bottom w:val="single" w:sz="8" w:color="0000FF"/>
            </w:tcBorders>
            <w:gridSpan w:val="16"/>
          </w:tcPr>
          <w:p>
            <w:pPr>
              <w:spacing w:after="0"/>
              <w:rPr>
                <w:rFonts w:ascii="Arial" w:cs="Arial" w:eastAsia="Arial" w:hAnsi="Arial"/>
                <w:sz w:val="16"/>
                <w:szCs w:val="16"/>
                <w:color w:val="0000FF"/>
                <w:w w:val="90"/>
              </w:rPr>
            </w:pPr>
            <w:hyperlink r:id="rId79">
              <w:r>
                <w:rPr>
                  <w:rFonts w:ascii="Arial" w:cs="Arial" w:eastAsia="Arial" w:hAnsi="Arial"/>
                  <w:sz w:val="16"/>
                  <w:szCs w:val="16"/>
                  <w:color w:val="0000FF"/>
                  <w:w w:val="90"/>
                </w:rPr>
                <w:t>Executive Employment Agreement with Robert Bateman</w:t>
              </w:r>
            </w:hyperlink>
          </w:p>
        </w:tc>
        <w:tc>
          <w:tcPr>
            <w:tcW w:w="260" w:type="dxa"/>
            <w:vAlign w:val="bottom"/>
            <w:gridSpan w:val="11"/>
          </w:tcPr>
          <w:p>
            <w:pPr>
              <w:spacing w:after="0"/>
              <w:rPr>
                <w:sz w:val="23"/>
                <w:szCs w:val="23"/>
                <w:color w:val="auto"/>
              </w:rPr>
            </w:pPr>
          </w:p>
        </w:tc>
      </w:tr>
      <w:tr>
        <w:trPr>
          <w:trHeight w:val="272"/>
        </w:trPr>
        <w:tc>
          <w:tcPr>
            <w:tcW w:w="1120" w:type="dxa"/>
            <w:vAlign w:val="bottom"/>
          </w:tcPr>
          <w:p>
            <w:pPr>
              <w:spacing w:after="0"/>
              <w:rPr>
                <w:sz w:val="20"/>
                <w:szCs w:val="20"/>
                <w:color w:val="auto"/>
              </w:rPr>
            </w:pPr>
            <w:r>
              <w:rPr>
                <w:rFonts w:ascii="Arial" w:cs="Arial" w:eastAsia="Arial" w:hAnsi="Arial"/>
                <w:sz w:val="16"/>
                <w:szCs w:val="16"/>
                <w:color w:val="auto"/>
              </w:rPr>
              <w:t>10.8</w:t>
            </w:r>
          </w:p>
        </w:tc>
        <w:tc>
          <w:tcPr>
            <w:tcW w:w="3900" w:type="dxa"/>
            <w:vAlign w:val="bottom"/>
            <w:gridSpan w:val="27"/>
          </w:tcPr>
          <w:p>
            <w:pPr>
              <w:spacing w:after="0"/>
              <w:rPr>
                <w:rFonts w:ascii="Arial" w:cs="Arial" w:eastAsia="Arial" w:hAnsi="Arial"/>
                <w:sz w:val="16"/>
                <w:szCs w:val="16"/>
                <w:color w:val="0000FF"/>
                <w:w w:val="92"/>
              </w:rPr>
            </w:pPr>
            <w:hyperlink r:id="rId80">
              <w:r>
                <w:rPr>
                  <w:rFonts w:ascii="Arial" w:cs="Arial" w:eastAsia="Arial" w:hAnsi="Arial"/>
                  <w:sz w:val="16"/>
                  <w:szCs w:val="16"/>
                  <w:color w:val="0000FF"/>
                  <w:w w:val="92"/>
                </w:rPr>
                <w:t>Board Observation Side Letter, dated January 26, 2022, by</w:t>
              </w:r>
            </w:hyperlink>
          </w:p>
        </w:tc>
      </w:tr>
      <w:tr>
        <w:trPr>
          <w:trHeight w:val="152"/>
        </w:trPr>
        <w:tc>
          <w:tcPr>
            <w:tcW w:w="1120" w:type="dxa"/>
            <w:vAlign w:val="bottom"/>
          </w:tcPr>
          <w:p>
            <w:pPr>
              <w:spacing w:after="0"/>
              <w:rPr>
                <w:sz w:val="13"/>
                <w:szCs w:val="13"/>
                <w:color w:val="auto"/>
              </w:rPr>
            </w:pPr>
          </w:p>
        </w:tc>
        <w:tc>
          <w:tcPr>
            <w:tcW w:w="3740" w:type="dxa"/>
            <w:vAlign w:val="bottom"/>
            <w:tcBorders>
              <w:top w:val="single" w:sz="8" w:color="0000FF"/>
            </w:tcBorders>
            <w:gridSpan w:val="19"/>
          </w:tcPr>
          <w:p>
            <w:pPr>
              <w:spacing w:after="0" w:line="152" w:lineRule="exact"/>
              <w:rPr>
                <w:rFonts w:ascii="Arial" w:cs="Arial" w:eastAsia="Arial" w:hAnsi="Arial"/>
                <w:sz w:val="16"/>
                <w:szCs w:val="16"/>
                <w:color w:val="0000FF"/>
                <w:w w:val="91"/>
              </w:rPr>
            </w:pPr>
            <w:hyperlink r:id="rId80">
              <w:r>
                <w:rPr>
                  <w:rFonts w:ascii="Arial" w:cs="Arial" w:eastAsia="Arial" w:hAnsi="Arial"/>
                  <w:sz w:val="16"/>
                  <w:szCs w:val="16"/>
                  <w:color w:val="0000FF"/>
                  <w:w w:val="91"/>
                </w:rPr>
                <w:t>and between the Company and GCO II Aggregator 2 L.P.</w:t>
              </w:r>
            </w:hyperlink>
          </w:p>
        </w:tc>
        <w:tc>
          <w:tcPr>
            <w:tcW w:w="160" w:type="dxa"/>
            <w:vAlign w:val="bottom"/>
            <w:gridSpan w:val="8"/>
          </w:tcPr>
          <w:p>
            <w:pPr>
              <w:spacing w:after="0"/>
              <w:rPr>
                <w:sz w:val="13"/>
                <w:szCs w:val="13"/>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6"/>
                <w:szCs w:val="16"/>
                <w:color w:val="auto"/>
              </w:rPr>
              <w:t>10.9</w:t>
            </w:r>
          </w:p>
        </w:tc>
        <w:tc>
          <w:tcPr>
            <w:tcW w:w="298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1"/>
              </w:rPr>
            </w:pPr>
            <w:hyperlink w:anchor="page181">
              <w:r>
                <w:rPr>
                  <w:rFonts w:ascii="Arial" w:cs="Arial" w:eastAsia="Arial" w:hAnsi="Arial"/>
                  <w:sz w:val="16"/>
                  <w:szCs w:val="16"/>
                  <w:color w:val="0000FF"/>
                  <w:w w:val="91"/>
                </w:rPr>
                <w:t>Form of Root, Inc. Cash Incentive Agreement</w:t>
              </w:r>
            </w:hyperlink>
          </w:p>
        </w:tc>
        <w:tc>
          <w:tcPr>
            <w:tcW w:w="660" w:type="dxa"/>
            <w:vAlign w:val="bottom"/>
            <w:tcBorders>
              <w:top w:val="single" w:sz="8" w:color="0000FF"/>
            </w:tcBorders>
            <w:gridSpan w:val="8"/>
          </w:tcPr>
          <w:p>
            <w:pPr>
              <w:spacing w:after="0"/>
              <w:rPr>
                <w:sz w:val="22"/>
                <w:szCs w:val="22"/>
                <w:color w:val="auto"/>
              </w:rPr>
            </w:pPr>
          </w:p>
        </w:tc>
        <w:tc>
          <w:tcPr>
            <w:tcW w:w="260" w:type="dxa"/>
            <w:vAlign w:val="bottom"/>
            <w:gridSpan w:val="11"/>
          </w:tcPr>
          <w:p>
            <w:pPr>
              <w:spacing w:after="0"/>
              <w:rPr>
                <w:sz w:val="22"/>
                <w:szCs w:val="22"/>
                <w:color w:val="auto"/>
              </w:rPr>
            </w:pPr>
          </w:p>
        </w:tc>
      </w:tr>
      <w:tr>
        <w:trPr>
          <w:trHeight w:val="271"/>
        </w:trPr>
        <w:tc>
          <w:tcPr>
            <w:tcW w:w="1120" w:type="dxa"/>
            <w:vAlign w:val="bottom"/>
          </w:tcPr>
          <w:p>
            <w:pPr>
              <w:spacing w:after="0"/>
              <w:rPr>
                <w:sz w:val="20"/>
                <w:szCs w:val="20"/>
                <w:color w:val="auto"/>
              </w:rPr>
            </w:pPr>
            <w:r>
              <w:rPr>
                <w:rFonts w:ascii="Arial" w:cs="Arial" w:eastAsia="Arial" w:hAnsi="Arial"/>
                <w:sz w:val="16"/>
                <w:szCs w:val="16"/>
                <w:color w:val="auto"/>
              </w:rPr>
              <w:t>31.1</w:t>
            </w:r>
          </w:p>
        </w:tc>
        <w:tc>
          <w:tcPr>
            <w:tcW w:w="354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182">
              <w:r>
                <w:rPr>
                  <w:rFonts w:ascii="Arial" w:cs="Arial" w:eastAsia="Arial" w:hAnsi="Arial"/>
                  <w:sz w:val="16"/>
                  <w:szCs w:val="16"/>
                  <w:color w:val="0000FF"/>
                  <w:w w:val="92"/>
                </w:rPr>
                <w:t>Certification of Principal Executive Officer Pursuant to</w:t>
              </w:r>
            </w:hyperlink>
          </w:p>
        </w:tc>
        <w:tc>
          <w:tcPr>
            <w:tcW w:w="360" w:type="dxa"/>
            <w:vAlign w:val="bottom"/>
            <w:gridSpan w:val="15"/>
          </w:tcPr>
          <w:p>
            <w:pPr>
              <w:spacing w:after="0"/>
              <w:rPr>
                <w:sz w:val="23"/>
                <w:szCs w:val="23"/>
                <w:color w:val="auto"/>
              </w:rPr>
            </w:pPr>
          </w:p>
        </w:tc>
      </w:tr>
    </w:tbl>
    <w:p>
      <w:pPr>
        <w:ind w:left="1140" w:right="80"/>
        <w:spacing w:after="0" w:line="234" w:lineRule="auto"/>
        <w:rPr>
          <w:rFonts w:ascii="Arial" w:cs="Arial" w:eastAsia="Arial" w:hAnsi="Arial"/>
          <w:sz w:val="16"/>
          <w:szCs w:val="16"/>
          <w:u w:val="single" w:color="auto"/>
          <w:color w:val="0000FF"/>
        </w:rPr>
      </w:pPr>
      <w:hyperlink w:anchor="page182">
        <w:r>
          <w:rPr>
            <w:rFonts w:ascii="Arial" w:cs="Arial" w:eastAsia="Arial" w:hAnsi="Arial"/>
            <w:sz w:val="16"/>
            <w:szCs w:val="16"/>
            <w:u w:val="single" w:color="auto"/>
            <w:color w:val="0000FF"/>
          </w:rPr>
          <w:t>Rules 13a-14(a) and 15d-14(a) under the Securities</w:t>
        </w:r>
      </w:hyperlink>
      <w:r>
        <w:rPr>
          <w:rFonts w:ascii="Arial" w:cs="Arial" w:eastAsia="Arial" w:hAnsi="Arial"/>
          <w:sz w:val="16"/>
          <w:szCs w:val="16"/>
          <w:u w:val="single" w:color="auto"/>
          <w:color w:val="0000FF"/>
        </w:rPr>
        <w:t xml:space="preserve"> </w:t>
      </w:r>
      <w:hyperlink w:anchor="page182">
        <w:r>
          <w:rPr>
            <w:rFonts w:ascii="Arial" w:cs="Arial" w:eastAsia="Arial" w:hAnsi="Arial"/>
            <w:sz w:val="16"/>
            <w:szCs w:val="16"/>
            <w:u w:val="single" w:color="auto"/>
            <w:color w:val="0000FF"/>
          </w:rPr>
          <w:t>Exchange Act of 1934, as Adopted Pursuant to Section 302</w:t>
        </w:r>
      </w:hyperlink>
      <w:r>
        <w:rPr>
          <w:rFonts w:ascii="Arial" w:cs="Arial" w:eastAsia="Arial" w:hAnsi="Arial"/>
          <w:sz w:val="16"/>
          <w:szCs w:val="16"/>
          <w:u w:val="single" w:color="auto"/>
          <w:color w:val="0000FF"/>
        </w:rPr>
        <w:t xml:space="preserve"> </w:t>
      </w:r>
      <w:hyperlink w:anchor="page182">
        <w:r>
          <w:rPr>
            <w:rFonts w:ascii="Arial" w:cs="Arial" w:eastAsia="Arial" w:hAnsi="Arial"/>
            <w:sz w:val="16"/>
            <w:szCs w:val="16"/>
            <w:u w:val="single" w:color="auto"/>
            <w:color w:val="0000FF"/>
          </w:rPr>
          <w:t>of the Sarbanes-Oxley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95"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4"/>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3.1</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90"/>
              </w:rPr>
              <w:t>October 30, 2020</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3.2</w:t>
            </w:r>
          </w:p>
        </w:tc>
        <w:tc>
          <w:tcPr>
            <w:tcW w:w="1420" w:type="dxa"/>
            <w:vAlign w:val="bottom"/>
          </w:tcPr>
          <w:p>
            <w:pPr>
              <w:jc w:val="center"/>
              <w:ind w:left="201"/>
              <w:spacing w:after="0"/>
              <w:rPr>
                <w:sz w:val="20"/>
                <w:szCs w:val="20"/>
                <w:color w:val="auto"/>
              </w:rPr>
            </w:pPr>
            <w:r>
              <w:rPr>
                <w:rFonts w:ascii="Arial" w:cs="Arial" w:eastAsia="Arial" w:hAnsi="Arial"/>
                <w:sz w:val="16"/>
                <w:szCs w:val="16"/>
                <w:color w:val="auto"/>
                <w:w w:val="90"/>
              </w:rPr>
              <w:t>August 12, 2021</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3.1</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90"/>
              </w:rPr>
              <w:t>October 1, 2021</w:t>
            </w:r>
          </w:p>
        </w:tc>
      </w:tr>
      <w:tr>
        <w:trPr>
          <w:trHeight w:val="398"/>
        </w:trPr>
        <w:tc>
          <w:tcPr>
            <w:tcW w:w="680" w:type="dxa"/>
            <w:vAlign w:val="bottom"/>
          </w:tcPr>
          <w:p>
            <w:pPr>
              <w:jc w:val="center"/>
              <w:ind w:right="221"/>
              <w:spacing w:after="0"/>
              <w:rPr>
                <w:sz w:val="20"/>
                <w:szCs w:val="20"/>
                <w:color w:val="auto"/>
              </w:rPr>
            </w:pPr>
            <w:r>
              <w:rPr>
                <w:rFonts w:ascii="Arial" w:cs="Arial" w:eastAsia="Arial" w:hAnsi="Arial"/>
                <w:sz w:val="16"/>
                <w:szCs w:val="16"/>
                <w:color w:val="auto"/>
                <w:w w:val="94"/>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4.1</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90"/>
              </w:rPr>
              <w:t>October 20, 2020</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4.1</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90"/>
              </w:rPr>
              <w:t>October 1, 2021</w:t>
            </w:r>
          </w:p>
        </w:tc>
      </w:tr>
      <w:tr>
        <w:trPr>
          <w:trHeight w:val="424"/>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4.1</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87"/>
              </w:rPr>
              <w:t>January 27, 2022</w:t>
            </w:r>
          </w:p>
        </w:tc>
      </w:tr>
      <w:tr>
        <w:trPr>
          <w:trHeight w:val="358"/>
        </w:trPr>
        <w:tc>
          <w:tcPr>
            <w:tcW w:w="680" w:type="dxa"/>
            <w:vAlign w:val="bottom"/>
          </w:tcPr>
          <w:p>
            <w:pPr>
              <w:jc w:val="center"/>
              <w:ind w:right="201"/>
              <w:spacing w:after="0"/>
              <w:rPr>
                <w:sz w:val="20"/>
                <w:szCs w:val="20"/>
                <w:color w:val="auto"/>
              </w:rPr>
            </w:pPr>
            <w:r>
              <w:rPr>
                <w:rFonts w:ascii="Arial" w:cs="Arial" w:eastAsia="Arial" w:hAnsi="Arial"/>
                <w:sz w:val="16"/>
                <w:szCs w:val="16"/>
                <w:color w:val="auto"/>
                <w:w w:val="96"/>
              </w:rPr>
              <w:t>8-K</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860" w:type="dxa"/>
            <w:vAlign w:val="bottom"/>
          </w:tcPr>
          <w:p>
            <w:pPr>
              <w:jc w:val="right"/>
              <w:ind w:right="241"/>
              <w:spacing w:after="0"/>
              <w:rPr>
                <w:sz w:val="20"/>
                <w:szCs w:val="20"/>
                <w:color w:val="auto"/>
              </w:rPr>
            </w:pPr>
            <w:r>
              <w:rPr>
                <w:rFonts w:ascii="Arial" w:cs="Arial" w:eastAsia="Arial" w:hAnsi="Arial"/>
                <w:sz w:val="16"/>
                <w:szCs w:val="16"/>
                <w:color w:val="auto"/>
              </w:rPr>
              <w:t>4.2</w:t>
            </w:r>
          </w:p>
        </w:tc>
        <w:tc>
          <w:tcPr>
            <w:tcW w:w="1420" w:type="dxa"/>
            <w:vAlign w:val="bottom"/>
          </w:tcPr>
          <w:p>
            <w:pPr>
              <w:jc w:val="center"/>
              <w:ind w:left="221"/>
              <w:spacing w:after="0"/>
              <w:rPr>
                <w:sz w:val="20"/>
                <w:szCs w:val="20"/>
                <w:color w:val="auto"/>
              </w:rPr>
            </w:pPr>
            <w:r>
              <w:rPr>
                <w:rFonts w:ascii="Arial" w:cs="Arial" w:eastAsia="Arial" w:hAnsi="Arial"/>
                <w:sz w:val="16"/>
                <w:szCs w:val="16"/>
                <w:color w:val="auto"/>
                <w:w w:val="87"/>
              </w:rPr>
              <w:t>January 27, 2022</w:t>
            </w:r>
          </w:p>
        </w:tc>
      </w:tr>
    </w:tbl>
    <w:p>
      <w:pPr>
        <w:spacing w:after="0" w:line="393" w:lineRule="exact"/>
        <w:rPr>
          <w:rFonts w:ascii="Arial" w:cs="Arial" w:eastAsia="Arial" w:hAnsi="Arial"/>
          <w:sz w:val="16"/>
          <w:szCs w:val="16"/>
          <w:u w:val="single" w:color="auto"/>
          <w:color w:val="0000FF"/>
        </w:rPr>
      </w:pPr>
    </w:p>
    <w:p>
      <w:pPr>
        <w:jc w:val="right"/>
        <w:ind w:right="620"/>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u w:val="single" w:color="auto"/>
          <w:color w:val="0000FF"/>
        </w:rPr>
      </w:pPr>
    </w:p>
    <w:p>
      <w:pPr>
        <w:spacing w:after="0" w:line="279" w:lineRule="exact"/>
        <w:rPr>
          <w:rFonts w:ascii="Arial" w:cs="Arial" w:eastAsia="Arial" w:hAnsi="Arial"/>
          <w:sz w:val="16"/>
          <w:szCs w:val="16"/>
          <w:u w:val="single" w:color="auto"/>
          <w:color w:val="0000FF"/>
        </w:rPr>
      </w:pPr>
    </w:p>
    <w:tbl>
      <w:tblPr>
        <w:tblLayout w:type="fixed"/>
        <w:tblInd w:w="40" w:type="dxa"/>
        <w:tblCellMar>
          <w:top w:w="0" w:type="dxa"/>
          <w:left w:w="0" w:type="dxa"/>
          <w:bottom w:w="0" w:type="dxa"/>
          <w:right w:w="0" w:type="dxa"/>
        </w:tblCellMar>
      </w:tblPr>
      <w:tr>
        <w:trPr>
          <w:trHeight w:val="204"/>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7"/>
              </w:rPr>
              <w:t>January 27, 2022</w:t>
            </w:r>
          </w:p>
        </w:tc>
      </w:tr>
      <w:tr>
        <w:trPr>
          <w:trHeight w:val="424"/>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4"/>
              </w:rPr>
              <w:t>10-K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8"/>
              </w:rPr>
              <w:t>February 23, 2022</w:t>
            </w:r>
          </w:p>
        </w:tc>
      </w:tr>
      <w:tr>
        <w:trPr>
          <w:trHeight w:val="424"/>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4"/>
              </w:rPr>
              <w:t>10-K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8"/>
              </w:rPr>
              <w:t>February 23, 2022</w:t>
            </w:r>
          </w:p>
        </w:tc>
      </w:tr>
      <w:tr>
        <w:trPr>
          <w:trHeight w:val="503"/>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4"/>
              </w:rPr>
              <w:t>10-K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8"/>
              </w:rPr>
              <w:t>February 23, 2022</w:t>
            </w:r>
          </w:p>
        </w:tc>
      </w:tr>
      <w:tr>
        <w:trPr>
          <w:trHeight w:val="437"/>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4"/>
              </w:rPr>
              <w:t>10-K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8"/>
              </w:rPr>
              <w:t>February 23, 2022</w:t>
            </w:r>
          </w:p>
        </w:tc>
      </w:tr>
      <w:tr>
        <w:trPr>
          <w:trHeight w:val="291"/>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9"/>
              </w:rPr>
              <w:t>March 23, 2022</w:t>
            </w:r>
          </w:p>
        </w:tc>
      </w:tr>
      <w:tr>
        <w:trPr>
          <w:trHeight w:val="371"/>
        </w:trPr>
        <w:tc>
          <w:tcPr>
            <w:tcW w:w="640" w:type="dxa"/>
            <w:vAlign w:val="bottom"/>
          </w:tcPr>
          <w:p>
            <w:pPr>
              <w:jc w:val="center"/>
              <w:ind w:right="241"/>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right"/>
              <w:ind w:right="241"/>
              <w:spacing w:after="0"/>
              <w:rPr>
                <w:sz w:val="20"/>
                <w:szCs w:val="20"/>
                <w:color w:val="auto"/>
              </w:rPr>
            </w:pPr>
            <w:r>
              <w:rPr>
                <w:rFonts w:ascii="Arial" w:cs="Arial" w:eastAsia="Arial" w:hAnsi="Arial"/>
                <w:sz w:val="16"/>
                <w:szCs w:val="16"/>
                <w:color w:val="auto"/>
              </w:rPr>
              <w:t>001-39658</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20" w:type="dxa"/>
            <w:vAlign w:val="bottom"/>
          </w:tcPr>
          <w:p>
            <w:pPr>
              <w:jc w:val="center"/>
              <w:ind w:left="181"/>
              <w:spacing w:after="0"/>
              <w:rPr>
                <w:sz w:val="20"/>
                <w:szCs w:val="20"/>
                <w:color w:val="auto"/>
              </w:rPr>
            </w:pPr>
            <w:r>
              <w:rPr>
                <w:rFonts w:ascii="Arial" w:cs="Arial" w:eastAsia="Arial" w:hAnsi="Arial"/>
                <w:sz w:val="16"/>
                <w:szCs w:val="16"/>
                <w:color w:val="auto"/>
                <w:w w:val="87"/>
              </w:rPr>
              <w:t>January 27, 2022</w:t>
            </w:r>
          </w:p>
        </w:tc>
      </w:tr>
    </w:tbl>
    <w:p>
      <w:pPr>
        <w:spacing w:after="0" w:line="167" w:lineRule="exact"/>
        <w:rPr>
          <w:rFonts w:ascii="Arial" w:cs="Arial" w:eastAsia="Arial" w:hAnsi="Arial"/>
          <w:sz w:val="16"/>
          <w:szCs w:val="16"/>
          <w:u w:val="single" w:color="auto"/>
          <w:color w:val="0000FF"/>
        </w:rPr>
      </w:pPr>
    </w:p>
    <w:p>
      <w:pPr>
        <w:jc w:val="right"/>
        <w:ind w:right="620"/>
        <w:spacing w:after="0"/>
        <w:rPr>
          <w:sz w:val="20"/>
          <w:szCs w:val="20"/>
          <w:color w:val="auto"/>
        </w:rPr>
      </w:pPr>
      <w:r>
        <w:rPr>
          <w:rFonts w:ascii="Arial" w:cs="Arial" w:eastAsia="Arial" w:hAnsi="Arial"/>
          <w:sz w:val="16"/>
          <w:szCs w:val="16"/>
          <w:color w:val="auto"/>
        </w:rPr>
        <w:t>X</w:t>
      </w:r>
    </w:p>
    <w:p>
      <w:pPr>
        <w:spacing w:after="0" w:line="359" w:lineRule="exact"/>
        <w:rPr>
          <w:rFonts w:ascii="Arial" w:cs="Arial" w:eastAsia="Arial" w:hAnsi="Arial"/>
          <w:sz w:val="16"/>
          <w:szCs w:val="16"/>
          <w:u w:val="single" w:color="auto"/>
          <w:color w:val="0000FF"/>
        </w:rPr>
      </w:pPr>
    </w:p>
    <w:p>
      <w:pPr>
        <w:jc w:val="right"/>
        <w:ind w:right="620"/>
        <w:spacing w:after="0"/>
        <w:rPr>
          <w:sz w:val="20"/>
          <w:szCs w:val="20"/>
          <w:color w:val="auto"/>
        </w:rPr>
      </w:pPr>
      <w:r>
        <w:rPr>
          <w:rFonts w:ascii="Arial" w:cs="Arial" w:eastAsia="Arial" w:hAnsi="Arial"/>
          <w:sz w:val="16"/>
          <w:szCs w:val="16"/>
          <w:color w:val="auto"/>
        </w:rPr>
        <w:t>X</w:t>
      </w:r>
    </w:p>
    <w:p>
      <w:pPr>
        <w:spacing w:after="0" w:line="471" w:lineRule="exact"/>
        <w:rPr>
          <w:rFonts w:ascii="Arial" w:cs="Arial" w:eastAsia="Arial" w:hAnsi="Arial"/>
          <w:sz w:val="16"/>
          <w:szCs w:val="16"/>
          <w:u w:val="single" w:color="auto"/>
          <w:color w:val="0000FF"/>
        </w:rPr>
      </w:pPr>
    </w:p>
    <w:p>
      <w:pPr>
        <w:sectPr>
          <w:pgSz w:w="11900" w:h="16838" w:orient="portrait"/>
          <w:cols w:equalWidth="0" w:num="2">
            <w:col w:w="5000" w:space="180"/>
            <w:col w:w="6060"/>
          </w:cols>
          <w:pgMar w:left="320" w:top="1314"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73"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type w:val="continuous"/>
        </w:sectPr>
      </w:pPr>
    </w:p>
    <w:bookmarkStart w:id="48" w:name="page49"/>
    <w:bookmarkEnd w:id="48"/>
    <w:tbl>
      <w:tblPr>
        <w:tblLayout w:type="fixed"/>
        <w:tblInd w:w="14"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31.2</w:t>
            </w:r>
          </w:p>
        </w:tc>
        <w:tc>
          <w:tcPr>
            <w:tcW w:w="6600" w:type="dxa"/>
            <w:vAlign w:val="bottom"/>
            <w:gridSpan w:val="9"/>
          </w:tcPr>
          <w:p>
            <w:pPr>
              <w:spacing w:after="0"/>
              <w:rPr>
                <w:rFonts w:ascii="Arial" w:cs="Arial" w:eastAsia="Arial" w:hAnsi="Arial"/>
                <w:sz w:val="16"/>
                <w:szCs w:val="16"/>
                <w:color w:val="0000FF"/>
              </w:rPr>
            </w:pPr>
            <w:hyperlink w:anchor="page183">
              <w:r>
                <w:rPr>
                  <w:rFonts w:ascii="Arial" w:cs="Arial" w:eastAsia="Arial" w:hAnsi="Arial"/>
                  <w:sz w:val="16"/>
                  <w:szCs w:val="16"/>
                  <w:color w:val="0000FF"/>
                </w:rPr>
                <w:t>Certification of Principal Financial Officer Pursuant to</w:t>
              </w:r>
            </w:hyperlink>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w w:val="88"/>
              </w:rPr>
            </w:pPr>
            <w:hyperlink w:anchor="page183">
              <w:r>
                <w:rPr>
                  <w:rFonts w:ascii="Arial" w:cs="Arial" w:eastAsia="Arial" w:hAnsi="Arial"/>
                  <w:sz w:val="16"/>
                  <w:szCs w:val="16"/>
                  <w:color w:val="0000FF"/>
                  <w:w w:val="88"/>
                </w:rPr>
                <w:t>Rules 13a-14(a) and 15d-14(a) under the Securities</w:t>
              </w:r>
            </w:hyperlink>
          </w:p>
        </w:tc>
        <w:tc>
          <w:tcPr>
            <w:tcW w:w="2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80" w:type="dxa"/>
            <w:vAlign w:val="bottom"/>
            <w:vMerge w:val="restart"/>
          </w:tcPr>
          <w:p>
            <w:pPr>
              <w:ind w:left="27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600" w:type="dxa"/>
            <w:vAlign w:val="bottom"/>
            <w:gridSpan w:val="9"/>
            <w:vMerge w:val="restart"/>
          </w:tcPr>
          <w:p>
            <w:pPr>
              <w:spacing w:after="0" w:line="152" w:lineRule="exact"/>
              <w:rPr>
                <w:rFonts w:ascii="Arial" w:cs="Arial" w:eastAsia="Arial" w:hAnsi="Arial"/>
                <w:sz w:val="16"/>
                <w:szCs w:val="16"/>
                <w:color w:val="0000FF"/>
              </w:rPr>
            </w:pPr>
            <w:hyperlink w:anchor="page183">
              <w:r>
                <w:rPr>
                  <w:rFonts w:ascii="Arial" w:cs="Arial" w:eastAsia="Arial" w:hAnsi="Arial"/>
                  <w:sz w:val="16"/>
                  <w:szCs w:val="16"/>
                  <w:color w:val="0000FF"/>
                </w:rPr>
                <w:t>Exchange Act of 1934, as Adopted Pursuant to Section 302</w:t>
              </w:r>
            </w:hyperlink>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120" w:type="dxa"/>
            <w:vAlign w:val="bottom"/>
          </w:tcPr>
          <w:p>
            <w:pPr>
              <w:spacing w:after="0"/>
              <w:rPr>
                <w:sz w:val="3"/>
                <w:szCs w:val="3"/>
                <w:color w:val="auto"/>
              </w:rPr>
            </w:pPr>
          </w:p>
        </w:tc>
        <w:tc>
          <w:tcPr>
            <w:tcW w:w="6600" w:type="dxa"/>
            <w:vAlign w:val="bottom"/>
            <w:gridSpan w:val="9"/>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89"/>
              </w:rPr>
            </w:pPr>
            <w:hyperlink w:anchor="page183">
              <w:r>
                <w:rPr>
                  <w:rFonts w:ascii="Arial" w:cs="Arial" w:eastAsia="Arial" w:hAnsi="Arial"/>
                  <w:sz w:val="16"/>
                  <w:szCs w:val="16"/>
                  <w:color w:val="0000FF"/>
                  <w:w w:val="89"/>
                </w:rPr>
                <w:t>of the Sarbanes-Oxley Act of 2002.</w:t>
              </w:r>
            </w:hyperlink>
          </w:p>
        </w:tc>
        <w:tc>
          <w:tcPr>
            <w:tcW w:w="152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6"/>
                <w:szCs w:val="16"/>
                <w:color w:val="auto"/>
              </w:rPr>
              <w:t>32.1*</w:t>
            </w:r>
          </w:p>
        </w:tc>
        <w:tc>
          <w:tcPr>
            <w:tcW w:w="364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184">
              <w:r>
                <w:rPr>
                  <w:rFonts w:ascii="Arial" w:cs="Arial" w:eastAsia="Arial" w:hAnsi="Arial"/>
                  <w:sz w:val="16"/>
                  <w:szCs w:val="16"/>
                  <w:color w:val="0000FF"/>
                  <w:w w:val="92"/>
                </w:rPr>
                <w:t>Certification of Principal Executive Officer and Principal</w:t>
              </w:r>
            </w:hyperlink>
          </w:p>
        </w:tc>
        <w:tc>
          <w:tcPr>
            <w:tcW w:w="180" w:type="dxa"/>
            <w:vAlign w:val="bottom"/>
            <w:gridSpan w:val="2"/>
          </w:tcPr>
          <w:p>
            <w:pPr>
              <w:spacing w:after="0"/>
              <w:rPr>
                <w:sz w:val="22"/>
                <w:szCs w:val="22"/>
                <w:color w:val="auto"/>
              </w:rPr>
            </w:pPr>
          </w:p>
        </w:tc>
        <w:tc>
          <w:tcPr>
            <w:tcW w:w="27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3600" w:type="dxa"/>
            <w:vAlign w:val="bottom"/>
            <w:tcBorders>
              <w:bottom w:val="single" w:sz="8" w:color="0000FF"/>
            </w:tcBorders>
            <w:gridSpan w:val="5"/>
          </w:tcPr>
          <w:p>
            <w:pPr>
              <w:spacing w:after="0" w:line="152" w:lineRule="exact"/>
              <w:rPr>
                <w:rFonts w:ascii="Arial" w:cs="Arial" w:eastAsia="Arial" w:hAnsi="Arial"/>
                <w:sz w:val="16"/>
                <w:szCs w:val="16"/>
                <w:color w:val="0000FF"/>
                <w:w w:val="89"/>
              </w:rPr>
            </w:pPr>
            <w:hyperlink w:anchor="page184">
              <w:r>
                <w:rPr>
                  <w:rFonts w:ascii="Arial" w:cs="Arial" w:eastAsia="Arial" w:hAnsi="Arial"/>
                  <w:sz w:val="16"/>
                  <w:szCs w:val="16"/>
                  <w:color w:val="0000FF"/>
                  <w:w w:val="89"/>
                </w:rPr>
                <w:t>Financial Officer Pursuant to 18 U.S.C. Section 1350, as</w:t>
              </w:r>
            </w:hyperlink>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780" w:type="dxa"/>
            <w:vAlign w:val="bottom"/>
          </w:tcPr>
          <w:p>
            <w:pPr>
              <w:spacing w:after="0"/>
              <w:rPr>
                <w:sz w:val="13"/>
                <w:szCs w:val="13"/>
                <w:color w:val="auto"/>
              </w:rPr>
            </w:pPr>
          </w:p>
        </w:tc>
        <w:tc>
          <w:tcPr>
            <w:tcW w:w="2880" w:type="dxa"/>
            <w:vAlign w:val="bottom"/>
            <w:vMerge w:val="restart"/>
          </w:tcPr>
          <w:p>
            <w:pPr>
              <w:ind w:left="27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600" w:type="dxa"/>
            <w:vAlign w:val="bottom"/>
            <w:gridSpan w:val="9"/>
            <w:vMerge w:val="restart"/>
          </w:tcPr>
          <w:p>
            <w:pPr>
              <w:spacing w:after="0" w:line="152" w:lineRule="exact"/>
              <w:rPr>
                <w:rFonts w:ascii="Arial" w:cs="Arial" w:eastAsia="Arial" w:hAnsi="Arial"/>
                <w:sz w:val="16"/>
                <w:szCs w:val="16"/>
                <w:color w:val="0000FF"/>
              </w:rPr>
            </w:pPr>
            <w:hyperlink w:anchor="page184">
              <w:r>
                <w:rPr>
                  <w:rFonts w:ascii="Arial" w:cs="Arial" w:eastAsia="Arial" w:hAnsi="Arial"/>
                  <w:sz w:val="16"/>
                  <w:szCs w:val="16"/>
                  <w:color w:val="0000FF"/>
                </w:rPr>
                <w:t>Adopted Pursuant to Section 906 of the Sarbanes-Oxley Act</w:t>
              </w:r>
            </w:hyperlink>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120" w:type="dxa"/>
            <w:vAlign w:val="bottom"/>
          </w:tcPr>
          <w:p>
            <w:pPr>
              <w:spacing w:after="0"/>
              <w:rPr>
                <w:sz w:val="3"/>
                <w:szCs w:val="3"/>
                <w:color w:val="auto"/>
              </w:rPr>
            </w:pPr>
          </w:p>
        </w:tc>
        <w:tc>
          <w:tcPr>
            <w:tcW w:w="6600" w:type="dxa"/>
            <w:vAlign w:val="bottom"/>
            <w:gridSpan w:val="9"/>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382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w:anchor="page184">
              <w:r>
                <w:rPr>
                  <w:rFonts w:ascii="Arial" w:cs="Arial" w:eastAsia="Arial" w:hAnsi="Arial"/>
                  <w:sz w:val="16"/>
                  <w:szCs w:val="16"/>
                  <w:color w:val="0000FF"/>
                </w:rPr>
                <w:t>of 2002.</w:t>
              </w:r>
            </w:hyperlink>
          </w:p>
        </w:tc>
        <w:tc>
          <w:tcPr>
            <w:tcW w:w="27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120" w:type="dxa"/>
            <w:vAlign w:val="bottom"/>
          </w:tcPr>
          <w:p>
            <w:pPr>
              <w:spacing w:after="0"/>
              <w:rPr>
                <w:sz w:val="20"/>
                <w:szCs w:val="20"/>
                <w:color w:val="auto"/>
              </w:rPr>
            </w:pPr>
            <w:r>
              <w:rPr>
                <w:rFonts w:ascii="Arial" w:cs="Arial" w:eastAsia="Arial" w:hAnsi="Arial"/>
                <w:sz w:val="16"/>
                <w:szCs w:val="16"/>
                <w:color w:val="auto"/>
              </w:rPr>
              <w:t>101.INS</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Instance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120" w:type="dxa"/>
            <w:vAlign w:val="bottom"/>
          </w:tcPr>
          <w:p>
            <w:pPr>
              <w:spacing w:after="0"/>
              <w:rPr>
                <w:sz w:val="20"/>
                <w:szCs w:val="20"/>
                <w:color w:val="auto"/>
              </w:rPr>
            </w:pPr>
            <w:r>
              <w:rPr>
                <w:rFonts w:ascii="Arial" w:cs="Arial" w:eastAsia="Arial" w:hAnsi="Arial"/>
                <w:sz w:val="16"/>
                <w:szCs w:val="16"/>
                <w:color w:val="auto"/>
              </w:rPr>
              <w:t>101.SCH</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6"/>
                <w:szCs w:val="16"/>
                <w:color w:val="auto"/>
              </w:rPr>
              <w:t>101.CAL</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66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6"/>
                <w:szCs w:val="16"/>
                <w:color w:val="auto"/>
              </w:rPr>
              <w:t>101.DEF</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66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20"/>
                <w:szCs w:val="20"/>
                <w:color w:val="auto"/>
              </w:rPr>
            </w:pPr>
            <w:r>
              <w:rPr>
                <w:rFonts w:ascii="Arial" w:cs="Arial" w:eastAsia="Arial" w:hAnsi="Arial"/>
                <w:sz w:val="16"/>
                <w:szCs w:val="16"/>
                <w:color w:val="auto"/>
              </w:rPr>
              <w:t>101.LAB</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66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20"/>
                <w:szCs w:val="20"/>
                <w:color w:val="auto"/>
              </w:rPr>
            </w:pPr>
            <w:r>
              <w:rPr>
                <w:rFonts w:ascii="Arial" w:cs="Arial" w:eastAsia="Arial" w:hAnsi="Arial"/>
                <w:sz w:val="16"/>
                <w:szCs w:val="16"/>
                <w:color w:val="auto"/>
              </w:rPr>
              <w:t>101.PRE</w:t>
            </w:r>
          </w:p>
        </w:tc>
        <w:tc>
          <w:tcPr>
            <w:tcW w:w="66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20" w:type="dxa"/>
            <w:vAlign w:val="bottom"/>
          </w:tcPr>
          <w:p>
            <w:pPr>
              <w:spacing w:after="0"/>
              <w:rPr>
                <w:sz w:val="17"/>
                <w:szCs w:val="17"/>
                <w:color w:val="auto"/>
              </w:rPr>
            </w:pPr>
          </w:p>
        </w:tc>
        <w:tc>
          <w:tcPr>
            <w:tcW w:w="66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134" w:right="5800" w:hanging="1116"/>
        <w:spacing w:after="0" w:line="236" w:lineRule="auto"/>
        <w:tabs>
          <w:tab w:leader="none" w:pos="1134"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395" w:lineRule="exact"/>
        <w:rPr>
          <w:rFonts w:ascii="Arial" w:cs="Arial" w:eastAsia="Arial" w:hAnsi="Arial"/>
          <w:sz w:val="16"/>
          <w:szCs w:val="16"/>
          <w:color w:val="auto"/>
        </w:rPr>
      </w:pPr>
    </w:p>
    <w:p>
      <w:pPr>
        <w:ind w:left="134" w:hanging="134"/>
        <w:spacing w:after="0"/>
        <w:tabs>
          <w:tab w:leader="none" w:pos="134" w:val="left"/>
        </w:tabs>
        <w:numPr>
          <w:ilvl w:val="0"/>
          <w:numId w:val="26"/>
        </w:numPr>
        <w:rPr>
          <w:rFonts w:ascii="Arial" w:cs="Arial" w:eastAsia="Arial" w:hAnsi="Arial"/>
          <w:sz w:val="17"/>
          <w:szCs w:val="17"/>
          <w:color w:val="auto"/>
        </w:rPr>
      </w:pPr>
      <w:r>
        <w:rPr>
          <w:rFonts w:ascii="Arial" w:cs="Arial" w:eastAsia="Arial" w:hAnsi="Arial"/>
          <w:sz w:val="13"/>
          <w:szCs w:val="13"/>
          <w:color w:val="auto"/>
        </w:rPr>
        <w:t>The exhibits and schedules have been omitted pursuant to Item 601(a)(5) of Regulation S-K and will be provided to the Securities and Exchange Commission upon request.</w:t>
      </w:r>
    </w:p>
    <w:p>
      <w:pPr>
        <w:spacing w:after="0" w:line="4" w:lineRule="exact"/>
        <w:rPr>
          <w:sz w:val="20"/>
          <w:szCs w:val="20"/>
          <w:color w:val="auto"/>
        </w:rPr>
      </w:pPr>
    </w:p>
    <w:p>
      <w:pPr>
        <w:ind w:left="314" w:hanging="314"/>
        <w:spacing w:after="0" w:line="247" w:lineRule="auto"/>
        <w:tabs>
          <w:tab w:leader="none" w:pos="10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74"/>
          </w:cols>
          <w:pgMar w:left="326" w:top="1327" w:right="799" w:bottom="1440" w:gutter="0" w:footer="0" w:header="0"/>
        </w:sectPr>
      </w:pPr>
    </w:p>
    <w:bookmarkStart w:id="49" w:name="page50"/>
    <w:bookmarkEnd w:id="49"/>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640" w:type="dxa"/>
            <w:vAlign w:val="bottom"/>
          </w:tcPr>
          <w:p>
            <w:pPr>
              <w:spacing w:after="0"/>
              <w:rPr>
                <w:sz w:val="19"/>
                <w:szCs w:val="19"/>
                <w:color w:val="auto"/>
              </w:rPr>
            </w:pP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19"/>
                <w:szCs w:val="19"/>
                <w:color w:val="auto"/>
              </w:rPr>
            </w:pPr>
          </w:p>
        </w:tc>
      </w:tr>
      <w:tr>
        <w:trPr>
          <w:trHeight w:val="530"/>
        </w:trPr>
        <w:tc>
          <w:tcPr>
            <w:tcW w:w="2640" w:type="dxa"/>
            <w:vAlign w:val="bottom"/>
          </w:tcPr>
          <w:p>
            <w:pPr>
              <w:spacing w:after="0"/>
              <w:rPr>
                <w:sz w:val="20"/>
                <w:szCs w:val="20"/>
                <w:color w:val="auto"/>
              </w:rPr>
            </w:pPr>
            <w:r>
              <w:rPr>
                <w:rFonts w:ascii="Arial" w:cs="Arial" w:eastAsia="Arial" w:hAnsi="Arial"/>
                <w:sz w:val="18"/>
                <w:szCs w:val="18"/>
                <w:color w:val="auto"/>
              </w:rPr>
              <w:t>Date: May 4, 2022</w:t>
            </w:r>
          </w:p>
        </w:tc>
        <w:tc>
          <w:tcPr>
            <w:tcW w:w="2080" w:type="dxa"/>
            <w:vAlign w:val="bottom"/>
            <w:gridSpan w:val="3"/>
          </w:tcPr>
          <w:p>
            <w:pPr>
              <w:ind w:left="1380"/>
              <w:spacing w:after="0"/>
              <w:rPr>
                <w:sz w:val="20"/>
                <w:szCs w:val="20"/>
                <w:color w:val="auto"/>
              </w:rPr>
            </w:pPr>
            <w:r>
              <w:rPr>
                <w:rFonts w:ascii="Arial" w:cs="Arial" w:eastAsia="Arial" w:hAnsi="Arial"/>
                <w:sz w:val="18"/>
                <w:szCs w:val="18"/>
                <w:color w:val="auto"/>
              </w:rPr>
              <w:t>By:</w:t>
            </w:r>
          </w:p>
        </w:tc>
        <w:tc>
          <w:tcPr>
            <w:tcW w:w="5960" w:type="dxa"/>
            <w:vAlign w:val="bottom"/>
          </w:tcPr>
          <w:p>
            <w:pPr>
              <w:ind w:left="160"/>
              <w:spacing w:after="0"/>
              <w:rPr>
                <w:sz w:val="20"/>
                <w:szCs w:val="20"/>
                <w:color w:val="auto"/>
              </w:rPr>
            </w:pPr>
            <w:r>
              <w:rPr>
                <w:rFonts w:ascii="Arial" w:cs="Arial" w:eastAsia="Arial" w:hAnsi="Arial"/>
                <w:sz w:val="18"/>
                <w:szCs w:val="18"/>
                <w:color w:val="auto"/>
              </w:rPr>
              <w:t>/s/ Alexander Timm</w:t>
            </w:r>
          </w:p>
        </w:tc>
      </w:tr>
      <w:tr>
        <w:trPr>
          <w:trHeight w:val="231"/>
        </w:trPr>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Alexander Timm</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17"/>
        </w:trPr>
        <w:tc>
          <w:tcPr>
            <w:tcW w:w="2640" w:type="dxa"/>
            <w:vAlign w:val="bottom"/>
          </w:tcPr>
          <w:p>
            <w:pPr>
              <w:spacing w:after="0"/>
              <w:rPr>
                <w:sz w:val="24"/>
                <w:szCs w:val="24"/>
                <w:color w:val="auto"/>
              </w:rPr>
            </w:pP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640" w:type="dxa"/>
            <w:vAlign w:val="bottom"/>
          </w:tcPr>
          <w:p>
            <w:pPr>
              <w:spacing w:after="0"/>
              <w:rPr>
                <w:sz w:val="20"/>
                <w:szCs w:val="20"/>
                <w:color w:val="auto"/>
              </w:rPr>
            </w:pPr>
            <w:r>
              <w:rPr>
                <w:rFonts w:ascii="Arial" w:cs="Arial" w:eastAsia="Arial" w:hAnsi="Arial"/>
                <w:sz w:val="18"/>
                <w:szCs w:val="18"/>
                <w:color w:val="auto"/>
              </w:rPr>
              <w:t>Date: May 4, 2022</w:t>
            </w: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Robert Bateman</w:t>
            </w:r>
          </w:p>
        </w:tc>
      </w:tr>
      <w:tr>
        <w:trPr>
          <w:trHeight w:val="231"/>
        </w:trPr>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Robert Bateman</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17"/>
        </w:trPr>
        <w:tc>
          <w:tcPr>
            <w:tcW w:w="2640" w:type="dxa"/>
            <w:vAlign w:val="bottom"/>
          </w:tcPr>
          <w:p>
            <w:pPr>
              <w:spacing w:after="0"/>
              <w:rPr>
                <w:sz w:val="24"/>
                <w:szCs w:val="24"/>
                <w:color w:val="auto"/>
              </w:rPr>
            </w:pP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w w:val="98"/>
              </w:rPr>
              <w:t>Root, Inc.</w:t>
            </w:r>
          </w:p>
        </w:tc>
        <w:tc>
          <w:tcPr>
            <w:tcW w:w="5960" w:type="dxa"/>
            <w:vAlign w:val="bottom"/>
          </w:tcPr>
          <w:p>
            <w:pPr>
              <w:spacing w:after="0"/>
              <w:rPr>
                <w:sz w:val="24"/>
                <w:szCs w:val="24"/>
                <w:color w:val="auto"/>
              </w:rPr>
            </w:pPr>
          </w:p>
        </w:tc>
      </w:tr>
      <w:tr>
        <w:trPr>
          <w:trHeight w:val="531"/>
        </w:trPr>
        <w:tc>
          <w:tcPr>
            <w:tcW w:w="2640" w:type="dxa"/>
            <w:vAlign w:val="bottom"/>
          </w:tcPr>
          <w:p>
            <w:pPr>
              <w:spacing w:after="0"/>
              <w:rPr>
                <w:sz w:val="20"/>
                <w:szCs w:val="20"/>
                <w:color w:val="auto"/>
              </w:rPr>
            </w:pPr>
            <w:r>
              <w:rPr>
                <w:rFonts w:ascii="Arial" w:cs="Arial" w:eastAsia="Arial" w:hAnsi="Arial"/>
                <w:sz w:val="18"/>
                <w:szCs w:val="18"/>
                <w:color w:val="auto"/>
              </w:rPr>
              <w:t>Date: May 4, 2022</w:t>
            </w:r>
          </w:p>
        </w:tc>
        <w:tc>
          <w:tcPr>
            <w:tcW w:w="2080" w:type="dxa"/>
            <w:vAlign w:val="bottom"/>
            <w:gridSpan w:val="3"/>
          </w:tcPr>
          <w:p>
            <w:pPr>
              <w:ind w:left="1300"/>
              <w:spacing w:after="0"/>
              <w:rPr>
                <w:sz w:val="20"/>
                <w:szCs w:val="20"/>
                <w:color w:val="auto"/>
              </w:rPr>
            </w:pPr>
            <w:r>
              <w:rPr>
                <w:rFonts w:ascii="Arial" w:cs="Arial" w:eastAsia="Arial" w:hAnsi="Arial"/>
                <w:sz w:val="18"/>
                <w:szCs w:val="18"/>
                <w:color w:val="auto"/>
              </w:rPr>
              <w:t>By:</w:t>
            </w:r>
          </w:p>
        </w:tc>
        <w:tc>
          <w:tcPr>
            <w:tcW w:w="5960" w:type="dxa"/>
            <w:vAlign w:val="bottom"/>
          </w:tcPr>
          <w:p>
            <w:pPr>
              <w:ind w:left="60"/>
              <w:spacing w:after="0"/>
              <w:rPr>
                <w:sz w:val="20"/>
                <w:szCs w:val="20"/>
                <w:color w:val="auto"/>
              </w:rPr>
            </w:pPr>
            <w:r>
              <w:rPr>
                <w:rFonts w:ascii="Arial" w:cs="Arial" w:eastAsia="Arial" w:hAnsi="Arial"/>
                <w:sz w:val="18"/>
                <w:szCs w:val="18"/>
                <w:color w:val="auto"/>
              </w:rPr>
              <w:t>/s/ Megan Binkley</w:t>
            </w:r>
          </w:p>
        </w:tc>
      </w:tr>
      <w:tr>
        <w:trPr>
          <w:trHeight w:val="231"/>
        </w:trPr>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Megan Binkley</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Chief Accounting Officer</w:t>
            </w:r>
          </w:p>
        </w:tc>
      </w:tr>
      <w:tr>
        <w:trPr>
          <w:trHeight w:val="252"/>
        </w:trPr>
        <w:tc>
          <w:tcPr>
            <w:tcW w:w="2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320" w:top="131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9"/>
          <w:szCs w:val="19"/>
          <w:b w:val="1"/>
          <w:bCs w:val="1"/>
          <w:color w:val="auto"/>
        </w:rPr>
        <w:t>Exhibit 10.1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TERM LOAN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80"/>
        <w:spacing w:after="0"/>
        <w:rPr>
          <w:sz w:val="20"/>
          <w:szCs w:val="20"/>
          <w:color w:val="auto"/>
        </w:rPr>
      </w:pPr>
      <w:r>
        <w:rPr>
          <w:rFonts w:ascii="Arial" w:cs="Arial" w:eastAsia="Arial" w:hAnsi="Arial"/>
          <w:sz w:val="19"/>
          <w:szCs w:val="19"/>
          <w:color w:val="auto"/>
        </w:rPr>
        <w:t>dated as of January 26, 2022 by and among</w:t>
      </w:r>
    </w:p>
    <w:p>
      <w:pPr>
        <w:spacing w:after="0" w:line="213"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color w:val="auto"/>
        </w:rPr>
        <w:t>CARET HOLDINGS, INC.</w:t>
      </w:r>
      <w:r>
        <w:rPr>
          <w:rFonts w:ascii="Arial" w:cs="Arial" w:eastAsia="Arial" w:hAnsi="Arial"/>
          <w:sz w:val="19"/>
          <w:szCs w:val="19"/>
          <w:color w:val="auto"/>
        </w:rPr>
        <w:t>,</w:t>
      </w:r>
    </w:p>
    <w:p>
      <w:pPr>
        <w:spacing w:after="0" w:line="2" w:lineRule="exact"/>
        <w:rPr>
          <w:sz w:val="20"/>
          <w:szCs w:val="20"/>
          <w:color w:val="auto"/>
        </w:rPr>
      </w:pPr>
    </w:p>
    <w:p>
      <w:pPr>
        <w:jc w:val="center"/>
        <w:ind w:right="980"/>
        <w:spacing w:after="0"/>
        <w:rPr>
          <w:sz w:val="20"/>
          <w:szCs w:val="20"/>
          <w:color w:val="auto"/>
        </w:rPr>
      </w:pPr>
      <w:r>
        <w:rPr>
          <w:rFonts w:ascii="Arial" w:cs="Arial" w:eastAsia="Arial" w:hAnsi="Arial"/>
          <w:sz w:val="19"/>
          <w:szCs w:val="19"/>
          <w:color w:val="auto"/>
        </w:rPr>
        <w:t>as Borrower</w:t>
      </w:r>
    </w:p>
    <w:p>
      <w:pPr>
        <w:spacing w:after="0" w:line="184"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color w:val="auto"/>
        </w:rPr>
        <w:t>ROOT, INC.</w:t>
      </w:r>
      <w:r>
        <w:rPr>
          <w:rFonts w:ascii="Arial" w:cs="Arial" w:eastAsia="Arial" w:hAnsi="Arial"/>
          <w:sz w:val="19"/>
          <w:szCs w:val="19"/>
          <w:color w:val="auto"/>
        </w:rPr>
        <w:t>,</w:t>
      </w:r>
    </w:p>
    <w:p>
      <w:pPr>
        <w:spacing w:after="0" w:line="2" w:lineRule="exact"/>
        <w:rPr>
          <w:sz w:val="20"/>
          <w:szCs w:val="20"/>
          <w:color w:val="auto"/>
        </w:rPr>
      </w:pPr>
    </w:p>
    <w:p>
      <w:pPr>
        <w:jc w:val="center"/>
        <w:ind w:right="980"/>
        <w:spacing w:after="0"/>
        <w:rPr>
          <w:sz w:val="20"/>
          <w:szCs w:val="20"/>
          <w:color w:val="auto"/>
        </w:rPr>
      </w:pPr>
      <w:r>
        <w:rPr>
          <w:rFonts w:ascii="Arial" w:cs="Arial" w:eastAsia="Arial" w:hAnsi="Arial"/>
          <w:sz w:val="19"/>
          <w:szCs w:val="19"/>
          <w:color w:val="auto"/>
        </w:rPr>
        <w:t>as Holdings</w:t>
      </w:r>
    </w:p>
    <w:p>
      <w:pPr>
        <w:spacing w:after="0" w:line="303"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color w:val="auto"/>
        </w:rPr>
        <w:t>THE OTHER LOAN PARTIES FROM TIME TO TIME PARTY HERETO</w:t>
      </w:r>
      <w:r>
        <w:rPr>
          <w:rFonts w:ascii="Arial" w:cs="Arial" w:eastAsia="Arial" w:hAnsi="Arial"/>
          <w:sz w:val="19"/>
          <w:szCs w:val="19"/>
          <w:color w:val="auto"/>
        </w:rPr>
        <w:t>,</w:t>
      </w:r>
      <w:r>
        <w:rPr>
          <w:rFonts w:ascii="Arial" w:cs="Arial" w:eastAsia="Arial" w:hAnsi="Arial"/>
          <w:sz w:val="19"/>
          <w:szCs w:val="19"/>
          <w:b w:val="1"/>
          <w:bCs w:val="1"/>
          <w:color w:val="auto"/>
        </w:rPr>
        <w:t xml:space="preserve"> THE LENDERS</w:t>
      </w:r>
    </w:p>
    <w:p>
      <w:pPr>
        <w:spacing w:after="0" w:line="219"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color w:val="auto"/>
        </w:rPr>
        <w:t>FROM TIME TO TIME PARTY HERETO</w:t>
      </w:r>
    </w:p>
    <w:p>
      <w:pPr>
        <w:spacing w:after="0" w:line="119" w:lineRule="exact"/>
        <w:rPr>
          <w:sz w:val="20"/>
          <w:szCs w:val="20"/>
          <w:color w:val="auto"/>
        </w:rPr>
      </w:pPr>
    </w:p>
    <w:p>
      <w:pPr>
        <w:jc w:val="center"/>
        <w:ind w:right="980"/>
        <w:spacing w:after="0"/>
        <w:rPr>
          <w:sz w:val="20"/>
          <w:szCs w:val="20"/>
          <w:color w:val="auto"/>
        </w:rPr>
      </w:pPr>
      <w:r>
        <w:rPr>
          <w:rFonts w:ascii="Arial" w:cs="Arial" w:eastAsia="Arial" w:hAnsi="Arial"/>
          <w:sz w:val="19"/>
          <w:szCs w:val="19"/>
          <w:color w:val="auto"/>
        </w:rPr>
        <w:t>and</w:t>
      </w:r>
    </w:p>
    <w:p>
      <w:pPr>
        <w:spacing w:after="0" w:line="215"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color w:val="auto"/>
        </w:rPr>
        <w:t>ACQUIOM AGENCY SERVICES LLC,</w:t>
      </w:r>
    </w:p>
    <w:p>
      <w:pPr>
        <w:jc w:val="center"/>
        <w:ind w:right="980"/>
        <w:spacing w:after="0"/>
        <w:rPr>
          <w:sz w:val="20"/>
          <w:szCs w:val="20"/>
          <w:color w:val="auto"/>
        </w:rPr>
      </w:pPr>
      <w:r>
        <w:rPr>
          <w:rFonts w:ascii="Arial" w:cs="Arial" w:eastAsia="Arial" w:hAnsi="Arial"/>
          <w:sz w:val="19"/>
          <w:szCs w:val="19"/>
          <w:color w:val="auto"/>
        </w:rPr>
        <w:t>as Administrative Agent</w:t>
      </w:r>
    </w:p>
    <w:p>
      <w:pPr>
        <w:sectPr>
          <w:pgSz w:w="11900" w:h="16838" w:orient="portrait"/>
          <w:cols w:equalWidth="0" w:num="1">
            <w:col w:w="10000"/>
          </w:cols>
          <w:pgMar w:left="1440" w:top="726" w:right="459" w:bottom="1440" w:gutter="0" w:footer="0" w:header="0"/>
        </w:sectPr>
      </w:pPr>
    </w:p>
    <w:bookmarkStart w:id="51" w:name="page52"/>
    <w:bookmarkEnd w:id="51"/>
    <w:p>
      <w:pPr>
        <w:ind w:left="436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760" w:type="dxa"/>
            <w:vAlign w:val="bottom"/>
            <w:gridSpan w:val="2"/>
          </w:tcPr>
          <w:p>
            <w:pPr>
              <w:spacing w:after="0"/>
              <w:rPr>
                <w:sz w:val="20"/>
                <w:szCs w:val="20"/>
                <w:color w:val="auto"/>
              </w:rPr>
            </w:pPr>
            <w:r>
              <w:rPr>
                <w:rFonts w:ascii="Arial" w:cs="Arial" w:eastAsia="Arial" w:hAnsi="Arial"/>
                <w:sz w:val="21"/>
                <w:szCs w:val="21"/>
                <w:color w:val="auto"/>
              </w:rPr>
              <w:t>ARTICLE I DEFINITIONS; CONSTRUCTION</w:t>
            </w:r>
          </w:p>
        </w:tc>
        <w:tc>
          <w:tcPr>
            <w:tcW w:w="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1"/>
              </w:rPr>
              <w:t>Page</w:t>
            </w:r>
          </w:p>
        </w:tc>
        <w:tc>
          <w:tcPr>
            <w:tcW w:w="120" w:type="dxa"/>
            <w:vAlign w:val="bottom"/>
          </w:tcPr>
          <w:p>
            <w:pPr>
              <w:spacing w:after="0"/>
              <w:rPr>
                <w:sz w:val="21"/>
                <w:szCs w:val="21"/>
                <w:color w:val="auto"/>
              </w:rPr>
            </w:pPr>
          </w:p>
        </w:tc>
      </w:tr>
      <w:tr>
        <w:trPr>
          <w:trHeight w:val="205"/>
        </w:trPr>
        <w:tc>
          <w:tcPr>
            <w:tcW w:w="2240" w:type="dxa"/>
            <w:vAlign w:val="bottom"/>
          </w:tcPr>
          <w:p>
            <w:pPr>
              <w:ind w:left="960"/>
              <w:spacing w:after="0" w:line="205" w:lineRule="exact"/>
              <w:rPr>
                <w:sz w:val="20"/>
                <w:szCs w:val="20"/>
                <w:color w:val="auto"/>
              </w:rPr>
            </w:pPr>
            <w:r>
              <w:rPr>
                <w:rFonts w:ascii="Arial" w:cs="Arial" w:eastAsia="Arial" w:hAnsi="Arial"/>
                <w:sz w:val="19"/>
                <w:szCs w:val="19"/>
                <w:color w:val="auto"/>
              </w:rPr>
              <w:t>Section 1.1.</w:t>
            </w:r>
          </w:p>
        </w:tc>
        <w:tc>
          <w:tcPr>
            <w:tcW w:w="7520" w:type="dxa"/>
            <w:vAlign w:val="bottom"/>
          </w:tcPr>
          <w:p>
            <w:pPr>
              <w:ind w:left="240"/>
              <w:spacing w:after="0" w:line="205" w:lineRule="exact"/>
              <w:rPr>
                <w:sz w:val="20"/>
                <w:szCs w:val="20"/>
                <w:color w:val="auto"/>
              </w:rPr>
            </w:pPr>
            <w:r>
              <w:rPr>
                <w:rFonts w:ascii="Arial" w:cs="Arial" w:eastAsia="Arial" w:hAnsi="Arial"/>
                <w:sz w:val="19"/>
                <w:szCs w:val="19"/>
                <w:color w:val="auto"/>
              </w:rPr>
              <w:t>Definitions</w:t>
            </w:r>
          </w:p>
        </w:tc>
        <w:tc>
          <w:tcPr>
            <w:tcW w:w="500" w:type="dxa"/>
            <w:vAlign w:val="bottom"/>
            <w:gridSpan w:val="2"/>
          </w:tcPr>
          <w:p>
            <w:pPr>
              <w:jc w:val="right"/>
              <w:spacing w:after="0" w:line="205" w:lineRule="exact"/>
              <w:rPr>
                <w:sz w:val="20"/>
                <w:szCs w:val="20"/>
                <w:color w:val="auto"/>
              </w:rPr>
            </w:pPr>
            <w:r>
              <w:rPr>
                <w:rFonts w:ascii="Arial" w:cs="Arial" w:eastAsia="Arial" w:hAnsi="Arial"/>
                <w:sz w:val="19"/>
                <w:szCs w:val="19"/>
                <w:color w:val="auto"/>
              </w:rPr>
              <w:t>1</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1.2.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Classifications of Loans and Borrowings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36</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1.3.</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Accounting Terms and Determination</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36</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1.4.</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Terms Generally</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36</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1.5.</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Divisions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37</w:t>
            </w:r>
          </w:p>
        </w:tc>
      </w:tr>
      <w:tr>
        <w:trPr>
          <w:trHeight w:val="235"/>
        </w:trPr>
        <w:tc>
          <w:tcPr>
            <w:tcW w:w="2240" w:type="dxa"/>
            <w:vAlign w:val="bottom"/>
          </w:tcPr>
          <w:p>
            <w:pPr>
              <w:ind w:left="960"/>
              <w:spacing w:after="0"/>
              <w:rPr>
                <w:sz w:val="20"/>
                <w:szCs w:val="20"/>
                <w:color w:val="auto"/>
              </w:rPr>
            </w:pPr>
            <w:r>
              <w:rPr>
                <w:rFonts w:ascii="Arial" w:cs="Arial" w:eastAsia="Arial" w:hAnsi="Arial"/>
                <w:sz w:val="19"/>
                <w:szCs w:val="19"/>
                <w:color w:val="auto"/>
              </w:rPr>
              <w:t>Section 1.6.</w:t>
            </w:r>
          </w:p>
        </w:tc>
        <w:tc>
          <w:tcPr>
            <w:tcW w:w="7520" w:type="dxa"/>
            <w:vAlign w:val="bottom"/>
          </w:tcPr>
          <w:p>
            <w:pPr>
              <w:ind w:left="240"/>
              <w:spacing w:after="0"/>
              <w:rPr>
                <w:sz w:val="20"/>
                <w:szCs w:val="20"/>
                <w:color w:val="auto"/>
              </w:rPr>
            </w:pPr>
            <w:r>
              <w:rPr>
                <w:rFonts w:ascii="Arial" w:cs="Arial" w:eastAsia="Arial" w:hAnsi="Arial"/>
                <w:sz w:val="19"/>
                <w:szCs w:val="19"/>
                <w:color w:val="auto"/>
              </w:rPr>
              <w:t>Rates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37</w:t>
            </w:r>
          </w:p>
        </w:tc>
      </w:tr>
      <w:tr>
        <w:trPr>
          <w:trHeight w:val="238"/>
        </w:trPr>
        <w:tc>
          <w:tcPr>
            <w:tcW w:w="9760" w:type="dxa"/>
            <w:vAlign w:val="bottom"/>
            <w:gridSpan w:val="2"/>
          </w:tcPr>
          <w:p>
            <w:pPr>
              <w:spacing w:after="0"/>
              <w:rPr>
                <w:sz w:val="20"/>
                <w:szCs w:val="20"/>
                <w:color w:val="auto"/>
              </w:rPr>
            </w:pPr>
            <w:r>
              <w:rPr>
                <w:rFonts w:ascii="Arial" w:cs="Arial" w:eastAsia="Arial" w:hAnsi="Arial"/>
                <w:sz w:val="19"/>
                <w:szCs w:val="19"/>
                <w:color w:val="auto"/>
              </w:rPr>
              <w:t>ARTICLE II AMOUNT AND TERMS OF THE COMMITMENTS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37</w:t>
            </w:r>
          </w:p>
        </w:tc>
      </w:tr>
      <w:tr>
        <w:trPr>
          <w:trHeight w:val="189"/>
        </w:trPr>
        <w:tc>
          <w:tcPr>
            <w:tcW w:w="2240" w:type="dxa"/>
            <w:vAlign w:val="bottom"/>
          </w:tcPr>
          <w:p>
            <w:pPr>
              <w:ind w:left="960"/>
              <w:spacing w:after="0" w:line="189" w:lineRule="exact"/>
              <w:rPr>
                <w:sz w:val="20"/>
                <w:szCs w:val="20"/>
                <w:color w:val="auto"/>
              </w:rPr>
            </w:pPr>
            <w:r>
              <w:rPr>
                <w:rFonts w:ascii="Arial" w:cs="Arial" w:eastAsia="Arial" w:hAnsi="Arial"/>
                <w:sz w:val="19"/>
                <w:szCs w:val="19"/>
                <w:color w:val="auto"/>
              </w:rPr>
              <w:t>Section 2.1.</w:t>
            </w:r>
          </w:p>
        </w:tc>
        <w:tc>
          <w:tcPr>
            <w:tcW w:w="7520" w:type="dxa"/>
            <w:vAlign w:val="bottom"/>
          </w:tcPr>
          <w:p>
            <w:pPr>
              <w:ind w:left="240"/>
              <w:spacing w:after="0" w:line="189"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9" w:lineRule="exact"/>
              <w:rPr>
                <w:sz w:val="20"/>
                <w:szCs w:val="20"/>
                <w:color w:val="auto"/>
              </w:rPr>
            </w:pPr>
            <w:r>
              <w:rPr>
                <w:rFonts w:ascii="Arial" w:cs="Arial" w:eastAsia="Arial" w:hAnsi="Arial"/>
                <w:sz w:val="19"/>
                <w:szCs w:val="19"/>
                <w:color w:val="auto"/>
              </w:rPr>
              <w:t>37</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38</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2.3.</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38</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2.4.</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38</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2.5.</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Term Loan; Term Loan Commitments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38</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2.6.</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Funding of Borrowings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38</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2.7.</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39</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2.8.</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Repayment of Loans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39</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2.9.</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Evidence of Indebtedness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39</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2.10.</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Optional Prepayments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39</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2.11.</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Mandatory Prepayments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40</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Interest on Loans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43</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2.13.</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Prepayment Premium</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43</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2.14.</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Conversion</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44</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2.15.</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Fees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45</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2.16.</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Computation of Interest and Fees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45</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2.17.</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Inability to Determine Interest Rates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45</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2.18.</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Illegality</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47</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2.19.</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Increased Costs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47</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2.20.</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Funding Indemnity</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48</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2.21.</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Taxes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49</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Payments Generally; Pro Rata Treatment; Sharing of Set-offs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52</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2.23.</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53</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2.24.</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53</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2.25.</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Mitigation of Obligations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53</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2.26.</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Replacement of Lenders</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54</w:t>
            </w:r>
          </w:p>
        </w:tc>
      </w:tr>
      <w:tr>
        <w:trPr>
          <w:trHeight w:val="235"/>
        </w:trPr>
        <w:tc>
          <w:tcPr>
            <w:tcW w:w="2240" w:type="dxa"/>
            <w:vAlign w:val="bottom"/>
          </w:tcPr>
          <w:p>
            <w:pPr>
              <w:ind w:left="960"/>
              <w:spacing w:after="0"/>
              <w:rPr>
                <w:sz w:val="20"/>
                <w:szCs w:val="20"/>
                <w:color w:val="auto"/>
              </w:rPr>
            </w:pPr>
            <w:r>
              <w:rPr>
                <w:rFonts w:ascii="Arial" w:cs="Arial" w:eastAsia="Arial" w:hAnsi="Arial"/>
                <w:sz w:val="19"/>
                <w:szCs w:val="19"/>
                <w:color w:val="auto"/>
              </w:rPr>
              <w:t>Section 2.27.</w:t>
            </w:r>
          </w:p>
        </w:tc>
        <w:tc>
          <w:tcPr>
            <w:tcW w:w="7520" w:type="dxa"/>
            <w:vAlign w:val="bottom"/>
          </w:tcPr>
          <w:p>
            <w:pPr>
              <w:ind w:left="240"/>
              <w:spacing w:after="0"/>
              <w:rPr>
                <w:sz w:val="20"/>
                <w:szCs w:val="20"/>
                <w:color w:val="auto"/>
              </w:rPr>
            </w:pPr>
            <w:r>
              <w:rPr>
                <w:rFonts w:ascii="Arial" w:cs="Arial" w:eastAsia="Arial" w:hAnsi="Arial"/>
                <w:sz w:val="19"/>
                <w:szCs w:val="19"/>
                <w:color w:val="auto"/>
              </w:rPr>
              <w:t>Defaulting Lenders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54</w:t>
            </w:r>
          </w:p>
        </w:tc>
      </w:tr>
      <w:tr>
        <w:trPr>
          <w:trHeight w:val="239"/>
        </w:trPr>
        <w:tc>
          <w:tcPr>
            <w:tcW w:w="9760" w:type="dxa"/>
            <w:vAlign w:val="bottom"/>
            <w:gridSpan w:val="2"/>
          </w:tcPr>
          <w:p>
            <w:pPr>
              <w:spacing w:after="0"/>
              <w:rPr>
                <w:sz w:val="20"/>
                <w:szCs w:val="20"/>
                <w:color w:val="auto"/>
              </w:rPr>
            </w:pPr>
            <w:r>
              <w:rPr>
                <w:rFonts w:ascii="Arial" w:cs="Arial" w:eastAsia="Arial" w:hAnsi="Arial"/>
                <w:sz w:val="19"/>
                <w:szCs w:val="19"/>
                <w:color w:val="auto"/>
              </w:rPr>
              <w:t>ARTICLE III CONDITIONS PRECEDENT TO LOANS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55</w:t>
            </w:r>
          </w:p>
        </w:tc>
      </w:tr>
      <w:tr>
        <w:trPr>
          <w:trHeight w:val="189"/>
        </w:trPr>
        <w:tc>
          <w:tcPr>
            <w:tcW w:w="2240" w:type="dxa"/>
            <w:vAlign w:val="bottom"/>
          </w:tcPr>
          <w:p>
            <w:pPr>
              <w:ind w:left="960"/>
              <w:spacing w:after="0" w:line="189" w:lineRule="exact"/>
              <w:rPr>
                <w:sz w:val="20"/>
                <w:szCs w:val="20"/>
                <w:color w:val="auto"/>
              </w:rPr>
            </w:pPr>
            <w:r>
              <w:rPr>
                <w:rFonts w:ascii="Arial" w:cs="Arial" w:eastAsia="Arial" w:hAnsi="Arial"/>
                <w:sz w:val="19"/>
                <w:szCs w:val="19"/>
                <w:color w:val="auto"/>
              </w:rPr>
              <w:t>Section 3.1.</w:t>
            </w:r>
          </w:p>
        </w:tc>
        <w:tc>
          <w:tcPr>
            <w:tcW w:w="7520" w:type="dxa"/>
            <w:vAlign w:val="bottom"/>
          </w:tcPr>
          <w:p>
            <w:pPr>
              <w:ind w:left="240"/>
              <w:spacing w:after="0" w:line="189" w:lineRule="exact"/>
              <w:rPr>
                <w:sz w:val="20"/>
                <w:szCs w:val="20"/>
                <w:color w:val="auto"/>
              </w:rPr>
            </w:pPr>
            <w:r>
              <w:rPr>
                <w:rFonts w:ascii="Arial" w:cs="Arial" w:eastAsia="Arial" w:hAnsi="Arial"/>
                <w:sz w:val="19"/>
                <w:szCs w:val="19"/>
                <w:color w:val="auto"/>
              </w:rPr>
              <w:t>Conditions to Effectiveness</w:t>
            </w:r>
          </w:p>
        </w:tc>
        <w:tc>
          <w:tcPr>
            <w:tcW w:w="500" w:type="dxa"/>
            <w:vAlign w:val="bottom"/>
            <w:gridSpan w:val="2"/>
          </w:tcPr>
          <w:p>
            <w:pPr>
              <w:jc w:val="right"/>
              <w:spacing w:after="0" w:line="189" w:lineRule="exact"/>
              <w:rPr>
                <w:sz w:val="20"/>
                <w:szCs w:val="20"/>
                <w:color w:val="auto"/>
              </w:rPr>
            </w:pPr>
            <w:r>
              <w:rPr>
                <w:rFonts w:ascii="Arial" w:cs="Arial" w:eastAsia="Arial" w:hAnsi="Arial"/>
                <w:sz w:val="19"/>
                <w:szCs w:val="19"/>
                <w:color w:val="auto"/>
              </w:rPr>
              <w:t>55</w:t>
            </w:r>
          </w:p>
        </w:tc>
      </w:tr>
      <w:tr>
        <w:trPr>
          <w:trHeight w:val="186"/>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3.2.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Conditions to the Borrowing</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57</w:t>
            </w:r>
          </w:p>
        </w:tc>
      </w:tr>
      <w:tr>
        <w:trPr>
          <w:trHeight w:val="235"/>
        </w:trPr>
        <w:tc>
          <w:tcPr>
            <w:tcW w:w="2240" w:type="dxa"/>
            <w:vAlign w:val="bottom"/>
          </w:tcPr>
          <w:p>
            <w:pPr>
              <w:ind w:left="960"/>
              <w:spacing w:after="0"/>
              <w:rPr>
                <w:sz w:val="20"/>
                <w:szCs w:val="20"/>
                <w:color w:val="auto"/>
              </w:rPr>
            </w:pPr>
            <w:r>
              <w:rPr>
                <w:rFonts w:ascii="Arial" w:cs="Arial" w:eastAsia="Arial" w:hAnsi="Arial"/>
                <w:sz w:val="19"/>
                <w:szCs w:val="19"/>
                <w:color w:val="auto"/>
              </w:rPr>
              <w:t>Section 3.3.</w:t>
            </w:r>
          </w:p>
        </w:tc>
        <w:tc>
          <w:tcPr>
            <w:tcW w:w="7520" w:type="dxa"/>
            <w:vAlign w:val="bottom"/>
          </w:tcPr>
          <w:p>
            <w:pPr>
              <w:ind w:left="240"/>
              <w:spacing w:after="0"/>
              <w:rPr>
                <w:sz w:val="20"/>
                <w:szCs w:val="20"/>
                <w:color w:val="auto"/>
              </w:rPr>
            </w:pPr>
            <w:r>
              <w:rPr>
                <w:rFonts w:ascii="Arial" w:cs="Arial" w:eastAsia="Arial" w:hAnsi="Arial"/>
                <w:sz w:val="19"/>
                <w:szCs w:val="19"/>
                <w:color w:val="auto"/>
              </w:rPr>
              <w:t>[Reserved]</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57</w:t>
            </w:r>
          </w:p>
        </w:tc>
      </w:tr>
      <w:tr>
        <w:trPr>
          <w:trHeight w:val="238"/>
        </w:trPr>
        <w:tc>
          <w:tcPr>
            <w:tcW w:w="9760" w:type="dxa"/>
            <w:vAlign w:val="bottom"/>
            <w:gridSpan w:val="2"/>
          </w:tcPr>
          <w:p>
            <w:pPr>
              <w:spacing w:after="0"/>
              <w:rPr>
                <w:sz w:val="20"/>
                <w:szCs w:val="20"/>
                <w:color w:val="auto"/>
              </w:rPr>
            </w:pPr>
            <w:r>
              <w:rPr>
                <w:rFonts w:ascii="Arial" w:cs="Arial" w:eastAsia="Arial" w:hAnsi="Arial"/>
                <w:sz w:val="19"/>
                <w:szCs w:val="19"/>
                <w:color w:val="auto"/>
              </w:rPr>
              <w:t>ARTICLE IV REPRESENTATIONS AND WARRANTIES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58</w:t>
            </w:r>
          </w:p>
        </w:tc>
      </w:tr>
      <w:tr>
        <w:trPr>
          <w:trHeight w:val="189"/>
        </w:trPr>
        <w:tc>
          <w:tcPr>
            <w:tcW w:w="2240" w:type="dxa"/>
            <w:vAlign w:val="bottom"/>
          </w:tcPr>
          <w:p>
            <w:pPr>
              <w:ind w:left="960"/>
              <w:spacing w:after="0" w:line="189" w:lineRule="exact"/>
              <w:rPr>
                <w:sz w:val="20"/>
                <w:szCs w:val="20"/>
                <w:color w:val="auto"/>
              </w:rPr>
            </w:pPr>
            <w:r>
              <w:rPr>
                <w:rFonts w:ascii="Arial" w:cs="Arial" w:eastAsia="Arial" w:hAnsi="Arial"/>
                <w:sz w:val="19"/>
                <w:szCs w:val="19"/>
                <w:color w:val="auto"/>
              </w:rPr>
              <w:t>Section 4.1.</w:t>
            </w:r>
          </w:p>
        </w:tc>
        <w:tc>
          <w:tcPr>
            <w:tcW w:w="7520" w:type="dxa"/>
            <w:vAlign w:val="bottom"/>
          </w:tcPr>
          <w:p>
            <w:pPr>
              <w:ind w:left="240"/>
              <w:spacing w:after="0" w:line="189" w:lineRule="exact"/>
              <w:rPr>
                <w:sz w:val="20"/>
                <w:szCs w:val="20"/>
                <w:color w:val="auto"/>
              </w:rPr>
            </w:pPr>
            <w:r>
              <w:rPr>
                <w:rFonts w:ascii="Arial" w:cs="Arial" w:eastAsia="Arial" w:hAnsi="Arial"/>
                <w:sz w:val="19"/>
                <w:szCs w:val="19"/>
                <w:color w:val="auto"/>
              </w:rPr>
              <w:t>Existence; Power</w:t>
            </w:r>
          </w:p>
        </w:tc>
        <w:tc>
          <w:tcPr>
            <w:tcW w:w="500" w:type="dxa"/>
            <w:vAlign w:val="bottom"/>
            <w:gridSpan w:val="2"/>
          </w:tcPr>
          <w:p>
            <w:pPr>
              <w:jc w:val="right"/>
              <w:spacing w:after="0" w:line="189" w:lineRule="exact"/>
              <w:rPr>
                <w:sz w:val="20"/>
                <w:szCs w:val="20"/>
                <w:color w:val="auto"/>
              </w:rPr>
            </w:pPr>
            <w:r>
              <w:rPr>
                <w:rFonts w:ascii="Arial" w:cs="Arial" w:eastAsia="Arial" w:hAnsi="Arial"/>
                <w:sz w:val="19"/>
                <w:szCs w:val="19"/>
                <w:color w:val="auto"/>
              </w:rPr>
              <w:t>58</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4.2.</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Organizational Power; Authorization</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58</w:t>
            </w:r>
          </w:p>
        </w:tc>
      </w:tr>
      <w:tr>
        <w:trPr>
          <w:trHeight w:val="185"/>
        </w:trPr>
        <w:tc>
          <w:tcPr>
            <w:tcW w:w="2240" w:type="dxa"/>
            <w:vAlign w:val="bottom"/>
          </w:tcPr>
          <w:p>
            <w:pPr>
              <w:ind w:left="960"/>
              <w:spacing w:after="0" w:line="185" w:lineRule="exact"/>
              <w:rPr>
                <w:sz w:val="20"/>
                <w:szCs w:val="20"/>
                <w:color w:val="auto"/>
              </w:rPr>
            </w:pPr>
            <w:r>
              <w:rPr>
                <w:rFonts w:ascii="Arial" w:cs="Arial" w:eastAsia="Arial" w:hAnsi="Arial"/>
                <w:sz w:val="19"/>
                <w:szCs w:val="19"/>
                <w:color w:val="auto"/>
              </w:rPr>
              <w:t>Section 4.3.</w:t>
            </w:r>
          </w:p>
        </w:tc>
        <w:tc>
          <w:tcPr>
            <w:tcW w:w="7520" w:type="dxa"/>
            <w:vAlign w:val="bottom"/>
          </w:tcPr>
          <w:p>
            <w:pPr>
              <w:ind w:left="240"/>
              <w:spacing w:after="0" w:line="185" w:lineRule="exact"/>
              <w:rPr>
                <w:sz w:val="20"/>
                <w:szCs w:val="20"/>
                <w:color w:val="auto"/>
              </w:rPr>
            </w:pPr>
            <w:r>
              <w:rPr>
                <w:rFonts w:ascii="Arial" w:cs="Arial" w:eastAsia="Arial" w:hAnsi="Arial"/>
                <w:sz w:val="19"/>
                <w:szCs w:val="19"/>
                <w:color w:val="auto"/>
              </w:rPr>
              <w:t>Governmental Approvals; No Conflicts; No Default</w:t>
            </w:r>
          </w:p>
        </w:tc>
        <w:tc>
          <w:tcPr>
            <w:tcW w:w="500" w:type="dxa"/>
            <w:vAlign w:val="bottom"/>
            <w:gridSpan w:val="2"/>
          </w:tcPr>
          <w:p>
            <w:pPr>
              <w:jc w:val="right"/>
              <w:spacing w:after="0" w:line="185" w:lineRule="exact"/>
              <w:rPr>
                <w:sz w:val="20"/>
                <w:szCs w:val="20"/>
                <w:color w:val="auto"/>
              </w:rPr>
            </w:pPr>
            <w:r>
              <w:rPr>
                <w:rFonts w:ascii="Arial" w:cs="Arial" w:eastAsia="Arial" w:hAnsi="Arial"/>
                <w:sz w:val="19"/>
                <w:szCs w:val="19"/>
                <w:color w:val="auto"/>
              </w:rPr>
              <w:t>58</w:t>
            </w:r>
          </w:p>
        </w:tc>
      </w:tr>
      <w:tr>
        <w:trPr>
          <w:trHeight w:val="247"/>
        </w:trPr>
        <w:tc>
          <w:tcPr>
            <w:tcW w:w="2240" w:type="dxa"/>
            <w:vAlign w:val="bottom"/>
          </w:tcPr>
          <w:p>
            <w:pPr>
              <w:ind w:left="960"/>
              <w:spacing w:after="0"/>
              <w:rPr>
                <w:sz w:val="20"/>
                <w:szCs w:val="20"/>
                <w:color w:val="auto"/>
              </w:rPr>
            </w:pPr>
            <w:r>
              <w:rPr>
                <w:rFonts w:ascii="Arial" w:cs="Arial" w:eastAsia="Arial" w:hAnsi="Arial"/>
                <w:sz w:val="19"/>
                <w:szCs w:val="19"/>
                <w:color w:val="auto"/>
              </w:rPr>
              <w:t>Section 4.4.</w:t>
            </w:r>
          </w:p>
        </w:tc>
        <w:tc>
          <w:tcPr>
            <w:tcW w:w="7520" w:type="dxa"/>
            <w:vAlign w:val="bottom"/>
          </w:tcPr>
          <w:p>
            <w:pPr>
              <w:ind w:left="240"/>
              <w:spacing w:after="0"/>
              <w:rPr>
                <w:sz w:val="20"/>
                <w:szCs w:val="20"/>
                <w:color w:val="auto"/>
              </w:rPr>
            </w:pPr>
            <w:r>
              <w:rPr>
                <w:rFonts w:ascii="Arial" w:cs="Arial" w:eastAsia="Arial" w:hAnsi="Arial"/>
                <w:sz w:val="19"/>
                <w:szCs w:val="19"/>
                <w:color w:val="auto"/>
              </w:rPr>
              <w:t>Financial Statements</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0260"/>
          </w:cols>
          <w:pgMar w:left="540" w:top="1375" w:right="10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2240" w:type="dxa"/>
            <w:vAlign w:val="bottom"/>
          </w:tcPr>
          <w:p>
            <w:pPr>
              <w:ind w:left="980"/>
              <w:spacing w:after="0"/>
              <w:rPr>
                <w:sz w:val="20"/>
                <w:szCs w:val="20"/>
                <w:color w:val="auto"/>
              </w:rPr>
            </w:pPr>
            <w:r>
              <w:rPr>
                <w:rFonts w:ascii="Arial" w:cs="Arial" w:eastAsia="Arial" w:hAnsi="Arial"/>
                <w:sz w:val="19"/>
                <w:szCs w:val="19"/>
                <w:color w:val="auto"/>
              </w:rPr>
              <w:t>Section 4.5.</w:t>
            </w:r>
          </w:p>
        </w:tc>
        <w:tc>
          <w:tcPr>
            <w:tcW w:w="6360" w:type="dxa"/>
            <w:vAlign w:val="bottom"/>
          </w:tcPr>
          <w:p>
            <w:pPr>
              <w:ind w:left="240"/>
              <w:spacing w:after="0"/>
              <w:rPr>
                <w:sz w:val="20"/>
                <w:szCs w:val="20"/>
                <w:color w:val="auto"/>
              </w:rPr>
            </w:pPr>
            <w:r>
              <w:rPr>
                <w:rFonts w:ascii="Arial" w:cs="Arial" w:eastAsia="Arial" w:hAnsi="Arial"/>
                <w:sz w:val="19"/>
                <w:szCs w:val="19"/>
                <w:color w:val="auto"/>
              </w:rPr>
              <w:t>Litigation and Environmental Matters</w:t>
            </w:r>
          </w:p>
        </w:tc>
        <w:tc>
          <w:tcPr>
            <w:tcW w:w="166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4.6.</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Compliance with Laws and Agreements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59</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4.7.</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Investment Company Act</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59</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4.8.</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Taxes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59</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4.9.</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Margin Regulations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59</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4.10.</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ERISA</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60</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4.11.</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Ownership of Property; Intellectual Property; and Insurance</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60</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4.12.</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Disclosure</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61</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4.13.</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Labor Relations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61</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4.14.</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Subsidiaries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61</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4.15.</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Solvency</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62</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4.16.</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Deposit and Disbursement Accounts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62</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4.17.</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Collateral Documents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62</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4.18.</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Material Agreements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4.19.</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Insurance Licenses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63</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4.20.</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Sanctions and Anti-Corruption Laws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63</w:t>
            </w:r>
          </w:p>
        </w:tc>
      </w:tr>
      <w:tr>
        <w:trPr>
          <w:trHeight w:val="235"/>
        </w:trPr>
        <w:tc>
          <w:tcPr>
            <w:tcW w:w="2240" w:type="dxa"/>
            <w:vAlign w:val="bottom"/>
          </w:tcPr>
          <w:p>
            <w:pPr>
              <w:ind w:left="980"/>
              <w:spacing w:after="0"/>
              <w:rPr>
                <w:sz w:val="20"/>
                <w:szCs w:val="20"/>
                <w:color w:val="auto"/>
              </w:rPr>
            </w:pPr>
            <w:r>
              <w:rPr>
                <w:rFonts w:ascii="Arial" w:cs="Arial" w:eastAsia="Arial" w:hAnsi="Arial"/>
                <w:sz w:val="19"/>
                <w:szCs w:val="19"/>
                <w:color w:val="auto"/>
              </w:rPr>
              <w:t>Section 4.21.</w:t>
            </w:r>
          </w:p>
        </w:tc>
        <w:tc>
          <w:tcPr>
            <w:tcW w:w="6360" w:type="dxa"/>
            <w:vAlign w:val="bottom"/>
          </w:tcPr>
          <w:p>
            <w:pPr>
              <w:ind w:left="240"/>
              <w:spacing w:after="0"/>
              <w:rPr>
                <w:sz w:val="20"/>
                <w:szCs w:val="20"/>
                <w:color w:val="auto"/>
              </w:rPr>
            </w:pPr>
            <w:r>
              <w:rPr>
                <w:rFonts w:ascii="Arial" w:cs="Arial" w:eastAsia="Arial" w:hAnsi="Arial"/>
                <w:sz w:val="19"/>
                <w:szCs w:val="19"/>
                <w:color w:val="auto"/>
              </w:rPr>
              <w:t>Affected Financial Institutions</w:t>
            </w:r>
          </w:p>
        </w:tc>
        <w:tc>
          <w:tcPr>
            <w:tcW w:w="16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38"/>
        </w:trPr>
        <w:tc>
          <w:tcPr>
            <w:tcW w:w="8600" w:type="dxa"/>
            <w:vAlign w:val="bottom"/>
            <w:gridSpan w:val="2"/>
          </w:tcPr>
          <w:p>
            <w:pPr>
              <w:spacing w:after="0"/>
              <w:rPr>
                <w:sz w:val="20"/>
                <w:szCs w:val="20"/>
                <w:color w:val="auto"/>
              </w:rPr>
            </w:pPr>
            <w:r>
              <w:rPr>
                <w:rFonts w:ascii="Arial" w:cs="Arial" w:eastAsia="Arial" w:hAnsi="Arial"/>
                <w:sz w:val="19"/>
                <w:szCs w:val="19"/>
                <w:color w:val="auto"/>
              </w:rPr>
              <w:t>ARTICLE V AFFIRMATIVE COVENANTS</w:t>
            </w:r>
          </w:p>
        </w:tc>
        <w:tc>
          <w:tcPr>
            <w:tcW w:w="16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189"/>
        </w:trPr>
        <w:tc>
          <w:tcPr>
            <w:tcW w:w="2240" w:type="dxa"/>
            <w:vAlign w:val="bottom"/>
          </w:tcPr>
          <w:p>
            <w:pPr>
              <w:ind w:left="980"/>
              <w:spacing w:after="0" w:line="189" w:lineRule="exact"/>
              <w:rPr>
                <w:sz w:val="20"/>
                <w:szCs w:val="20"/>
                <w:color w:val="auto"/>
              </w:rPr>
            </w:pPr>
            <w:r>
              <w:rPr>
                <w:rFonts w:ascii="Arial" w:cs="Arial" w:eastAsia="Arial" w:hAnsi="Arial"/>
                <w:sz w:val="19"/>
                <w:szCs w:val="19"/>
                <w:color w:val="auto"/>
              </w:rPr>
              <w:t>Section 5.1.</w:t>
            </w:r>
          </w:p>
        </w:tc>
        <w:tc>
          <w:tcPr>
            <w:tcW w:w="6360" w:type="dxa"/>
            <w:vAlign w:val="bottom"/>
          </w:tcPr>
          <w:p>
            <w:pPr>
              <w:ind w:left="240"/>
              <w:spacing w:after="0" w:line="189" w:lineRule="exact"/>
              <w:rPr>
                <w:sz w:val="20"/>
                <w:szCs w:val="20"/>
                <w:color w:val="auto"/>
              </w:rPr>
            </w:pPr>
            <w:r>
              <w:rPr>
                <w:rFonts w:ascii="Arial" w:cs="Arial" w:eastAsia="Arial" w:hAnsi="Arial"/>
                <w:sz w:val="19"/>
                <w:szCs w:val="19"/>
                <w:color w:val="auto"/>
              </w:rPr>
              <w:t>Financial Statements and Other Information</w:t>
            </w:r>
          </w:p>
        </w:tc>
        <w:tc>
          <w:tcPr>
            <w:tcW w:w="1660" w:type="dxa"/>
            <w:vAlign w:val="bottom"/>
          </w:tcPr>
          <w:p>
            <w:pPr>
              <w:jc w:val="right"/>
              <w:spacing w:after="0" w:line="189" w:lineRule="exact"/>
              <w:rPr>
                <w:sz w:val="20"/>
                <w:szCs w:val="20"/>
                <w:color w:val="auto"/>
              </w:rPr>
            </w:pPr>
            <w:r>
              <w:rPr>
                <w:rFonts w:ascii="Arial" w:cs="Arial" w:eastAsia="Arial" w:hAnsi="Arial"/>
                <w:sz w:val="19"/>
                <w:szCs w:val="19"/>
                <w:color w:val="auto"/>
              </w:rPr>
              <w:t>63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5.2.</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Notices of Material Events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66</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5.3.</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Existence; Conduct of Business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67</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5.4.</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Compliance with Laws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68</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5.5.</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Payment of Obligations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68</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5.6.</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Books and Records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68</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5.7.</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Visitation and Inspection</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68</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5.8.</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Maintenance of Properties; Insurance</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68</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5.9.</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Use of Proceeds; Margin Regulations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69</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5.10.</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Casualty and Condemnation</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69</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5.11.</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Cash Management</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69</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5.12.</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Additional Subsidiaries and Collateral</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70</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5.13.</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Additional Real Estate; Leased Locations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71</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5.14.</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Further Assurances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71</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5.15.</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72</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5.16.</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Maintenance of Reinsurance Coverage</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72</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5.17.</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Board Observation Rights</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72</w:t>
            </w:r>
          </w:p>
        </w:tc>
      </w:tr>
      <w:tr>
        <w:trPr>
          <w:trHeight w:val="186"/>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5.18.</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Tranche 2 Warrant Issuance</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72</w:t>
            </w:r>
          </w:p>
        </w:tc>
      </w:tr>
      <w:tr>
        <w:trPr>
          <w:trHeight w:val="235"/>
        </w:trPr>
        <w:tc>
          <w:tcPr>
            <w:tcW w:w="2240" w:type="dxa"/>
            <w:vAlign w:val="bottom"/>
          </w:tcPr>
          <w:p>
            <w:pPr>
              <w:ind w:left="980"/>
              <w:spacing w:after="0"/>
              <w:rPr>
                <w:sz w:val="20"/>
                <w:szCs w:val="20"/>
                <w:color w:val="auto"/>
              </w:rPr>
            </w:pPr>
            <w:r>
              <w:rPr>
                <w:rFonts w:ascii="Arial" w:cs="Arial" w:eastAsia="Arial" w:hAnsi="Arial"/>
                <w:sz w:val="19"/>
                <w:szCs w:val="19"/>
                <w:color w:val="auto"/>
              </w:rPr>
              <w:t>Section 5.19.</w:t>
            </w:r>
          </w:p>
        </w:tc>
        <w:tc>
          <w:tcPr>
            <w:tcW w:w="6360" w:type="dxa"/>
            <w:vAlign w:val="bottom"/>
          </w:tcPr>
          <w:p>
            <w:pPr>
              <w:ind w:left="240"/>
              <w:spacing w:after="0"/>
              <w:rPr>
                <w:sz w:val="20"/>
                <w:szCs w:val="20"/>
                <w:color w:val="auto"/>
              </w:rPr>
            </w:pPr>
            <w:r>
              <w:rPr>
                <w:rFonts w:ascii="Arial" w:cs="Arial" w:eastAsia="Arial" w:hAnsi="Arial"/>
                <w:sz w:val="19"/>
                <w:szCs w:val="19"/>
                <w:color w:val="auto"/>
              </w:rPr>
              <w:t>Post-Closing Covenants</w:t>
            </w:r>
          </w:p>
        </w:tc>
        <w:tc>
          <w:tcPr>
            <w:tcW w:w="1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38"/>
        </w:trPr>
        <w:tc>
          <w:tcPr>
            <w:tcW w:w="8600" w:type="dxa"/>
            <w:vAlign w:val="bottom"/>
            <w:gridSpan w:val="2"/>
          </w:tcPr>
          <w:p>
            <w:pPr>
              <w:spacing w:after="0"/>
              <w:rPr>
                <w:sz w:val="20"/>
                <w:szCs w:val="20"/>
                <w:color w:val="auto"/>
              </w:rPr>
            </w:pPr>
            <w:r>
              <w:rPr>
                <w:rFonts w:ascii="Arial" w:cs="Arial" w:eastAsia="Arial" w:hAnsi="Arial"/>
                <w:sz w:val="19"/>
                <w:szCs w:val="19"/>
                <w:color w:val="auto"/>
              </w:rPr>
              <w:t>ARTICLE VI FINANCIAL COVENANTS</w:t>
            </w:r>
          </w:p>
        </w:tc>
        <w:tc>
          <w:tcPr>
            <w:tcW w:w="166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189"/>
        </w:trPr>
        <w:tc>
          <w:tcPr>
            <w:tcW w:w="2240" w:type="dxa"/>
            <w:vAlign w:val="bottom"/>
          </w:tcPr>
          <w:p>
            <w:pPr>
              <w:ind w:left="980"/>
              <w:spacing w:after="0" w:line="189" w:lineRule="exact"/>
              <w:rPr>
                <w:sz w:val="20"/>
                <w:szCs w:val="20"/>
                <w:color w:val="auto"/>
              </w:rPr>
            </w:pPr>
            <w:r>
              <w:rPr>
                <w:rFonts w:ascii="Arial" w:cs="Arial" w:eastAsia="Arial" w:hAnsi="Arial"/>
                <w:sz w:val="19"/>
                <w:szCs w:val="19"/>
                <w:color w:val="auto"/>
              </w:rPr>
              <w:t>Section 6.1.</w:t>
            </w:r>
          </w:p>
        </w:tc>
        <w:tc>
          <w:tcPr>
            <w:tcW w:w="6360" w:type="dxa"/>
            <w:vAlign w:val="bottom"/>
          </w:tcPr>
          <w:p>
            <w:pPr>
              <w:ind w:left="240"/>
              <w:spacing w:after="0" w:line="189" w:lineRule="exact"/>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line="189" w:lineRule="exact"/>
              <w:rPr>
                <w:sz w:val="20"/>
                <w:szCs w:val="20"/>
                <w:color w:val="auto"/>
              </w:rPr>
            </w:pPr>
            <w:r>
              <w:rPr>
                <w:rFonts w:ascii="Arial" w:cs="Arial" w:eastAsia="Arial" w:hAnsi="Arial"/>
                <w:sz w:val="19"/>
                <w:szCs w:val="19"/>
                <w:color w:val="auto"/>
              </w:rPr>
              <w:t>73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6.2.</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6.3.</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6.4.</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Minimum Liquidity</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73</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6.5.</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Minimum Regulated Subsidiary Equity</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74</w:t>
            </w:r>
          </w:p>
        </w:tc>
      </w:tr>
      <w:tr>
        <w:trPr>
          <w:trHeight w:val="185"/>
        </w:trPr>
        <w:tc>
          <w:tcPr>
            <w:tcW w:w="2240" w:type="dxa"/>
            <w:vAlign w:val="bottom"/>
          </w:tcPr>
          <w:p>
            <w:pPr>
              <w:ind w:left="980"/>
              <w:spacing w:after="0" w:line="185" w:lineRule="exact"/>
              <w:rPr>
                <w:sz w:val="20"/>
                <w:szCs w:val="20"/>
                <w:color w:val="auto"/>
              </w:rPr>
            </w:pPr>
            <w:r>
              <w:rPr>
                <w:rFonts w:ascii="Arial" w:cs="Arial" w:eastAsia="Arial" w:hAnsi="Arial"/>
                <w:sz w:val="19"/>
                <w:szCs w:val="19"/>
                <w:color w:val="auto"/>
              </w:rPr>
              <w:t>Section 6.6.</w:t>
            </w:r>
          </w:p>
        </w:tc>
        <w:tc>
          <w:tcPr>
            <w:tcW w:w="6360" w:type="dxa"/>
            <w:vAlign w:val="bottom"/>
          </w:tcPr>
          <w:p>
            <w:pPr>
              <w:ind w:left="240"/>
              <w:spacing w:after="0" w:line="185" w:lineRule="exact"/>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line="185" w:lineRule="exact"/>
              <w:rPr>
                <w:sz w:val="20"/>
                <w:szCs w:val="20"/>
                <w:color w:val="auto"/>
              </w:rPr>
            </w:pPr>
            <w:r>
              <w:rPr>
                <w:rFonts w:ascii="Arial" w:cs="Arial" w:eastAsia="Arial" w:hAnsi="Arial"/>
                <w:sz w:val="19"/>
                <w:szCs w:val="19"/>
                <w:color w:val="auto"/>
              </w:rPr>
              <w:t>74</w:t>
            </w:r>
          </w:p>
        </w:tc>
      </w:tr>
      <w:tr>
        <w:trPr>
          <w:trHeight w:val="235"/>
        </w:trPr>
        <w:tc>
          <w:tcPr>
            <w:tcW w:w="2240" w:type="dxa"/>
            <w:vAlign w:val="bottom"/>
          </w:tcPr>
          <w:p>
            <w:pPr>
              <w:ind w:left="980"/>
              <w:spacing w:after="0"/>
              <w:rPr>
                <w:sz w:val="20"/>
                <w:szCs w:val="20"/>
                <w:color w:val="auto"/>
              </w:rPr>
            </w:pPr>
            <w:r>
              <w:rPr>
                <w:rFonts w:ascii="Arial" w:cs="Arial" w:eastAsia="Arial" w:hAnsi="Arial"/>
                <w:sz w:val="19"/>
                <w:szCs w:val="19"/>
                <w:color w:val="auto"/>
              </w:rPr>
              <w:t>Section 6.7.</w:t>
            </w:r>
          </w:p>
        </w:tc>
        <w:tc>
          <w:tcPr>
            <w:tcW w:w="6360" w:type="dxa"/>
            <w:vAlign w:val="bottom"/>
          </w:tcPr>
          <w:p>
            <w:pPr>
              <w:ind w:left="240"/>
              <w:spacing w:after="0"/>
              <w:rPr>
                <w:sz w:val="20"/>
                <w:szCs w:val="20"/>
                <w:color w:val="auto"/>
              </w:rPr>
            </w:pPr>
            <w:r>
              <w:rPr>
                <w:rFonts w:ascii="Arial" w:cs="Arial" w:eastAsia="Arial" w:hAnsi="Arial"/>
                <w:sz w:val="19"/>
                <w:szCs w:val="19"/>
                <w:color w:val="auto"/>
              </w:rPr>
              <w:t>[Reserved]</w:t>
            </w:r>
          </w:p>
        </w:tc>
        <w:tc>
          <w:tcPr>
            <w:tcW w:w="16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39"/>
        </w:trPr>
        <w:tc>
          <w:tcPr>
            <w:tcW w:w="8600" w:type="dxa"/>
            <w:vAlign w:val="bottom"/>
            <w:gridSpan w:val="2"/>
          </w:tcPr>
          <w:p>
            <w:pPr>
              <w:spacing w:after="0"/>
              <w:rPr>
                <w:sz w:val="20"/>
                <w:szCs w:val="20"/>
                <w:color w:val="auto"/>
              </w:rPr>
            </w:pPr>
            <w:r>
              <w:rPr>
                <w:rFonts w:ascii="Arial" w:cs="Arial" w:eastAsia="Arial" w:hAnsi="Arial"/>
                <w:sz w:val="19"/>
                <w:szCs w:val="19"/>
                <w:color w:val="auto"/>
              </w:rPr>
              <w:t>ARTICLE VII NEGATIVE COVENANTS</w:t>
            </w:r>
          </w:p>
        </w:tc>
        <w:tc>
          <w:tcPr>
            <w:tcW w:w="16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189"/>
        </w:trPr>
        <w:tc>
          <w:tcPr>
            <w:tcW w:w="2240" w:type="dxa"/>
            <w:vAlign w:val="bottom"/>
          </w:tcPr>
          <w:p>
            <w:pPr>
              <w:ind w:left="980"/>
              <w:spacing w:after="0" w:line="189" w:lineRule="exact"/>
              <w:rPr>
                <w:sz w:val="20"/>
                <w:szCs w:val="20"/>
                <w:color w:val="auto"/>
              </w:rPr>
            </w:pPr>
            <w:r>
              <w:rPr>
                <w:rFonts w:ascii="Arial" w:cs="Arial" w:eastAsia="Arial" w:hAnsi="Arial"/>
                <w:sz w:val="19"/>
                <w:szCs w:val="19"/>
                <w:color w:val="auto"/>
              </w:rPr>
              <w:t>Section 7.1.</w:t>
            </w:r>
          </w:p>
        </w:tc>
        <w:tc>
          <w:tcPr>
            <w:tcW w:w="6360" w:type="dxa"/>
            <w:vAlign w:val="bottom"/>
          </w:tcPr>
          <w:p>
            <w:pPr>
              <w:ind w:left="240"/>
              <w:spacing w:after="0" w:line="189" w:lineRule="exact"/>
              <w:rPr>
                <w:sz w:val="20"/>
                <w:szCs w:val="20"/>
                <w:color w:val="auto"/>
              </w:rPr>
            </w:pPr>
            <w:r>
              <w:rPr>
                <w:rFonts w:ascii="Arial" w:cs="Arial" w:eastAsia="Arial" w:hAnsi="Arial"/>
                <w:sz w:val="19"/>
                <w:szCs w:val="19"/>
                <w:color w:val="auto"/>
              </w:rPr>
              <w:t>Indebtedness</w:t>
            </w:r>
          </w:p>
        </w:tc>
        <w:tc>
          <w:tcPr>
            <w:tcW w:w="1660" w:type="dxa"/>
            <w:vAlign w:val="bottom"/>
          </w:tcPr>
          <w:p>
            <w:pPr>
              <w:jc w:val="right"/>
              <w:spacing w:after="0" w:line="189" w:lineRule="exact"/>
              <w:rPr>
                <w:sz w:val="20"/>
                <w:szCs w:val="20"/>
                <w:color w:val="auto"/>
              </w:rPr>
            </w:pPr>
            <w:r>
              <w:rPr>
                <w:rFonts w:ascii="Arial" w:cs="Arial" w:eastAsia="Arial" w:hAnsi="Arial"/>
                <w:sz w:val="19"/>
                <w:szCs w:val="19"/>
                <w:color w:val="auto"/>
              </w:rPr>
              <w:t>74</w:t>
            </w:r>
          </w:p>
        </w:tc>
      </w:tr>
      <w:tr>
        <w:trPr>
          <w:trHeight w:val="247"/>
        </w:trPr>
        <w:tc>
          <w:tcPr>
            <w:tcW w:w="2240" w:type="dxa"/>
            <w:vAlign w:val="bottom"/>
          </w:tcPr>
          <w:p>
            <w:pPr>
              <w:ind w:left="980"/>
              <w:spacing w:after="0"/>
              <w:rPr>
                <w:sz w:val="20"/>
                <w:szCs w:val="20"/>
                <w:color w:val="auto"/>
              </w:rPr>
            </w:pPr>
            <w:r>
              <w:rPr>
                <w:rFonts w:ascii="Arial" w:cs="Arial" w:eastAsia="Arial" w:hAnsi="Arial"/>
                <w:sz w:val="19"/>
                <w:szCs w:val="19"/>
                <w:color w:val="auto"/>
              </w:rPr>
              <w:t>Section 7.2.</w:t>
            </w:r>
          </w:p>
        </w:tc>
        <w:tc>
          <w:tcPr>
            <w:tcW w:w="6360" w:type="dxa"/>
            <w:vAlign w:val="bottom"/>
          </w:tcPr>
          <w:p>
            <w:pPr>
              <w:ind w:left="240"/>
              <w:spacing w:after="0"/>
              <w:rPr>
                <w:sz w:val="20"/>
                <w:szCs w:val="20"/>
                <w:color w:val="auto"/>
              </w:rPr>
            </w:pPr>
            <w:r>
              <w:rPr>
                <w:rFonts w:ascii="Arial" w:cs="Arial" w:eastAsia="Arial" w:hAnsi="Arial"/>
                <w:sz w:val="19"/>
                <w:szCs w:val="19"/>
                <w:color w:val="auto"/>
              </w:rPr>
              <w:t>Liens</w:t>
            </w:r>
          </w:p>
        </w:tc>
        <w:tc>
          <w:tcPr>
            <w:tcW w:w="1660" w:type="dxa"/>
            <w:vAlign w:val="bottom"/>
          </w:tcPr>
          <w:p>
            <w:pPr>
              <w:jc w:val="right"/>
              <w:spacing w:after="0"/>
              <w:rPr>
                <w:sz w:val="20"/>
                <w:szCs w:val="20"/>
                <w:color w:val="auto"/>
              </w:rPr>
            </w:pPr>
            <w:r>
              <w:rPr>
                <w:rFonts w:ascii="Arial" w:cs="Arial" w:eastAsia="Arial" w:hAnsi="Arial"/>
                <w:sz w:val="19"/>
                <w:szCs w:val="19"/>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260"/>
          </w:cols>
          <w:pgMar w:left="340" w:top="1339" w:right="1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8"/>
        </w:trPr>
        <w:tc>
          <w:tcPr>
            <w:tcW w:w="2280" w:type="dxa"/>
            <w:vAlign w:val="bottom"/>
          </w:tcPr>
          <w:p>
            <w:pPr>
              <w:ind w:left="980"/>
              <w:spacing w:after="0"/>
              <w:rPr>
                <w:sz w:val="20"/>
                <w:szCs w:val="20"/>
                <w:color w:val="auto"/>
              </w:rPr>
            </w:pPr>
            <w:r>
              <w:rPr>
                <w:rFonts w:ascii="Arial" w:cs="Arial" w:eastAsia="Arial" w:hAnsi="Arial"/>
                <w:sz w:val="19"/>
                <w:szCs w:val="19"/>
                <w:color w:val="auto"/>
              </w:rPr>
              <w:t>Section 7.3.</w:t>
            </w:r>
          </w:p>
        </w:tc>
        <w:tc>
          <w:tcPr>
            <w:tcW w:w="6280" w:type="dxa"/>
            <w:vAlign w:val="bottom"/>
          </w:tcPr>
          <w:p>
            <w:pPr>
              <w:ind w:left="200"/>
              <w:spacing w:after="0"/>
              <w:rPr>
                <w:sz w:val="20"/>
                <w:szCs w:val="20"/>
                <w:color w:val="auto"/>
              </w:rPr>
            </w:pPr>
            <w:r>
              <w:rPr>
                <w:rFonts w:ascii="Arial" w:cs="Arial" w:eastAsia="Arial" w:hAnsi="Arial"/>
                <w:sz w:val="19"/>
                <w:szCs w:val="19"/>
                <w:color w:val="auto"/>
              </w:rPr>
              <w:t>Fundamental Changes</w:t>
            </w:r>
          </w:p>
        </w:tc>
        <w:tc>
          <w:tcPr>
            <w:tcW w:w="170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7.4.</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Investments, Loans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78</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7.5.</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Restricted Payments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80</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7.6.</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Sale of Assets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81</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7.7.</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Transactions with Affiliates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83</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7.8.</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Restrictive Agreements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83</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7.9.</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Sale and Leaseback Transactions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84</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7.10.</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Hedging Transactions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84</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7.11.</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Amendment to Material Documents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84</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7.12.</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Activities of Holdings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84</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7.13.</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Accounting Changes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85</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7.14.</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Underwriting Risks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85</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7.15.</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Insurance Subsidiaries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85</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7.16.</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Sanctions and Anti-Corruption Laws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85</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7.17.</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Reinsurance Companies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86</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7.18.</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Other Liens and Guarantees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86</w:t>
            </w:r>
          </w:p>
        </w:tc>
      </w:tr>
      <w:tr>
        <w:trPr>
          <w:trHeight w:val="235"/>
        </w:trPr>
        <w:tc>
          <w:tcPr>
            <w:tcW w:w="2280" w:type="dxa"/>
            <w:vAlign w:val="bottom"/>
          </w:tcPr>
          <w:p>
            <w:pPr>
              <w:ind w:left="980"/>
              <w:spacing w:after="0"/>
              <w:rPr>
                <w:sz w:val="20"/>
                <w:szCs w:val="20"/>
                <w:color w:val="auto"/>
              </w:rPr>
            </w:pPr>
            <w:r>
              <w:rPr>
                <w:rFonts w:ascii="Arial" w:cs="Arial" w:eastAsia="Arial" w:hAnsi="Arial"/>
                <w:sz w:val="19"/>
                <w:szCs w:val="19"/>
                <w:color w:val="auto"/>
              </w:rPr>
              <w:t>Section 7.19.</w:t>
            </w:r>
          </w:p>
        </w:tc>
        <w:tc>
          <w:tcPr>
            <w:tcW w:w="6280" w:type="dxa"/>
            <w:vAlign w:val="bottom"/>
          </w:tcPr>
          <w:p>
            <w:pPr>
              <w:ind w:left="200"/>
              <w:spacing w:after="0"/>
              <w:rPr>
                <w:sz w:val="20"/>
                <w:szCs w:val="20"/>
                <w:color w:val="auto"/>
              </w:rPr>
            </w:pPr>
            <w:r>
              <w:rPr>
                <w:rFonts w:ascii="Arial" w:cs="Arial" w:eastAsia="Arial" w:hAnsi="Arial"/>
                <w:sz w:val="19"/>
                <w:szCs w:val="19"/>
                <w:color w:val="auto"/>
              </w:rPr>
              <w:t>Restricted Debt Payments</w:t>
            </w:r>
          </w:p>
        </w:tc>
        <w:tc>
          <w:tcPr>
            <w:tcW w:w="1700" w:type="dxa"/>
            <w:vAlign w:val="bottom"/>
          </w:tcPr>
          <w:p>
            <w:pPr>
              <w:jc w:val="right"/>
              <w:spacing w:after="0"/>
              <w:rPr>
                <w:sz w:val="20"/>
                <w:szCs w:val="20"/>
                <w:color w:val="auto"/>
              </w:rPr>
            </w:pPr>
            <w:r>
              <w:rPr>
                <w:rFonts w:ascii="Arial" w:cs="Arial" w:eastAsia="Arial" w:hAnsi="Arial"/>
                <w:sz w:val="19"/>
                <w:szCs w:val="19"/>
                <w:color w:val="auto"/>
              </w:rPr>
              <w:t>86</w:t>
            </w:r>
          </w:p>
        </w:tc>
      </w:tr>
      <w:tr>
        <w:trPr>
          <w:trHeight w:val="238"/>
        </w:trPr>
        <w:tc>
          <w:tcPr>
            <w:tcW w:w="8560" w:type="dxa"/>
            <w:vAlign w:val="bottom"/>
            <w:gridSpan w:val="2"/>
          </w:tcPr>
          <w:p>
            <w:pPr>
              <w:spacing w:after="0"/>
              <w:rPr>
                <w:sz w:val="20"/>
                <w:szCs w:val="20"/>
                <w:color w:val="auto"/>
              </w:rPr>
            </w:pPr>
            <w:r>
              <w:rPr>
                <w:rFonts w:ascii="Arial" w:cs="Arial" w:eastAsia="Arial" w:hAnsi="Arial"/>
                <w:sz w:val="19"/>
                <w:szCs w:val="19"/>
                <w:color w:val="auto"/>
              </w:rPr>
              <w:t>ARTICLE VIII EVENTS OF DEFAULT</w:t>
            </w:r>
          </w:p>
        </w:tc>
        <w:tc>
          <w:tcPr>
            <w:tcW w:w="1700" w:type="dxa"/>
            <w:vAlign w:val="bottom"/>
          </w:tcPr>
          <w:p>
            <w:pPr>
              <w:jc w:val="right"/>
              <w:spacing w:after="0"/>
              <w:rPr>
                <w:sz w:val="20"/>
                <w:szCs w:val="20"/>
                <w:color w:val="auto"/>
              </w:rPr>
            </w:pPr>
            <w:r>
              <w:rPr>
                <w:rFonts w:ascii="Arial" w:cs="Arial" w:eastAsia="Arial" w:hAnsi="Arial"/>
                <w:sz w:val="19"/>
                <w:szCs w:val="19"/>
                <w:color w:val="auto"/>
              </w:rPr>
              <w:t>87</w:t>
            </w:r>
          </w:p>
        </w:tc>
      </w:tr>
      <w:tr>
        <w:trPr>
          <w:trHeight w:val="189"/>
        </w:trPr>
        <w:tc>
          <w:tcPr>
            <w:tcW w:w="2280" w:type="dxa"/>
            <w:vAlign w:val="bottom"/>
          </w:tcPr>
          <w:p>
            <w:pPr>
              <w:ind w:left="980"/>
              <w:spacing w:after="0" w:line="189" w:lineRule="exact"/>
              <w:rPr>
                <w:sz w:val="20"/>
                <w:szCs w:val="20"/>
                <w:color w:val="auto"/>
              </w:rPr>
            </w:pPr>
            <w:r>
              <w:rPr>
                <w:rFonts w:ascii="Arial" w:cs="Arial" w:eastAsia="Arial" w:hAnsi="Arial"/>
                <w:sz w:val="19"/>
                <w:szCs w:val="19"/>
                <w:color w:val="auto"/>
              </w:rPr>
              <w:t>Section 8.1.</w:t>
            </w:r>
          </w:p>
        </w:tc>
        <w:tc>
          <w:tcPr>
            <w:tcW w:w="6280" w:type="dxa"/>
            <w:vAlign w:val="bottom"/>
          </w:tcPr>
          <w:p>
            <w:pPr>
              <w:ind w:left="200"/>
              <w:spacing w:after="0" w:line="189" w:lineRule="exact"/>
              <w:rPr>
                <w:sz w:val="20"/>
                <w:szCs w:val="20"/>
                <w:color w:val="auto"/>
              </w:rPr>
            </w:pPr>
            <w:r>
              <w:rPr>
                <w:rFonts w:ascii="Arial" w:cs="Arial" w:eastAsia="Arial" w:hAnsi="Arial"/>
                <w:sz w:val="19"/>
                <w:szCs w:val="19"/>
                <w:color w:val="auto"/>
              </w:rPr>
              <w:t>Events of Default</w:t>
            </w:r>
          </w:p>
        </w:tc>
        <w:tc>
          <w:tcPr>
            <w:tcW w:w="1700" w:type="dxa"/>
            <w:vAlign w:val="bottom"/>
          </w:tcPr>
          <w:p>
            <w:pPr>
              <w:jc w:val="right"/>
              <w:spacing w:after="0" w:line="189" w:lineRule="exact"/>
              <w:rPr>
                <w:sz w:val="20"/>
                <w:szCs w:val="20"/>
                <w:color w:val="auto"/>
              </w:rPr>
            </w:pPr>
            <w:r>
              <w:rPr>
                <w:rFonts w:ascii="Arial" w:cs="Arial" w:eastAsia="Arial" w:hAnsi="Arial"/>
                <w:sz w:val="19"/>
                <w:szCs w:val="19"/>
                <w:color w:val="auto"/>
              </w:rPr>
              <w:t>87</w:t>
            </w:r>
          </w:p>
        </w:tc>
      </w:tr>
      <w:tr>
        <w:trPr>
          <w:trHeight w:val="235"/>
        </w:trPr>
        <w:tc>
          <w:tcPr>
            <w:tcW w:w="2280" w:type="dxa"/>
            <w:vAlign w:val="bottom"/>
          </w:tcPr>
          <w:p>
            <w:pPr>
              <w:ind w:left="980"/>
              <w:spacing w:after="0"/>
              <w:rPr>
                <w:sz w:val="20"/>
                <w:szCs w:val="20"/>
                <w:color w:val="auto"/>
              </w:rPr>
            </w:pPr>
            <w:r>
              <w:rPr>
                <w:rFonts w:ascii="Arial" w:cs="Arial" w:eastAsia="Arial" w:hAnsi="Arial"/>
                <w:sz w:val="19"/>
                <w:szCs w:val="19"/>
                <w:color w:val="auto"/>
              </w:rPr>
              <w:t>Section 8.2.</w:t>
            </w:r>
          </w:p>
        </w:tc>
        <w:tc>
          <w:tcPr>
            <w:tcW w:w="6280" w:type="dxa"/>
            <w:vAlign w:val="bottom"/>
          </w:tcPr>
          <w:p>
            <w:pPr>
              <w:ind w:left="200"/>
              <w:spacing w:after="0"/>
              <w:rPr>
                <w:sz w:val="20"/>
                <w:szCs w:val="20"/>
                <w:color w:val="auto"/>
              </w:rPr>
            </w:pPr>
            <w:r>
              <w:rPr>
                <w:rFonts w:ascii="Arial" w:cs="Arial" w:eastAsia="Arial" w:hAnsi="Arial"/>
                <w:sz w:val="19"/>
                <w:szCs w:val="19"/>
                <w:color w:val="auto"/>
              </w:rPr>
              <w:t>Application of Proceeds</w:t>
            </w:r>
          </w:p>
        </w:tc>
        <w:tc>
          <w:tcPr>
            <w:tcW w:w="170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238"/>
        </w:trPr>
        <w:tc>
          <w:tcPr>
            <w:tcW w:w="8560" w:type="dxa"/>
            <w:vAlign w:val="bottom"/>
            <w:gridSpan w:val="2"/>
          </w:tcPr>
          <w:p>
            <w:pPr>
              <w:spacing w:after="0"/>
              <w:rPr>
                <w:sz w:val="20"/>
                <w:szCs w:val="20"/>
                <w:color w:val="auto"/>
              </w:rPr>
            </w:pPr>
            <w:r>
              <w:rPr>
                <w:rFonts w:ascii="Arial" w:cs="Arial" w:eastAsia="Arial" w:hAnsi="Arial"/>
                <w:sz w:val="19"/>
                <w:szCs w:val="19"/>
                <w:color w:val="auto"/>
              </w:rPr>
              <w:t>ARTICLE IX THE ADMINISTRATIVE AGENT</w:t>
            </w:r>
          </w:p>
        </w:tc>
        <w:tc>
          <w:tcPr>
            <w:tcW w:w="1700" w:type="dxa"/>
            <w:vAlign w:val="bottom"/>
          </w:tcPr>
          <w:p>
            <w:pPr>
              <w:jc w:val="right"/>
              <w:spacing w:after="0"/>
              <w:rPr>
                <w:sz w:val="20"/>
                <w:szCs w:val="20"/>
                <w:color w:val="auto"/>
              </w:rPr>
            </w:pPr>
            <w:r>
              <w:rPr>
                <w:rFonts w:ascii="Arial" w:cs="Arial" w:eastAsia="Arial" w:hAnsi="Arial"/>
                <w:sz w:val="19"/>
                <w:szCs w:val="19"/>
                <w:color w:val="auto"/>
              </w:rPr>
              <w:t>91</w:t>
            </w:r>
          </w:p>
        </w:tc>
      </w:tr>
      <w:tr>
        <w:trPr>
          <w:trHeight w:val="189"/>
        </w:trPr>
        <w:tc>
          <w:tcPr>
            <w:tcW w:w="2280" w:type="dxa"/>
            <w:vAlign w:val="bottom"/>
          </w:tcPr>
          <w:p>
            <w:pPr>
              <w:ind w:left="980"/>
              <w:spacing w:after="0" w:line="189" w:lineRule="exact"/>
              <w:rPr>
                <w:sz w:val="20"/>
                <w:szCs w:val="20"/>
                <w:color w:val="auto"/>
              </w:rPr>
            </w:pPr>
            <w:r>
              <w:rPr>
                <w:rFonts w:ascii="Arial" w:cs="Arial" w:eastAsia="Arial" w:hAnsi="Arial"/>
                <w:sz w:val="19"/>
                <w:szCs w:val="19"/>
                <w:color w:val="auto"/>
              </w:rPr>
              <w:t>Section 9.1.</w:t>
            </w:r>
          </w:p>
        </w:tc>
        <w:tc>
          <w:tcPr>
            <w:tcW w:w="6280" w:type="dxa"/>
            <w:vAlign w:val="bottom"/>
          </w:tcPr>
          <w:p>
            <w:pPr>
              <w:ind w:left="200"/>
              <w:spacing w:after="0" w:line="189" w:lineRule="exact"/>
              <w:rPr>
                <w:sz w:val="20"/>
                <w:szCs w:val="20"/>
                <w:color w:val="auto"/>
              </w:rPr>
            </w:pPr>
            <w:r>
              <w:rPr>
                <w:rFonts w:ascii="Arial" w:cs="Arial" w:eastAsia="Arial" w:hAnsi="Arial"/>
                <w:sz w:val="19"/>
                <w:szCs w:val="19"/>
                <w:color w:val="auto"/>
              </w:rPr>
              <w:t>Appointment of the Administrative Agent</w:t>
            </w:r>
          </w:p>
        </w:tc>
        <w:tc>
          <w:tcPr>
            <w:tcW w:w="1700" w:type="dxa"/>
            <w:vAlign w:val="bottom"/>
          </w:tcPr>
          <w:p>
            <w:pPr>
              <w:jc w:val="right"/>
              <w:spacing w:after="0" w:line="189" w:lineRule="exact"/>
              <w:rPr>
                <w:sz w:val="20"/>
                <w:szCs w:val="20"/>
                <w:color w:val="auto"/>
              </w:rPr>
            </w:pPr>
            <w:r>
              <w:rPr>
                <w:rFonts w:ascii="Arial" w:cs="Arial" w:eastAsia="Arial" w:hAnsi="Arial"/>
                <w:sz w:val="19"/>
                <w:szCs w:val="19"/>
                <w:color w:val="auto"/>
              </w:rPr>
              <w:t>91</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9.2.</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Nature of Duties of the Administrative Agent</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91</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9.3.</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Lack of Reliance on the Administrative Agent</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92</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9.4.</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Certain Rights of the Administrative Agent</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92</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9.5.</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Reliance by the Administrative Agent</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93</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9.6.</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The Administrative Agent in its Individual Capacity</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93</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9.7.</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Successor Administrative Agent</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93</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9.8.</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Withholding Tax</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94</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9.9.</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The Administrative Agent May File Proofs of Claim</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94</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9.10.</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Authorization to Execute Other Loan Documents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94</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9.11.</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Collateral and Guaranty Matters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95</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9.12.</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[Reserved]</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95</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9.13.</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Right to Realize on Collateral and Enforce Guarantee</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95</w:t>
            </w:r>
          </w:p>
        </w:tc>
      </w:tr>
      <w:tr>
        <w:trPr>
          <w:trHeight w:val="235"/>
        </w:trPr>
        <w:tc>
          <w:tcPr>
            <w:tcW w:w="2280" w:type="dxa"/>
            <w:vAlign w:val="bottom"/>
          </w:tcPr>
          <w:p>
            <w:pPr>
              <w:ind w:left="980"/>
              <w:spacing w:after="0"/>
              <w:rPr>
                <w:sz w:val="20"/>
                <w:szCs w:val="20"/>
                <w:color w:val="auto"/>
              </w:rPr>
            </w:pPr>
            <w:r>
              <w:rPr>
                <w:rFonts w:ascii="Arial" w:cs="Arial" w:eastAsia="Arial" w:hAnsi="Arial"/>
                <w:sz w:val="19"/>
                <w:szCs w:val="19"/>
                <w:color w:val="auto"/>
              </w:rPr>
              <w:t>Section 9.14.</w:t>
            </w:r>
          </w:p>
        </w:tc>
        <w:tc>
          <w:tcPr>
            <w:tcW w:w="6280" w:type="dxa"/>
            <w:vAlign w:val="bottom"/>
          </w:tcPr>
          <w:p>
            <w:pPr>
              <w:ind w:left="200"/>
              <w:spacing w:after="0"/>
              <w:rPr>
                <w:sz w:val="20"/>
                <w:szCs w:val="20"/>
                <w:color w:val="auto"/>
              </w:rPr>
            </w:pPr>
            <w:r>
              <w:rPr>
                <w:rFonts w:ascii="Arial" w:cs="Arial" w:eastAsia="Arial" w:hAnsi="Arial"/>
                <w:sz w:val="19"/>
                <w:szCs w:val="19"/>
                <w:color w:val="auto"/>
              </w:rPr>
              <w:t>Erroneous Payments</w:t>
            </w:r>
          </w:p>
        </w:tc>
        <w:tc>
          <w:tcPr>
            <w:tcW w:w="1700" w:type="dxa"/>
            <w:vAlign w:val="bottom"/>
          </w:tcPr>
          <w:p>
            <w:pPr>
              <w:jc w:val="right"/>
              <w:spacing w:after="0"/>
              <w:rPr>
                <w:sz w:val="20"/>
                <w:szCs w:val="20"/>
                <w:color w:val="auto"/>
              </w:rPr>
            </w:pPr>
            <w:r>
              <w:rPr>
                <w:rFonts w:ascii="Arial" w:cs="Arial" w:eastAsia="Arial" w:hAnsi="Arial"/>
                <w:sz w:val="19"/>
                <w:szCs w:val="19"/>
                <w:color w:val="auto"/>
              </w:rPr>
              <w:t>96</w:t>
            </w:r>
          </w:p>
        </w:tc>
      </w:tr>
      <w:tr>
        <w:trPr>
          <w:trHeight w:val="238"/>
        </w:trPr>
        <w:tc>
          <w:tcPr>
            <w:tcW w:w="8560" w:type="dxa"/>
            <w:vAlign w:val="bottom"/>
            <w:gridSpan w:val="2"/>
          </w:tcPr>
          <w:p>
            <w:pPr>
              <w:spacing w:after="0"/>
              <w:rPr>
                <w:sz w:val="20"/>
                <w:szCs w:val="20"/>
                <w:color w:val="auto"/>
              </w:rPr>
            </w:pPr>
            <w:r>
              <w:rPr>
                <w:rFonts w:ascii="Arial" w:cs="Arial" w:eastAsia="Arial" w:hAnsi="Arial"/>
                <w:sz w:val="19"/>
                <w:szCs w:val="19"/>
                <w:color w:val="auto"/>
              </w:rPr>
              <w:t>ARTICLE X MISCELLANEOUS</w:t>
            </w:r>
          </w:p>
        </w:tc>
        <w:tc>
          <w:tcPr>
            <w:tcW w:w="1700" w:type="dxa"/>
            <w:vAlign w:val="bottom"/>
          </w:tcPr>
          <w:p>
            <w:pPr>
              <w:jc w:val="right"/>
              <w:spacing w:after="0"/>
              <w:rPr>
                <w:sz w:val="20"/>
                <w:szCs w:val="20"/>
                <w:color w:val="auto"/>
              </w:rPr>
            </w:pPr>
            <w:r>
              <w:rPr>
                <w:rFonts w:ascii="Arial" w:cs="Arial" w:eastAsia="Arial" w:hAnsi="Arial"/>
                <w:sz w:val="19"/>
                <w:szCs w:val="19"/>
                <w:color w:val="auto"/>
              </w:rPr>
              <w:t>97</w:t>
            </w:r>
          </w:p>
        </w:tc>
      </w:tr>
      <w:tr>
        <w:trPr>
          <w:trHeight w:val="189"/>
        </w:trPr>
        <w:tc>
          <w:tcPr>
            <w:tcW w:w="2280" w:type="dxa"/>
            <w:vAlign w:val="bottom"/>
          </w:tcPr>
          <w:p>
            <w:pPr>
              <w:ind w:left="980"/>
              <w:spacing w:after="0" w:line="189" w:lineRule="exact"/>
              <w:rPr>
                <w:sz w:val="20"/>
                <w:szCs w:val="20"/>
                <w:color w:val="auto"/>
              </w:rPr>
            </w:pPr>
            <w:r>
              <w:rPr>
                <w:rFonts w:ascii="Arial" w:cs="Arial" w:eastAsia="Arial" w:hAnsi="Arial"/>
                <w:sz w:val="19"/>
                <w:szCs w:val="19"/>
                <w:color w:val="auto"/>
              </w:rPr>
              <w:t>Section 10.1.</w:t>
            </w:r>
          </w:p>
        </w:tc>
        <w:tc>
          <w:tcPr>
            <w:tcW w:w="6280" w:type="dxa"/>
            <w:vAlign w:val="bottom"/>
          </w:tcPr>
          <w:p>
            <w:pPr>
              <w:ind w:left="200"/>
              <w:spacing w:after="0" w:line="189" w:lineRule="exact"/>
              <w:rPr>
                <w:sz w:val="20"/>
                <w:szCs w:val="20"/>
                <w:color w:val="auto"/>
              </w:rPr>
            </w:pPr>
            <w:r>
              <w:rPr>
                <w:rFonts w:ascii="Arial" w:cs="Arial" w:eastAsia="Arial" w:hAnsi="Arial"/>
                <w:sz w:val="19"/>
                <w:szCs w:val="19"/>
                <w:color w:val="auto"/>
              </w:rPr>
              <w:t>Notices</w:t>
            </w:r>
          </w:p>
        </w:tc>
        <w:tc>
          <w:tcPr>
            <w:tcW w:w="1700" w:type="dxa"/>
            <w:vAlign w:val="bottom"/>
          </w:tcPr>
          <w:p>
            <w:pPr>
              <w:jc w:val="right"/>
              <w:spacing w:after="0" w:line="189" w:lineRule="exact"/>
              <w:rPr>
                <w:sz w:val="20"/>
                <w:szCs w:val="20"/>
                <w:color w:val="auto"/>
              </w:rPr>
            </w:pPr>
            <w:r>
              <w:rPr>
                <w:rFonts w:ascii="Arial" w:cs="Arial" w:eastAsia="Arial" w:hAnsi="Arial"/>
                <w:sz w:val="19"/>
                <w:szCs w:val="19"/>
                <w:color w:val="auto"/>
              </w:rPr>
              <w:t>97</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10.2.</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Waiver; Amendments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100</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10.3.</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Expenses; Indemnification</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102</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10.4.</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Successors and Assigns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104</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10.5.</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Governing Law; Jurisdiction; Consent to Service of Process</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107</w:t>
            </w:r>
          </w:p>
        </w:tc>
      </w:tr>
      <w:tr>
        <w:trPr>
          <w:trHeight w:val="186"/>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10.6.</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WAIVER OF JURY TRIAL</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108</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10.7.</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Right of Set-off</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108</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10.8.</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Counterparts; Integration</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108</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10.9.</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Survival</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108</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10.10.</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Severability</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109</w:t>
            </w:r>
          </w:p>
        </w:tc>
      </w:tr>
      <w:tr>
        <w:trPr>
          <w:trHeight w:val="185"/>
        </w:trPr>
        <w:tc>
          <w:tcPr>
            <w:tcW w:w="2280" w:type="dxa"/>
            <w:vAlign w:val="bottom"/>
          </w:tcPr>
          <w:p>
            <w:pPr>
              <w:ind w:left="980"/>
              <w:spacing w:after="0" w:line="185" w:lineRule="exact"/>
              <w:rPr>
                <w:sz w:val="20"/>
                <w:szCs w:val="20"/>
                <w:color w:val="auto"/>
              </w:rPr>
            </w:pPr>
            <w:r>
              <w:rPr>
                <w:rFonts w:ascii="Arial" w:cs="Arial" w:eastAsia="Arial" w:hAnsi="Arial"/>
                <w:sz w:val="19"/>
                <w:szCs w:val="19"/>
                <w:color w:val="auto"/>
              </w:rPr>
              <w:t>Section 10.11.</w:t>
            </w:r>
          </w:p>
        </w:tc>
        <w:tc>
          <w:tcPr>
            <w:tcW w:w="6280" w:type="dxa"/>
            <w:vAlign w:val="bottom"/>
          </w:tcPr>
          <w:p>
            <w:pPr>
              <w:ind w:left="200"/>
              <w:spacing w:after="0" w:line="185" w:lineRule="exact"/>
              <w:rPr>
                <w:sz w:val="20"/>
                <w:szCs w:val="20"/>
                <w:color w:val="auto"/>
              </w:rPr>
            </w:pPr>
            <w:r>
              <w:rPr>
                <w:rFonts w:ascii="Arial" w:cs="Arial" w:eastAsia="Arial" w:hAnsi="Arial"/>
                <w:sz w:val="19"/>
                <w:szCs w:val="19"/>
                <w:color w:val="auto"/>
              </w:rPr>
              <w:t>Confidentiality</w:t>
            </w:r>
          </w:p>
        </w:tc>
        <w:tc>
          <w:tcPr>
            <w:tcW w:w="1700" w:type="dxa"/>
            <w:vAlign w:val="bottom"/>
          </w:tcPr>
          <w:p>
            <w:pPr>
              <w:jc w:val="right"/>
              <w:spacing w:after="0" w:line="185" w:lineRule="exact"/>
              <w:rPr>
                <w:sz w:val="20"/>
                <w:szCs w:val="20"/>
                <w:color w:val="auto"/>
              </w:rPr>
            </w:pPr>
            <w:r>
              <w:rPr>
                <w:rFonts w:ascii="Arial" w:cs="Arial" w:eastAsia="Arial" w:hAnsi="Arial"/>
                <w:sz w:val="19"/>
                <w:szCs w:val="19"/>
                <w:color w:val="auto"/>
              </w:rPr>
              <w:t>109</w:t>
            </w:r>
          </w:p>
        </w:tc>
      </w:tr>
      <w:tr>
        <w:trPr>
          <w:trHeight w:val="247"/>
        </w:trPr>
        <w:tc>
          <w:tcPr>
            <w:tcW w:w="2280" w:type="dxa"/>
            <w:vAlign w:val="bottom"/>
          </w:tcPr>
          <w:p>
            <w:pPr>
              <w:ind w:left="980"/>
              <w:spacing w:after="0"/>
              <w:rPr>
                <w:sz w:val="20"/>
                <w:szCs w:val="20"/>
                <w:color w:val="auto"/>
              </w:rPr>
            </w:pPr>
            <w:r>
              <w:rPr>
                <w:rFonts w:ascii="Arial" w:cs="Arial" w:eastAsia="Arial" w:hAnsi="Arial"/>
                <w:sz w:val="19"/>
                <w:szCs w:val="19"/>
                <w:color w:val="auto"/>
              </w:rPr>
              <w:t>Section 10.12.</w:t>
            </w:r>
          </w:p>
        </w:tc>
        <w:tc>
          <w:tcPr>
            <w:tcW w:w="6280" w:type="dxa"/>
            <w:vAlign w:val="bottom"/>
          </w:tcPr>
          <w:p>
            <w:pPr>
              <w:ind w:left="200"/>
              <w:spacing w:after="0"/>
              <w:rPr>
                <w:sz w:val="20"/>
                <w:szCs w:val="20"/>
                <w:color w:val="auto"/>
              </w:rPr>
            </w:pPr>
            <w:r>
              <w:rPr>
                <w:rFonts w:ascii="Arial" w:cs="Arial" w:eastAsia="Arial" w:hAnsi="Arial"/>
                <w:sz w:val="19"/>
                <w:szCs w:val="19"/>
                <w:color w:val="auto"/>
              </w:rPr>
              <w:t>Interest Rate Limitation</w:t>
            </w:r>
          </w:p>
        </w:tc>
        <w:tc>
          <w:tcPr>
            <w:tcW w:w="1700" w:type="dxa"/>
            <w:vAlign w:val="bottom"/>
          </w:tcPr>
          <w:p>
            <w:pPr>
              <w:jc w:val="right"/>
              <w:spacing w:after="0"/>
              <w:rPr>
                <w:sz w:val="20"/>
                <w:szCs w:val="20"/>
                <w:color w:val="auto"/>
              </w:rPr>
            </w:pPr>
            <w:r>
              <w:rPr>
                <w:rFonts w:ascii="Arial" w:cs="Arial" w:eastAsia="Arial" w:hAnsi="Arial"/>
                <w:sz w:val="19"/>
                <w:szCs w:val="19"/>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0260"/>
          </w:cols>
          <w:pgMar w:left="340" w:top="1339" w:right="1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8"/>
        </w:trPr>
        <w:tc>
          <w:tcPr>
            <w:tcW w:w="1300" w:type="dxa"/>
            <w:vAlign w:val="bottom"/>
          </w:tcPr>
          <w:p>
            <w:pPr>
              <w:spacing w:after="0"/>
              <w:rPr>
                <w:sz w:val="20"/>
                <w:szCs w:val="20"/>
                <w:color w:val="auto"/>
              </w:rPr>
            </w:pPr>
            <w:r>
              <w:rPr>
                <w:rFonts w:ascii="Arial" w:cs="Arial" w:eastAsia="Arial" w:hAnsi="Arial"/>
                <w:sz w:val="19"/>
                <w:szCs w:val="19"/>
                <w:color w:val="auto"/>
              </w:rPr>
              <w:t>Section 10.13.</w:t>
            </w:r>
          </w:p>
        </w:tc>
        <w:tc>
          <w:tcPr>
            <w:tcW w:w="6900" w:type="dxa"/>
            <w:vAlign w:val="bottom"/>
          </w:tcPr>
          <w:p>
            <w:pPr>
              <w:ind w:left="200"/>
              <w:spacing w:after="0"/>
              <w:rPr>
                <w:sz w:val="20"/>
                <w:szCs w:val="20"/>
                <w:color w:val="auto"/>
              </w:rPr>
            </w:pPr>
            <w:r>
              <w:rPr>
                <w:rFonts w:ascii="Arial" w:cs="Arial" w:eastAsia="Arial" w:hAnsi="Arial"/>
                <w:sz w:val="19"/>
                <w:szCs w:val="19"/>
                <w:color w:val="auto"/>
              </w:rPr>
              <w:t>Waiver of Effect of Corporate Seal</w:t>
            </w:r>
          </w:p>
        </w:tc>
        <w:tc>
          <w:tcPr>
            <w:tcW w:w="1080" w:type="dxa"/>
            <w:vAlign w:val="bottom"/>
          </w:tcPr>
          <w:p>
            <w:pPr>
              <w:jc w:val="right"/>
              <w:spacing w:after="0"/>
              <w:rPr>
                <w:sz w:val="20"/>
                <w:szCs w:val="20"/>
                <w:color w:val="auto"/>
              </w:rPr>
            </w:pPr>
            <w:r>
              <w:rPr>
                <w:rFonts w:ascii="Arial" w:cs="Arial" w:eastAsia="Arial" w:hAnsi="Arial"/>
                <w:sz w:val="19"/>
                <w:szCs w:val="19"/>
                <w:color w:val="auto"/>
              </w:rPr>
              <w:t>110</w:t>
            </w:r>
          </w:p>
        </w:tc>
      </w:tr>
      <w:tr>
        <w:trPr>
          <w:trHeight w:val="186"/>
        </w:trPr>
        <w:tc>
          <w:tcPr>
            <w:tcW w:w="1300" w:type="dxa"/>
            <w:vAlign w:val="bottom"/>
          </w:tcPr>
          <w:p>
            <w:pPr>
              <w:spacing w:after="0" w:line="185" w:lineRule="exact"/>
              <w:rPr>
                <w:sz w:val="20"/>
                <w:szCs w:val="20"/>
                <w:color w:val="auto"/>
              </w:rPr>
            </w:pPr>
            <w:r>
              <w:rPr>
                <w:rFonts w:ascii="Arial" w:cs="Arial" w:eastAsia="Arial" w:hAnsi="Arial"/>
                <w:sz w:val="19"/>
                <w:szCs w:val="19"/>
                <w:color w:val="auto"/>
              </w:rPr>
              <w:t>Section 10.14.</w:t>
            </w:r>
          </w:p>
        </w:tc>
        <w:tc>
          <w:tcPr>
            <w:tcW w:w="6900" w:type="dxa"/>
            <w:vAlign w:val="bottom"/>
          </w:tcPr>
          <w:p>
            <w:pPr>
              <w:ind w:left="200"/>
              <w:spacing w:after="0" w:line="185" w:lineRule="exact"/>
              <w:rPr>
                <w:sz w:val="20"/>
                <w:szCs w:val="20"/>
                <w:color w:val="auto"/>
              </w:rPr>
            </w:pPr>
            <w:r>
              <w:rPr>
                <w:rFonts w:ascii="Arial" w:cs="Arial" w:eastAsia="Arial" w:hAnsi="Arial"/>
                <w:sz w:val="19"/>
                <w:szCs w:val="19"/>
                <w:color w:val="auto"/>
              </w:rPr>
              <w:t>Patriot Act</w:t>
            </w:r>
          </w:p>
        </w:tc>
        <w:tc>
          <w:tcPr>
            <w:tcW w:w="1080" w:type="dxa"/>
            <w:vAlign w:val="bottom"/>
          </w:tcPr>
          <w:p>
            <w:pPr>
              <w:jc w:val="right"/>
              <w:spacing w:after="0" w:line="185" w:lineRule="exact"/>
              <w:rPr>
                <w:sz w:val="20"/>
                <w:szCs w:val="20"/>
                <w:color w:val="auto"/>
              </w:rPr>
            </w:pPr>
            <w:r>
              <w:rPr>
                <w:rFonts w:ascii="Arial" w:cs="Arial" w:eastAsia="Arial" w:hAnsi="Arial"/>
                <w:sz w:val="19"/>
                <w:szCs w:val="19"/>
                <w:color w:val="auto"/>
              </w:rPr>
              <w:t>110</w:t>
            </w:r>
          </w:p>
        </w:tc>
      </w:tr>
      <w:tr>
        <w:trPr>
          <w:trHeight w:val="186"/>
        </w:trPr>
        <w:tc>
          <w:tcPr>
            <w:tcW w:w="1300" w:type="dxa"/>
            <w:vAlign w:val="bottom"/>
          </w:tcPr>
          <w:p>
            <w:pPr>
              <w:spacing w:after="0" w:line="185" w:lineRule="exact"/>
              <w:rPr>
                <w:sz w:val="20"/>
                <w:szCs w:val="20"/>
                <w:color w:val="auto"/>
              </w:rPr>
            </w:pPr>
            <w:r>
              <w:rPr>
                <w:rFonts w:ascii="Arial" w:cs="Arial" w:eastAsia="Arial" w:hAnsi="Arial"/>
                <w:sz w:val="19"/>
                <w:szCs w:val="19"/>
                <w:color w:val="auto"/>
              </w:rPr>
              <w:t>Section 10.15.</w:t>
            </w:r>
          </w:p>
        </w:tc>
        <w:tc>
          <w:tcPr>
            <w:tcW w:w="6900" w:type="dxa"/>
            <w:vAlign w:val="bottom"/>
          </w:tcPr>
          <w:p>
            <w:pPr>
              <w:ind w:left="200"/>
              <w:spacing w:after="0" w:line="185" w:lineRule="exact"/>
              <w:rPr>
                <w:sz w:val="20"/>
                <w:szCs w:val="20"/>
                <w:color w:val="auto"/>
              </w:rPr>
            </w:pPr>
            <w:r>
              <w:rPr>
                <w:rFonts w:ascii="Arial" w:cs="Arial" w:eastAsia="Arial" w:hAnsi="Arial"/>
                <w:sz w:val="19"/>
                <w:szCs w:val="19"/>
                <w:color w:val="auto"/>
              </w:rPr>
              <w:t>No Advisory or Fiduciary Responsibility</w:t>
            </w:r>
          </w:p>
        </w:tc>
        <w:tc>
          <w:tcPr>
            <w:tcW w:w="1080" w:type="dxa"/>
            <w:vAlign w:val="bottom"/>
          </w:tcPr>
          <w:p>
            <w:pPr>
              <w:jc w:val="right"/>
              <w:spacing w:after="0" w:line="185" w:lineRule="exact"/>
              <w:rPr>
                <w:sz w:val="20"/>
                <w:szCs w:val="20"/>
                <w:color w:val="auto"/>
              </w:rPr>
            </w:pPr>
            <w:r>
              <w:rPr>
                <w:rFonts w:ascii="Arial" w:cs="Arial" w:eastAsia="Arial" w:hAnsi="Arial"/>
                <w:sz w:val="19"/>
                <w:szCs w:val="19"/>
                <w:color w:val="auto"/>
              </w:rPr>
              <w:t>110</w:t>
            </w:r>
          </w:p>
        </w:tc>
      </w:tr>
      <w:tr>
        <w:trPr>
          <w:trHeight w:val="185"/>
        </w:trPr>
        <w:tc>
          <w:tcPr>
            <w:tcW w:w="1300" w:type="dxa"/>
            <w:vAlign w:val="bottom"/>
          </w:tcPr>
          <w:p>
            <w:pPr>
              <w:spacing w:after="0" w:line="185" w:lineRule="exact"/>
              <w:rPr>
                <w:sz w:val="20"/>
                <w:szCs w:val="20"/>
                <w:color w:val="auto"/>
              </w:rPr>
            </w:pPr>
            <w:r>
              <w:rPr>
                <w:rFonts w:ascii="Arial" w:cs="Arial" w:eastAsia="Arial" w:hAnsi="Arial"/>
                <w:sz w:val="19"/>
                <w:szCs w:val="19"/>
                <w:color w:val="auto"/>
              </w:rPr>
              <w:t>Section 10.16.</w:t>
            </w:r>
          </w:p>
        </w:tc>
        <w:tc>
          <w:tcPr>
            <w:tcW w:w="6900" w:type="dxa"/>
            <w:vAlign w:val="bottom"/>
          </w:tcPr>
          <w:p>
            <w:pPr>
              <w:ind w:left="200"/>
              <w:spacing w:after="0" w:line="185" w:lineRule="exact"/>
              <w:rPr>
                <w:sz w:val="20"/>
                <w:szCs w:val="20"/>
                <w:color w:val="auto"/>
              </w:rPr>
            </w:pPr>
            <w:r>
              <w:rPr>
                <w:rFonts w:ascii="Arial" w:cs="Arial" w:eastAsia="Arial" w:hAnsi="Arial"/>
                <w:sz w:val="19"/>
                <w:szCs w:val="19"/>
                <w:color w:val="auto"/>
              </w:rPr>
              <w:t>Location of Closing</w:t>
            </w:r>
          </w:p>
        </w:tc>
        <w:tc>
          <w:tcPr>
            <w:tcW w:w="1080" w:type="dxa"/>
            <w:vAlign w:val="bottom"/>
          </w:tcPr>
          <w:p>
            <w:pPr>
              <w:jc w:val="right"/>
              <w:spacing w:after="0" w:line="185" w:lineRule="exact"/>
              <w:rPr>
                <w:sz w:val="20"/>
                <w:szCs w:val="20"/>
                <w:color w:val="auto"/>
              </w:rPr>
            </w:pPr>
            <w:r>
              <w:rPr>
                <w:rFonts w:ascii="Arial" w:cs="Arial" w:eastAsia="Arial" w:hAnsi="Arial"/>
                <w:sz w:val="19"/>
                <w:szCs w:val="19"/>
                <w:color w:val="auto"/>
              </w:rPr>
              <w:t>111</w:t>
            </w:r>
          </w:p>
        </w:tc>
      </w:tr>
      <w:tr>
        <w:trPr>
          <w:trHeight w:val="186"/>
        </w:trPr>
        <w:tc>
          <w:tcPr>
            <w:tcW w:w="1300" w:type="dxa"/>
            <w:vAlign w:val="bottom"/>
          </w:tcPr>
          <w:p>
            <w:pPr>
              <w:spacing w:after="0" w:line="185" w:lineRule="exact"/>
              <w:rPr>
                <w:sz w:val="20"/>
                <w:szCs w:val="20"/>
                <w:color w:val="auto"/>
              </w:rPr>
            </w:pPr>
            <w:r>
              <w:rPr>
                <w:rFonts w:ascii="Arial" w:cs="Arial" w:eastAsia="Arial" w:hAnsi="Arial"/>
                <w:sz w:val="19"/>
                <w:szCs w:val="19"/>
                <w:color w:val="auto"/>
              </w:rPr>
              <w:t>Section 10.17.</w:t>
            </w:r>
          </w:p>
        </w:tc>
        <w:tc>
          <w:tcPr>
            <w:tcW w:w="6900" w:type="dxa"/>
            <w:vAlign w:val="bottom"/>
          </w:tcPr>
          <w:p>
            <w:pPr>
              <w:ind w:left="200"/>
              <w:spacing w:after="0" w:line="185" w:lineRule="exact"/>
              <w:rPr>
                <w:sz w:val="20"/>
                <w:szCs w:val="20"/>
                <w:color w:val="auto"/>
              </w:rPr>
            </w:pPr>
            <w:r>
              <w:rPr>
                <w:rFonts w:ascii="Arial" w:cs="Arial" w:eastAsia="Arial" w:hAnsi="Arial"/>
                <w:sz w:val="19"/>
                <w:szCs w:val="19"/>
                <w:color w:val="auto"/>
              </w:rPr>
              <w:t>Independence of Covenants</w:t>
            </w:r>
          </w:p>
        </w:tc>
        <w:tc>
          <w:tcPr>
            <w:tcW w:w="1080" w:type="dxa"/>
            <w:vAlign w:val="bottom"/>
          </w:tcPr>
          <w:p>
            <w:pPr>
              <w:jc w:val="right"/>
              <w:spacing w:after="0" w:line="185" w:lineRule="exact"/>
              <w:rPr>
                <w:sz w:val="20"/>
                <w:szCs w:val="20"/>
                <w:color w:val="auto"/>
              </w:rPr>
            </w:pPr>
            <w:r>
              <w:rPr>
                <w:rFonts w:ascii="Arial" w:cs="Arial" w:eastAsia="Arial" w:hAnsi="Arial"/>
                <w:sz w:val="19"/>
                <w:szCs w:val="19"/>
                <w:color w:val="auto"/>
              </w:rPr>
              <w:t>111</w:t>
            </w:r>
          </w:p>
        </w:tc>
      </w:tr>
      <w:tr>
        <w:trPr>
          <w:trHeight w:val="247"/>
        </w:trPr>
        <w:tc>
          <w:tcPr>
            <w:tcW w:w="1300" w:type="dxa"/>
            <w:vAlign w:val="bottom"/>
          </w:tcPr>
          <w:p>
            <w:pPr>
              <w:spacing w:after="0"/>
              <w:rPr>
                <w:sz w:val="20"/>
                <w:szCs w:val="20"/>
                <w:color w:val="auto"/>
              </w:rPr>
            </w:pPr>
            <w:r>
              <w:rPr>
                <w:rFonts w:ascii="Arial" w:cs="Arial" w:eastAsia="Arial" w:hAnsi="Arial"/>
                <w:sz w:val="19"/>
                <w:szCs w:val="19"/>
                <w:color w:val="auto"/>
              </w:rPr>
              <w:t>Section 10.18.</w:t>
            </w:r>
          </w:p>
        </w:tc>
        <w:tc>
          <w:tcPr>
            <w:tcW w:w="6900" w:type="dxa"/>
            <w:vAlign w:val="bottom"/>
          </w:tcPr>
          <w:p>
            <w:pPr>
              <w:ind w:left="200"/>
              <w:spacing w:after="0"/>
              <w:rPr>
                <w:sz w:val="20"/>
                <w:szCs w:val="20"/>
                <w:color w:val="auto"/>
              </w:rPr>
            </w:pPr>
            <w:r>
              <w:rPr>
                <w:rFonts w:ascii="Arial" w:cs="Arial" w:eastAsia="Arial" w:hAnsi="Arial"/>
                <w:sz w:val="19"/>
                <w:szCs w:val="19"/>
                <w:color w:val="auto"/>
              </w:rPr>
              <w:t>Acknowledgement and Consent to Bail-In of Affected Financial Institutions</w:t>
            </w:r>
          </w:p>
        </w:tc>
        <w:tc>
          <w:tcPr>
            <w:tcW w:w="108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362"/>
        </w:trPr>
        <w:tc>
          <w:tcPr>
            <w:tcW w:w="1300" w:type="dxa"/>
            <w:vAlign w:val="bottom"/>
          </w:tcPr>
          <w:p>
            <w:pPr>
              <w:spacing w:after="0"/>
              <w:rPr>
                <w:sz w:val="20"/>
                <w:szCs w:val="20"/>
                <w:color w:val="auto"/>
              </w:rPr>
            </w:pPr>
            <w:r>
              <w:rPr>
                <w:rFonts w:ascii="Arial" w:cs="Arial" w:eastAsia="Arial" w:hAnsi="Arial"/>
                <w:sz w:val="19"/>
                <w:szCs w:val="19"/>
                <w:color w:val="auto"/>
              </w:rPr>
              <w:t>Section 10.19.</w:t>
            </w:r>
          </w:p>
        </w:tc>
        <w:tc>
          <w:tcPr>
            <w:tcW w:w="6900" w:type="dxa"/>
            <w:vAlign w:val="bottom"/>
          </w:tcPr>
          <w:p>
            <w:pPr>
              <w:ind w:left="200"/>
              <w:spacing w:after="0"/>
              <w:rPr>
                <w:sz w:val="20"/>
                <w:szCs w:val="20"/>
                <w:color w:val="auto"/>
              </w:rPr>
            </w:pPr>
            <w:r>
              <w:rPr>
                <w:rFonts w:ascii="Arial" w:cs="Arial" w:eastAsia="Arial" w:hAnsi="Arial"/>
                <w:sz w:val="19"/>
                <w:szCs w:val="19"/>
                <w:color w:val="auto"/>
              </w:rPr>
              <w:t>Acknowledgement Regarding Any Supported QFCs</w:t>
            </w:r>
          </w:p>
        </w:tc>
        <w:tc>
          <w:tcPr>
            <w:tcW w:w="1080" w:type="dxa"/>
            <w:vAlign w:val="bottom"/>
          </w:tcPr>
          <w:p>
            <w:pPr>
              <w:jc w:val="right"/>
              <w:spacing w:after="0"/>
              <w:rPr>
                <w:sz w:val="20"/>
                <w:szCs w:val="20"/>
                <w:color w:val="auto"/>
              </w:rPr>
            </w:pPr>
            <w:r>
              <w:rPr>
                <w:rFonts w:ascii="Arial" w:cs="Arial" w:eastAsia="Arial" w:hAnsi="Arial"/>
                <w:sz w:val="19"/>
                <w:szCs w:val="19"/>
                <w:color w:val="auto"/>
              </w:rPr>
              <w:t>111</w:t>
            </w:r>
          </w:p>
        </w:tc>
      </w:tr>
      <w:tr>
        <w:trPr>
          <w:trHeight w:val="247"/>
        </w:trPr>
        <w:tc>
          <w:tcPr>
            <w:tcW w:w="1300" w:type="dxa"/>
            <w:vAlign w:val="bottom"/>
          </w:tcPr>
          <w:p>
            <w:pPr>
              <w:spacing w:after="0"/>
              <w:rPr>
                <w:sz w:val="20"/>
                <w:szCs w:val="20"/>
                <w:color w:val="auto"/>
              </w:rPr>
            </w:pPr>
            <w:r>
              <w:rPr>
                <w:rFonts w:ascii="Arial" w:cs="Arial" w:eastAsia="Arial" w:hAnsi="Arial"/>
                <w:sz w:val="19"/>
                <w:szCs w:val="19"/>
                <w:color w:val="auto"/>
              </w:rPr>
              <w:t>Section 10.20.</w:t>
            </w:r>
          </w:p>
        </w:tc>
        <w:tc>
          <w:tcPr>
            <w:tcW w:w="6900" w:type="dxa"/>
            <w:vAlign w:val="bottom"/>
          </w:tcPr>
          <w:p>
            <w:pPr>
              <w:ind w:left="200"/>
              <w:spacing w:after="0"/>
              <w:rPr>
                <w:sz w:val="20"/>
                <w:szCs w:val="20"/>
                <w:color w:val="auto"/>
              </w:rPr>
            </w:pPr>
            <w:r>
              <w:rPr>
                <w:rFonts w:ascii="Arial" w:cs="Arial" w:eastAsia="Arial" w:hAnsi="Arial"/>
                <w:sz w:val="19"/>
                <w:szCs w:val="19"/>
                <w:color w:val="auto"/>
              </w:rPr>
              <w:t>Electronic Signatures</w:t>
            </w:r>
          </w:p>
        </w:tc>
        <w:tc>
          <w:tcPr>
            <w:tcW w:w="1080" w:type="dxa"/>
            <w:vAlign w:val="bottom"/>
          </w:tcPr>
          <w:p>
            <w:pPr>
              <w:jc w:val="right"/>
              <w:spacing w:after="0"/>
              <w:rPr>
                <w:sz w:val="20"/>
                <w:szCs w:val="20"/>
                <w:color w:val="auto"/>
              </w:rPr>
            </w:pPr>
            <w:r>
              <w:rPr>
                <w:rFonts w:ascii="Arial" w:cs="Arial" w:eastAsia="Arial" w:hAnsi="Arial"/>
                <w:sz w:val="19"/>
                <w:szCs w:val="19"/>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9280"/>
          </w:cols>
          <w:pgMar w:left="1320" w:top="1339" w:right="1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87"/>
              </w:rPr>
              <w:t>Schedules</w:t>
            </w:r>
          </w:p>
        </w:tc>
        <w:tc>
          <w:tcPr>
            <w:tcW w:w="16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44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9"/>
                <w:szCs w:val="19"/>
                <w:color w:val="auto"/>
              </w:rPr>
              <w:t>Schedule I</w:t>
            </w:r>
          </w:p>
        </w:tc>
        <w:tc>
          <w:tcPr>
            <w:tcW w:w="3960" w:type="dxa"/>
            <w:vAlign w:val="bottom"/>
          </w:tcPr>
          <w:p>
            <w:pPr>
              <w:ind w:left="280"/>
              <w:spacing w:after="0"/>
              <w:rPr>
                <w:sz w:val="20"/>
                <w:szCs w:val="20"/>
                <w:color w:val="auto"/>
              </w:rPr>
            </w:pPr>
            <w:r>
              <w:rPr>
                <w:rFonts w:ascii="Arial" w:cs="Arial" w:eastAsia="Arial" w:hAnsi="Arial"/>
                <w:sz w:val="19"/>
                <w:szCs w:val="19"/>
                <w:color w:val="auto"/>
              </w:rPr>
              <w:t>— Commitments</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II</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Permitted Holders</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4.5</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Environmental Matters</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4.14</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Subsidiaries</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4.16</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Deposit and Disbursement Accounts</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4.18</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Material Agreements</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7.1(b)</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Existing Indebtedness</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7.2(c)</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Existing Liens</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Schedule 7.4(a)</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Existing Investments</w:t>
            </w:r>
          </w:p>
        </w:tc>
      </w:tr>
      <w:tr>
        <w:trPr>
          <w:trHeight w:val="247"/>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gridSpan w:val="2"/>
          </w:tcPr>
          <w:p>
            <w:pPr>
              <w:ind w:left="40"/>
              <w:spacing w:after="0"/>
              <w:rPr>
                <w:sz w:val="20"/>
                <w:szCs w:val="20"/>
                <w:color w:val="auto"/>
              </w:rPr>
            </w:pPr>
            <w:r>
              <w:rPr>
                <w:rFonts w:ascii="Arial" w:cs="Arial" w:eastAsia="Arial" w:hAnsi="Arial"/>
                <w:sz w:val="19"/>
                <w:szCs w:val="19"/>
                <w:color w:val="auto"/>
              </w:rPr>
              <w:t>Schedule 7.6(l)</w:t>
            </w:r>
          </w:p>
        </w:tc>
        <w:tc>
          <w:tcPr>
            <w:tcW w:w="3960" w:type="dxa"/>
            <w:vAlign w:val="bottom"/>
          </w:tcPr>
          <w:p>
            <w:pPr>
              <w:ind w:left="280"/>
              <w:spacing w:after="0"/>
              <w:rPr>
                <w:sz w:val="20"/>
                <w:szCs w:val="20"/>
                <w:color w:val="auto"/>
              </w:rPr>
            </w:pPr>
            <w:r>
              <w:rPr>
                <w:rFonts w:ascii="Arial" w:cs="Arial" w:eastAsia="Arial" w:hAnsi="Arial"/>
                <w:sz w:val="19"/>
                <w:szCs w:val="19"/>
                <w:color w:val="auto"/>
              </w:rPr>
              <w:t>— Minority Investments</w:t>
            </w:r>
          </w:p>
        </w:tc>
      </w:tr>
      <w:tr>
        <w:trPr>
          <w:trHeight w:val="495"/>
        </w:trPr>
        <w:tc>
          <w:tcPr>
            <w:tcW w:w="2460" w:type="dxa"/>
            <w:vAlign w:val="bottom"/>
            <w:gridSpan w:val="4"/>
          </w:tcPr>
          <w:p>
            <w:pPr>
              <w:spacing w:after="0"/>
              <w:rPr>
                <w:sz w:val="20"/>
                <w:szCs w:val="20"/>
                <w:color w:val="auto"/>
              </w:rPr>
            </w:pPr>
            <w:r>
              <w:rPr>
                <w:rFonts w:ascii="Arial" w:cs="Arial" w:eastAsia="Arial" w:hAnsi="Arial"/>
                <w:sz w:val="19"/>
                <w:szCs w:val="19"/>
                <w:color w:val="auto"/>
              </w:rPr>
              <w:t>Exhibits</w:t>
            </w:r>
          </w:p>
        </w:tc>
        <w:tc>
          <w:tcPr>
            <w:tcW w:w="3960" w:type="dxa"/>
            <w:vAlign w:val="bottom"/>
          </w:tcPr>
          <w:p>
            <w:pPr>
              <w:spacing w:after="0"/>
              <w:rPr>
                <w:sz w:val="24"/>
                <w:szCs w:val="24"/>
                <w:color w:val="auto"/>
              </w:rPr>
            </w:pPr>
          </w:p>
        </w:tc>
      </w:tr>
      <w:tr>
        <w:trPr>
          <w:trHeight w:val="444"/>
        </w:trPr>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9"/>
                <w:szCs w:val="19"/>
                <w:color w:val="auto"/>
              </w:rPr>
              <w:t>Exhibit A</w:t>
            </w:r>
          </w:p>
        </w:tc>
        <w:tc>
          <w:tcPr>
            <w:tcW w:w="3960" w:type="dxa"/>
            <w:vAlign w:val="bottom"/>
          </w:tcPr>
          <w:p>
            <w:pPr>
              <w:ind w:left="280"/>
              <w:spacing w:after="0"/>
              <w:rPr>
                <w:sz w:val="20"/>
                <w:szCs w:val="20"/>
                <w:color w:val="auto"/>
              </w:rPr>
            </w:pPr>
            <w:r>
              <w:rPr>
                <w:rFonts w:ascii="Arial" w:cs="Arial" w:eastAsia="Arial" w:hAnsi="Arial"/>
                <w:sz w:val="19"/>
                <w:szCs w:val="19"/>
                <w:color w:val="auto"/>
              </w:rPr>
              <w:t>— Form of Assignment and Acceptance</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B</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w w:val="95"/>
              </w:rPr>
              <w:t>— Form of Guaranty and Security Agreement</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2.6</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Form of Notice of Borrowing</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2.14</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Form of Notice of Conversion</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Exhibits 2.21A - D</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w w:val="95"/>
              </w:rPr>
              <w:t>— Forms of U.S. Tax Compliance Certificates</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3.1(b)(iii)</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Form of Secretary’s Certificate</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3.1(b)(vi)</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Form of Officer’s Certificate</w:t>
            </w: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5.1(d)</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w w:val="97"/>
              </w:rPr>
              <w:t>— Form of Monthly Certified Liquidity Report</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gridSpan w:val="2"/>
          </w:tcPr>
          <w:p>
            <w:pPr>
              <w:ind w:left="40"/>
              <w:spacing w:after="0" w:line="185" w:lineRule="exact"/>
              <w:rPr>
                <w:sz w:val="20"/>
                <w:szCs w:val="20"/>
                <w:color w:val="auto"/>
              </w:rPr>
            </w:pPr>
            <w:r>
              <w:rPr>
                <w:rFonts w:ascii="Arial" w:cs="Arial" w:eastAsia="Arial" w:hAnsi="Arial"/>
                <w:sz w:val="19"/>
                <w:szCs w:val="19"/>
                <w:color w:val="auto"/>
              </w:rPr>
              <w:t>Exhibit 5.1(e)</w:t>
            </w:r>
          </w:p>
        </w:tc>
        <w:tc>
          <w:tcPr>
            <w:tcW w:w="3960" w:type="dxa"/>
            <w:vAlign w:val="bottom"/>
          </w:tcPr>
          <w:p>
            <w:pPr>
              <w:ind w:left="280"/>
              <w:spacing w:after="0" w:line="185" w:lineRule="exact"/>
              <w:rPr>
                <w:sz w:val="20"/>
                <w:szCs w:val="20"/>
                <w:color w:val="auto"/>
              </w:rPr>
            </w:pPr>
            <w:r>
              <w:rPr>
                <w:rFonts w:ascii="Arial" w:cs="Arial" w:eastAsia="Arial" w:hAnsi="Arial"/>
                <w:sz w:val="19"/>
                <w:szCs w:val="19"/>
                <w:color w:val="auto"/>
              </w:rPr>
              <w:t>— Form of Compliance Certificate</w:t>
            </w:r>
          </w:p>
        </w:tc>
      </w:tr>
      <w:tr>
        <w:trPr>
          <w:trHeight w:val="247"/>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20" w:type="dxa"/>
            <w:vAlign w:val="bottom"/>
            <w:gridSpan w:val="2"/>
          </w:tcPr>
          <w:p>
            <w:pPr>
              <w:ind w:left="40"/>
              <w:spacing w:after="0"/>
              <w:rPr>
                <w:sz w:val="20"/>
                <w:szCs w:val="20"/>
                <w:color w:val="auto"/>
              </w:rPr>
            </w:pPr>
            <w:r>
              <w:rPr>
                <w:rFonts w:ascii="Arial" w:cs="Arial" w:eastAsia="Arial" w:hAnsi="Arial"/>
                <w:sz w:val="19"/>
                <w:szCs w:val="19"/>
                <w:color w:val="auto"/>
              </w:rPr>
              <w:t>Exhibit 5.18</w:t>
            </w:r>
          </w:p>
        </w:tc>
        <w:tc>
          <w:tcPr>
            <w:tcW w:w="3960" w:type="dxa"/>
            <w:vAlign w:val="bottom"/>
          </w:tcPr>
          <w:p>
            <w:pPr>
              <w:ind w:left="280"/>
              <w:spacing w:after="0"/>
              <w:rPr>
                <w:sz w:val="20"/>
                <w:szCs w:val="20"/>
                <w:color w:val="auto"/>
              </w:rPr>
            </w:pPr>
            <w:r>
              <w:rPr>
                <w:rFonts w:ascii="Arial" w:cs="Arial" w:eastAsia="Arial" w:hAnsi="Arial"/>
                <w:sz w:val="19"/>
                <w:szCs w:val="19"/>
                <w:color w:val="auto"/>
              </w:rPr>
              <w:t>— Form of Tranche 2 Warrant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9099"/>
          </w:cols>
          <w:pgMar w:left="1360" w:top="1365" w:right="1440" w:bottom="1440" w:gutter="0" w:footer="0" w:header="0"/>
        </w:sectPr>
      </w:pPr>
    </w:p>
    <w:bookmarkStart w:id="56" w:name="page57"/>
    <w:bookmarkEnd w:id="56"/>
    <w:p>
      <w:pPr>
        <w:ind w:left="3320"/>
        <w:spacing w:after="0"/>
        <w:rPr>
          <w:sz w:val="20"/>
          <w:szCs w:val="20"/>
          <w:color w:val="auto"/>
        </w:rPr>
      </w:pPr>
      <w:r>
        <w:rPr>
          <w:rFonts w:ascii="Arial" w:cs="Arial" w:eastAsia="Arial" w:hAnsi="Arial"/>
          <w:sz w:val="19"/>
          <w:szCs w:val="19"/>
          <w:b w:val="1"/>
          <w:bCs w:val="1"/>
          <w:u w:val="single" w:color="auto"/>
          <w:color w:val="auto"/>
        </w:rPr>
        <w:t>TERM LOAN AGREEMENT</w:t>
      </w:r>
    </w:p>
    <w:p>
      <w:pPr>
        <w:spacing w:after="0" w:line="285" w:lineRule="exact"/>
        <w:rPr>
          <w:sz w:val="20"/>
          <w:szCs w:val="20"/>
          <w:color w:val="auto"/>
        </w:rPr>
      </w:pPr>
    </w:p>
    <w:p>
      <w:pPr>
        <w:jc w:val="both"/>
        <w:ind w:left="20" w:firstLine="636"/>
        <w:spacing w:after="0" w:line="216" w:lineRule="auto"/>
        <w:rPr>
          <w:sz w:val="20"/>
          <w:szCs w:val="20"/>
          <w:color w:val="auto"/>
        </w:rPr>
      </w:pPr>
      <w:r>
        <w:rPr>
          <w:rFonts w:ascii="Arial" w:cs="Arial" w:eastAsia="Arial" w:hAnsi="Arial"/>
          <w:sz w:val="19"/>
          <w:szCs w:val="19"/>
          <w:b w:val="1"/>
          <w:bCs w:val="1"/>
          <w:color w:val="auto"/>
        </w:rPr>
        <w:t xml:space="preserve">THIS TERM LOAN AGREEMENT </w:t>
      </w:r>
      <w:r>
        <w:rPr>
          <w:rFonts w:ascii="Arial" w:cs="Arial" w:eastAsia="Arial" w:hAnsi="Arial"/>
          <w:sz w:val="19"/>
          <w:szCs w:val="19"/>
          <w:color w:val="auto"/>
        </w:rPr>
        <w:t>(as amended, restated, amended and restated, supplemented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made and entered into as of January 26, 2022, by and among </w:t>
      </w:r>
      <w:r>
        <w:rPr>
          <w:rFonts w:ascii="Arial" w:cs="Arial" w:eastAsia="Arial" w:hAnsi="Arial"/>
          <w:sz w:val="19"/>
          <w:szCs w:val="19"/>
          <w:b w:val="1"/>
          <w:bCs w:val="1"/>
          <w:color w:val="auto"/>
        </w:rPr>
        <w:t>CARET</w:t>
      </w:r>
      <w:r>
        <w:rPr>
          <w:rFonts w:ascii="Arial" w:cs="Arial" w:eastAsia="Arial" w:hAnsi="Arial"/>
          <w:sz w:val="19"/>
          <w:szCs w:val="19"/>
          <w:color w:val="auto"/>
        </w:rPr>
        <w:t xml:space="preserve"> </w:t>
      </w:r>
      <w:r>
        <w:rPr>
          <w:rFonts w:ascii="Arial" w:cs="Arial" w:eastAsia="Arial" w:hAnsi="Arial"/>
          <w:sz w:val="19"/>
          <w:szCs w:val="19"/>
          <w:b w:val="1"/>
          <w:bCs w:val="1"/>
          <w:color w:val="auto"/>
        </w:rPr>
        <w:t>HOLDINGS, INC.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w:t>
      </w:r>
      <w:r>
        <w:rPr>
          <w:rFonts w:ascii="Arial" w:cs="Arial" w:eastAsia="Arial" w:hAnsi="Arial"/>
          <w:sz w:val="19"/>
          <w:szCs w:val="19"/>
          <w:b w:val="1"/>
          <w:bCs w:val="1"/>
          <w:color w:val="auto"/>
        </w:rPr>
        <w:t xml:space="preserve"> ROOT, INC.</w:t>
      </w:r>
      <w:r>
        <w:rPr>
          <w:rFonts w:ascii="Arial" w:cs="Arial" w:eastAsia="Arial" w:hAnsi="Arial"/>
          <w:sz w:val="19"/>
          <w:szCs w:val="19"/>
          <w:color w:val="auto"/>
        </w:rPr>
        <w:t>,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Parties from time to time party hereto, the several banks and other financial institutions and lenders from time to time party hereto (the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and </w:t>
      </w:r>
      <w:r>
        <w:rPr>
          <w:rFonts w:ascii="Arial" w:cs="Arial" w:eastAsia="Arial" w:hAnsi="Arial"/>
          <w:sz w:val="19"/>
          <w:szCs w:val="19"/>
          <w:b w:val="1"/>
          <w:bCs w:val="1"/>
          <w:color w:val="auto"/>
        </w:rPr>
        <w:t>ACQUIOM AGENCY SERVICES LLC</w:t>
      </w:r>
      <w:r>
        <w:rPr>
          <w:rFonts w:ascii="Arial" w:cs="Arial" w:eastAsia="Arial" w:hAnsi="Arial"/>
          <w:sz w:val="19"/>
          <w:szCs w:val="19"/>
          <w:color w:val="auto"/>
        </w:rPr>
        <w:t xml:space="preserve"> (“</w:t>
      </w:r>
      <w:r>
        <w:rPr>
          <w:rFonts w:ascii="Arial" w:cs="Arial" w:eastAsia="Arial" w:hAnsi="Arial"/>
          <w:sz w:val="19"/>
          <w:szCs w:val="19"/>
          <w:u w:val="single" w:color="auto"/>
          <w:color w:val="auto"/>
        </w:rPr>
        <w:t>Acquiom</w:t>
      </w:r>
      <w:r>
        <w:rPr>
          <w:rFonts w:ascii="Arial" w:cs="Arial" w:eastAsia="Arial" w:hAnsi="Arial"/>
          <w:sz w:val="19"/>
          <w:szCs w:val="19"/>
          <w:color w:val="auto"/>
        </w:rPr>
        <w:t>”), as the Administrative Agent for the Lenders.</w:t>
      </w:r>
    </w:p>
    <w:p>
      <w:pPr>
        <w:spacing w:after="0" w:line="251" w:lineRule="exact"/>
        <w:rPr>
          <w:sz w:val="20"/>
          <w:szCs w:val="20"/>
          <w:color w:val="auto"/>
        </w:rPr>
      </w:pPr>
    </w:p>
    <w:p>
      <w:pPr>
        <w:ind w:left="3700"/>
        <w:spacing w:after="0"/>
        <w:rPr>
          <w:sz w:val="20"/>
          <w:szCs w:val="20"/>
          <w:color w:val="auto"/>
        </w:rPr>
      </w:pPr>
      <w:r>
        <w:rPr>
          <w:rFonts w:ascii="Arial" w:cs="Arial" w:eastAsia="Arial" w:hAnsi="Arial"/>
          <w:sz w:val="19"/>
          <w:szCs w:val="19"/>
          <w:b w:val="1"/>
          <w:bCs w:val="1"/>
          <w:u w:val="single" w:color="auto"/>
          <w:color w:val="auto"/>
        </w:rPr>
        <w:t>W I T N E S S E T H</w:t>
      </w:r>
      <w:r>
        <w:rPr>
          <w:rFonts w:ascii="Arial" w:cs="Arial" w:eastAsia="Arial" w:hAnsi="Arial"/>
          <w:sz w:val="19"/>
          <w:szCs w:val="19"/>
          <w:color w:val="auto"/>
        </w:rPr>
        <w:t>:</w:t>
      </w:r>
    </w:p>
    <w:p>
      <w:pPr>
        <w:spacing w:after="0" w:line="312" w:lineRule="exact"/>
        <w:rPr>
          <w:sz w:val="20"/>
          <w:szCs w:val="20"/>
          <w:color w:val="auto"/>
        </w:rPr>
      </w:pPr>
    </w:p>
    <w:p>
      <w:pPr>
        <w:jc w:val="both"/>
        <w:ind w:left="20" w:firstLine="636"/>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has requested, and the Lenders have agreed to make to the Borrower, term loans,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conditions set forth in this Agreement;</w:t>
      </w:r>
    </w:p>
    <w:p>
      <w:pPr>
        <w:spacing w:after="0" w:line="157" w:lineRule="exact"/>
        <w:rPr>
          <w:sz w:val="20"/>
          <w:szCs w:val="20"/>
          <w:color w:val="auto"/>
        </w:rPr>
      </w:pPr>
    </w:p>
    <w:p>
      <w:pPr>
        <w:jc w:val="both"/>
        <w:ind w:left="20" w:firstLine="636"/>
        <w:spacing w:after="0" w:line="24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each Loan Party will derive substantial direct and/or indirect benefits from the entry into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are willing to guaranty all of the Obligations (as defined below);</w:t>
      </w:r>
    </w:p>
    <w:p>
      <w:pPr>
        <w:spacing w:after="0" w:line="184" w:lineRule="exact"/>
        <w:rPr>
          <w:sz w:val="20"/>
          <w:szCs w:val="20"/>
          <w:color w:val="auto"/>
        </w:rPr>
      </w:pPr>
    </w:p>
    <w:p>
      <w:pPr>
        <w:jc w:val="both"/>
        <w:ind w:left="20" w:firstLine="636"/>
        <w:spacing w:after="0" w:line="24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Borrower and the other Loan Parties desire to secure all of the Obligations and the guaranty by</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(other than the Borrower) of the Obligations by granting to the Administrative Agent, for the benefit of the Secured Parties, a security interest in, and lien upon, substantially all of its property (other than Excluded Property);</w:t>
      </w:r>
    </w:p>
    <w:p>
      <w:pPr>
        <w:spacing w:after="0" w:line="171" w:lineRule="exact"/>
        <w:rPr>
          <w:sz w:val="20"/>
          <w:szCs w:val="20"/>
          <w:color w:val="auto"/>
        </w:rPr>
      </w:pPr>
    </w:p>
    <w:p>
      <w:pPr>
        <w:jc w:val="both"/>
        <w:ind w:left="20" w:firstLine="636"/>
        <w:spacing w:after="0" w:line="241"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contained herein, the Borrower,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Loan Parties, the Lenders and the Administrative Agent hereby agree as follows:</w:t>
      </w:r>
    </w:p>
    <w:p>
      <w:pPr>
        <w:spacing w:after="0" w:line="184" w:lineRule="exact"/>
        <w:rPr>
          <w:sz w:val="20"/>
          <w:szCs w:val="20"/>
          <w:color w:val="auto"/>
        </w:rPr>
      </w:pPr>
    </w:p>
    <w:p>
      <w:pPr>
        <w:jc w:val="center"/>
        <w:ind w:right="920"/>
        <w:spacing w:after="0"/>
        <w:rPr>
          <w:sz w:val="20"/>
          <w:szCs w:val="20"/>
          <w:color w:val="auto"/>
        </w:rPr>
      </w:pPr>
      <w:r>
        <w:rPr>
          <w:rFonts w:ascii="Arial" w:cs="Arial" w:eastAsia="Arial" w:hAnsi="Arial"/>
          <w:sz w:val="19"/>
          <w:szCs w:val="19"/>
          <w:b w:val="1"/>
          <w:bCs w:val="1"/>
          <w:u w:val="single" w:color="auto"/>
          <w:color w:val="auto"/>
        </w:rPr>
        <w:t>ARTICLE I</w:t>
      </w:r>
    </w:p>
    <w:p>
      <w:pPr>
        <w:spacing w:after="0" w:line="285" w:lineRule="exact"/>
        <w:rPr>
          <w:sz w:val="20"/>
          <w:szCs w:val="20"/>
          <w:color w:val="auto"/>
        </w:rPr>
      </w:pPr>
    </w:p>
    <w:p>
      <w:pPr>
        <w:ind w:left="3100"/>
        <w:spacing w:after="0"/>
        <w:rPr>
          <w:sz w:val="20"/>
          <w:szCs w:val="20"/>
          <w:color w:val="auto"/>
        </w:rPr>
      </w:pPr>
      <w:r>
        <w:rPr>
          <w:rFonts w:ascii="Arial" w:cs="Arial" w:eastAsia="Arial" w:hAnsi="Arial"/>
          <w:sz w:val="19"/>
          <w:szCs w:val="19"/>
          <w:b w:val="1"/>
          <w:bCs w:val="1"/>
          <w:u w:val="single" w:color="auto"/>
          <w:color w:val="auto"/>
        </w:rPr>
        <w:t>DEFINITIONS; CONSTRUCTION</w:t>
      </w:r>
    </w:p>
    <w:p>
      <w:pPr>
        <w:spacing w:after="0" w:line="312" w:lineRule="exact"/>
        <w:rPr>
          <w:sz w:val="20"/>
          <w:szCs w:val="20"/>
          <w:color w:val="auto"/>
        </w:rPr>
      </w:pPr>
    </w:p>
    <w:p>
      <w:pPr>
        <w:jc w:val="both"/>
        <w:ind w:left="20" w:firstLine="636"/>
        <w:spacing w:after="0" w:line="285"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In addition to the other terms defined herein, the following terms used herein shall have the meanings herein specified (to be equally applicable to both the singular and plural forms of the terms defined):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Term SOFR Determination Day</w:t>
      </w:r>
      <w:r>
        <w:rPr>
          <w:rFonts w:ascii="Arial" w:cs="Arial" w:eastAsia="Arial" w:hAnsi="Arial"/>
          <w:sz w:val="18"/>
          <w:szCs w:val="18"/>
          <w:color w:val="auto"/>
        </w:rPr>
        <w:t>” shall have the meaning assigned to such term in the definition of “Term SOFR”.</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Acquiom</w:t>
      </w:r>
      <w:r>
        <w:rPr>
          <w:rFonts w:ascii="Arial" w:cs="Arial" w:eastAsia="Arial" w:hAnsi="Arial"/>
          <w:sz w:val="19"/>
          <w:szCs w:val="19"/>
          <w:color w:val="auto"/>
        </w:rPr>
        <w:t>” shall have the meaning assigned to such term in the introductory paragraph hereto.</w:t>
      </w:r>
    </w:p>
    <w:p>
      <w:pPr>
        <w:spacing w:after="0" w:line="312" w:lineRule="exact"/>
        <w:rPr>
          <w:sz w:val="20"/>
          <w:szCs w:val="20"/>
          <w:color w:val="auto"/>
        </w:rPr>
      </w:pPr>
    </w:p>
    <w:p>
      <w:pPr>
        <w:jc w:val="both"/>
        <w:ind w:left="2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Costs</w:t>
      </w:r>
      <w:r>
        <w:rPr>
          <w:rFonts w:ascii="Arial" w:cs="Arial" w:eastAsia="Arial" w:hAnsi="Arial"/>
          <w:sz w:val="19"/>
          <w:szCs w:val="19"/>
          <w:color w:val="auto"/>
        </w:rPr>
        <w:t>” shall mean any and all direct marketing and advertising costs related to the acquisition of new customers.</w:t>
      </w:r>
    </w:p>
    <w:p>
      <w:pPr>
        <w:spacing w:after="0" w:line="170" w:lineRule="exact"/>
        <w:rPr>
          <w:sz w:val="20"/>
          <w:szCs w:val="20"/>
          <w:color w:val="auto"/>
        </w:rPr>
      </w:pPr>
    </w:p>
    <w:p>
      <w:pPr>
        <w:ind w:right="4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Term SOFR</w:t>
      </w:r>
      <w:r>
        <w:rPr>
          <w:rFonts w:ascii="Arial" w:cs="Arial" w:eastAsia="Arial" w:hAnsi="Arial"/>
          <w:sz w:val="19"/>
          <w:szCs w:val="19"/>
          <w:color w:val="auto"/>
        </w:rPr>
        <w:t xml:space="preserve">” shall mean, for purposes of any calculation, the rate per annum equal to (a) Term SOFR for such calculation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(b)(i) until June 30, 2023, 0.26161% and (ii) thereafter, zero percent (0.00%).</w:t>
      </w:r>
    </w:p>
    <w:p>
      <w:pPr>
        <w:spacing w:after="0" w:line="178" w:lineRule="exact"/>
        <w:rPr>
          <w:sz w:val="20"/>
          <w:szCs w:val="20"/>
          <w:color w:val="auto"/>
        </w:rPr>
      </w:pPr>
    </w:p>
    <w:p>
      <w:pPr>
        <w:ind w:left="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shall mean Acquiom, in its capacity as the administrative agent under any of the Loan Documents, or any successor administrative agent (as may be determined in accordance with </w:t>
      </w:r>
      <w:r>
        <w:rPr>
          <w:rFonts w:ascii="Arial" w:cs="Arial" w:eastAsia="Arial" w:hAnsi="Arial"/>
          <w:sz w:val="19"/>
          <w:szCs w:val="19"/>
          <w:u w:val="single" w:color="auto"/>
          <w:color w:val="auto"/>
        </w:rPr>
        <w:t>Section 9.7</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080"/>
          </w:cols>
          <w:pgMar w:left="1360" w:top="1375" w:right="459" w:bottom="1440" w:gutter="0" w:footer="0" w:header="0"/>
        </w:sectPr>
      </w:pPr>
    </w:p>
    <w:bookmarkStart w:id="57" w:name="page58"/>
    <w:bookmarkEnd w:id="57"/>
    <w:p>
      <w:pPr>
        <w:spacing w:after="0" w:line="180"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shall mean, with respect to each Lender, an administrative questionnaire in the form provided by the Administrative Agent and submitted to the Administrative Agent duly completed by such Lender.</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shall mean (a) any EEA Financial Institution or (b) any UK Financial Institution.</w:t>
      </w:r>
    </w:p>
    <w:p>
      <w:pPr>
        <w:spacing w:after="0" w:line="232"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another Person that directly, or indirectly through one or more intermediaries, Controls, is Controlled by, or is under common Control with, the specified Person. For the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shall mean the possession, directly or indirectly, of the power to direct or cause the direction of the management and policies of a Person, whether through the ability to exercise voting power, by control or otherwise.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have meanings correlative thereto.</w:t>
      </w:r>
    </w:p>
    <w:p>
      <w:pPr>
        <w:spacing w:after="0" w:line="271" w:lineRule="exact"/>
        <w:rPr>
          <w:sz w:val="20"/>
          <w:szCs w:val="20"/>
          <w:color w:val="auto"/>
        </w:rPr>
      </w:pPr>
    </w:p>
    <w:p>
      <w:pPr>
        <w:ind w:right="4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Fee Letter</w:t>
      </w:r>
      <w:r>
        <w:rPr>
          <w:rFonts w:ascii="Arial" w:cs="Arial" w:eastAsia="Arial" w:hAnsi="Arial"/>
          <w:sz w:val="19"/>
          <w:szCs w:val="19"/>
          <w:color w:val="auto"/>
        </w:rPr>
        <w:t>” shall mean that certain Agent Fee Letter, dated the Closing Date, executed by Acquiom and accepted by the Borrower.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assigned to such term in the introductory paragraph hereto.</w:t>
      </w:r>
    </w:p>
    <w:p>
      <w:pPr>
        <w:spacing w:after="0" w:line="298" w:lineRule="exact"/>
        <w:rPr>
          <w:sz w:val="20"/>
          <w:szCs w:val="20"/>
          <w:color w:val="auto"/>
        </w:rPr>
      </w:pPr>
    </w:p>
    <w:p>
      <w:pPr>
        <w:ind w:right="28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AIMCo Fee Letter</w:t>
      </w:r>
      <w:r>
        <w:rPr>
          <w:rFonts w:ascii="Arial" w:cs="Arial" w:eastAsia="Arial" w:hAnsi="Arial"/>
          <w:sz w:val="19"/>
          <w:szCs w:val="19"/>
          <w:color w:val="auto"/>
        </w:rPr>
        <w:t>” shall mean that certain Fee Letter, dated the Closing Date, by and between the Borrower and the AIMCo Lender.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AIMCo Lender</w:t>
      </w:r>
      <w:r>
        <w:rPr>
          <w:rFonts w:ascii="Arial" w:cs="Arial" w:eastAsia="Arial" w:hAnsi="Arial"/>
          <w:sz w:val="19"/>
          <w:szCs w:val="19"/>
          <w:color w:val="auto"/>
        </w:rPr>
        <w:t>” shall have the meaning ascribed to such defined term in the AIMCo Fee Letter.</w:t>
      </w:r>
    </w:p>
    <w:p>
      <w:pPr>
        <w:spacing w:after="0" w:line="312"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shall mean all laws, rules and regulations of any jurisdiction applicable to Holdings, the Borrower and/or their Subsidiaries concerning or relating to the prohibition of bribery or corruption.</w:t>
      </w:r>
    </w:p>
    <w:p>
      <w:pPr>
        <w:spacing w:after="0" w:line="170"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199"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shall mean (i) 8.00%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with respect to Base Rate Loans and (ii) 9.00%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with respect to SOFR Loans.</w:t>
      </w:r>
    </w:p>
    <w:p>
      <w:pPr>
        <w:spacing w:after="0" w:line="170"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shall mean any Person (other than a natural Person (or any holding company, investment vehicle or trust for, or owned and operated for the primary benefit of, a natural Person)), fund, commingled investment vehicle or managed account that is (or will be) engaged in making, purchasing, holding or otherwise investing in commercial loans and similar extensions of credit in the ordinary course of its business and that is administered or managed by (a) a Lender, (b) an Affiliate of a Lender or (c) an entity or an Affiliate of an entity that administers or manages a Lender.</w:t>
      </w:r>
    </w:p>
    <w:p>
      <w:pPr>
        <w:spacing w:after="0" w:line="192"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shall mean an assignment and acceptance entered into by a Lender and an Eligible Assignee (with the consent of any party whose consent is required by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060"/>
          </w:cols>
          <w:pgMar w:left="1380" w:top="1440" w:right="459" w:bottom="1440" w:gutter="0" w:footer="0" w:header="0"/>
        </w:sectPr>
      </w:pPr>
    </w:p>
    <w:bookmarkStart w:id="58" w:name="page59"/>
    <w:bookmarkEnd w:id="58"/>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Automobile Quota Share Reinsurance Contract</w:t>
      </w:r>
      <w:r>
        <w:rPr>
          <w:rFonts w:ascii="Arial" w:cs="Arial" w:eastAsia="Arial" w:hAnsi="Arial"/>
          <w:sz w:val="19"/>
          <w:szCs w:val="19"/>
          <w:color w:val="auto"/>
        </w:rPr>
        <w:t>” shall mean that certain Automobile Quota Share Reinsurance Contract, effective as of July 1, 2019 (as amended, restated, amended and restated, supplemented or otherwise modified from time to time), by and between RIC and RRC.</w:t>
      </w:r>
    </w:p>
    <w:p>
      <w:pPr>
        <w:spacing w:after="0" w:line="191"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25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shall mean the exercise of any Write-Down and Conversion Powers by the applicable Resolution Authority in respect of any liability of an Affected Financial Institution.</w:t>
      </w:r>
    </w:p>
    <w:p>
      <w:pPr>
        <w:spacing w:after="0" w:line="178"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shall mean Title 11 of the United States Code entitled “Bankruptcy”, as now and hereafter in effect, or any successor statute.</w:t>
      </w:r>
    </w:p>
    <w:p>
      <w:pPr>
        <w:spacing w:after="0" w:line="191"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shall mean for any day a rate per annum equal to the highest of (i) the Prime Rate, (ii) the Federal Funds Rate, as in effect from time to time, plus 0.50%, (iii) Adjusted Term SOFR determined on a daily basis for an Interest Period of one (1) month, plus 1.00% (any changes in such rates to be effective as of the date of any change in such rate), and (iv) two percent (2.00%). The Prime Rate is a reference rate and does not necessarily represent the lowest or best rate actually charged to any customer. Any change in the Base Rate due to a change in the Prime Rate, the Federal Funds Rate or Adjusted Term SOFR shall be effective from and including the effective date of such change in the Prime Rate, the Federal Funds Rate or Adjusted Term SOFR, as applicable.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Loans</w:t>
      </w:r>
      <w:r>
        <w:rPr>
          <w:rFonts w:ascii="Arial" w:cs="Arial" w:eastAsia="Arial" w:hAnsi="Arial"/>
          <w:sz w:val="19"/>
          <w:szCs w:val="19"/>
          <w:color w:val="auto"/>
        </w:rPr>
        <w:t>” shall mean Loans for which the rate of interest is based upon the Base Rate.</w:t>
      </w:r>
    </w:p>
    <w:p>
      <w:pPr>
        <w:spacing w:after="0" w:line="298"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shall mean, initially, the Term SOFR Reference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w:t>
      </w:r>
      <w:r>
        <w:rPr>
          <w:rFonts w:ascii="Arial" w:cs="Arial" w:eastAsia="Arial" w:hAnsi="Arial"/>
          <w:sz w:val="19"/>
          <w:szCs w:val="19"/>
          <w:u w:val="single" w:color="auto"/>
          <w:color w:val="auto"/>
        </w:rPr>
        <w:t>Section 2.17(b)</w:t>
      </w:r>
      <w:r>
        <w:rPr>
          <w:rFonts w:ascii="Arial" w:cs="Arial" w:eastAsia="Arial" w:hAnsi="Arial"/>
          <w:sz w:val="19"/>
          <w:szCs w:val="19"/>
          <w:color w:val="auto"/>
        </w:rPr>
        <w:t>.</w:t>
      </w:r>
    </w:p>
    <w:p>
      <w:pPr>
        <w:spacing w:after="0" w:line="259"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shall mean, with respect to any Benchmark Transition Event, the sum of: (a) the alternate benchmark rate that has been selected by the Administrative Agent, the Required Lenders and the Borrower giving due consideration to (i) any selection or recommendation of a replacement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Benchmark Replacement as so determined would be less than the Floor, the Benchmark Replacement shall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060"/>
          </w:cols>
          <w:pgMar w:left="1380" w:top="1302" w:right="459" w:bottom="1440" w:gutter="0" w:footer="0" w:header="0"/>
        </w:sectPr>
      </w:pPr>
    </w:p>
    <w:bookmarkStart w:id="59" w:name="page60"/>
    <w:bookmarkEnd w:id="59"/>
    <w:p>
      <w:pPr>
        <w:spacing w:after="0" w:line="167"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shall mean,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the Required Lenders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 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shall mean the earlier to occur of the following events with respect to the then-current</w:t>
      </w:r>
    </w:p>
    <w:p>
      <w:pPr>
        <w:spacing w:after="0"/>
        <w:rPr>
          <w:sz w:val="20"/>
          <w:szCs w:val="20"/>
          <w:color w:val="auto"/>
        </w:rPr>
      </w:pPr>
      <w:r>
        <w:rPr>
          <w:rFonts w:ascii="Arial" w:cs="Arial" w:eastAsia="Arial" w:hAnsi="Arial"/>
          <w:sz w:val="19"/>
          <w:szCs w:val="19"/>
          <w:color w:val="auto"/>
        </w:rPr>
        <w:t>Benchmark:</w:t>
      </w:r>
    </w:p>
    <w:p>
      <w:pPr>
        <w:spacing w:after="0" w:line="203" w:lineRule="exact"/>
        <w:rPr>
          <w:sz w:val="20"/>
          <w:szCs w:val="20"/>
          <w:color w:val="auto"/>
        </w:rPr>
      </w:pPr>
    </w:p>
    <w:p>
      <w:pPr>
        <w:jc w:val="both"/>
        <w:ind w:firstLine="1277"/>
        <w:spacing w:after="0" w:line="220" w:lineRule="auto"/>
        <w:tabs>
          <w:tab w:leader="none" w:pos="210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Arial" w:cs="Arial" w:eastAsia="Arial" w:hAnsi="Arial"/>
          <w:sz w:val="19"/>
          <w:szCs w:val="19"/>
          <w:color w:val="auto"/>
        </w:rPr>
      </w:pPr>
    </w:p>
    <w:p>
      <w:pPr>
        <w:jc w:val="both"/>
        <w:ind w:firstLine="1278"/>
        <w:spacing w:after="0" w:line="215" w:lineRule="auto"/>
        <w:tabs>
          <w:tab w:leader="none" w:pos="210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“Benchmark Transition Event,” the first date on which such Benchmark (or the published component used in the calculation thereof) has been determined and announced by or on behalf of the regulatory supervisor for the administrator of such Benchmark (or such component thereof) to be non-representative;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 representativeness will be determined by reference to the most recent statement or publication referenced in such clause (c) and even if any Available Tenor of such Benchmark (or such component thereof) continues to be provided on such date.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206"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shall mean the occurrence of one or more of the following events with respect to the then-current Benchmark:</w:t>
      </w:r>
    </w:p>
    <w:p>
      <w:pPr>
        <w:spacing w:after="0" w:line="170" w:lineRule="exact"/>
        <w:rPr>
          <w:sz w:val="20"/>
          <w:szCs w:val="20"/>
          <w:color w:val="auto"/>
        </w:rPr>
      </w:pPr>
    </w:p>
    <w:p>
      <w:pPr>
        <w:jc w:val="both"/>
        <w:ind w:firstLine="1277"/>
        <w:spacing w:after="0" w:line="217" w:lineRule="auto"/>
        <w:tabs>
          <w:tab w:leader="none" w:pos="211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Arial" w:cs="Arial" w:eastAsia="Arial" w:hAnsi="Arial"/>
          <w:sz w:val="19"/>
          <w:szCs w:val="19"/>
          <w:color w:val="auto"/>
        </w:rPr>
      </w:pPr>
    </w:p>
    <w:p>
      <w:pPr>
        <w:jc w:val="both"/>
        <w:ind w:firstLine="1277"/>
        <w:spacing w:after="0" w:line="223" w:lineRule="auto"/>
        <w:tabs>
          <w:tab w:leader="none" w:pos="2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Term SOFR Administrator,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060"/>
          </w:cols>
          <w:pgMar w:left="1380" w:top="1440" w:right="459" w:bottom="1440" w:gutter="0" w:footer="0" w:header="0"/>
        </w:sectPr>
      </w:pPr>
    </w:p>
    <w:bookmarkStart w:id="60" w:name="page61"/>
    <w:bookmarkEnd w:id="60"/>
    <w:p>
      <w:pPr>
        <w:spacing w:after="0" w:line="114" w:lineRule="exact"/>
        <w:rPr>
          <w:sz w:val="20"/>
          <w:szCs w:val="20"/>
          <w:color w:val="auto"/>
        </w:rPr>
      </w:pPr>
    </w:p>
    <w:p>
      <w:pPr>
        <w:jc w:val="both"/>
        <w:ind w:firstLine="1277"/>
        <w:spacing w:after="0" w:line="220" w:lineRule="auto"/>
        <w:tabs>
          <w:tab w:leader="none" w:pos="211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93"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For the avoidance of doubt, a “Benchmark Transition Event” shall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8"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Start Date</w:t>
      </w:r>
      <w:r>
        <w:rPr>
          <w:rFonts w:ascii="Arial" w:cs="Arial" w:eastAsia="Arial" w:hAnsi="Arial"/>
          <w:sz w:val="19"/>
          <w:szCs w:val="19"/>
          <w:color w:val="auto"/>
        </w:rPr>
        <w:t>” shall mean,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8"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shall mean the period (if any) (a)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(b) ending at the time that a Benchmark Replacement has replaced the then-current Benchmark for all purposes hereunder and under any Loan Document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w:t>
      </w:r>
    </w:p>
    <w:p>
      <w:pPr>
        <w:spacing w:after="0" w:line="271" w:lineRule="exact"/>
        <w:rPr>
          <w:sz w:val="20"/>
          <w:szCs w:val="20"/>
          <w:color w:val="auto"/>
        </w:rPr>
      </w:pPr>
    </w:p>
    <w:p>
      <w:pPr>
        <w:ind w:right="6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shall mean a certification regarding beneficial ownership as required by the Beneficial Ownership Regulation.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shall mean 31 C.F.R. § 1010.230.</w:t>
      </w:r>
    </w:p>
    <w:p>
      <w:pPr>
        <w:spacing w:after="0" w:line="298"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BlackRock ESG Questionnaire</w:t>
      </w:r>
      <w:r>
        <w:rPr>
          <w:rFonts w:ascii="Arial" w:cs="Arial" w:eastAsia="Arial" w:hAnsi="Arial"/>
          <w:sz w:val="18"/>
          <w:szCs w:val="18"/>
          <w:color w:val="auto"/>
        </w:rPr>
        <w:t>” shall mean a questionnaire in a form provided by BlackRock Financial Management, Inc. (or its Affiliates) relating to environmental, social and governance attributes of the Borrower and/or its Affiliates.</w:t>
      </w:r>
    </w:p>
    <w:p>
      <w:pPr>
        <w:spacing w:after="0" w:line="173"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BlackRock Fee Letter</w:t>
      </w:r>
      <w:r>
        <w:rPr>
          <w:rFonts w:ascii="Arial" w:cs="Arial" w:eastAsia="Arial" w:hAnsi="Arial"/>
          <w:sz w:val="19"/>
          <w:szCs w:val="19"/>
          <w:color w:val="auto"/>
        </w:rPr>
        <w:t>” shall mean that certain Fee Letter, dated the Closing Date, by and among the Borrower and the BlackRock Lenders.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BlackRock GCO Lender</w:t>
      </w:r>
      <w:r>
        <w:rPr>
          <w:rFonts w:ascii="Arial" w:cs="Arial" w:eastAsia="Arial" w:hAnsi="Arial"/>
          <w:sz w:val="18"/>
          <w:szCs w:val="18"/>
          <w:color w:val="auto"/>
        </w:rPr>
        <w:t>” shall have the meaning ascribed to such defined term in the Board Observation Side Letter.</w:t>
      </w:r>
    </w:p>
    <w:p>
      <w:pPr>
        <w:spacing w:after="0" w:line="32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BlackRock Lenders</w:t>
      </w:r>
      <w:r>
        <w:rPr>
          <w:rFonts w:ascii="Arial" w:cs="Arial" w:eastAsia="Arial" w:hAnsi="Arial"/>
          <w:sz w:val="19"/>
          <w:szCs w:val="19"/>
          <w:color w:val="auto"/>
        </w:rPr>
        <w:t>” shall have the meaning ascribed to such defined term in the BlackRock FeeLetter.</w:t>
      </w:r>
    </w:p>
    <w:p>
      <w:pPr>
        <w:spacing w:after="0" w:line="298" w:lineRule="exact"/>
        <w:rPr>
          <w:sz w:val="20"/>
          <w:szCs w:val="20"/>
          <w:color w:val="auto"/>
        </w:rPr>
      </w:pPr>
    </w:p>
    <w:p>
      <w:pPr>
        <w:ind w:right="16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Observation Side Letter</w:t>
      </w:r>
      <w:r>
        <w:rPr>
          <w:rFonts w:ascii="Arial" w:cs="Arial" w:eastAsia="Arial" w:hAnsi="Arial"/>
          <w:sz w:val="19"/>
          <w:szCs w:val="19"/>
          <w:color w:val="auto"/>
        </w:rPr>
        <w:t>” shall mean that certain letter agreement, dated as of the Closing Date, by and between Holdings and the BlackRock GCO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060"/>
          </w:cols>
          <w:pgMar w:left="1380" w:top="1440" w:right="459" w:bottom="1440" w:gutter="0" w:footer="0" w:header="0"/>
        </w:sectPr>
      </w:pPr>
    </w:p>
    <w:bookmarkStart w:id="61" w:name="page62"/>
    <w:bookmarkEnd w:id="61"/>
    <w:p>
      <w:pPr>
        <w:ind w:left="20" w:right="60"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xml:space="preserve">” shall mean, with respect to any Person, the board of directors or other equivalent governing body for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in no event shall any Observer designated and appointed pursuant to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constitute a Board of Director of any Person for the purposes of this Agreement or any other Loan Document.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shall have the meaning set forth in the introductory paragraph hereof.</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shall mean the Term Loans made on the Funding Date.</w:t>
      </w:r>
    </w:p>
    <w:p>
      <w:pPr>
        <w:spacing w:after="0" w:line="298" w:lineRule="exact"/>
        <w:rPr>
          <w:sz w:val="20"/>
          <w:szCs w:val="20"/>
          <w:color w:val="auto"/>
        </w:rPr>
      </w:pPr>
    </w:p>
    <w:p>
      <w:pPr>
        <w:jc w:val="both"/>
        <w:ind w:left="20" w:right="1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other than a Saturday, Sunday or other day on which commercial banks in New York, New York are authorized or required by law to close.</w:t>
      </w:r>
    </w:p>
    <w:p>
      <w:pPr>
        <w:spacing w:after="0" w:line="191" w:lineRule="exact"/>
        <w:rPr>
          <w:sz w:val="20"/>
          <w:szCs w:val="20"/>
          <w:color w:val="auto"/>
        </w:rPr>
      </w:pPr>
    </w:p>
    <w:p>
      <w:pPr>
        <w:jc w:val="both"/>
        <w:ind w:left="20" w:right="120" w:firstLine="636"/>
        <w:spacing w:after="0" w:line="30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Cabretta Agreement</w:t>
      </w:r>
      <w:r>
        <w:rPr>
          <w:rFonts w:ascii="Arial" w:cs="Arial" w:eastAsia="Arial" w:hAnsi="Arial"/>
          <w:sz w:val="18"/>
          <w:szCs w:val="18"/>
          <w:color w:val="auto"/>
        </w:rPr>
        <w:t>” shall mean that certain Subscription Agreement, dated as of November 15, 2021 and in effect on the Closing Date, by and between RIC and Cabretta Georgia Tax Credit Fund LLC, a Georgia limited liability company.</w:t>
      </w:r>
    </w:p>
    <w:p>
      <w:pPr>
        <w:spacing w:after="0" w:line="159" w:lineRule="exact"/>
        <w:rPr>
          <w:sz w:val="20"/>
          <w:szCs w:val="20"/>
          <w:color w:val="auto"/>
        </w:rPr>
      </w:pPr>
    </w:p>
    <w:p>
      <w:pPr>
        <w:jc w:val="both"/>
        <w:ind w:left="20" w:right="120" w:firstLine="63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of any Person, shall mean,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 the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3" w:lineRule="exact"/>
        <w:rPr>
          <w:sz w:val="20"/>
          <w:szCs w:val="20"/>
          <w:color w:val="auto"/>
        </w:rPr>
      </w:pPr>
    </w:p>
    <w:p>
      <w:pPr>
        <w:jc w:val="both"/>
        <w:ind w:left="20" w:right="120" w:firstLine="636"/>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 under the Exchange Act).</w:t>
      </w:r>
    </w:p>
    <w:p>
      <w:pPr>
        <w:spacing w:after="0" w:line="193"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Carvana</w:t>
      </w:r>
      <w:r>
        <w:rPr>
          <w:rFonts w:ascii="Arial" w:cs="Arial" w:eastAsia="Arial" w:hAnsi="Arial"/>
          <w:sz w:val="19"/>
          <w:szCs w:val="19"/>
          <w:color w:val="auto"/>
        </w:rPr>
        <w:t>” shall mean, collectively, (a) Carvana, LLC, an Arizona limited liability company, (b) Carvana Insurance Services, LLC, an Arizona limited liability company and (c) Carvana Group, LLC, a Delaware limited liability company.</w:t>
      </w:r>
    </w:p>
    <w:p>
      <w:pPr>
        <w:spacing w:after="0" w:line="178" w:lineRule="exact"/>
        <w:rPr>
          <w:sz w:val="20"/>
          <w:szCs w:val="20"/>
          <w:color w:val="auto"/>
        </w:rPr>
      </w:pPr>
    </w:p>
    <w:p>
      <w:pPr>
        <w:jc w:val="both"/>
        <w:ind w:left="20" w:right="120"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Carvana Agreements</w:t>
      </w:r>
      <w:r>
        <w:rPr>
          <w:rFonts w:ascii="Arial" w:cs="Arial" w:eastAsia="Arial" w:hAnsi="Arial"/>
          <w:sz w:val="19"/>
          <w:szCs w:val="19"/>
          <w:color w:val="auto"/>
        </w:rPr>
        <w:t>” shall mean, collectively, that certain (a) Investment Agreement, dated as of August 11, 2021 (as amended, restated, amended and restated, supplemented or otherwise modified and in effect prior to the Closing Date), by and between Holdings and Carvana Group, LLC, a Delaware limited liability company and (b) Commercial Agreement, dated as of October 1, 2021 (as amended, restated, amended and restated, supplemented or otherwise modified and in effect prior to the Closing Date), by and between the Borrower and Carvana.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Carvana Warrants</w:t>
      </w:r>
      <w:r>
        <w:rPr>
          <w:rFonts w:ascii="Arial" w:cs="Arial" w:eastAsia="Arial" w:hAnsi="Arial"/>
          <w:sz w:val="19"/>
          <w:szCs w:val="19"/>
          <w:color w:val="auto"/>
        </w:rPr>
        <w:t>” shall mean the “Warrants” (as defined in the Carvana Agreements).</w:t>
      </w:r>
    </w:p>
    <w:p>
      <w:pPr>
        <w:spacing w:after="0" w:line="298" w:lineRule="exact"/>
        <w:rPr>
          <w:sz w:val="20"/>
          <w:szCs w:val="20"/>
          <w:color w:val="auto"/>
        </w:rPr>
      </w:pPr>
    </w:p>
    <w:p>
      <w:pPr>
        <w:jc w:val="both"/>
        <w:ind w:left="20" w:right="1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Cayman Law Share Pledge</w:t>
      </w:r>
      <w:r>
        <w:rPr>
          <w:rFonts w:ascii="Arial" w:cs="Arial" w:eastAsia="Arial" w:hAnsi="Arial"/>
          <w:sz w:val="19"/>
          <w:szCs w:val="19"/>
          <w:color w:val="auto"/>
        </w:rPr>
        <w:t>” shall mean that certain Equitable Mortgage Over Shares dated as of the Closing Date, made by the Borrower in favor of the Administrative Agent (for the benefit of the Secured Parties).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occurrence of one or more of the following events:</w:t>
      </w:r>
    </w:p>
    <w:p>
      <w:pPr>
        <w:spacing w:after="0" w:line="298" w:lineRule="exact"/>
        <w:rPr>
          <w:sz w:val="20"/>
          <w:szCs w:val="20"/>
          <w:color w:val="auto"/>
        </w:rPr>
      </w:pPr>
    </w:p>
    <w:p>
      <w:pPr>
        <w:jc w:val="both"/>
        <w:ind w:left="20" w:right="120" w:firstLine="1277"/>
        <w:spacing w:after="0" w:line="243" w:lineRule="auto"/>
        <w:tabs>
          <w:tab w:leader="none" w:pos="1502"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“person” or “group” (in each case, within the meaning of the Exchange Act and the rules of the SEC promulgated thereunder) other than the Permitted Holders or any Person acting in its capacity as trustee, agent or other fiduciary of, or holding securities under, an employee benefit plan of the Borrower (a) shall have acquired, directly or indirectly, beneficial ownership of 35.0% or more of the outstanding shares of the voting interests in the Capital Stock of Holdings or (b) shall have obtained the power (whether or not exercised) to elect a majority of the members of the Board of Directors of Holdings;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200"/>
          </w:cols>
          <w:pgMar w:left="1360" w:top="1302" w:right="339" w:bottom="1440" w:gutter="0" w:footer="0" w:header="0"/>
        </w:sectPr>
      </w:pPr>
    </w:p>
    <w:bookmarkStart w:id="62" w:name="page63"/>
    <w:bookmarkEnd w:id="62"/>
    <w:p>
      <w:pPr>
        <w:ind w:firstLine="1277"/>
        <w:spacing w:after="0" w:line="237" w:lineRule="auto"/>
        <w:tabs>
          <w:tab w:leader="none" w:pos="2119" w:val="left"/>
        </w:tabs>
        <w:numPr>
          <w:ilvl w:val="1"/>
          <w:numId w:val="32"/>
        </w:numPr>
        <w:rPr>
          <w:rFonts w:ascii="Arial" w:cs="Arial" w:eastAsia="Arial" w:hAnsi="Arial"/>
          <w:sz w:val="19"/>
          <w:szCs w:val="19"/>
          <w:color w:val="auto"/>
        </w:rPr>
      </w:pPr>
      <w:r>
        <w:rPr>
          <w:rFonts w:ascii="Arial" w:cs="Arial" w:eastAsia="Arial" w:hAnsi="Arial"/>
          <w:sz w:val="19"/>
          <w:szCs w:val="19"/>
          <w:color w:val="auto"/>
        </w:rPr>
        <w:t>during any period of twenty-four (24) consecutive months, a majority of the members of the Board of Directors of Holdings cease to be composed of individuals who are Continuing Directors; or</w:t>
      </w:r>
    </w:p>
    <w:p>
      <w:pPr>
        <w:spacing w:after="0" w:line="204" w:lineRule="exact"/>
        <w:rPr>
          <w:rFonts w:ascii="Arial" w:cs="Arial" w:eastAsia="Arial" w:hAnsi="Arial"/>
          <w:sz w:val="19"/>
          <w:szCs w:val="19"/>
          <w:color w:val="auto"/>
        </w:rPr>
      </w:pPr>
    </w:p>
    <w:p>
      <w:pPr>
        <w:ind w:left="2120" w:hanging="843"/>
        <w:spacing w:after="0"/>
        <w:tabs>
          <w:tab w:leader="none" w:pos="2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Holdings shall cease to directly own and control 100% of the Capital Stock of the Borrower; or</w:t>
      </w:r>
    </w:p>
    <w:p>
      <w:pPr>
        <w:spacing w:after="0" w:line="34" w:lineRule="exact"/>
        <w:rPr>
          <w:rFonts w:ascii="Arial" w:cs="Arial" w:eastAsia="Arial" w:hAnsi="Arial"/>
          <w:sz w:val="18"/>
          <w:szCs w:val="18"/>
          <w:color w:val="auto"/>
        </w:rPr>
      </w:pPr>
    </w:p>
    <w:p>
      <w:pPr>
        <w:jc w:val="both"/>
        <w:ind w:firstLine="5"/>
        <w:spacing w:after="0" w:line="254" w:lineRule="auto"/>
        <w:tabs>
          <w:tab w:leader="none" w:pos="297"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Borrower shall cease to own and control, directly or indirectly, 100% of the Capital Stock of each of its Subsidiaries (other than, in the case of clause (b), pursuant to a transaction permitted by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parenthetical shall not apply with respect to any Insurance Subsidiary).</w:t>
      </w:r>
    </w:p>
    <w:p>
      <w:pPr>
        <w:spacing w:after="0" w:line="271"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shall mean the occurrence, after the Closing Date, of any of the following: (i) the adoption or taking effect of any applicable law, rule, regulation or treaty, (ii) any change in any applicable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10.12</w:t>
      </w:r>
      <w:r>
        <w:rPr>
          <w:rFonts w:ascii="Arial" w:cs="Arial" w:eastAsia="Arial" w:hAnsi="Arial"/>
          <w:sz w:val="19"/>
          <w:szCs w:val="19"/>
          <w:color w:val="auto"/>
        </w:rPr>
        <w:t>.</w:t>
      </w:r>
    </w:p>
    <w:p>
      <w:pPr>
        <w:spacing w:after="0" w:line="298" w:lineRule="exact"/>
        <w:rPr>
          <w:sz w:val="20"/>
          <w:szCs w:val="20"/>
          <w:color w:val="auto"/>
        </w:rPr>
      </w:pPr>
    </w:p>
    <w:p>
      <w:pPr>
        <w:ind w:right="90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A Common Stock</w:t>
      </w:r>
      <w:r>
        <w:rPr>
          <w:rFonts w:ascii="Arial" w:cs="Arial" w:eastAsia="Arial" w:hAnsi="Arial"/>
          <w:sz w:val="19"/>
          <w:szCs w:val="19"/>
          <w:color w:val="auto"/>
        </w:rPr>
        <w:t>” shall have the meaning set forth in Holdings’ Amended and Restated Certificate of Incorporation in effect on the Closing Date.</w:t>
      </w:r>
    </w:p>
    <w:p>
      <w:pPr>
        <w:spacing w:after="0" w:line="178" w:lineRule="exact"/>
        <w:rPr>
          <w:sz w:val="20"/>
          <w:szCs w:val="20"/>
          <w:color w:val="auto"/>
        </w:rPr>
      </w:pPr>
    </w:p>
    <w:p>
      <w:pPr>
        <w:ind w:right="90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shall have the meaning set forth in Holdings’ Amended and Restated Certificate of Incorporation in effect on the Closing Date.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shall mean January 26, 2022.</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shall mean the Internal Revenue Code of 1986, as amended.</w:t>
      </w:r>
    </w:p>
    <w:p>
      <w:pPr>
        <w:spacing w:after="0" w:line="298"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shall mean all tangible and intangible property, real and personal, of any Loan Party that is, or purports to be, the subject of a Lien to the Administrative Agent under the Loan Documents to secure the whole or any part of the Obligations or any Guarantee thereof, and shall include, without limitation, all casualty insurance proceeds and condemnation awards with respect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Collateral shall exclude (i) all of the assets of any Insurance Subsidiary (but, for the avoidance of doubt, and subject to the limitations and restrictions set forth herein and in the other Loan Documents, not the Capital Stock of such Insurance Subsidiary) or any Subsidiary of an Insurance Subsidiary and (ii) all other Excluded Property.</w:t>
      </w:r>
    </w:p>
    <w:p>
      <w:pPr>
        <w:spacing w:after="0" w:line="18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Access Agreement</w:t>
      </w:r>
      <w:r>
        <w:rPr>
          <w:rFonts w:ascii="Arial" w:cs="Arial" w:eastAsia="Arial" w:hAnsi="Arial"/>
          <w:sz w:val="19"/>
          <w:szCs w:val="19"/>
          <w:color w:val="auto"/>
        </w:rPr>
        <w:t>” shall mean each landlord waiver or bailee agreement granted to, and in form and substance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060"/>
          </w:cols>
          <w:pgMar w:left="1380" w:top="1302" w:right="459" w:bottom="1440" w:gutter="0" w:footer="0" w:header="0"/>
        </w:sectPr>
      </w:pPr>
    </w:p>
    <w:bookmarkStart w:id="63" w:name="page64"/>
    <w:bookmarkEnd w:id="63"/>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Assignment</w:t>
      </w:r>
      <w:r>
        <w:rPr>
          <w:rFonts w:ascii="Arial" w:cs="Arial" w:eastAsia="Arial" w:hAnsi="Arial"/>
          <w:sz w:val="19"/>
          <w:szCs w:val="19"/>
          <w:color w:val="auto"/>
        </w:rPr>
        <w:t>” shall mean that certain Collateral Assignment of Contract Rights under the RIC Authorized Producer Agreement and the RPC Authorized Producer Agreement, dated as of the Closing Date, executed by RIA in favor of the Administrative Agent.</w:t>
      </w:r>
    </w:p>
    <w:p>
      <w:pPr>
        <w:spacing w:after="0" w:line="191"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shall mean, collectively, the Guaranty and Security Agreement, the Cayman Law Share Pledge, any Real Estate Documents, the Control Account Agreements, the Collateral Assignment, all Copyright Security Agreements, all Patent Security Agreements, all Trademark Security Agreements, all Collateral Access Agreements and all other instruments and agreements now or hereafter securing or perfecting the Liens securing the whole or any part of the Obligations or any Guarantee thereof.</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Commitments</w:t>
      </w:r>
      <w:r>
        <w:rPr>
          <w:rFonts w:ascii="Arial" w:cs="Arial" w:eastAsia="Arial" w:hAnsi="Arial"/>
          <w:sz w:val="19"/>
          <w:szCs w:val="19"/>
          <w:color w:val="auto"/>
        </w:rPr>
        <w:t>” shall mean the Term Loan Commitments.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10.1(b)(iv)</w:t>
      </w:r>
      <w:r>
        <w:rPr>
          <w:rFonts w:ascii="Arial" w:cs="Arial" w:eastAsia="Arial" w:hAnsi="Arial"/>
          <w:sz w:val="19"/>
          <w:szCs w:val="19"/>
          <w:color w:val="auto"/>
        </w:rPr>
        <w:t>.</w:t>
      </w:r>
    </w:p>
    <w:p>
      <w:pPr>
        <w:spacing w:after="0" w:line="285"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shall mean a certificate from a Financial Officer of Holdings and the Borrower, substantially in the form of, and containing substantially the certifications set forth in, the form attached hereto as </w:t>
      </w:r>
      <w:r>
        <w:rPr>
          <w:rFonts w:ascii="Arial" w:cs="Arial" w:eastAsia="Arial" w:hAnsi="Arial"/>
          <w:sz w:val="18"/>
          <w:szCs w:val="18"/>
          <w:u w:val="single" w:color="auto"/>
          <w:color w:val="auto"/>
        </w:rPr>
        <w:t>Exhibit 5.1(e)</w:t>
      </w:r>
      <w:r>
        <w:rPr>
          <w:rFonts w:ascii="Arial" w:cs="Arial" w:eastAsia="Arial" w:hAnsi="Arial"/>
          <w:sz w:val="18"/>
          <w:szCs w:val="18"/>
          <w:color w:val="auto"/>
        </w:rPr>
        <w:t>.</w:t>
      </w:r>
    </w:p>
    <w:p>
      <w:pPr>
        <w:spacing w:after="0" w:line="252"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xml:space="preserve">” 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and other technical, administrative or operational matters) that the Administrative Agent and the Required Lenders decide,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in consultation with the Borrower, that no market practice for the administration of any such rate exists, in such other manner of administration as the Administrative Agent decides, in consultation with the Borrower and Required Lenders, is reasonably necessary in connection with the administration of this Agreement and the other Loan Documents).</w:t>
      </w:r>
    </w:p>
    <w:p>
      <w:pPr>
        <w:spacing w:after="0" w:line="206"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Connection Income Taxes</w:t>
      </w:r>
      <w:r>
        <w:rPr>
          <w:rFonts w:ascii="Arial" w:cs="Arial" w:eastAsia="Arial" w:hAnsi="Arial"/>
          <w:sz w:val="19"/>
          <w:szCs w:val="19"/>
          <w:color w:val="auto"/>
        </w:rPr>
        <w:t>” shall mean Other Connection Taxes that are imposed on, or measured by, net income (however denominated) or that are franchise Taxes or branch profits Taxes.</w:t>
      </w:r>
    </w:p>
    <w:p>
      <w:pPr>
        <w:spacing w:after="0" w:line="183"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w:t>
      </w:r>
      <w:r>
        <w:rPr>
          <w:rFonts w:ascii="Arial" w:cs="Arial" w:eastAsia="Arial" w:hAnsi="Arial"/>
          <w:sz w:val="19"/>
          <w:szCs w:val="19"/>
          <w:color w:val="auto"/>
        </w:rPr>
        <w:t>” shall mean, as at any date of determination, the aggregate cash (regardless of whether restricted or unrestricted) and cash equivalents of Holdings and its Subsidiaries.</w:t>
      </w:r>
    </w:p>
    <w:p>
      <w:pPr>
        <w:spacing w:after="0" w:line="170"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Line of Credit</w:t>
      </w:r>
      <w:r>
        <w:rPr>
          <w:rFonts w:ascii="Arial" w:cs="Arial" w:eastAsia="Arial" w:hAnsi="Arial"/>
          <w:sz w:val="18"/>
          <w:szCs w:val="18"/>
          <w:color w:val="auto"/>
        </w:rPr>
        <w:t>” shall mean any unsecured line of credit pursuant to which (i) all of the obligations owing by the debtor(s) under such line of credit are expressly subordinated in right of payment to the Obligations on terms and conditions (including, for the avoidance of doubt, standstill provisions) reasonably acceptable to the Administrative Agent and the Required Lenders in their sole discretion, (ii) the only debtor(s) under such line of credit are Loan Parties, (iii) such line of credit and any Indebtedness issued thereunder does not have a stated maturity date or provide for scheduled amortization payments prior to one hundred eighty (180) days after the Stated Maturity Date, and (iv) there shall be no mandatory prepayment or redemption required (except for (x) provisions requiring Holdings to convert all or any portion of such Indebtedness into Qualified Capital Stock of Holdings, (y) customary repayment provisions upon a change of control and (z) customary acceleration rights after an event of default) prior to one hundred eighty (180) days after the 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060"/>
          </w:cols>
          <w:pgMar w:left="1380" w:top="1302" w:right="459" w:bottom="1440" w:gutter="0" w:footer="0" w:header="0"/>
        </w:sectPr>
      </w:pPr>
    </w:p>
    <w:bookmarkStart w:id="64" w:name="page65"/>
    <w:bookmarkEnd w:id="64"/>
    <w:p>
      <w:pPr>
        <w:spacing w:after="0" w:line="167" w:lineRule="exact"/>
        <w:rPr>
          <w:sz w:val="20"/>
          <w:szCs w:val="20"/>
          <w:color w:val="auto"/>
        </w:rPr>
      </w:pPr>
    </w:p>
    <w:p>
      <w:pPr>
        <w:jc w:val="both"/>
        <w:ind w:firstLine="636"/>
        <w:spacing w:after="0" w:line="2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Continuing Director</w:t>
      </w:r>
      <w:r>
        <w:rPr>
          <w:rFonts w:ascii="Arial" w:cs="Arial" w:eastAsia="Arial" w:hAnsi="Arial"/>
          <w:sz w:val="19"/>
          <w:szCs w:val="19"/>
          <w:color w:val="auto"/>
        </w:rPr>
        <w:t xml:space="preserve">” shall mean, with respect to any period, any individual (A) who was a member of the Board of Directors of Holdings on the first day of such period, (B) whose election or nomination to the Board of Directors was approved by individuals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constituting at the time of such election or nomination at least a majority of the Board of Directors or</w:t>
      </w:r>
    </w:p>
    <w:p>
      <w:pPr>
        <w:spacing w:after="0" w:line="1" w:lineRule="exact"/>
        <w:rPr>
          <w:sz w:val="20"/>
          <w:szCs w:val="20"/>
          <w:color w:val="auto"/>
        </w:rPr>
      </w:pPr>
    </w:p>
    <w:p>
      <w:pPr>
        <w:ind w:firstLine="5"/>
        <w:spacing w:after="0" w:line="228" w:lineRule="auto"/>
        <w:tabs>
          <w:tab w:leader="none" w:pos="3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whose election or nomination to the Board of Directors was approved by individuals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constituting at the time of such election or nomination at least a majority of the Board of Directors.</w:t>
      </w:r>
    </w:p>
    <w:p>
      <w:pPr>
        <w:spacing w:after="0" w:line="20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 Account Agreement</w:t>
      </w:r>
      <w:r>
        <w:rPr>
          <w:rFonts w:ascii="Arial" w:cs="Arial" w:eastAsia="Arial" w:hAnsi="Arial"/>
          <w:sz w:val="19"/>
          <w:szCs w:val="19"/>
          <w:color w:val="auto"/>
        </w:rPr>
        <w:t>” shall mean any agreement by and among a Loan Party, the Administrative Agent and a depositary bank or securities intermediary at which such Loan Party maintains a Controlled Account, in each case, in form and substance reasonably satisfactory to the Administrative Agent.</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Controlled Account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5.11(a)</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w:t>
      </w:r>
      <w:r>
        <w:rPr>
          <w:rFonts w:ascii="Arial" w:cs="Arial" w:eastAsia="Arial" w:hAnsi="Arial"/>
          <w:sz w:val="19"/>
          <w:szCs w:val="19"/>
          <w:color w:val="auto"/>
        </w:rPr>
        <w:t>” shall have the meaning assigned to such term in the Guaranty and Security Agreement.</w:t>
      </w:r>
    </w:p>
    <w:p>
      <w:pPr>
        <w:spacing w:after="0" w:line="29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Security Agreement</w:t>
      </w:r>
      <w:r>
        <w:rPr>
          <w:rFonts w:ascii="Arial" w:cs="Arial" w:eastAsia="Arial" w:hAnsi="Arial"/>
          <w:sz w:val="17"/>
          <w:szCs w:val="17"/>
          <w:color w:val="auto"/>
        </w:rPr>
        <w:t>” shall mean any Copyright Security Agreement, substantially in the form of Annex II attached to the Guaranty and Security Agreement, executed by a Loan Party owning registered Copyrights or applications for Copyrights in favor of the Administrative Agent (for the benefit of the Secured Parties), both on the Closing Date and thereafter.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10.19(a)</w:t>
      </w:r>
      <w:r>
        <w:rPr>
          <w:rFonts w:ascii="Arial" w:cs="Arial" w:eastAsia="Arial" w:hAnsi="Arial"/>
          <w:sz w:val="19"/>
          <w:szCs w:val="19"/>
          <w:color w:val="auto"/>
        </w:rPr>
        <w:t>.</w:t>
      </w:r>
    </w:p>
    <w:p>
      <w:pPr>
        <w:spacing w:after="0" w:line="285"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Cash Burn</w:t>
      </w:r>
      <w:r>
        <w:rPr>
          <w:rFonts w:ascii="Arial" w:cs="Arial" w:eastAsia="Arial" w:hAnsi="Arial"/>
          <w:sz w:val="19"/>
          <w:szCs w:val="19"/>
          <w:color w:val="auto"/>
        </w:rPr>
        <w:t xml:space="preserve">” shall mean, as of any Fiscal Month, the ending balance of Consolidated Cash as of the last calendar day of the immediately prior Fiscal Month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ending balance of Consolidated Cash as of the last calendar day of such Fiscal Month.</w:t>
      </w:r>
    </w:p>
    <w:p>
      <w:pPr>
        <w:spacing w:after="0" w:line="19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4" w:lineRule="exact"/>
        <w:rPr>
          <w:sz w:val="20"/>
          <w:szCs w:val="20"/>
          <w:color w:val="auto"/>
        </w:rPr>
      </w:pPr>
    </w:p>
    <w:p>
      <w:pPr>
        <w:jc w:val="both"/>
        <w:ind w:right="2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condition or event that, with the giving of notice or the lapse of time or both, would constitute an Event of Default.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2.12(c)</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shall mean, subject to </w:t>
      </w:r>
      <w:r>
        <w:rPr>
          <w:rFonts w:ascii="Arial" w:cs="Arial" w:eastAsia="Arial" w:hAnsi="Arial"/>
          <w:sz w:val="18"/>
          <w:szCs w:val="18"/>
          <w:u w:val="single" w:color="auto"/>
          <w:color w:val="auto"/>
        </w:rPr>
        <w:t>Section 2.27(c)</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060"/>
          </w:cols>
          <w:pgMar w:left="1380" w:top="1440" w:right="459" w:bottom="1440" w:gutter="0" w:footer="0" w:header="0"/>
        </w:sectPr>
      </w:pPr>
    </w:p>
    <w:bookmarkStart w:id="65" w:name="page66"/>
    <w:bookmarkEnd w:id="65"/>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2.27(b)</w:t>
      </w:r>
      <w:r>
        <w:rPr>
          <w:rFonts w:ascii="Arial" w:cs="Arial" w:eastAsia="Arial" w:hAnsi="Arial"/>
          <w:sz w:val="18"/>
          <w:szCs w:val="18"/>
          <w:color w:val="auto"/>
        </w:rPr>
        <w:t>) upon delivery of written notice of such determination to the Borrower and each Lender.</w:t>
      </w:r>
    </w:p>
    <w:p>
      <w:pPr>
        <w:spacing w:after="0" w:line="19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Earned Premium</w:t>
      </w:r>
      <w:r>
        <w:rPr>
          <w:rFonts w:ascii="Arial" w:cs="Arial" w:eastAsia="Arial" w:hAnsi="Arial"/>
          <w:sz w:val="19"/>
          <w:szCs w:val="19"/>
          <w:color w:val="auto"/>
        </w:rPr>
        <w:t>” shall mean revenue recognized during the period of measurement for written insurance contracts, prior to any ceding, as determined in accordance with SAP.</w:t>
      </w:r>
    </w:p>
    <w:p>
      <w:pPr>
        <w:spacing w:after="0" w:line="178"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Direct Contribution</w:t>
      </w:r>
      <w:r>
        <w:rPr>
          <w:rFonts w:ascii="Arial" w:cs="Arial" w:eastAsia="Arial" w:hAnsi="Arial"/>
          <w:sz w:val="19"/>
          <w:szCs w:val="19"/>
          <w:color w:val="auto"/>
        </w:rPr>
        <w:t>” shall mean, for any period of measurement, the adjusted gross profit/(loss) excluding ceded earned premium, ceded loss and gross loss adjustment expense, and net ceding commission and other, for the Borrower and its Subsidiaries. For the avoidance of doubt, net ceding commission and other is comprised of ceding commission received in connection with reinsurance ceded, partially offset by related sliding scale commission adjustments and amortization of excess ceding commission, and other impacts of reinsurance ceded which are included in other insurance (benefit) expense, and, after these adjustments, the resulting calculation is inclusive of only those gross variable costs of revenue incurred on the successful acquisition of business, but exclusive of net ceding commission, ceded loss and gross loss adjustment expense and other impacts of reinsurance ceded.</w:t>
      </w:r>
    </w:p>
    <w:p>
      <w:pPr>
        <w:spacing w:after="0" w:line="205"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Contribution to Gross Earned Premium Ratio</w:t>
      </w:r>
      <w:r>
        <w:rPr>
          <w:rFonts w:ascii="Arial" w:cs="Arial" w:eastAsia="Arial" w:hAnsi="Arial"/>
          <w:sz w:val="18"/>
          <w:szCs w:val="18"/>
          <w:color w:val="auto"/>
        </w:rPr>
        <w:t>” shall mean (x) divided by (y) where (x) is the Direct Contribution of the Borrower and its Subsidiaries for the three-month period ended on the last day of each Fiscal Quarter and (y) is Gross Earned Premium of the Borrower and its Subsidiaries for the three-month period ended on the last day of each Fiscal Quarter.</w:t>
      </w:r>
    </w:p>
    <w:p>
      <w:pPr>
        <w:spacing w:after="0" w:line="166"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shall mean, with respect to any Person, any Capital Stock of such Person which (x) by its terms (or by the terms of any Capital Stock into which it is convertible or for which it is exchangeable), or upon the happening of any event, (a) matures or is mandatorily redeemable (other than solely for Qualified Capital Stock), pursuant to a sinking fund obligation or otherwise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060"/>
          </w:cols>
          <w:pgMar w:left="1380" w:top="1440" w:right="459" w:bottom="1440" w:gutter="0" w:footer="0" w:header="0"/>
        </w:sectPr>
      </w:pPr>
    </w:p>
    <w:bookmarkStart w:id="66" w:name="page67"/>
    <w:bookmarkEnd w:id="66"/>
    <w:p>
      <w:pPr>
        <w:jc w:val="both"/>
        <w:ind w:firstLine="5"/>
        <w:spacing w:after="0" w:line="221" w:lineRule="auto"/>
        <w:tabs>
          <w:tab w:leader="none" w:pos="3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days following the Stated Maturity Date, (b) is redeemable at the option of the holder thereof (other than (i) solely for Qualified Capital Stock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in whole or in part, on or prior to the date that is ninety-one (91) days following the Stated Maturity Date, (c) provides for or otherwise permits the holder to receive scheduled payments of dividends or distributions in cash on or prior to the date that is ninety-one (91) days following the Stated Maturity Date or (d) is or becomes convertible into or exchangeable for Indebtedness or any other Capital Stock that would constitute Disqualified Capital Stock, in each case, on or prior to the date that is ninety-one (91) days following the Stated Maturity Date or (y) contains any repurchase obligation which, by its terms, may come into effect (except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on or prior to the date that is ninety-one (91) days following the Stated Maturity Date.</w:t>
      </w:r>
    </w:p>
    <w:p>
      <w:pPr>
        <w:spacing w:after="0" w:line="191" w:lineRule="exact"/>
        <w:rPr>
          <w:sz w:val="20"/>
          <w:szCs w:val="20"/>
          <w:color w:val="auto"/>
        </w:rPr>
      </w:pPr>
    </w:p>
    <w:p>
      <w:pPr>
        <w:jc w:val="both"/>
        <w:ind w:firstLine="636"/>
        <w:spacing w:after="0" w:line="20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shall mean (a) any direct competitor of the Borrower that is in the same or a substantially similar line of business and that had been identified in writing to the Administrative Agent at least two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(each such entity, a “</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and (b) any Person that (i) is actually known by the Administrative Agent to be an Affiliate (solely on the basis of name) of any Competitor or (ii) had been identified in writing to the Administrative Agent as an Affiliate of a Competitor at least two (2) Business Days in advance of any proposed assignment to such Person hereunder, which identification shall not apply retroactively for any purpose, including to disqualify any Persons that have previously acquired an assignment or participation interest in any Loans and/or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list of Disqualified Institutions identified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above shall be made available to all Lenders upon request to the Administrative Agent.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and the sign “</w:t>
      </w:r>
      <w:r>
        <w:rPr>
          <w:rFonts w:ascii="Arial" w:cs="Arial" w:eastAsia="Arial" w:hAnsi="Arial"/>
          <w:sz w:val="19"/>
          <w:szCs w:val="19"/>
          <w:u w:val="single" w:color="auto"/>
          <w:color w:val="auto"/>
        </w:rPr>
        <w:t>$</w:t>
      </w:r>
      <w:r>
        <w:rPr>
          <w:rFonts w:ascii="Arial" w:cs="Arial" w:eastAsia="Arial" w:hAnsi="Arial"/>
          <w:sz w:val="19"/>
          <w:szCs w:val="19"/>
          <w:color w:val="auto"/>
        </w:rPr>
        <w:t>” shall mean lawful money of the United States.</w:t>
      </w:r>
    </w:p>
    <w:p>
      <w:pPr>
        <w:spacing w:after="0" w:line="298"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 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shall mean any of the member states of the European Union, Iceland, Liechtenstein and Norway.</w:t>
      </w:r>
    </w:p>
    <w:p>
      <w:pPr>
        <w:spacing w:after="0" w:line="17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shall mean any Person that meets the requirements to be an assignee under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10.4(b)(iii)</w:t>
      </w:r>
      <w:r>
        <w:rPr>
          <w:rFonts w:ascii="Arial" w:cs="Arial" w:eastAsia="Arial" w:hAnsi="Arial"/>
          <w:sz w:val="19"/>
          <w:szCs w:val="19"/>
          <w:color w:val="auto"/>
        </w:rPr>
        <w:t>).</w:t>
      </w:r>
    </w:p>
    <w:p>
      <w:pPr>
        <w:spacing w:after="0" w:line="271"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all applicable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 concerning exposure to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060"/>
          </w:cols>
          <w:pgMar w:left="1380" w:top="1302" w:right="459" w:bottom="1440" w:gutter="0" w:footer="0" w:header="0"/>
        </w:sectPr>
      </w:pPr>
    </w:p>
    <w:bookmarkStart w:id="67" w:name="page68"/>
    <w:bookmarkEnd w:id="67"/>
    <w:p>
      <w:pPr>
        <w:spacing w:after="0" w:line="167"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shall mean any liability, contingent or otherwise (including any liability for damages, costs of environmental investigation and remediation, costs of administrative oversight, fines, natural resource damages, penalties or indemnities) of Holdings, the Borrower or any of their respective Subsidiaries, directly or indirectly resulting from or based upon</w:t>
      </w:r>
    </w:p>
    <w:p>
      <w:pPr>
        <w:spacing w:after="0" w:line="1" w:lineRule="exact"/>
        <w:rPr>
          <w:sz w:val="20"/>
          <w:szCs w:val="20"/>
          <w:color w:val="auto"/>
        </w:rPr>
      </w:pPr>
    </w:p>
    <w:p>
      <w:pPr>
        <w:jc w:val="both"/>
        <w:ind w:firstLine="5"/>
        <w:spacing w:after="0" w:line="216" w:lineRule="auto"/>
        <w:tabs>
          <w:tab w:leader="none" w:pos="2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actual or alleged violation of any Environmental Law, (ii) the generation, use, handling, transportation, storage, treatment or disposal of any Hazardous Materials, (iii) any actual or alleged exposure to any Hazardous Materials, (iv) the Release or threatened Release of any Hazardous Materials or (v) any contract, agreement or other consensual arrangement to the extent under which liability is assumed or imposed with respect to any of the foregoing.</w:t>
      </w:r>
    </w:p>
    <w:p>
      <w:pPr>
        <w:spacing w:after="0" w:line="19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as amended and in effect from time to time, and any successor statute thereto and the regulations promulgated and rulings issued thereunder.</w:t>
      </w:r>
    </w:p>
    <w:p>
      <w:pPr>
        <w:spacing w:after="0" w:line="19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any Person that, together with the Borrower or its Subsidiaries, is or was, at any relevant time, considered to be under common control under Section 4001 of ERISA or a “single employer” under Section 414(b), (c), (m) or (o) of the Code.</w:t>
      </w:r>
    </w:p>
    <w:p>
      <w:pPr>
        <w:spacing w:after="0" w:line="178"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shall mean (i) any “reportable event” (as defined in Section 4043(c) of ERISA) with respect to a Plan (other than an event as to which the PBGC has waived the requirement of Section 4043(a) of ERISA that it be notified of such event); (ii) any failure to make by its due date a required contribution to any Plan that would result in the imposition of a lien or encumbrance under Section 430 of the Code or Section 303 or 4068 of ERISA, or the imposition on the assets of Holdings, the Borrower, any of their Subsidiaries or any of their respective ERISA Affiliates of such a lien or encumbrance, or any filing of any request for a minimum funding waiver under Section 412 of the Code or Section 302 of ERISA with respect to any Plan or Multiemployer Plan, whether or not waived, or any determination that any Plan is, or is expected to be, in at-risk status under Section 303 of ERISA; (iii) any incurrence by Holdings, the Borrower, any of their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Holdings, the Borrower, any of their Subsidiaries or any of their respective ERISA Affiliates of any liability with respect to the complete withdrawal or partial withdrawal (within the meaning of Sections 4203 and 4205 of ERISA) from any Multiemployer Plan, or the receipt by Holdings, the Borrower, any of their respective Subsidiaries or any of their respective ERISA Affiliates of any notice that a Multiemployer Plan is in endangered or critical status under Section 305 of ERISA; (vi) any receipt by Holdings, the Borrower, any of their respective Subsidiaries or any of their respective ERISA Affiliates of any notice, or any receipt by any Multiemployer Plan from Holdings, the Borrower, any of their respective Subsidiaries or any of their respective ERISA Affiliates of any notice, concerning the imposition of Withdrawal Liability or a determination that a Multiemployer Plan is, or is expected to be, insolvent within the meaning of Section 4245 of ERISA; (vii) Holdings, the Borrower, any of their respective Subsidiaries engaging in a material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9.14(a)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060"/>
          </w:cols>
          <w:pgMar w:left="1380" w:top="1440" w:right="459" w:bottom="1440" w:gutter="0" w:footer="0" w:header="0"/>
        </w:sectPr>
      </w:pPr>
    </w:p>
    <w:bookmarkStart w:id="68" w:name="page69"/>
    <w:bookmarkEnd w:id="68"/>
    <w:p>
      <w:pPr>
        <w:ind w:right="56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shall mean the EU Bail-In Legislation Schedule published by the Loan Market Association (or any successor Person), as in effect from time to time.</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Securities Exchange Act of 1934, as amended and in effect from time to time.</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Accounts</w:t>
      </w:r>
      <w:r>
        <w:rPr>
          <w:rFonts w:ascii="Arial" w:cs="Arial" w:eastAsia="Arial" w:hAnsi="Arial"/>
          <w:sz w:val="19"/>
          <w:szCs w:val="19"/>
          <w:color w:val="auto"/>
        </w:rPr>
        <w:t>” shall have the meaning assigned to such term in the Guaranty and Security Agreement.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shall have the meaning ascribed to such defined term in the Guaranty and Security Agreement.</w:t>
      </w:r>
    </w:p>
    <w:p>
      <w:pPr>
        <w:spacing w:after="0" w:line="230"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2.26</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2.21(g) and</w:t>
      </w:r>
      <w:r>
        <w:rPr>
          <w:rFonts w:ascii="Arial" w:cs="Arial" w:eastAsia="Arial" w:hAnsi="Arial"/>
          <w:sz w:val="18"/>
          <w:szCs w:val="18"/>
          <w:color w:val="auto"/>
        </w:rPr>
        <w:t xml:space="preserve"> (d) any withholding Taxes imposed under FATCA.</w:t>
      </w:r>
    </w:p>
    <w:p>
      <w:pPr>
        <w:spacing w:after="0" w:line="257" w:lineRule="exact"/>
        <w:rPr>
          <w:sz w:val="20"/>
          <w:szCs w:val="20"/>
          <w:color w:val="auto"/>
        </w:rPr>
      </w:pPr>
    </w:p>
    <w:p>
      <w:pPr>
        <w:jc w:val="both"/>
        <w:ind w:firstLine="636"/>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treaty or convention entered into among Governmental Authorities in connection with such sections of the Code and any fiscal or regulatory legislation, rules or practices adopted pursuant to such intergovernmental agreement, treaty or convention.</w:t>
      </w:r>
    </w:p>
    <w:p>
      <w:pPr>
        <w:spacing w:after="0" w:line="204"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Bank of New York’s Website</w:t>
      </w:r>
      <w:r>
        <w:rPr>
          <w:rFonts w:ascii="Arial" w:cs="Arial" w:eastAsia="Arial" w:hAnsi="Arial"/>
          <w:sz w:val="19"/>
          <w:szCs w:val="19"/>
          <w:color w:val="auto"/>
        </w:rPr>
        <w:t>” shall mean the website of the Federal Reserve Bank of New York at http://www.newyorkfed.org, or any successor source.</w:t>
      </w:r>
    </w:p>
    <w:p>
      <w:pPr>
        <w:spacing w:after="0" w:line="170"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shall mean, for any day,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Rate shall not be less than zero percent (0.00%).</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Letters</w:t>
      </w:r>
      <w:r>
        <w:rPr>
          <w:rFonts w:ascii="Arial" w:cs="Arial" w:eastAsia="Arial" w:hAnsi="Arial"/>
          <w:sz w:val="19"/>
          <w:szCs w:val="19"/>
          <w:color w:val="auto"/>
        </w:rPr>
        <w:t>” shall mean the Agent Fee Letter, the AIMCo Fee Letter and the BlackRock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060"/>
          </w:cols>
          <w:pgMar w:left="1380" w:top="1381" w:right="459" w:bottom="1440" w:gutter="0" w:footer="0" w:header="0"/>
        </w:sectPr>
      </w:pPr>
    </w:p>
    <w:bookmarkStart w:id="69" w:name="page70"/>
    <w:bookmarkEnd w:id="69"/>
    <w:p>
      <w:pPr>
        <w:ind w:right="2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shall mean the chief financial officer, chief accounting officer, chief revenue and operating officer, vice president of finance, treasurer or any principal accounting officer of any Person.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Month</w:t>
      </w:r>
      <w:r>
        <w:rPr>
          <w:rFonts w:ascii="Arial" w:cs="Arial" w:eastAsia="Arial" w:hAnsi="Arial"/>
          <w:sz w:val="19"/>
          <w:szCs w:val="19"/>
          <w:color w:val="auto"/>
        </w:rPr>
        <w:t>” shall mean any fiscal month of Holdings.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Quarter</w:t>
      </w:r>
      <w:r>
        <w:rPr>
          <w:rFonts w:ascii="Arial" w:cs="Arial" w:eastAsia="Arial" w:hAnsi="Arial"/>
          <w:sz w:val="19"/>
          <w:szCs w:val="19"/>
          <w:color w:val="auto"/>
        </w:rPr>
        <w:t>” shall mean any fiscal quarter of Holdings.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shall mean any fiscal year of Holdings.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shall mean a rate of interest equal to 1.00%.</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shall mean a Lender that is not a U.S. Person.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Date</w:t>
      </w:r>
      <w:r>
        <w:rPr>
          <w:rFonts w:ascii="Arial" w:cs="Arial" w:eastAsia="Arial" w:hAnsi="Arial"/>
          <w:sz w:val="19"/>
          <w:szCs w:val="19"/>
          <w:color w:val="auto"/>
        </w:rPr>
        <w:t>” shall mean January 27, 2022.</w:t>
      </w:r>
    </w:p>
    <w:p>
      <w:pPr>
        <w:spacing w:after="0" w:line="298" w:lineRule="exact"/>
        <w:rPr>
          <w:sz w:val="20"/>
          <w:szCs w:val="20"/>
          <w:color w:val="auto"/>
        </w:rPr>
      </w:pPr>
    </w:p>
    <w:p>
      <w:pPr>
        <w:ind w:right="46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shall mean generally accepted accounting principles in the United States applied on a consistent basis and subject to the terms of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249"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Insurance Regulatory Authority and any supra-national bodies such as the European Union or the European Central Bank).</w:t>
      </w:r>
    </w:p>
    <w:p>
      <w:pPr>
        <w:spacing w:after="0" w:line="20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Gross Earned Premium</w:t>
      </w:r>
      <w:r>
        <w:rPr>
          <w:rFonts w:ascii="Arial" w:cs="Arial" w:eastAsia="Arial" w:hAnsi="Arial"/>
          <w:sz w:val="19"/>
          <w:szCs w:val="19"/>
          <w:color w:val="auto"/>
        </w:rPr>
        <w:t>” shall mean, for any period of measurement, the amount of direct premium on insurance policies of, and premiums that are assumed from the relevant fronting carrier by, the Borrower and its Subsidiaries, in each case, that was earned during such period.</w:t>
      </w:r>
    </w:p>
    <w:p>
      <w:pPr>
        <w:spacing w:after="0" w:line="18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direct or indirect, of the guarantor</w:t>
      </w:r>
    </w:p>
    <w:p>
      <w:pPr>
        <w:spacing w:after="0" w:line="1" w:lineRule="exact"/>
        <w:rPr>
          <w:sz w:val="20"/>
          <w:szCs w:val="20"/>
          <w:color w:val="auto"/>
        </w:rPr>
      </w:pPr>
    </w:p>
    <w:p>
      <w:pPr>
        <w:jc w:val="both"/>
        <w:ind w:firstLine="5"/>
        <w:spacing w:after="0" w:line="219" w:lineRule="auto"/>
        <w:tabs>
          <w:tab w:leader="none" w:pos="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of instruments for deposit or collection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99"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shall mean, collectively, each of the Subsidiary Loan Parties and 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no Insurance Subsidiary nor any Subsidiary of an Insurance Subsidiary shall be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060"/>
          </w:cols>
          <w:pgMar w:left="1380" w:top="1381" w:right="459" w:bottom="1440" w:gutter="0" w:footer="0" w:header="0"/>
        </w:sectPr>
      </w:pPr>
    </w:p>
    <w:bookmarkStart w:id="70" w:name="page71"/>
    <w:bookmarkEnd w:id="70"/>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and Security Agreement</w:t>
      </w:r>
      <w:r>
        <w:rPr>
          <w:rFonts w:ascii="Arial" w:cs="Arial" w:eastAsia="Arial" w:hAnsi="Arial"/>
          <w:sz w:val="19"/>
          <w:szCs w:val="19"/>
          <w:color w:val="auto"/>
        </w:rPr>
        <w:t xml:space="preserve">” shall mean that certain Guaranty and Security Agreement, dated as of the Closing Date and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made by the Loan Parties in favor of the Administrative Agent (for the benefit of the Secured Parties).</w:t>
      </w:r>
    </w:p>
    <w:p>
      <w:pPr>
        <w:spacing w:after="0" w:line="6"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due to their hazardous, toxic or deleterious properties or characteristics.</w:t>
      </w:r>
    </w:p>
    <w:p>
      <w:pPr>
        <w:spacing w:after="0" w:line="193" w:lineRule="exact"/>
        <w:rPr>
          <w:sz w:val="20"/>
          <w:szCs w:val="20"/>
          <w:color w:val="auto"/>
        </w:rPr>
      </w:pPr>
    </w:p>
    <w:p>
      <w:pPr>
        <w:jc w:val="both"/>
        <w:ind w:firstLine="6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Termination Value</w:t>
      </w:r>
      <w:r>
        <w:rPr>
          <w:rFonts w:ascii="Arial" w:cs="Arial" w:eastAsia="Arial" w:hAnsi="Arial"/>
          <w:sz w:val="17"/>
          <w:szCs w:val="17"/>
          <w:color w:val="auto"/>
        </w:rPr>
        <w:t xml:space="preserve">” 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spacing w:after="0" w:line="19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173"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Transaction</w:t>
      </w:r>
      <w:r>
        <w:rPr>
          <w:rFonts w:ascii="Arial" w:cs="Arial" w:eastAsia="Arial" w:hAnsi="Arial"/>
          <w:sz w:val="18"/>
          <w:szCs w:val="18"/>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 For the avoidance of doubt, Hedging Transactions shall not include (i) the issuance, underwriting, placement or selling of insurance by the Loan Parties and their Subsidiaries in the ordinary course of business or (ii) the purchasing by the Loan Parties and their Subsidiaries of risk allocation agreements or reinsurance in the ordinary course of business or otherwise in accordance with customary industry practice.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Historical Financial Statements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w:t>
      </w:r>
      <w:r>
        <w:rPr>
          <w:rFonts w:ascii="Arial" w:cs="Arial" w:eastAsia="Arial" w:hAnsi="Arial"/>
          <w:sz w:val="19"/>
          <w:szCs w:val="19"/>
          <w:color w:val="auto"/>
        </w:rPr>
        <w:t>” shall have the meaning set forth in the introductory paragraph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060"/>
          </w:cols>
          <w:pgMar w:left="1380" w:top="1302" w:right="45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shall mean, without duplication, (i) all obligations of such Person for borrowed money,</w:t>
      </w:r>
    </w:p>
    <w:p>
      <w:pPr>
        <w:jc w:val="both"/>
        <w:ind w:left="20" w:right="120" w:firstLine="6"/>
        <w:spacing w:after="0" w:line="227" w:lineRule="auto"/>
        <w:tabs>
          <w:tab w:leader="none" w:pos="3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all obligations of such Person evidenced by bonds, debentures, notes or other similar instruments, (iii) all obligations of such Person in respect of the deferred purchase price of property (including, for the avoidance of doubt, contingent obligations, earnouts, seller notes and other deferred payment obligations incurred in connection with any acquisition or otherwise) or services (other than trade payables incurred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trade payables overdue by more than one hundred twenty (120) days shall be included in this definition except to the extent that any of such trade payables are being disputed in good faith and by appropriate measures),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w:t>
      </w:r>
      <w:r>
        <w:rPr>
          <w:rFonts w:ascii="Arial" w:cs="Arial" w:eastAsia="Arial" w:hAnsi="Arial"/>
          <w:sz w:val="17"/>
          <w:szCs w:val="17"/>
          <w:u w:val="single" w:color="auto"/>
          <w:color w:val="auto"/>
        </w:rPr>
        <w:t>clauses</w:t>
      </w:r>
    </w:p>
    <w:p>
      <w:pPr>
        <w:spacing w:after="0" w:line="5" w:lineRule="exact"/>
        <w:rPr>
          <w:rFonts w:ascii="Arial" w:cs="Arial" w:eastAsia="Arial" w:hAnsi="Arial"/>
          <w:sz w:val="17"/>
          <w:szCs w:val="17"/>
          <w:color w:val="auto"/>
        </w:rPr>
      </w:pPr>
    </w:p>
    <w:p>
      <w:pPr>
        <w:jc w:val="both"/>
        <w:ind w:left="20" w:right="120" w:firstLine="6"/>
        <w:spacing w:after="0" w:line="231" w:lineRule="auto"/>
        <w:tabs>
          <w:tab w:leader="none" w:pos="252" w:val="left"/>
        </w:tabs>
        <w:numPr>
          <w:ilvl w:val="0"/>
          <w:numId w:val="39"/>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above, (viii) all Indebtedness of a third-party secured by any Lien on property owned by such Person, whether or not such Indebtedness has been assumed by such Person, (ix) all obligations of such Person, contingent or otherwise, to purchase, redeem, retire or otherwise acquire for value any Disqualified Capital Stock of such Person, (x) all Off-Balance Sheet Liabilities and (xi) all net Hedging Obligations. For all purposes hereof, the Indebtedness of any Person shall include the Indebtedness of any partnership or joint venture (other than a joint venture that is itself a corporation or limited liability company or the foreign equivalent thereof) in which such Person is a general partner or a joint venturer, unless such Indebtedness is expressly made non-recourse to such Person. The amount of any net obligation under any Hedging Transaction on any date shall be deemed to be the Hedge Termination Value thereof as of such date. The amount of Indebtedness of any Person for purposes of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that is expressly made nonrecourse or limited-recourse (limited solely to the assets securing such Indebtedness) to such Person shall be deemed to be equal to the lesser of (x) the aggregate unpaid amount of such Indebtedness and (y) the fair market value of the property encumbered thereby as determined by such Person in good faith</w:t>
      </w:r>
      <w:r>
        <w:rPr>
          <w:rFonts w:ascii="Arial" w:cs="Arial" w:eastAsia="Arial" w:hAnsi="Arial"/>
          <w:sz w:val="17"/>
          <w:szCs w:val="17"/>
          <w:b w:val="1"/>
          <w:bCs w:val="1"/>
          <w:color w:val="auto"/>
        </w:rPr>
        <w:t>.</w:t>
      </w:r>
      <w:r>
        <w:rPr>
          <w:rFonts w:ascii="Arial" w:cs="Arial" w:eastAsia="Arial" w:hAnsi="Arial"/>
          <w:sz w:val="17"/>
          <w:szCs w:val="17"/>
          <w:color w:val="auto"/>
        </w:rPr>
        <w:t xml:space="preserve"> For the avoidance of doubt, Indebtedness of a Person shall not include (i) obligations under insurance issued, underwritten, placed or sold by such Person in the ordinary course of business, (ii) obligations under risk allocation agreements, reinsurance agreements, retrocession agreement and stop-loss arrangements purchased in the ordinary course of business or otherwise in accordance with industry practice or (iii) guarantees of risk based capital that are customary in the insurance business.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10.3(b)</w:t>
      </w:r>
      <w:r>
        <w:rPr>
          <w:rFonts w:ascii="Arial" w:cs="Arial" w:eastAsia="Arial" w:hAnsi="Arial"/>
          <w:sz w:val="19"/>
          <w:szCs w:val="19"/>
          <w:color w:val="auto"/>
        </w:rPr>
        <w:t>.</w:t>
      </w:r>
    </w:p>
    <w:p>
      <w:pPr>
        <w:spacing w:after="0" w:line="298" w:lineRule="exact"/>
        <w:rPr>
          <w:sz w:val="20"/>
          <w:szCs w:val="20"/>
          <w:color w:val="auto"/>
        </w:rPr>
      </w:pPr>
    </w:p>
    <w:p>
      <w:pPr>
        <w:jc w:val="both"/>
        <w:ind w:left="20" w:right="200"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xml:space="preserve">” shall mean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Other Taxes.</w:t>
      </w:r>
    </w:p>
    <w:p>
      <w:pPr>
        <w:spacing w:after="0" w:line="284" w:lineRule="exact"/>
        <w:rPr>
          <w:sz w:val="20"/>
          <w:szCs w:val="20"/>
          <w:color w:val="auto"/>
        </w:rPr>
      </w:pPr>
    </w:p>
    <w:p>
      <w:pPr>
        <w:ind w:left="20" w:right="12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Licenses</w:t>
      </w:r>
      <w:r>
        <w:rPr>
          <w:rFonts w:ascii="Arial" w:cs="Arial" w:eastAsia="Arial" w:hAnsi="Arial"/>
          <w:sz w:val="19"/>
          <w:szCs w:val="19"/>
          <w:color w:val="auto"/>
        </w:rPr>
        <w:t>” shall mean any license, permit or authorization required to be obtained from any Insurance Regulatory Authority to transact insurance and reinsurance business.</w:t>
      </w:r>
    </w:p>
    <w:p>
      <w:pPr>
        <w:spacing w:after="0" w:line="17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Regulatory Authority</w:t>
      </w:r>
      <w:r>
        <w:rPr>
          <w:rFonts w:ascii="Arial" w:cs="Arial" w:eastAsia="Arial" w:hAnsi="Arial"/>
          <w:sz w:val="18"/>
          <w:szCs w:val="18"/>
          <w:color w:val="auto"/>
        </w:rPr>
        <w:t>” shall mean, when used with respect to any Insurance Subsidiary, (x) the insurance department or similar administrative authority or agency located in each state or jurisdiction (foreign or domestic) in which such Insurance Subsidiary is domiciled or (y) to the extent asserting or having regulatory jurisdiction over such Insurance Subsidiary, the insurance department, authority or agency in each state or jurisdiction (foreign or domestic) in which such Insurance Subsidiary is licensed, and shall include any Federal or national insurance regulatory department, authority or agency that may be created and that asserts or has regulatory jurisdiction over such Insurance Subsidiary.</w:t>
      </w:r>
    </w:p>
    <w:p>
      <w:pPr>
        <w:spacing w:after="0" w:line="182" w:lineRule="exact"/>
        <w:rPr>
          <w:sz w:val="20"/>
          <w:szCs w:val="20"/>
          <w:color w:val="auto"/>
        </w:rPr>
      </w:pPr>
    </w:p>
    <w:p>
      <w:pPr>
        <w:jc w:val="both"/>
        <w:ind w:left="20" w:right="120"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Subsidiary</w:t>
      </w:r>
      <w:r>
        <w:rPr>
          <w:rFonts w:ascii="Arial" w:cs="Arial" w:eastAsia="Arial" w:hAnsi="Arial"/>
          <w:sz w:val="19"/>
          <w:szCs w:val="19"/>
          <w:color w:val="auto"/>
        </w:rPr>
        <w:t>” shall mean any Subsidiary of the Borrower that is an authorized or admitted insurance carrier (and excluding, for the avoidance of doubt, any insurance agency, rate servicing organization, managing general agent or broker), and has received an Insurance License from an Insurance Regulatory Authority in connection with the foregoing. As of the Closing Date, RIC, RRC and RPC are the only Insurance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200"/>
          </w:cols>
          <w:pgMar w:left="1360" w:top="1376" w:right="339" w:bottom="1440" w:gutter="0" w:footer="0" w:header="0"/>
        </w:sectPr>
      </w:pPr>
    </w:p>
    <w:bookmarkStart w:id="72" w:name="page73"/>
    <w:bookmarkEnd w:id="72"/>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mean all right, title and interest in or relating to intellectual property, whether owned or licensed, arising under any Requirement of Law, including all Copyrights, Patents, software, Trademarks, Internet Domain Names, Trade Secrets, IP Licenses and all IP Ancillary Rights relating to the foregoing.</w:t>
      </w:r>
    </w:p>
    <w:p>
      <w:pPr>
        <w:spacing w:after="0" w:line="191"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shall mean, as to any Borrowing of SOFR Loans, the period commencing on the date of such Loan or Borrowing and ending on the numerically corresponding day in the calendar month that is three (3) months thereafter (in each case, subject to the availability thereof), as specified in the applicable Notice of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initial Interest Period for such SOFR Loans shall commence either (x) on the Funding Date or (y) on the date of conversion from a Base Rate Loan into a SOFR Loan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and each Interest Period occurring thereafter in respect of such SOFR Loan shall commence on the day on which the next preceding Interest Period expires, (ii) if any Interest Period would otherwise end on a day other than a Business Day, such Interest Period shall be extended to the next succeeding Business Day unless such Business Day falls in another calendar month, in which case, such Interest Period shall end on the immediately preceding Business Day, (iii) any Interest Period which begins on the last Business Day of a calendar month or on a day for which there is no numerically corresponding day in the calendar month at the end of such Interest Period shall end on the last Business Day of such calendar month of such Interest Period and (iv) no Interest Period shall extend beyond the Maturity Date.</w:t>
      </w:r>
    </w:p>
    <w:p>
      <w:pPr>
        <w:spacing w:after="0" w:line="19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Internet Domain Names</w:t>
      </w:r>
      <w:r>
        <w:rPr>
          <w:rFonts w:ascii="Arial" w:cs="Arial" w:eastAsia="Arial" w:hAnsi="Arial"/>
          <w:sz w:val="19"/>
          <w:szCs w:val="19"/>
          <w:color w:val="auto"/>
        </w:rPr>
        <w:t>” shall have the meaning ascribed to such defined term in the Guaranty and Security Agreement.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Ancillary Rights</w:t>
      </w:r>
      <w:r>
        <w:rPr>
          <w:rFonts w:ascii="Arial" w:cs="Arial" w:eastAsia="Arial" w:hAnsi="Arial"/>
          <w:sz w:val="18"/>
          <w:szCs w:val="18"/>
          <w:color w:val="auto"/>
        </w:rPr>
        <w:t>” shall mean,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w:t>
      </w:r>
    </w:p>
    <w:p>
      <w:pPr>
        <w:spacing w:after="0" w:line="192"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License</w:t>
      </w:r>
      <w:r>
        <w:rPr>
          <w:rFonts w:ascii="Arial" w:cs="Arial" w:eastAsia="Arial" w:hAnsi="Arial"/>
          <w:sz w:val="19"/>
          <w:szCs w:val="19"/>
          <w:color w:val="auto"/>
        </w:rPr>
        <w:t>” shall mean all written Contractual Obligations (and all related IP Ancillary Rights), granting any license right, title or interest in or relating to any Intellectual Property.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shall mean the United States Internal Revenue Service.</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shall have the meaning set forth in the introductory paragraph hereof.</w:t>
      </w:r>
    </w:p>
    <w:p>
      <w:pPr>
        <w:spacing w:after="0" w:line="298"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 For the avoidance of doubt, “Lien” shall not be deemed to include any IP License.</w:t>
      </w:r>
    </w:p>
    <w:p>
      <w:pPr>
        <w:spacing w:after="0" w:line="179"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w:t>
      </w:r>
      <w:r>
        <w:rPr>
          <w:rFonts w:ascii="Arial" w:cs="Arial" w:eastAsia="Arial" w:hAnsi="Arial"/>
          <w:sz w:val="19"/>
          <w:szCs w:val="19"/>
          <w:color w:val="auto"/>
        </w:rPr>
        <w:t xml:space="preserve">” shall mean, on any date of determination, the aggregate amount of cash and cash equivalents (including any Permitted Investment that is a cash equivalent) owned and held by the Loan Parties, taken as a whole, in each case, on such date of determination;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amounts calculated under this definition shall exclude any amounts that would not be considered “cash” or “cash equivalents” under GAAP or “cash”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060"/>
          </w:cols>
          <w:pgMar w:left="1380" w:top="1302" w:right="459" w:bottom="1440" w:gutter="0" w:footer="0" w:header="0"/>
        </w:sectPr>
      </w:pPr>
    </w:p>
    <w:bookmarkStart w:id="73" w:name="page74"/>
    <w:bookmarkEnd w:id="73"/>
    <w:p>
      <w:pPr>
        <w:jc w:val="both"/>
        <w:spacing w:after="0" w:line="225" w:lineRule="auto"/>
        <w:rPr>
          <w:sz w:val="20"/>
          <w:szCs w:val="20"/>
          <w:color w:val="auto"/>
        </w:rPr>
      </w:pPr>
      <w:r>
        <w:rPr>
          <w:rFonts w:ascii="Arial" w:cs="Arial" w:eastAsia="Arial" w:hAnsi="Arial"/>
          <w:sz w:val="18"/>
          <w:szCs w:val="18"/>
          <w:color w:val="auto"/>
        </w:rPr>
        <w:t xml:space="preserve">equivalents” as recorded on the books of the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amounts included under this definition shall (i) be included only to the extent such amounts are (A) not subject to any Lien (other than Liens (x) arising solely by virtue of any statutory or common law provision relating to banker’s liens, rights of set-off or similar rights so long as such liens and rights are not being enforced or otherwise exercised or (y) in favor of the Administrative Agent) and (B) subject to a perfected Lien and held in a Controlled Account subject to a Control Account Agreement, in each case, in favor of the Administrative Agent and (ii) exclude any amounts held by the Loan Parties in escrow, trust or other fiduciary capacity for or on behalf of a client of Holdings, the Borrower, any Subsidiary of Holdings or any of their respective Affiliates.</w:t>
      </w:r>
    </w:p>
    <w:p>
      <w:pPr>
        <w:spacing w:after="0" w:line="205"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Liquidity Report</w:t>
      </w:r>
      <w:r>
        <w:rPr>
          <w:rFonts w:ascii="Arial" w:cs="Arial" w:eastAsia="Arial" w:hAnsi="Arial"/>
          <w:sz w:val="19"/>
          <w:szCs w:val="19"/>
          <w:color w:val="auto"/>
        </w:rPr>
        <w:t xml:space="preserve">” shall mean a report from a Financial Officer of the Borrower, substantially in the form of, and containing substantially the certifications set forth in, the form attached hereto as </w:t>
      </w:r>
      <w:r>
        <w:rPr>
          <w:rFonts w:ascii="Arial" w:cs="Arial" w:eastAsia="Arial" w:hAnsi="Arial"/>
          <w:sz w:val="19"/>
          <w:szCs w:val="19"/>
          <w:u w:val="single" w:color="auto"/>
          <w:color w:val="auto"/>
        </w:rPr>
        <w:t>Exhibit 5.1(d)</w:t>
      </w:r>
      <w:r>
        <w:rPr>
          <w:rFonts w:ascii="Arial" w:cs="Arial" w:eastAsia="Arial" w:hAnsi="Arial"/>
          <w:sz w:val="19"/>
          <w:szCs w:val="19"/>
          <w:color w:val="auto"/>
        </w:rPr>
        <w:t>.</w:t>
      </w:r>
    </w:p>
    <w:p>
      <w:pPr>
        <w:spacing w:after="0" w:line="249"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shall mean, collectively, this Agreement, the Collateral Documents, the Fee Letters, each Warrant (to the extent that, and for so long as, the parties thereto include a Lender or an Affiliate or Approved Fund of such Lender), the Board Observation Side Letter, the Perfection Certificate, all Notices of Borrowing, all Notices of Conversion, any Market Intercreditor Agreement, any promissory notes issued hereunder, any subordination agreement executed in connection with the Subordinated Debt (if any) or the Pari Lien Debt (if any), and any and all other instruments, agreements, documents and writings executed in connection with any of the foregoing that are designated by the Borrower and the Administrative Agent as a Loan Document.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shall mean Holdings, the Borrower and the Subsidiary Loan Parties.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shall mean the Term Loan.</w:t>
      </w:r>
    </w:p>
    <w:p>
      <w:pPr>
        <w:spacing w:after="0" w:line="298"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Make-Whole Amount</w:t>
      </w:r>
      <w:r>
        <w:rPr>
          <w:rFonts w:ascii="Arial" w:cs="Arial" w:eastAsia="Arial" w:hAnsi="Arial"/>
          <w:sz w:val="19"/>
          <w:szCs w:val="19"/>
          <w:color w:val="auto"/>
        </w:rPr>
        <w:t>” shall mean, with respect to the Term Loans at any applicable prepayment, repayment or payment date (a “</w:t>
      </w:r>
      <w:r>
        <w:rPr>
          <w:rFonts w:ascii="Arial" w:cs="Arial" w:eastAsia="Arial" w:hAnsi="Arial"/>
          <w:sz w:val="19"/>
          <w:szCs w:val="19"/>
          <w:u w:val="single" w:color="auto"/>
          <w:color w:val="auto"/>
        </w:rPr>
        <w:t>Payment Date</w:t>
      </w:r>
      <w:r>
        <w:rPr>
          <w:rFonts w:ascii="Arial" w:cs="Arial" w:eastAsia="Arial" w:hAnsi="Arial"/>
          <w:sz w:val="19"/>
          <w:szCs w:val="19"/>
          <w:color w:val="auto"/>
        </w:rPr>
        <w:t xml:space="preserve">”), an amount (calculated in good faith by the Required Lenders, which calculation shall be conclusive absent manifest error) equal to the present value of all required and remaining scheduled interest payments due on the principal amount of such Term Loan(s) being prepaid, repaid or paid, as applicable, on such Payment Date, through and including the date that is eighteen (18) months following the Funding Date (excluding accrued but unpaid interest up to and including such Payment Date, and assuming that the rate of interest will be equal to the rate of interest in effect on and as of such Payment Date), discounted to the Payment Date on a quarterly basis (assuming a 360-days year and actual days elapsed) at a rate equal to the sum of the Treasury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w:t>
      </w:r>
    </w:p>
    <w:p>
      <w:pPr>
        <w:spacing w:after="0" w:line="258"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Market Intercreditor Agreement</w:t>
      </w:r>
      <w:r>
        <w:rPr>
          <w:rFonts w:ascii="Arial" w:cs="Arial" w:eastAsia="Arial" w:hAnsi="Arial"/>
          <w:sz w:val="19"/>
          <w:szCs w:val="19"/>
          <w:color w:val="auto"/>
        </w:rPr>
        <w:t>” shall mean a customary intercreditor agreement, in form and substance reasonably acceptable to the Administrative Agent and the Required Lenders in their reasonable discretion, which agreement shall provide that the Liens on the Collateral securing such Indebtedness shall rank equal in priority to the Liens on the Collateral securing the Obligations.</w:t>
      </w:r>
    </w:p>
    <w:p>
      <w:pPr>
        <w:spacing w:after="0" w:line="193"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 (i) the business, results of operations, financial condition, assets or liabilities of the Borrower and its Subsidiaries, taken as a whole, (ii) the ability of the Loan Parties, taken as a whole, to perform their obligations under the Loan Documents, (iii) the rights and remedies of the Administrative Agent or the Lenders under any of the Loan Documents, taken as a whole or (iv) the legality, validity or enforceability of any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060"/>
          </w:cols>
          <w:pgMar w:left="1380" w:top="1302" w:right="459" w:bottom="1440" w:gutter="0" w:footer="0" w:header="0"/>
        </w:sectPr>
      </w:pPr>
    </w:p>
    <w:bookmarkStart w:id="74" w:name="page75"/>
    <w:bookmarkEnd w:id="74"/>
    <w:p>
      <w:pPr>
        <w:spacing w:after="0" w:line="167"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Agreements</w:t>
      </w:r>
      <w:r>
        <w:rPr>
          <w:rFonts w:ascii="Arial" w:cs="Arial" w:eastAsia="Arial" w:hAnsi="Arial"/>
          <w:sz w:val="19"/>
          <w:szCs w:val="19"/>
          <w:color w:val="auto"/>
        </w:rPr>
        <w:t>” shall mean (i) all agreements, indentures or notes governing the terms of any Material Indebtedness, (ii) all employment and non-compete agreements with the chief financial officer or the chief executive officer of Holdings and its Subsidiaries, (iii) all leases of Real Estate in locations that constitute the chief executive office of any of Holdings and/or its Subsidiaries or otherwise with rent in excess of $5,000,000 per year and (iv) all other agreements, documents, contracts, indentures and instruments pursuant to which (A) any Loan Party or any of its Subsidiaries are obligated to make payments in any twelve month period of $10,000,000 or more, (B) any Loan Party or any of its Subsidiaries expects to receive revenue in any twelve month period of $10,000,000 or more and (C) a default, breach or termination thereof would reasonably be expected to result in a Material Adverse Effect.</w:t>
      </w:r>
    </w:p>
    <w:p>
      <w:pPr>
        <w:spacing w:after="0" w:line="192"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shall mean any Indebtedness (other than the Obligations) of Holdings, the Borrower or any of their respective Subsidiaries, individually, in an outstanding principal amount exceeding $10,000,000. For purposes of determining the amount of attributed Indebtedness from Hedging Obligations, the “principal amount” of any Hedging Obligations at any time shall be the Net Mark-to-Market Exposure of such Hedging Obligations.</w:t>
      </w:r>
    </w:p>
    <w:p>
      <w:pPr>
        <w:spacing w:after="0" w:line="19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shall mean the earlier to occur of (i) the Stated Maturity Date and (ii) the date on which the principal amount of all outstanding Term Loans have been declared or automatically have become due and payable (whether by acceleration or otherwise).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10.12</w:t>
      </w:r>
      <w:r>
        <w:rPr>
          <w:rFonts w:ascii="Arial" w:cs="Arial" w:eastAsia="Arial" w:hAnsi="Arial"/>
          <w:sz w:val="19"/>
          <w:szCs w:val="19"/>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Liquidity Step-Down Date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shall mean Moody’s Investors Service, Inc.</w:t>
      </w:r>
    </w:p>
    <w:p>
      <w:pPr>
        <w:spacing w:after="0" w:line="298"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shall mean, collectively, the Real Estate subject to the Mortgages, including, but not limited to, any Real Estate for which a Mortgage is required to be delivered after the date hereof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52"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shall mean, collectively, each mortgage, deed of trust, trust deed, security deed, debenture over real estate, deed of immovable hypothec, deed over real estate to secure debt or other real estate security documents delivered by any Loan Party to the Administrative Agent from time to time, all in form and substance reasonably satisfactory to the Administrative Agent, as the same may be amended, restated, amended and restated, extended, supplemented, substituted or otherwise modified from time to time.</w:t>
      </w:r>
    </w:p>
    <w:p>
      <w:pPr>
        <w:spacing w:after="0" w:line="19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any “multiemployer plan” as defined in Section 4001(a)(3) of ERISA, which is or was, during the preceding five (5) calendar years, contributed to or required to be contributed to by Holdings, the Borrower, any of their respective Subsidiaries or an ERISA Affiliate.</w:t>
      </w:r>
    </w:p>
    <w:p>
      <w:pPr>
        <w:spacing w:after="0" w:line="209"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Line Quota Share Reinsurance Contract</w:t>
      </w:r>
      <w:r>
        <w:rPr>
          <w:rFonts w:ascii="Arial" w:cs="Arial" w:eastAsia="Arial" w:hAnsi="Arial"/>
          <w:sz w:val="19"/>
          <w:szCs w:val="19"/>
          <w:color w:val="auto"/>
        </w:rPr>
        <w:t>” shall mean that certain Multiple Line Quota Share Reinsurance Contract, effective as of January 1, 2021 (as amended, restated, amended and restated, supplemented or otherwise modified from time to time), by and between RIC and RRC.</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NAIC</w:t>
      </w:r>
      <w:r>
        <w:rPr>
          <w:rFonts w:ascii="Arial" w:cs="Arial" w:eastAsia="Arial" w:hAnsi="Arial"/>
          <w:sz w:val="19"/>
          <w:szCs w:val="19"/>
          <w:color w:val="auto"/>
        </w:rPr>
        <w:t>” shall mean the National Association of Insurance Commissioners.</w:t>
      </w:r>
    </w:p>
    <w:p>
      <w:pPr>
        <w:spacing w:after="0" w:line="298"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shall mean, as applicable: (a) with respect to any asset sale, disposition, casualty, condemnation or similar event, the gross proceeds received by Holdings or any of its Subsidiaries therefrom consisting of (x) cash, (y) cash equivalents and (z) any cash or cash equivalent payments received by way of a deferred payment pursuant to, or by monetization of, a note receivable or otherwise, 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060"/>
          </w:cols>
          <w:pgMar w:left="1380" w:top="1440" w:right="459" w:bottom="1440" w:gutter="0" w:footer="0" w:header="0"/>
        </w:sectPr>
      </w:pPr>
    </w:p>
    <w:bookmarkStart w:id="75" w:name="page76"/>
    <w:bookmarkEnd w:id="75"/>
    <w:p>
      <w:pPr>
        <w:spacing w:after="0" w:line="167"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when received, but excluding any interest and royalty payments,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the sum of: (i) all income taxes and other taxes assessed by, or reasonably estimated to be payable to, a Governmental Authority as a result of such transaction or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estimated taxes exceed the amount of actual taxes required to be paid in cash in respect of such transaction or event, the amount of such excess shall constitute Net Cash Proceeds); (ii) all reasonable and customary out-of-pocket legal and other fees and expenses incurred in connection with such transaction or event (to the extent paid (x) on arm’s length terms to an Affiliate of Holdings other than Holdings and its Subsidiaries or (y) to non-Affiliates); (iii) the principal amount of, premium, if any, and interest on any Indebtedness (other than any Indebtedness arising under the Loan Documents or Indebtedness that is subordinated to the Obligations) that is required to be repaid in connection with such transaction or event and that is secured by Liens on such assets (so long as such Lien was permitted to encumber such assets under the Loan Documents at the time of such sale and was not a pari passu or junior Lien on Collateral); (iv) reasonable reserves retained from such gross proceeds to fund contingent liabilities directly attributable to such asset sale, disposition, casualty, condemnation or similar event and reasonably estimated to be payable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and at the time any such amounts are released from such reserve, such amounts shall constitute Net Cash Proceeds); and (b) with respect to any incurrence of Indebtedness, the gross cash proceeds received by Holdings or any of its Subsidiaries therefrom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all reasonable and customary out-of-pocket legal, underwriting and other fees and expenses incurred in connection therewith (to the extent paid (x) on arm’s length terms to an Affiliate of Holdings other than Holdings and its Subsidiaries or (y) to non-Affiliates).</w:t>
      </w:r>
    </w:p>
    <w:p>
      <w:pPr>
        <w:spacing w:after="0" w:line="288" w:lineRule="exact"/>
        <w:rPr>
          <w:sz w:val="20"/>
          <w:szCs w:val="20"/>
          <w:color w:val="auto"/>
        </w:rPr>
      </w:pPr>
    </w:p>
    <w:p>
      <w:pPr>
        <w:jc w:val="both"/>
        <w:ind w:firstLine="6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Mark-to-Market Exposure</w:t>
      </w:r>
      <w:r>
        <w:rPr>
          <w:rFonts w:ascii="Arial" w:cs="Arial" w:eastAsia="Arial" w:hAnsi="Arial"/>
          <w:sz w:val="17"/>
          <w:szCs w:val="17"/>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2.26</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shall mean, at any time, a Lender that is not a Defaulting Lender.</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Non-Guarantor Subsidiary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7.5(e)</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Holdings, the Borrower or one or more of their respective Subsidiaries primarily for the benefit of employees of Holdings,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2.6(a)</w:t>
      </w:r>
      <w:r>
        <w:rPr>
          <w:rFonts w:ascii="Arial" w:cs="Arial" w:eastAsia="Arial" w:hAnsi="Arial"/>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Conversion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2.14(b)</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shall mean all amounts owing by the Loan Parties to the Administrative Agent or any Lender pursuant to or in connection with this Agreement or any other Loan Document or otherwise with respect to any Loan, including, without limitation, all principal, interest (including any interest accruing after the filing of any petition in bankruptcy or the commencement of any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060"/>
          </w:cols>
          <w:pgMar w:left="1380" w:top="1440" w:right="459" w:bottom="1440" w:gutter="0" w:footer="0" w:header="0"/>
        </w:sectPr>
      </w:pPr>
    </w:p>
    <w:bookmarkStart w:id="76" w:name="page77"/>
    <w:bookmarkEnd w:id="76"/>
    <w:p>
      <w:pPr>
        <w:spacing w:after="0" w:line="167"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Administrative Agent and any Lender incurred pursuant to this Agreement or any other Loan Document), whether direct or indirect, absolute or contingent, liquidated or unliquidated, now existing or hereafter arising hereunder or thereunder.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Observer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5.17</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shall mean the U.S. Department of the Treasury’s Office of Foreign Assets Control.</w:t>
      </w:r>
    </w:p>
    <w:p>
      <w:pPr>
        <w:spacing w:after="0" w:line="285"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Off-Balance Sheet Liabilities</w:t>
      </w:r>
      <w:r>
        <w:rPr>
          <w:rFonts w:ascii="Arial" w:cs="Arial" w:eastAsia="Arial" w:hAnsi="Arial"/>
          <w:sz w:val="19"/>
          <w:szCs w:val="19"/>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92"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OSHA</w:t>
      </w:r>
      <w:r>
        <w:rPr>
          <w:rFonts w:ascii="Arial" w:cs="Arial" w:eastAsia="Arial" w:hAnsi="Arial"/>
          <w:sz w:val="19"/>
          <w:szCs w:val="19"/>
          <w:color w:val="auto"/>
        </w:rPr>
        <w:t>” shall mean the Occupational Safety and Health Act of 1970, as amended and in effect from time to time, and any successor statute thereto.</w:t>
      </w:r>
    </w:p>
    <w:p>
      <w:pPr>
        <w:spacing w:after="0" w:line="191"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8" w:lineRule="exact"/>
        <w:rPr>
          <w:sz w:val="20"/>
          <w:szCs w:val="20"/>
          <w:color w:val="auto"/>
        </w:rPr>
      </w:pPr>
    </w:p>
    <w:p>
      <w:pPr>
        <w:jc w:val="both"/>
        <w:ind w:firstLine="636"/>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any and all present or future stamp, court or documentary, intangible, recording, filing or similar Taxes that arise from any payment made hereunder or under any other Loan Document or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2.26</w:t>
      </w:r>
      <w:r>
        <w:rPr>
          <w:rFonts w:ascii="Arial" w:cs="Arial" w:eastAsia="Arial" w:hAnsi="Arial"/>
          <w:sz w:val="19"/>
          <w:szCs w:val="19"/>
          <w:color w:val="auto"/>
        </w:rPr>
        <w:t>) or a sale of a participation in all or a portion of any Recipient’s rights and/or obligations under this Agreement.</w:t>
      </w:r>
    </w:p>
    <w:p>
      <w:pPr>
        <w:spacing w:after="0" w:line="20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Company</w:t>
      </w:r>
      <w:r>
        <w:rPr>
          <w:rFonts w:ascii="Arial" w:cs="Arial" w:eastAsia="Arial" w:hAnsi="Arial"/>
          <w:sz w:val="19"/>
          <w:szCs w:val="19"/>
          <w:color w:val="auto"/>
        </w:rPr>
        <w:t>” shall mean, with respect to any Lender, the “bank holding company” (as defined in Regulation Y), if any, of such Lender, and/or any Person owning, beneficially or of record, directly or indirectly, a majority of the shares of such Lender.</w:t>
      </w:r>
    </w:p>
    <w:p>
      <w:pPr>
        <w:spacing w:after="0" w:line="183"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Pari Lien Debt</w:t>
      </w:r>
      <w:r>
        <w:rPr>
          <w:rFonts w:ascii="Arial" w:cs="Arial" w:eastAsia="Arial" w:hAnsi="Arial"/>
          <w:sz w:val="19"/>
          <w:szCs w:val="19"/>
          <w:color w:val="auto"/>
        </w:rPr>
        <w:t xml:space="preserve">” shall mean any Indebtedness of the Loan Parties that is expressly permitted pursuant to </w:t>
      </w:r>
      <w:r>
        <w:rPr>
          <w:rFonts w:ascii="Arial" w:cs="Arial" w:eastAsia="Arial" w:hAnsi="Arial"/>
          <w:sz w:val="19"/>
          <w:szCs w:val="19"/>
          <w:u w:val="single" w:color="auto"/>
          <w:color w:val="auto"/>
        </w:rPr>
        <w:t>Section 7.1(f)</w:t>
      </w:r>
      <w:r>
        <w:rPr>
          <w:rFonts w:ascii="Arial" w:cs="Arial" w:eastAsia="Arial" w:hAnsi="Arial"/>
          <w:sz w:val="19"/>
          <w:szCs w:val="19"/>
          <w:color w:val="auto"/>
        </w:rPr>
        <w:t xml:space="preserve"> and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right of security with the Obligations.</w:t>
      </w:r>
    </w:p>
    <w:p>
      <w:pPr>
        <w:spacing w:after="0" w:line="27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Pari Lien Debt Documents</w:t>
      </w:r>
      <w:r>
        <w:rPr>
          <w:rFonts w:ascii="Arial" w:cs="Arial" w:eastAsia="Arial" w:hAnsi="Arial"/>
          <w:sz w:val="19"/>
          <w:szCs w:val="19"/>
          <w:color w:val="auto"/>
        </w:rPr>
        <w:t>” shall mean the indentures, loan agreements, notes, guaranties, collateral documents, subordination agreements, intercreditor agreements (including any Market Intercreditor Agreement) and other related documents and/or agreements governing or evidencing the Pari Lien Debt.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10.4(d)</w:t>
      </w:r>
      <w:r>
        <w:rPr>
          <w:rFonts w:ascii="Arial" w:cs="Arial" w:eastAsia="Arial" w:hAnsi="Arial"/>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10.4(d)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0060"/>
          </w:cols>
          <w:pgMar w:left="1380" w:top="1440" w:right="459" w:bottom="1440" w:gutter="0" w:footer="0" w:header="0"/>
        </w:sectPr>
      </w:pPr>
    </w:p>
    <w:bookmarkStart w:id="77" w:name="page78"/>
    <w:bookmarkEnd w:id="77"/>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w:t>
      </w:r>
      <w:r>
        <w:rPr>
          <w:rFonts w:ascii="Arial" w:cs="Arial" w:eastAsia="Arial" w:hAnsi="Arial"/>
          <w:sz w:val="19"/>
          <w:szCs w:val="19"/>
          <w:color w:val="auto"/>
        </w:rPr>
        <w:t>” shall have the meaning assigned to such term in the Guaranty and Security Agreement.</w:t>
      </w:r>
    </w:p>
    <w:p>
      <w:pPr>
        <w:spacing w:after="0" w:line="298" w:lineRule="exact"/>
        <w:rPr>
          <w:sz w:val="20"/>
          <w:szCs w:val="20"/>
          <w:color w:val="auto"/>
        </w:rPr>
      </w:pPr>
    </w:p>
    <w:p>
      <w:pPr>
        <w:jc w:val="both"/>
        <w:ind w:right="100"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Security Agreement</w:t>
      </w:r>
      <w:r>
        <w:rPr>
          <w:rFonts w:ascii="Arial" w:cs="Arial" w:eastAsia="Arial" w:hAnsi="Arial"/>
          <w:sz w:val="19"/>
          <w:szCs w:val="19"/>
          <w:color w:val="auto"/>
        </w:rPr>
        <w:t>” shall mean any Patent Security Agreement, substantially in the form of Annex II attached to the Guaranty and Security Agreement, executed by a Loan Party owning Patents or licenses of Patents in favor of the Administrative Agent (for the benefit of the Secured Parties), both on the Closing Date and thereafter.</w:t>
      </w:r>
    </w:p>
    <w:p>
      <w:pPr>
        <w:spacing w:after="0" w:line="196" w:lineRule="exact"/>
        <w:rPr>
          <w:sz w:val="20"/>
          <w:szCs w:val="20"/>
          <w:color w:val="auto"/>
        </w:rPr>
      </w:pPr>
    </w:p>
    <w:p>
      <w:pPr>
        <w:jc w:val="both"/>
        <w:ind w:right="10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Patriot Act</w:t>
      </w:r>
      <w:r>
        <w:rPr>
          <w:rFonts w:ascii="Arial" w:cs="Arial" w:eastAsia="Arial" w:hAnsi="Arial"/>
          <w:sz w:val="19"/>
          <w:szCs w:val="19"/>
          <w:i w:val="1"/>
          <w:iCs w:val="1"/>
          <w:color w:val="auto"/>
        </w:rPr>
        <w:t>”</w:t>
      </w:r>
      <w:r>
        <w:rPr>
          <w:rFonts w:ascii="Arial" w:cs="Arial" w:eastAsia="Arial" w:hAnsi="Arial"/>
          <w:sz w:val="19"/>
          <w:szCs w:val="19"/>
          <w:color w:val="auto"/>
        </w:rPr>
        <w:t xml:space="preserve"> shall mean the Uniting and Strengthening America by Providing Appropriate Tools Required to Intercept and Obstruct Terrorism Act of 2001, Pub. L. 107-56, as amended and in effect from time to time.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Date</w:t>
      </w:r>
      <w:r>
        <w:rPr>
          <w:rFonts w:ascii="Arial" w:cs="Arial" w:eastAsia="Arial" w:hAnsi="Arial"/>
          <w:sz w:val="19"/>
          <w:szCs w:val="19"/>
          <w:color w:val="auto"/>
        </w:rPr>
        <w:t>” shall have the meaning assigned to such term in the definition of “Make-Whole Amount”.</w:t>
      </w:r>
    </w:p>
    <w:p>
      <w:pPr>
        <w:spacing w:after="0" w:line="245" w:lineRule="exact"/>
        <w:rPr>
          <w:sz w:val="20"/>
          <w:szCs w:val="20"/>
          <w:color w:val="auto"/>
        </w:rPr>
      </w:pPr>
    </w:p>
    <w:p>
      <w:pPr>
        <w:jc w:val="both"/>
        <w:ind w:right="100"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Office</w:t>
      </w:r>
      <w:r>
        <w:rPr>
          <w:rFonts w:ascii="Arial" w:cs="Arial" w:eastAsia="Arial" w:hAnsi="Arial"/>
          <w:sz w:val="19"/>
          <w:szCs w:val="19"/>
          <w:color w:val="auto"/>
        </w:rPr>
        <w:t>” shall mean the office of the Administrative Agent located at 950 17th Street, Suite 1400, Denver, CO 80202, or such other location as to which the Administrative Agent shall have given written notice to the Borrower and the Lenders.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 Recipient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9.14(a)</w:t>
      </w:r>
      <w:r>
        <w:rPr>
          <w:rFonts w:ascii="Arial" w:cs="Arial" w:eastAsia="Arial" w:hAnsi="Arial"/>
          <w:sz w:val="19"/>
          <w:szCs w:val="19"/>
          <w:color w:val="auto"/>
        </w:rPr>
        <w:t>.</w:t>
      </w:r>
    </w:p>
    <w:p>
      <w:pPr>
        <w:spacing w:after="0" w:line="285" w:lineRule="exact"/>
        <w:rPr>
          <w:sz w:val="20"/>
          <w:szCs w:val="20"/>
          <w:color w:val="auto"/>
        </w:rPr>
      </w:pPr>
    </w:p>
    <w:p>
      <w:pPr>
        <w:jc w:val="both"/>
        <w:ind w:right="10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shall mean the U.S. Pension Benefit Guaranty Corporation referred to and defined in ERISA, and any successor entity performing similar functions.</w:t>
      </w:r>
    </w:p>
    <w:p>
      <w:pPr>
        <w:spacing w:after="0" w:line="191"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shall mean that certain Perfection Certificate, dated as of the Closing Date, executed by each Loan Party in favor of the Administrative Agent and the Lenders.</w:t>
      </w:r>
    </w:p>
    <w:p>
      <w:pPr>
        <w:spacing w:after="0" w:line="2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Periodic Term SOFR Determination Day</w:t>
      </w:r>
      <w:r>
        <w:rPr>
          <w:rFonts w:ascii="Arial" w:cs="Arial" w:eastAsia="Arial" w:hAnsi="Arial"/>
          <w:sz w:val="19"/>
          <w:szCs w:val="19"/>
          <w:color w:val="auto"/>
        </w:rPr>
        <w:t>” has the meaning specified in the definition of “Term SOFR”.</w:t>
      </w:r>
    </w:p>
    <w:p>
      <w:pPr>
        <w:spacing w:after="0" w:line="285" w:lineRule="exact"/>
        <w:rPr>
          <w:sz w:val="20"/>
          <w:szCs w:val="20"/>
          <w:color w:val="auto"/>
        </w:rPr>
      </w:pPr>
    </w:p>
    <w:p>
      <w:pPr>
        <w:jc w:val="both"/>
        <w:ind w:right="100" w:firstLine="636"/>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Convertible Indebtedness</w:t>
      </w:r>
      <w:r>
        <w:rPr>
          <w:rFonts w:ascii="Arial" w:cs="Arial" w:eastAsia="Arial" w:hAnsi="Arial"/>
          <w:sz w:val="19"/>
          <w:szCs w:val="19"/>
          <w:color w:val="auto"/>
        </w:rPr>
        <w:t xml:space="preserve">” shall mean Indebtedness of Holdings permitted to be incurred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7.1(r)</w:t>
      </w:r>
      <w:r>
        <w:rPr>
          <w:rFonts w:ascii="Arial" w:cs="Arial" w:eastAsia="Arial" w:hAnsi="Arial"/>
          <w:sz w:val="19"/>
          <w:szCs w:val="19"/>
          <w:color w:val="auto"/>
        </w:rPr>
        <w:t xml:space="preserve"> that is convertible into, or exchangeable for, common stock of Holdings (or other securities or property following a merger event or other change of the common stock of Holdings) and/or cash (in an amount determined by reference to the price of such common stock). For the avoidance of doubt, the amounts outstanding under any Permitted Convertible Indebtedness shall be determined for purposes of the Loan Documents without giving effect to any treatment in respect of convertible debt instruments under Accounting Standards Codification Subtopics 470-20 or 815-40 (or any other Accounting Standards Codification or Financial Accounting Standard having a similar result or effect) to value any such Permitted Convertible Indebtedness in a reduced or bifurcated manner as described therein, and such Permitted Convertible Indebtedness shall at all times be valued at the full stated principal amount thereof.</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shall mean:</w:t>
      </w:r>
    </w:p>
    <w:p>
      <w:pPr>
        <w:spacing w:after="0" w:line="298" w:lineRule="exact"/>
        <w:rPr>
          <w:sz w:val="20"/>
          <w:szCs w:val="20"/>
          <w:color w:val="auto"/>
        </w:rPr>
      </w:pPr>
    </w:p>
    <w:p>
      <w:pPr>
        <w:jc w:val="both"/>
        <w:ind w:right="100" w:firstLine="1277"/>
        <w:spacing w:after="0" w:line="238" w:lineRule="auto"/>
        <w:tabs>
          <w:tab w:leader="none" w:pos="14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Liens imposed by law for taxes, assessments and other charges and levies imposed by any Governmental Authority, in each case, which are not yet due or which are being contested in good faith by appropriate proceedings diligently conducted and with respect to which adequate reserves are being maintained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160"/>
          </w:cols>
          <w:pgMar w:left="1380" w:top="1440" w:right="359" w:bottom="1440" w:gutter="0" w:footer="0" w:header="0"/>
        </w:sectPr>
      </w:pPr>
    </w:p>
    <w:bookmarkStart w:id="78" w:name="page79"/>
    <w:bookmarkEnd w:id="78"/>
    <w:p>
      <w:pPr>
        <w:jc w:val="both"/>
        <w:ind w:left="20" w:right="120" w:firstLine="1277"/>
        <w:spacing w:after="0" w:line="232" w:lineRule="auto"/>
        <w:tabs>
          <w:tab w:leader="none" w:pos="21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statutory Liens of landlords, vendors, carriers, warehousemen, mechanics, materialmen, processors, suppliers, landlords, repairmen and other Liens imposed by law in the ordinary course of business for amounts not more than forty-five (45) days past due or which are being contested in good faith by appropriate proceedings diligently conducted and with respect to which adequate reserves are being maintained in accordance with GAAP;</w:t>
      </w:r>
    </w:p>
    <w:p>
      <w:pPr>
        <w:spacing w:after="0" w:line="206" w:lineRule="exact"/>
        <w:rPr>
          <w:rFonts w:ascii="Arial" w:cs="Arial" w:eastAsia="Arial" w:hAnsi="Arial"/>
          <w:sz w:val="18"/>
          <w:szCs w:val="18"/>
          <w:color w:val="auto"/>
        </w:rPr>
      </w:pPr>
    </w:p>
    <w:p>
      <w:pPr>
        <w:ind w:left="20" w:right="120" w:firstLine="1278"/>
        <w:spacing w:after="0" w:line="278" w:lineRule="auto"/>
        <w:tabs>
          <w:tab w:leader="none" w:pos="21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Liens, pledges and deposits made in the ordinary course of business in compliance with workers’ compensation, unemployment insurance, social security and other similar laws or regulations;</w:t>
      </w:r>
    </w:p>
    <w:p>
      <w:pPr>
        <w:spacing w:after="0" w:line="169" w:lineRule="exact"/>
        <w:rPr>
          <w:rFonts w:ascii="Arial" w:cs="Arial" w:eastAsia="Arial" w:hAnsi="Arial"/>
          <w:sz w:val="19"/>
          <w:szCs w:val="19"/>
          <w:color w:val="auto"/>
        </w:rPr>
      </w:pPr>
    </w:p>
    <w:p>
      <w:pPr>
        <w:jc w:val="both"/>
        <w:ind w:left="20" w:right="120" w:firstLine="1278"/>
        <w:spacing w:after="0"/>
        <w:tabs>
          <w:tab w:leader="none" w:pos="212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 Liens, pledges and deposits to secure the performance of bids, government, trade and commercial contracts, leases, statutory obligations, deductibles, co-payment, co-insurance, retentions, premiums, reimbursement obligations or similar obligations to providers of insurance, self- insurance or reinsurance obligations, surety, stay, customs and appeal or similar bonds, performance bonds and other obligations of a like nature (including those to secure health, safety and environmental obligations) and (ii) obligations in respect of letters of credit or bank guarantees that have been posted to support payment of the items set forth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(iv)</w:t>
      </w:r>
      <w:r>
        <w:rPr>
          <w:rFonts w:ascii="Arial" w:cs="Arial" w:eastAsia="Arial" w:hAnsi="Arial"/>
          <w:sz w:val="17"/>
          <w:szCs w:val="17"/>
          <w:color w:val="auto"/>
        </w:rPr>
        <w:t>, in each case, in the ordinary course of business;</w:t>
      </w:r>
    </w:p>
    <w:p>
      <w:pPr>
        <w:spacing w:after="0" w:line="192"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19"/>
          <w:szCs w:val="19"/>
          <w:color w:val="auto"/>
        </w:rPr>
        <w:t>(v)(x) judgment and attachment liens not giving rise to an Event of Default and (y)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78" w:lineRule="exact"/>
        <w:rPr>
          <w:sz w:val="20"/>
          <w:szCs w:val="20"/>
          <w:color w:val="auto"/>
        </w:rPr>
      </w:pPr>
    </w:p>
    <w:p>
      <w:pPr>
        <w:jc w:val="both"/>
        <w:ind w:left="20" w:right="120" w:firstLine="1277"/>
        <w:spacing w:after="0" w:line="248" w:lineRule="auto"/>
        <w:tabs>
          <w:tab w:leader="none" w:pos="2129" w:val="left"/>
        </w:tabs>
        <w:numPr>
          <w:ilvl w:val="1"/>
          <w:numId w:val="42"/>
        </w:numPr>
        <w:rPr>
          <w:rFonts w:ascii="Arial" w:cs="Arial" w:eastAsia="Arial" w:hAnsi="Arial"/>
          <w:sz w:val="17"/>
          <w:szCs w:val="17"/>
          <w:color w:val="auto"/>
        </w:rPr>
      </w:pPr>
      <w:r>
        <w:rPr>
          <w:rFonts w:ascii="Arial" w:cs="Arial" w:eastAsia="Arial" w:hAnsi="Arial"/>
          <w:sz w:val="17"/>
          <w:szCs w:val="17"/>
          <w:color w:val="auto"/>
        </w:rPr>
        <w:t>customary bankers’ liens (and other similar liens) or rights of set-off, revocation, refund or chargeback on deposit accounts or securities accounts, and under deposit agreements or under the Uniform Commercial Code or common law of banks or other financial institutions where Holdings or any of its Subsidiaries maintains deposits (other than deposits intended as cash collateral) in the ordinary course of business and/or to secure any cash management obligations;</w:t>
      </w:r>
    </w:p>
    <w:p>
      <w:pPr>
        <w:spacing w:after="0" w:line="172" w:lineRule="exact"/>
        <w:rPr>
          <w:rFonts w:ascii="Arial" w:cs="Arial" w:eastAsia="Arial" w:hAnsi="Arial"/>
          <w:sz w:val="17"/>
          <w:szCs w:val="17"/>
          <w:color w:val="auto"/>
        </w:rPr>
      </w:pPr>
    </w:p>
    <w:p>
      <w:pPr>
        <w:jc w:val="both"/>
        <w:ind w:left="20" w:right="120" w:firstLine="1277"/>
        <w:spacing w:after="0" w:line="225" w:lineRule="auto"/>
        <w:tabs>
          <w:tab w:leader="none" w:pos="21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(x) easements, zoning restrictions, building codes, rights-of-way, reservations, covenants, rights and restrictions of record and similar encumbrances on real property imposed by law or arising in the ordinary course of business that do not secure any monetary obligation and do not materially detract from the value of the affected property or materially interfere with the ordinary conduct of business of Holdings and its Subsidiaries taken as a whole, (y) with respect to any leasehold interest, mortgages, obligations, Liens and other encumbrances incurred, created, assumed or permitted to exist and arising by, through or under a landlord, ground lessor or owner of the leased property or owned property and (z) with respect to any Mortgaged Property, all matters shown on the title report for such Real Estate;</w:t>
      </w:r>
    </w:p>
    <w:p>
      <w:pPr>
        <w:spacing w:after="0" w:line="271" w:lineRule="exact"/>
        <w:rPr>
          <w:rFonts w:ascii="Arial" w:cs="Arial" w:eastAsia="Arial" w:hAnsi="Arial"/>
          <w:sz w:val="18"/>
          <w:szCs w:val="18"/>
          <w:color w:val="auto"/>
        </w:rPr>
      </w:pPr>
    </w:p>
    <w:p>
      <w:pPr>
        <w:ind w:left="2140" w:hanging="869"/>
        <w:spacing w:after="0"/>
        <w:tabs>
          <w:tab w:leader="none" w:pos="21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Liens solely on cash earnest money deposits made by Holdings or any of its Subsidiaries;</w:t>
      </w:r>
    </w:p>
    <w:p>
      <w:pPr>
        <w:spacing w:after="0" w:line="298" w:lineRule="exact"/>
        <w:rPr>
          <w:rFonts w:ascii="Arial" w:cs="Arial" w:eastAsia="Arial" w:hAnsi="Arial"/>
          <w:sz w:val="19"/>
          <w:szCs w:val="19"/>
          <w:color w:val="auto"/>
        </w:rPr>
      </w:pPr>
    </w:p>
    <w:p>
      <w:pPr>
        <w:ind w:left="20" w:right="120" w:firstLine="1277"/>
        <w:spacing w:after="0" w:line="237" w:lineRule="auto"/>
        <w:tabs>
          <w:tab w:leader="none" w:pos="2129" w:val="left"/>
        </w:tabs>
        <w:numPr>
          <w:ilvl w:val="1"/>
          <w:numId w:val="43"/>
        </w:numPr>
        <w:rPr>
          <w:rFonts w:ascii="Arial" w:cs="Arial" w:eastAsia="Arial" w:hAnsi="Arial"/>
          <w:sz w:val="19"/>
          <w:szCs w:val="19"/>
          <w:color w:val="auto"/>
        </w:rPr>
      </w:pPr>
      <w:r>
        <w:rPr>
          <w:rFonts w:ascii="Arial" w:cs="Arial" w:eastAsia="Arial" w:hAnsi="Arial"/>
          <w:sz w:val="19"/>
          <w:szCs w:val="19"/>
          <w:color w:val="auto"/>
        </w:rPr>
        <w:t>restrictions on transfers of assets that are subject to sale or transfer pursuant to any purchase and sale agreements that are permitted under this Agreement;</w:t>
      </w:r>
    </w:p>
    <w:p>
      <w:pPr>
        <w:spacing w:after="0" w:line="191" w:lineRule="exact"/>
        <w:rPr>
          <w:rFonts w:ascii="Arial" w:cs="Arial" w:eastAsia="Arial" w:hAnsi="Arial"/>
          <w:sz w:val="19"/>
          <w:szCs w:val="19"/>
          <w:color w:val="auto"/>
        </w:rPr>
      </w:pPr>
    </w:p>
    <w:p>
      <w:pPr>
        <w:ind w:left="20" w:right="120" w:firstLine="1277"/>
        <w:spacing w:after="0" w:line="278" w:lineRule="auto"/>
        <w:tabs>
          <w:tab w:leader="none" w:pos="21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 the case of any joint ventures permitted hereunder, put/call arrangements or restrictions on dispositions related to its Capital Stock set forth in the applicable organizational documents or joint venture agreement;</w:t>
      </w:r>
    </w:p>
    <w:p>
      <w:pPr>
        <w:spacing w:after="0" w:line="169" w:lineRule="exact"/>
        <w:rPr>
          <w:rFonts w:ascii="Arial" w:cs="Arial" w:eastAsia="Arial" w:hAnsi="Arial"/>
          <w:sz w:val="19"/>
          <w:szCs w:val="19"/>
          <w:color w:val="auto"/>
        </w:rPr>
      </w:pPr>
    </w:p>
    <w:p>
      <w:pPr>
        <w:jc w:val="both"/>
        <w:ind w:left="20" w:right="120" w:firstLine="1277"/>
        <w:spacing w:after="0" w:line="220" w:lineRule="auto"/>
        <w:tabs>
          <w:tab w:leader="none" w:pos="2129"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Liens on insurance policies under which Holdings and its Subsidiaries are the insured parties (excluding, for the avoidance of doubt, any excess of loss, catastrophic or other similar insurance or reinsurance policies that are applicable to the line of business of Holdings and its Subsidiaries) and proceeds and premiums thereof or related thereto securing Indebtedness permitted under </w:t>
      </w:r>
      <w:r>
        <w:rPr>
          <w:rFonts w:ascii="Arial" w:cs="Arial" w:eastAsia="Arial" w:hAnsi="Arial"/>
          <w:sz w:val="19"/>
          <w:szCs w:val="19"/>
          <w:u w:val="single" w:color="auto"/>
          <w:color w:val="auto"/>
        </w:rPr>
        <w:t>Section 7.1(n)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200"/>
          </w:cols>
          <w:pgMar w:left="1360" w:top="1302" w:right="339" w:bottom="1440" w:gutter="0" w:footer="0" w:header="0"/>
        </w:sectPr>
      </w:pPr>
    </w:p>
    <w:bookmarkStart w:id="79" w:name="page80"/>
    <w:bookmarkEnd w:id="79"/>
    <w:p>
      <w:pPr>
        <w:spacing w:after="0" w:line="180" w:lineRule="exact"/>
        <w:rPr>
          <w:sz w:val="20"/>
          <w:szCs w:val="20"/>
          <w:color w:val="auto"/>
        </w:rPr>
      </w:pPr>
    </w:p>
    <w:p>
      <w:pPr>
        <w:ind w:firstLine="1277"/>
        <w:spacing w:after="0" w:line="307" w:lineRule="auto"/>
        <w:tabs>
          <w:tab w:leader="none" w:pos="21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assets of any Insurance Subsidiary arising under agreements or arrangements established with respect to insurance policies underwritten by any Insurance Subsidiary in the ordinary course of business;</w:t>
      </w:r>
    </w:p>
    <w:p>
      <w:pPr>
        <w:spacing w:after="0" w:line="159" w:lineRule="exact"/>
        <w:rPr>
          <w:rFonts w:ascii="Arial" w:cs="Arial" w:eastAsia="Arial" w:hAnsi="Arial"/>
          <w:sz w:val="18"/>
          <w:szCs w:val="18"/>
          <w:color w:val="auto"/>
        </w:rPr>
      </w:pPr>
    </w:p>
    <w:p>
      <w:pPr>
        <w:jc w:val="both"/>
        <w:ind w:firstLine="1277"/>
        <w:spacing w:after="0" w:line="259" w:lineRule="auto"/>
        <w:tabs>
          <w:tab w:leader="none" w:pos="21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business, and leases, subleases, licenses or sublicenses of personal property (other than Intellectual Property) granted in the ordinary course of business to the extent that such leases or subleases do not materially interfere with the business of Holdings or its Subsidiaries;</w:t>
      </w:r>
    </w:p>
    <w:p>
      <w:pPr>
        <w:spacing w:after="0" w:line="162" w:lineRule="exact"/>
        <w:rPr>
          <w:rFonts w:ascii="Arial" w:cs="Arial" w:eastAsia="Arial" w:hAnsi="Arial"/>
          <w:sz w:val="17"/>
          <w:szCs w:val="17"/>
          <w:color w:val="auto"/>
        </w:rPr>
      </w:pPr>
    </w:p>
    <w:p>
      <w:pPr>
        <w:jc w:val="both"/>
        <w:ind w:firstLine="1277"/>
        <w:spacing w:after="0" w:line="220" w:lineRule="auto"/>
        <w:tabs>
          <w:tab w:leader="none" w:pos="2113" w:val="left"/>
        </w:tabs>
        <w:numPr>
          <w:ilvl w:val="0"/>
          <w:numId w:val="44"/>
        </w:numPr>
        <w:rPr>
          <w:rFonts w:ascii="Arial" w:cs="Arial" w:eastAsia="Arial" w:hAnsi="Arial"/>
          <w:sz w:val="19"/>
          <w:szCs w:val="19"/>
          <w:color w:val="auto"/>
        </w:rPr>
      </w:pPr>
      <w:r>
        <w:rPr>
          <w:rFonts w:ascii="Arial" w:cs="Arial" w:eastAsia="Arial" w:hAnsi="Arial"/>
          <w:sz w:val="19"/>
          <w:szCs w:val="19"/>
          <w:color w:val="auto"/>
        </w:rPr>
        <w:t>licenses and sub-licenses of Intellectual Property in the ordinary course of business consistent with past practice, including, without limitation, any licenses that could not result in legal transfer of title that may be exclusive in respects other than territory and that may be exclusive as to territory only as to discreet geographical areas outside of the U.S.; and</w:t>
      </w:r>
    </w:p>
    <w:p>
      <w:pPr>
        <w:spacing w:after="0" w:line="205" w:lineRule="exact"/>
        <w:rPr>
          <w:rFonts w:ascii="Arial" w:cs="Arial" w:eastAsia="Arial" w:hAnsi="Arial"/>
          <w:sz w:val="19"/>
          <w:szCs w:val="19"/>
          <w:color w:val="auto"/>
        </w:rPr>
      </w:pPr>
    </w:p>
    <w:p>
      <w:pPr>
        <w:ind w:firstLine="1277"/>
        <w:spacing w:after="0" w:line="278" w:lineRule="auto"/>
        <w:tabs>
          <w:tab w:leader="none" w:pos="2112" w:val="left"/>
        </w:tabs>
        <w:numPr>
          <w:ilvl w:val="0"/>
          <w:numId w:val="44"/>
        </w:numPr>
        <w:rPr>
          <w:rFonts w:ascii="Arial" w:cs="Arial" w:eastAsia="Arial" w:hAnsi="Arial"/>
          <w:sz w:val="19"/>
          <w:szCs w:val="19"/>
          <w:color w:val="auto"/>
        </w:rPr>
      </w:pPr>
      <w:r>
        <w:rPr>
          <w:rFonts w:ascii="Arial" w:cs="Arial" w:eastAsia="Arial" w:hAnsi="Arial"/>
          <w:sz w:val="19"/>
          <w:szCs w:val="19"/>
          <w:color w:val="auto"/>
        </w:rPr>
        <w:t>pledges, deposits and guarantees made by any Insurance Subsidiary in order to comply with applicable Requirements of Law or as required by any Insurance Regulatory Authority;</w:t>
      </w:r>
    </w:p>
    <w:p>
      <w:pPr>
        <w:spacing w:after="0" w:line="182" w:lineRule="exact"/>
        <w:rPr>
          <w:rFonts w:ascii="Arial" w:cs="Arial" w:eastAsia="Arial" w:hAnsi="Arial"/>
          <w:sz w:val="19"/>
          <w:szCs w:val="19"/>
          <w:color w:val="auto"/>
        </w:rPr>
      </w:pPr>
    </w:p>
    <w:p>
      <w:pPr>
        <w:ind w:left="2120" w:hanging="843"/>
        <w:spacing w:after="0"/>
        <w:tabs>
          <w:tab w:leader="none" w:pos="21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Liens resulting from the filing of precautionary UCC-1 financing statements (or equivalent) with</w:t>
      </w:r>
    </w:p>
    <w:p>
      <w:pPr>
        <w:spacing w:after="0" w:line="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respect to leases;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“Permitted Encumbrances” shall not include any Lien securing Indebtedness.</w:t>
      </w:r>
    </w:p>
    <w:p>
      <w:pPr>
        <w:spacing w:after="0" w:line="29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shall mean all Persons that hold Capital Stock of Holdings as of the Closing Date as set forth on Schedule II attached hereto and, in each case, their Affiliates, immediate family members, lineal descendants, heirs, estates and trusts for the benefit thereof.</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Investments</w:t>
      </w:r>
      <w:r>
        <w:rPr>
          <w:rFonts w:ascii="Arial" w:cs="Arial" w:eastAsia="Arial" w:hAnsi="Arial"/>
          <w:sz w:val="19"/>
          <w:szCs w:val="19"/>
          <w:color w:val="auto"/>
        </w:rPr>
        <w:t>” shall mean:</w:t>
      </w:r>
    </w:p>
    <w:p>
      <w:pPr>
        <w:spacing w:after="0" w:line="285" w:lineRule="exact"/>
        <w:rPr>
          <w:sz w:val="20"/>
          <w:szCs w:val="20"/>
          <w:color w:val="auto"/>
        </w:rPr>
      </w:pPr>
    </w:p>
    <w:p>
      <w:pPr>
        <w:jc w:val="both"/>
        <w:ind w:left="-20" w:firstLine="1271"/>
        <w:spacing w:after="0" w:line="238" w:lineRule="auto"/>
        <w:tabs>
          <w:tab w:leader="none" w:pos="14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investments in cash, or direct obligations of, or obligations the principal of and interest on which are unconditionally guaranteed by, the United States (or by any agency thereof to the extent such obligations are backed by the full faith and credit of the United States), in each case, maturing within one (1) year from the date of acquisition thereof;</w:t>
      </w:r>
    </w:p>
    <w:p>
      <w:pPr>
        <w:spacing w:after="0" w:line="192" w:lineRule="exact"/>
        <w:rPr>
          <w:rFonts w:ascii="Arial" w:cs="Arial" w:eastAsia="Arial" w:hAnsi="Arial"/>
          <w:sz w:val="18"/>
          <w:szCs w:val="18"/>
          <w:color w:val="auto"/>
        </w:rPr>
      </w:pPr>
    </w:p>
    <w:p>
      <w:pPr>
        <w:jc w:val="both"/>
        <w:ind w:firstLine="1277"/>
        <w:spacing w:after="0" w:line="220" w:lineRule="auto"/>
        <w:tabs>
          <w:tab w:leader="none" w:pos="2119" w:val="left"/>
        </w:tabs>
        <w:numPr>
          <w:ilvl w:val="2"/>
          <w:numId w:val="45"/>
        </w:numPr>
        <w:rPr>
          <w:rFonts w:ascii="Arial" w:cs="Arial" w:eastAsia="Arial" w:hAnsi="Arial"/>
          <w:sz w:val="19"/>
          <w:szCs w:val="19"/>
          <w:color w:val="auto"/>
        </w:rPr>
      </w:pPr>
      <w:r>
        <w:rPr>
          <w:rFonts w:ascii="Arial" w:cs="Arial" w:eastAsia="Arial" w:hAnsi="Arial"/>
          <w:sz w:val="19"/>
          <w:szCs w:val="19"/>
          <w:color w:val="auto"/>
        </w:rPr>
        <w:t>marketable direct obligations issued by any state, commonwealth or territory of the United States or any political subdivision of any such state, commonwealth or territory, as applicable, maturing within one (1) year from the date of acquisition thereof and having, at the time of the acquisition thereof, one of the two highest ratings obtainable from either S&amp;P or Moody’s;</w:t>
      </w:r>
    </w:p>
    <w:p>
      <w:pPr>
        <w:spacing w:after="0" w:line="205" w:lineRule="exact"/>
        <w:rPr>
          <w:rFonts w:ascii="Arial" w:cs="Arial" w:eastAsia="Arial" w:hAnsi="Arial"/>
          <w:sz w:val="19"/>
          <w:szCs w:val="19"/>
          <w:color w:val="auto"/>
        </w:rPr>
      </w:pPr>
    </w:p>
    <w:p>
      <w:pPr>
        <w:ind w:right="20" w:firstLine="1277"/>
        <w:spacing w:after="0" w:line="278" w:lineRule="auto"/>
        <w:tabs>
          <w:tab w:leader="none" w:pos="2120" w:val="left"/>
        </w:tabs>
        <w:numPr>
          <w:ilvl w:val="2"/>
          <w:numId w:val="45"/>
        </w:numPr>
        <w:rPr>
          <w:rFonts w:ascii="Arial" w:cs="Arial" w:eastAsia="Arial" w:hAnsi="Arial"/>
          <w:sz w:val="19"/>
          <w:szCs w:val="19"/>
          <w:color w:val="auto"/>
        </w:rPr>
      </w:pPr>
      <w:r>
        <w:rPr>
          <w:rFonts w:ascii="Arial" w:cs="Arial" w:eastAsia="Arial" w:hAnsi="Arial"/>
          <w:sz w:val="19"/>
          <w:szCs w:val="19"/>
          <w:color w:val="auto"/>
        </w:rPr>
        <w:t>commercial paper having the highest rating, at the time of acquisition thereof, of S&amp;P or Moody’s and, in either case, maturing within one (1) year from the date of acquisition thereof;</w:t>
      </w:r>
    </w:p>
    <w:p>
      <w:pPr>
        <w:spacing w:after="0" w:line="164" w:lineRule="exact"/>
        <w:rPr>
          <w:rFonts w:ascii="Arial" w:cs="Arial" w:eastAsia="Arial" w:hAnsi="Arial"/>
          <w:sz w:val="19"/>
          <w:szCs w:val="19"/>
          <w:color w:val="auto"/>
        </w:rPr>
      </w:pPr>
    </w:p>
    <w:p>
      <w:pPr>
        <w:ind w:left="2120" w:hanging="843"/>
        <w:spacing w:after="0"/>
        <w:tabs>
          <w:tab w:leader="none" w:pos="21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certificates of deposit, bankers’ acceptances and time deposits maturing within one hundred eighty</w:t>
      </w:r>
    </w:p>
    <w:p>
      <w:pPr>
        <w:jc w:val="both"/>
        <w:ind w:firstLine="5"/>
        <w:spacing w:after="0" w:line="249" w:lineRule="auto"/>
        <w:tabs>
          <w:tab w:leader="none" w:pos="478" w:val="left"/>
        </w:tabs>
        <w:numPr>
          <w:ilvl w:val="0"/>
          <w:numId w:val="46"/>
        </w:numPr>
        <w:rPr>
          <w:rFonts w:ascii="Arial" w:cs="Arial" w:eastAsia="Arial" w:hAnsi="Arial"/>
          <w:sz w:val="17"/>
          <w:szCs w:val="17"/>
          <w:color w:val="auto"/>
        </w:rPr>
      </w:pPr>
      <w:r>
        <w:rPr>
          <w:rFonts w:ascii="Arial" w:cs="Arial" w:eastAsia="Arial" w:hAnsi="Arial"/>
          <w:sz w:val="17"/>
          <w:szCs w:val="17"/>
          <w:color w:val="auto"/>
        </w:rPr>
        <w:t>days of the date of acquisition thereof issued or guaranteed by or placed with, and money market deposit accounts issued or offered by, (x) any Lender or (y) any domestic office of any other commercial bank organized under the laws of the United States or any state thereof which has a combined capital and surplus and undivided profits of not less than $500,000,000;</w:t>
      </w:r>
    </w:p>
    <w:p>
      <w:pPr>
        <w:spacing w:after="0" w:line="170" w:lineRule="exact"/>
        <w:rPr>
          <w:rFonts w:ascii="Arial" w:cs="Arial" w:eastAsia="Arial" w:hAnsi="Arial"/>
          <w:sz w:val="17"/>
          <w:szCs w:val="17"/>
          <w:color w:val="auto"/>
        </w:rPr>
      </w:pPr>
    </w:p>
    <w:p>
      <w:pPr>
        <w:ind w:firstLine="1277"/>
        <w:spacing w:after="0" w:line="291" w:lineRule="auto"/>
        <w:tabs>
          <w:tab w:leader="none" w:pos="2108" w:val="left"/>
        </w:tabs>
        <w:numPr>
          <w:ilvl w:val="2"/>
          <w:numId w:val="46"/>
        </w:numPr>
        <w:rPr>
          <w:rFonts w:ascii="Arial" w:cs="Arial" w:eastAsia="Arial" w:hAnsi="Arial"/>
          <w:sz w:val="17"/>
          <w:szCs w:val="17"/>
          <w:color w:val="auto"/>
        </w:rPr>
      </w:pPr>
      <w:r>
        <w:rPr>
          <w:rFonts w:ascii="Arial" w:cs="Arial" w:eastAsia="Arial" w:hAnsi="Arial"/>
          <w:sz w:val="17"/>
          <w:szCs w:val="17"/>
          <w:color w:val="auto"/>
        </w:rPr>
        <w:t xml:space="preserve">fully collateralized repurchase agreements with a term of not more than thirty (30) days for securities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and entered into with a financial institution satisfying the criteria described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060"/>
          </w:cols>
          <w:pgMar w:left="1380" w:top="1440" w:right="459" w:bottom="1440" w:gutter="0" w:footer="0" w:header="0"/>
        </w:sectPr>
      </w:pPr>
    </w:p>
    <w:bookmarkStart w:id="80" w:name="page81"/>
    <w:bookmarkEnd w:id="80"/>
    <w:p>
      <w:pPr>
        <w:spacing w:after="0" w:line="180" w:lineRule="exact"/>
        <w:rPr>
          <w:sz w:val="20"/>
          <w:szCs w:val="20"/>
          <w:color w:val="auto"/>
        </w:rPr>
      </w:pPr>
    </w:p>
    <w:p>
      <w:pPr>
        <w:jc w:val="both"/>
        <w:ind w:firstLine="1277"/>
        <w:spacing w:after="0" w:line="263" w:lineRule="auto"/>
        <w:tabs>
          <w:tab w:leader="none" w:pos="21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Investments of any of RIC, RRC or RPC, as applicable, in each case, in the ordinary course of business, and consistent with the investment policy approved by the Board of Directors of Holdings, the Borrower or their respective Subsidiaries, as applicable;</w:t>
      </w:r>
    </w:p>
    <w:p>
      <w:pPr>
        <w:spacing w:after="0" w:line="209" w:lineRule="exact"/>
        <w:rPr>
          <w:rFonts w:ascii="Arial" w:cs="Arial" w:eastAsia="Arial" w:hAnsi="Arial"/>
          <w:sz w:val="19"/>
          <w:szCs w:val="19"/>
          <w:color w:val="auto"/>
        </w:rPr>
      </w:pPr>
    </w:p>
    <w:p>
      <w:pPr>
        <w:ind w:right="20" w:firstLine="1277"/>
        <w:spacing w:after="0" w:line="278" w:lineRule="auto"/>
        <w:tabs>
          <w:tab w:leader="none" w:pos="2110"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mutual funds investing at least 95% of their assets in any one or more of the Permitted Investments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(v) above;</w:t>
      </w:r>
    </w:p>
    <w:p>
      <w:pPr>
        <w:spacing w:after="0" w:line="232" w:lineRule="exact"/>
        <w:rPr>
          <w:rFonts w:ascii="Arial" w:cs="Arial" w:eastAsia="Arial" w:hAnsi="Arial"/>
          <w:sz w:val="19"/>
          <w:szCs w:val="19"/>
          <w:color w:val="auto"/>
        </w:rPr>
      </w:pPr>
    </w:p>
    <w:p>
      <w:pPr>
        <w:ind w:left="2120" w:hanging="843"/>
        <w:spacing w:after="0"/>
        <w:tabs>
          <w:tab w:leader="none" w:pos="21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advances made in connection with the purchase of goods or services in the ordinary course of</w:t>
      </w:r>
    </w:p>
    <w:p>
      <w:pPr>
        <w:spacing w:after="0"/>
        <w:rPr>
          <w:rFonts w:ascii="Arial" w:cs="Arial" w:eastAsia="Arial" w:hAnsi="Arial"/>
          <w:sz w:val="19"/>
          <w:szCs w:val="19"/>
          <w:color w:val="auto"/>
        </w:rPr>
      </w:pPr>
      <w:r>
        <w:rPr>
          <w:rFonts w:ascii="Arial" w:cs="Arial" w:eastAsia="Arial" w:hAnsi="Arial"/>
          <w:sz w:val="19"/>
          <w:szCs w:val="19"/>
          <w:color w:val="auto"/>
        </w:rPr>
        <w:t>business;</w:t>
      </w:r>
    </w:p>
    <w:p>
      <w:pPr>
        <w:spacing w:after="0" w:line="202" w:lineRule="exact"/>
        <w:rPr>
          <w:rFonts w:ascii="Arial" w:cs="Arial" w:eastAsia="Arial" w:hAnsi="Arial"/>
          <w:sz w:val="19"/>
          <w:szCs w:val="19"/>
          <w:color w:val="auto"/>
        </w:rPr>
      </w:pPr>
    </w:p>
    <w:p>
      <w:pPr>
        <w:ind w:firstLine="1277"/>
        <w:spacing w:after="0" w:line="278" w:lineRule="auto"/>
        <w:tabs>
          <w:tab w:leader="none" w:pos="21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deposits of cash made in the ordinary course of business to secure the performance of (x) operating leases and (y) other contractual obligations that do not constitute Indebtedness for borrowed money;</w:t>
      </w:r>
    </w:p>
    <w:p>
      <w:pPr>
        <w:spacing w:after="0" w:line="182" w:lineRule="exact"/>
        <w:rPr>
          <w:rFonts w:ascii="Arial" w:cs="Arial" w:eastAsia="Arial" w:hAnsi="Arial"/>
          <w:sz w:val="19"/>
          <w:szCs w:val="19"/>
          <w:color w:val="auto"/>
        </w:rPr>
      </w:pPr>
    </w:p>
    <w:p>
      <w:pPr>
        <w:ind w:firstLine="1277"/>
        <w:spacing w:after="0" w:line="237" w:lineRule="auto"/>
        <w:tabs>
          <w:tab w:leader="none" w:pos="2108" w:val="left"/>
        </w:tabs>
        <w:numPr>
          <w:ilvl w:val="0"/>
          <w:numId w:val="47"/>
        </w:numPr>
        <w:rPr>
          <w:rFonts w:ascii="Arial" w:cs="Arial" w:eastAsia="Arial" w:hAnsi="Arial"/>
          <w:sz w:val="19"/>
          <w:szCs w:val="19"/>
          <w:color w:val="auto"/>
        </w:rPr>
      </w:pPr>
      <w:r>
        <w:rPr>
          <w:rFonts w:ascii="Arial" w:cs="Arial" w:eastAsia="Arial" w:hAnsi="Arial"/>
          <w:sz w:val="19"/>
          <w:szCs w:val="19"/>
          <w:color w:val="auto"/>
        </w:rPr>
        <w:t>equity investments which are required by law to maintain net capital requirements or as may be otherwise required by applicable law;</w:t>
      </w:r>
    </w:p>
    <w:p>
      <w:pPr>
        <w:spacing w:after="0" w:line="177" w:lineRule="exact"/>
        <w:rPr>
          <w:rFonts w:ascii="Arial" w:cs="Arial" w:eastAsia="Arial" w:hAnsi="Arial"/>
          <w:sz w:val="19"/>
          <w:szCs w:val="19"/>
          <w:color w:val="auto"/>
        </w:rPr>
      </w:pPr>
    </w:p>
    <w:p>
      <w:pPr>
        <w:ind w:right="20" w:firstLine="1277"/>
        <w:spacing w:after="0" w:line="237" w:lineRule="auto"/>
        <w:tabs>
          <w:tab w:leader="none" w:pos="2109" w:val="left"/>
        </w:tabs>
        <w:numPr>
          <w:ilvl w:val="0"/>
          <w:numId w:val="47"/>
        </w:numPr>
        <w:rPr>
          <w:rFonts w:ascii="Arial" w:cs="Arial" w:eastAsia="Arial" w:hAnsi="Arial"/>
          <w:sz w:val="19"/>
          <w:szCs w:val="19"/>
          <w:color w:val="auto"/>
        </w:rPr>
      </w:pPr>
      <w:r>
        <w:rPr>
          <w:rFonts w:ascii="Arial" w:cs="Arial" w:eastAsia="Arial" w:hAnsi="Arial"/>
          <w:sz w:val="19"/>
          <w:szCs w:val="19"/>
          <w:color w:val="auto"/>
        </w:rPr>
        <w:t>purchases and other acquisitions of inventory, materials, equipment, intangible property and other assets in the ordinary course of business;</w:t>
      </w:r>
    </w:p>
    <w:p>
      <w:pPr>
        <w:spacing w:after="0" w:line="191" w:lineRule="exact"/>
        <w:rPr>
          <w:rFonts w:ascii="Arial" w:cs="Arial" w:eastAsia="Arial" w:hAnsi="Arial"/>
          <w:sz w:val="19"/>
          <w:szCs w:val="19"/>
          <w:color w:val="auto"/>
        </w:rPr>
      </w:pPr>
    </w:p>
    <w:p>
      <w:pPr>
        <w:jc w:val="both"/>
        <w:ind w:firstLine="1277"/>
        <w:spacing w:after="0" w:line="226" w:lineRule="auto"/>
        <w:tabs>
          <w:tab w:leader="none" w:pos="2110" w:val="left"/>
        </w:tabs>
        <w:numPr>
          <w:ilvl w:val="0"/>
          <w:numId w:val="47"/>
        </w:numPr>
        <w:rPr>
          <w:rFonts w:ascii="Arial" w:cs="Arial" w:eastAsia="Arial" w:hAnsi="Arial"/>
          <w:sz w:val="19"/>
          <w:szCs w:val="19"/>
          <w:color w:val="auto"/>
        </w:rPr>
      </w:pPr>
      <w:r>
        <w:rPr>
          <w:rFonts w:ascii="Arial" w:cs="Arial" w:eastAsia="Arial" w:hAnsi="Arial"/>
          <w:sz w:val="19"/>
          <w:szCs w:val="19"/>
          <w:color w:val="auto"/>
        </w:rPr>
        <w:t>(x) leases and subleases of real or personal property and (y) licenses and sublicenses of any patents, trademarks, copyrights, trade secrets, know-how, confidential and proprietary information and other intellectual property rights and other personal property in the ordinary course of business; and</w:t>
      </w:r>
    </w:p>
    <w:p>
      <w:pPr>
        <w:spacing w:after="0" w:line="191" w:lineRule="exact"/>
        <w:rPr>
          <w:rFonts w:ascii="Arial" w:cs="Arial" w:eastAsia="Arial" w:hAnsi="Arial"/>
          <w:sz w:val="19"/>
          <w:szCs w:val="19"/>
          <w:color w:val="auto"/>
        </w:rPr>
      </w:pPr>
    </w:p>
    <w:p>
      <w:pPr>
        <w:ind w:right="20" w:firstLine="1277"/>
        <w:spacing w:after="0" w:line="278" w:lineRule="auto"/>
        <w:tabs>
          <w:tab w:leader="none" w:pos="2111" w:val="left"/>
        </w:tabs>
        <w:numPr>
          <w:ilvl w:val="0"/>
          <w:numId w:val="47"/>
        </w:numPr>
        <w:rPr>
          <w:rFonts w:ascii="Arial" w:cs="Arial" w:eastAsia="Arial" w:hAnsi="Arial"/>
          <w:sz w:val="19"/>
          <w:szCs w:val="19"/>
          <w:color w:val="auto"/>
        </w:rPr>
      </w:pPr>
      <w:r>
        <w:rPr>
          <w:rFonts w:ascii="Arial" w:cs="Arial" w:eastAsia="Arial" w:hAnsi="Arial"/>
          <w:sz w:val="19"/>
          <w:szCs w:val="19"/>
          <w:color w:val="auto"/>
        </w:rPr>
        <w:t>payroll, commission, travel and other similar cash advances made to directors (or similar Persons), officers or employees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-2657475</wp:posOffset>
            </wp:positionV>
            <wp:extent cx="1746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Prior Liens</w:t>
      </w:r>
      <w:r>
        <w:rPr>
          <w:rFonts w:ascii="Arial" w:cs="Arial" w:eastAsia="Arial" w:hAnsi="Arial"/>
          <w:sz w:val="19"/>
          <w:szCs w:val="19"/>
          <w:color w:val="auto"/>
        </w:rPr>
        <w:t xml:space="preserve">” shall mean (a) with respect to any Capital Stock of any Subsidiary of Holdings,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which are prior as a matter of law and (b) with respect to any other property or assets, any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271"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shall mean, with respect to any Person, any modification, refinancing, refunding, renewal or extension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the unpaid accrued interest and premium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reasonable amounts paid, and customary fees, expenses, original issue discount and upfront fees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to the extent such Indebtedness being modified, refinanced, refunded, renewed or extended is subordinated in right of payment to the Obligations, such modification, refinancing, refunding, renewal or extension is subordinated in right of payment to the Obligations on terms, taken as a whole, at least as favorable to the Lenders as those contained in the documentation governing the Indebtedness being modified, refinanced, refunded, renewed or extended; (d) to the extent any Liens securing such Indebtedness being modified, refinanced, refunded, renewed or extended are subordinated to any Liens securing the Obligations, the Liens securing such modification, refinancing, refunding, renewal or extension are subordinated to the Liens securing the Obligations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060"/>
          </w:cols>
          <w:pgMar w:left="1380" w:top="1440" w:right="459" w:bottom="1440" w:gutter="0" w:footer="0" w:header="0"/>
        </w:sectPr>
      </w:pPr>
    </w:p>
    <w:bookmarkStart w:id="81" w:name="page82"/>
    <w:bookmarkEnd w:id="81"/>
    <w:p>
      <w:pPr>
        <w:spacing w:after="0" w:line="16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terms, taken as a whole, at least as favorable to the Lenders as those contained in the documentation governing the Indebtedness being modified, refinanced, refunded, renewed or extended; (e) if any Indebtedness being modified, refinanced, refunded, renewed or extended is unsecured, such modified, refinanced, refunded, renewed or extended Indebtedness shall also be unsecured, (f) the only obligors in respect of such Indebtedness being modified, refinanced, refunded, renewed or extended are the original obligors thereon and any other Person required to be or become an obligor thereon under the then-terms of the Indebtedness being so modified, refinanced, refunded, renewed or extended to become an obligor in respect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Party may guarantee any Permitted Refinancing incurred by any other Loan Party to the extent permitted by </w:t>
      </w:r>
      <w:r>
        <w:rPr>
          <w:rFonts w:ascii="Arial" w:cs="Arial" w:eastAsia="Arial" w:hAnsi="Arial"/>
          <w:sz w:val="17"/>
          <w:szCs w:val="17"/>
          <w:u w:val="single" w:color="auto"/>
          <w:color w:val="auto"/>
        </w:rPr>
        <w:t>Section 7.1(e)</w:t>
      </w:r>
      <w:r>
        <w:rPr>
          <w:rFonts w:ascii="Arial" w:cs="Arial" w:eastAsia="Arial" w:hAnsi="Arial"/>
          <w:sz w:val="17"/>
          <w:szCs w:val="17"/>
          <w:color w:val="auto"/>
        </w:rPr>
        <w:t>); (g) the terms and conditions of any such modification, refinancing, refunding, renewal or extension, taken as a whole, are not materially less favorable to the Lenders than the terms and conditions of the Indebtedness being modified, refinanced, refunded, renewed or extended; and (h) in the case of any modification, refinancing, refunding, renewal or extension of any Pari Lien Debt Document, the terms and conditions of such modification, refinancing, refunding, renewal or extension are subject to, and in compliance with, the requirements set forth in the applicable Market Intercreditor Agreement.</w:t>
      </w:r>
    </w:p>
    <w:p>
      <w:pPr>
        <w:spacing w:after="0" w:line="191"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Reinsurance Activities</w:t>
      </w:r>
      <w:r>
        <w:rPr>
          <w:rFonts w:ascii="Arial" w:cs="Arial" w:eastAsia="Arial" w:hAnsi="Arial"/>
          <w:sz w:val="17"/>
          <w:szCs w:val="17"/>
          <w:color w:val="auto"/>
        </w:rPr>
        <w:t>” shall mean any agreement, contract, treaty, certificate or other arrangement by which any Insurance Subsidiary agrees to cede to, or assume from, another insurer all or part of the liability assumed or assets held by it under one or more insurance, annuity, reinsurance or retrocession policies, agreements, contracts, treaties, certificates or similar arrangements, including, without limitation, any aggregate stop loss insurance arrangements or certain other related activities that, in the business judgment of the Borrower, are undertaken to create a capital-light insurance enterprise.</w:t>
      </w:r>
    </w:p>
    <w:p>
      <w:pPr>
        <w:spacing w:after="0" w:line="17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Third Party Bank</w:t>
      </w:r>
      <w:r>
        <w:rPr>
          <w:rFonts w:ascii="Arial" w:cs="Arial" w:eastAsia="Arial" w:hAnsi="Arial"/>
          <w:sz w:val="19"/>
          <w:szCs w:val="19"/>
          <w:color w:val="auto"/>
        </w:rPr>
        <w:t>” shall mean any bank or other financial institution with whom any Loan Party maintains a Controlled Account and with whom a Control Account Agreement has been executed.</w:t>
      </w:r>
    </w:p>
    <w:p>
      <w:pPr>
        <w:spacing w:after="0" w:line="191"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natural person, corporation, limited liability company, trust, joint venture, association, company, partnership, Governmental Authority or other entity.</w:t>
      </w:r>
    </w:p>
    <w:p>
      <w:pPr>
        <w:spacing w:after="0" w:line="17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PIK Debt</w:t>
      </w:r>
      <w:r>
        <w:rPr>
          <w:rFonts w:ascii="Arial" w:cs="Arial" w:eastAsia="Arial" w:hAnsi="Arial"/>
          <w:sz w:val="19"/>
          <w:szCs w:val="19"/>
          <w:color w:val="auto"/>
        </w:rPr>
        <w:t>” shall mean, collectively, any Indebtedness, the interest of which is not permitted to be paid in cash but instead must be paid in kind by capitalizing such interest and adding it to the principal balance of such Indebtedness and such interest added to the principal balance of such Indebtedness.</w:t>
      </w:r>
    </w:p>
    <w:p>
      <w:pPr>
        <w:spacing w:after="0" w:line="19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mean any “employee benefit plan” (as defined in Section 3(3) of ERISA) (other than a Multiemployer Plan) subject to Title IV of ERISA that is or was, during the preceding five (5) calendar years, maintained or contributed to or required to be contributed to by Holdings, the Borrower or any ERISA Affiliate.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shall mean Debt Domain, Intralinks, Syndtrak or a substantially similar electronic transmission system.</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shall have the meaning set forth in the Carvana Agreements.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Premium</w:t>
      </w:r>
      <w:r>
        <w:rPr>
          <w:rFonts w:ascii="Arial" w:cs="Arial" w:eastAsia="Arial" w:hAnsi="Arial"/>
          <w:sz w:val="19"/>
          <w:szCs w:val="19"/>
          <w:color w:val="auto"/>
        </w:rPr>
        <w:t>” shall mean an amount equal to:</w:t>
      </w:r>
    </w:p>
    <w:p>
      <w:pPr>
        <w:spacing w:after="0" w:line="280" w:lineRule="exact"/>
        <w:rPr>
          <w:sz w:val="20"/>
          <w:szCs w:val="20"/>
          <w:color w:val="auto"/>
        </w:rPr>
      </w:pPr>
    </w:p>
    <w:p>
      <w:pPr>
        <w:ind w:left="1480" w:hanging="203"/>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during the period of time from and after the Funding Date up to (but not including) the date that is eighteen</w:t>
      </w:r>
    </w:p>
    <w:p>
      <w:pPr>
        <w:ind w:firstLine="5"/>
        <w:spacing w:after="0" w:line="228" w:lineRule="auto"/>
        <w:tabs>
          <w:tab w:leader="none" w:pos="383" w:val="left"/>
        </w:tabs>
        <w:numPr>
          <w:ilvl w:val="0"/>
          <w:numId w:val="49"/>
        </w:numPr>
        <w:rPr>
          <w:rFonts w:ascii="Arial" w:cs="Arial" w:eastAsia="Arial" w:hAnsi="Arial"/>
          <w:sz w:val="19"/>
          <w:szCs w:val="19"/>
          <w:color w:val="auto"/>
        </w:rPr>
      </w:pPr>
      <w:r>
        <w:rPr>
          <w:rFonts w:ascii="Arial" w:cs="Arial" w:eastAsia="Arial" w:hAnsi="Arial"/>
          <w:sz w:val="19"/>
          <w:szCs w:val="19"/>
          <w:color w:val="auto"/>
        </w:rPr>
        <w:t>months following the Funding Date, the greater of (x) the Make-Whole Amount and (y) 5.00% of the principal amount of the Term Loans prepaid, repaid or paid, as applicable,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0060"/>
          </w:cols>
          <w:pgMar w:left="1380" w:top="1440" w:right="459" w:bottom="1440" w:gutter="0" w:footer="0" w:header="0"/>
        </w:sectPr>
      </w:pPr>
    </w:p>
    <w:bookmarkStart w:id="82" w:name="page83"/>
    <w:bookmarkEnd w:id="82"/>
    <w:p>
      <w:pPr>
        <w:spacing w:after="0" w:line="167" w:lineRule="exact"/>
        <w:rPr>
          <w:sz w:val="20"/>
          <w:szCs w:val="20"/>
          <w:color w:val="auto"/>
        </w:rPr>
      </w:pPr>
    </w:p>
    <w:p>
      <w:pPr>
        <w:jc w:val="both"/>
        <w:ind w:firstLine="1277"/>
        <w:spacing w:after="0" w:line="226" w:lineRule="auto"/>
        <w:tabs>
          <w:tab w:leader="none" w:pos="2119" w:val="left"/>
        </w:tabs>
        <w:numPr>
          <w:ilvl w:val="0"/>
          <w:numId w:val="50"/>
        </w:numPr>
        <w:rPr>
          <w:rFonts w:ascii="Arial" w:cs="Arial" w:eastAsia="Arial" w:hAnsi="Arial"/>
          <w:sz w:val="19"/>
          <w:szCs w:val="19"/>
          <w:color w:val="auto"/>
        </w:rPr>
      </w:pPr>
      <w:r>
        <w:rPr>
          <w:rFonts w:ascii="Arial" w:cs="Arial" w:eastAsia="Arial" w:hAnsi="Arial"/>
          <w:sz w:val="19"/>
          <w:szCs w:val="19"/>
          <w:color w:val="auto"/>
        </w:rPr>
        <w:t>during the period of time from and after the date that is eighteen (18) months following the Funding Date up to (but not including) the date that is thirty (30) months following the Funding Date, 5.00% of the principal amount of the Term Loans prepaid, repaid or paid, as applicable, on such date; and</w:t>
      </w:r>
    </w:p>
    <w:p>
      <w:pPr>
        <w:spacing w:after="0" w:line="191" w:lineRule="exact"/>
        <w:rPr>
          <w:rFonts w:ascii="Arial" w:cs="Arial" w:eastAsia="Arial" w:hAnsi="Arial"/>
          <w:sz w:val="19"/>
          <w:szCs w:val="19"/>
          <w:color w:val="auto"/>
        </w:rPr>
      </w:pPr>
    </w:p>
    <w:p>
      <w:pPr>
        <w:ind w:firstLine="1277"/>
        <w:spacing w:after="0" w:line="237" w:lineRule="auto"/>
        <w:tabs>
          <w:tab w:leader="none" w:pos="2119" w:val="left"/>
        </w:tabs>
        <w:numPr>
          <w:ilvl w:val="0"/>
          <w:numId w:val="50"/>
        </w:numPr>
        <w:rPr>
          <w:rFonts w:ascii="Arial" w:cs="Arial" w:eastAsia="Arial" w:hAnsi="Arial"/>
          <w:sz w:val="19"/>
          <w:szCs w:val="19"/>
          <w:color w:val="auto"/>
        </w:rPr>
      </w:pPr>
      <w:r>
        <w:rPr>
          <w:rFonts w:ascii="Arial" w:cs="Arial" w:eastAsia="Arial" w:hAnsi="Arial"/>
          <w:sz w:val="19"/>
          <w:szCs w:val="19"/>
          <w:color w:val="auto"/>
        </w:rPr>
        <w:t>during the period of time from and after the date that is thirty (30) months following the Funding Date, 0.00% of the principal amount of the Term Loans prepaid, repaid or paid, as applicable, on such date.</w:t>
      </w:r>
    </w:p>
    <w:p>
      <w:pPr>
        <w:spacing w:after="0" w:line="19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rate of interest per annum publicly announced from time to time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Administrative Agent and the Required Lenders in their reasonable discretion) or any similar release by the Federal Reserve Board (as determined by Administrative Agent and the Required Lenders in their reasonable discretion).</w:t>
      </w:r>
    </w:p>
    <w:p>
      <w:pPr>
        <w:spacing w:after="0" w:line="195"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Share</w:t>
      </w:r>
      <w:r>
        <w:rPr>
          <w:rFonts w:ascii="Arial" w:cs="Arial" w:eastAsia="Arial" w:hAnsi="Arial"/>
          <w:sz w:val="19"/>
          <w:szCs w:val="19"/>
          <w:color w:val="auto"/>
        </w:rPr>
        <w:t>” shall mean, with respect to all payments, computations and other matters relating to the Term Loan of any Lender, the percentage obtained by dividing (a) the Term Loan Exposure of that Lender by (b) the aggregate Term Loan Exposure of all Lenders.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10.19</w:t>
      </w:r>
      <w:r>
        <w:rPr>
          <w:rFonts w:ascii="Arial" w:cs="Arial" w:eastAsia="Arial" w:hAnsi="Arial"/>
          <w:sz w:val="19"/>
          <w:szCs w:val="19"/>
          <w:color w:val="auto"/>
        </w:rPr>
        <w:t>.</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shall mean any Capital Stock of such Person that is not Disqualified Capital</w:t>
      </w:r>
    </w:p>
    <w:p>
      <w:pPr>
        <w:spacing w:after="0"/>
        <w:rPr>
          <w:sz w:val="20"/>
          <w:szCs w:val="20"/>
          <w:color w:val="auto"/>
        </w:rPr>
      </w:pPr>
      <w:r>
        <w:rPr>
          <w:rFonts w:ascii="Arial" w:cs="Arial" w:eastAsia="Arial" w:hAnsi="Arial"/>
          <w:sz w:val="19"/>
          <w:szCs w:val="19"/>
          <w:color w:val="auto"/>
        </w:rPr>
        <w:t>Stock.</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Estate</w:t>
      </w:r>
      <w:r>
        <w:rPr>
          <w:rFonts w:ascii="Arial" w:cs="Arial" w:eastAsia="Arial" w:hAnsi="Arial"/>
          <w:sz w:val="19"/>
          <w:szCs w:val="19"/>
          <w:color w:val="auto"/>
        </w:rPr>
        <w:t>” shall mean all real property owned or leased by the Borrower and its Subsidiaries.</w:t>
      </w:r>
    </w:p>
    <w:p>
      <w:pPr>
        <w:spacing w:after="0" w:line="298"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Estate Documents</w:t>
      </w:r>
      <w:r>
        <w:rPr>
          <w:rFonts w:ascii="Arial" w:cs="Arial" w:eastAsia="Arial" w:hAnsi="Arial"/>
          <w:sz w:val="17"/>
          <w:szCs w:val="17"/>
          <w:color w:val="auto"/>
        </w:rPr>
        <w:t>” shall mean, collectively, (i) Mortgages covering all Real Estate owned by the Loan Parties that are required to be granted hereunder, duly executed by each applicable Loan Party, together with (A) title insurance policies, current as-built ALTA/ACSM Land Title surveys certified to the Administrative Agent, in each case, relating to such Real Estate and reasonably satisfactory in form and substance to the Administrative Agent, (B) (x) “Life of Loan” Federal Emergency Management Agency Standard Flood Hazard determinations, (y) notices, in the form required under the Flood Insurance Laws, about special flood hazard area status and flood disaster assistance duly executed by each Loan Party and (z) if any improved real property encumbered by any Mortgage is located in a special flood hazard area, a policy of flood insurance that is on terms reasonably satisfactory to the Administrative Agent, (C) evidence that counterparts of such Mortgages have been recorded in all places to the extent necessary or desirable, in the reasonable judgment of the Administrative Agent, to create a valid and enforceable first priority Lien (subject to Permitted Encumbrances) on such Real Estate in favor of the Administrative Agent (for the benefit of the Secured Parties) (or in favor of such other trustee as may be required or desired under local law), (D) an opinion of counsel in each state in which such Real Estate is located, in form and substance and from counsel reasonably satisfactory to the Administrative Agent, (E) Phase I Environmental Site Assessment Reports, consistent with American Society of Testing and Materials (ASTM) Standard E 1527-13, and applicable state requirements, on all of the owned Real Estate required to be subject to a Mortgage hereunder, dated no more than six (6) months prior to the Closing Date (or the date of the applicable Mortgage if provided post-closing) (or such earlier date as reasonably acceptable to the Administrative Agent), prepared by environmental engineers reasonably satisfactory to the Administrative Agent, all in form and substance reasonably satisfactory to the Administrative Agent, and the Administrative Agent shall be reasonably satisfied with the contents of all such environmental reports and (F) such other reports, documents, instruments and agreements as the Administrative Agent shall reasonably request, each in form and substance reasonably satisfactory to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060"/>
          </w:cols>
          <w:pgMar w:left="1380" w:top="1440" w:right="459" w:bottom="1440" w:gutter="0" w:footer="0" w:header="0"/>
        </w:sectPr>
      </w:pPr>
    </w:p>
    <w:bookmarkStart w:id="83" w:name="page84"/>
    <w:bookmarkEnd w:id="83"/>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w:t>
      </w:r>
      <w:r>
        <w:rPr>
          <w:rFonts w:ascii="Arial" w:cs="Arial" w:eastAsia="Arial" w:hAnsi="Arial"/>
          <w:sz w:val="19"/>
          <w:szCs w:val="19"/>
          <w:color w:val="auto"/>
        </w:rPr>
        <w:t>” shall mean, as applicable, (a) the Administrative Agent and (b) any Lender.</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Redpoint</w:t>
      </w:r>
      <w:r>
        <w:rPr>
          <w:rFonts w:ascii="Arial" w:cs="Arial" w:eastAsia="Arial" w:hAnsi="Arial"/>
          <w:sz w:val="19"/>
          <w:szCs w:val="19"/>
          <w:color w:val="auto"/>
        </w:rPr>
        <w:t>” shall mean Redpoint County Mutual Insurance Company.</w:t>
      </w:r>
    </w:p>
    <w:p>
      <w:pPr>
        <w:spacing w:after="0" w:line="31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Redpoint Automobile Quota Share Reinsurance Contract</w:t>
      </w:r>
      <w:r>
        <w:rPr>
          <w:rFonts w:ascii="Arial" w:cs="Arial" w:eastAsia="Arial" w:hAnsi="Arial"/>
          <w:sz w:val="19"/>
          <w:szCs w:val="19"/>
          <w:color w:val="auto"/>
        </w:rPr>
        <w:t>” shall mean that certain Automobile Quota Share Reinsurance Contract, effective as of August 1, 2021 (as amended, restated, amended and restated, supplemented or otherwise modified from time to time), by and between Redpoint and RRC.</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10.4(c)</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Regulated Subsidiary Equity</w:t>
      </w:r>
      <w:r>
        <w:rPr>
          <w:rFonts w:ascii="Arial" w:cs="Arial" w:eastAsia="Arial" w:hAnsi="Arial"/>
          <w:sz w:val="19"/>
          <w:szCs w:val="19"/>
          <w:color w:val="auto"/>
        </w:rPr>
        <w:t>” shall mean, as of any date of determination, the total equity reflected on the balance sheet of the Insurance Subsidiaries prepared in accordance with GAAP.</w:t>
      </w:r>
    </w:p>
    <w:p>
      <w:pPr>
        <w:spacing w:after="0" w:line="204"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shall mean Regulation D of the Board of Governors of the Federal Reserve System, as the same may be in effect from time to time, and any successor regulations.</w:t>
      </w:r>
    </w:p>
    <w:p>
      <w:pPr>
        <w:spacing w:after="0" w:line="183"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w:t>
      </w:r>
      <w:r>
        <w:rPr>
          <w:rFonts w:ascii="Arial" w:cs="Arial" w:eastAsia="Arial" w:hAnsi="Arial"/>
          <w:sz w:val="19"/>
          <w:szCs w:val="19"/>
          <w:color w:val="auto"/>
        </w:rPr>
        <w:t>” shall mean Regulation T of the Board of Governors of the Federal Reserve System, as the same may be in effect from time to time, and any successor regulations.</w:t>
      </w:r>
    </w:p>
    <w:p>
      <w:pPr>
        <w:spacing w:after="0" w:line="183"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U</w:t>
      </w:r>
      <w:r>
        <w:rPr>
          <w:rFonts w:ascii="Arial" w:cs="Arial" w:eastAsia="Arial" w:hAnsi="Arial"/>
          <w:sz w:val="19"/>
          <w:szCs w:val="19"/>
          <w:color w:val="auto"/>
        </w:rPr>
        <w:t>” shall mean Regulation U of the Board of Governors of the Federal Reserve System, as the same may be in effect from time to time, and any successor regulations.</w:t>
      </w:r>
    </w:p>
    <w:p>
      <w:pPr>
        <w:spacing w:after="0" w:line="170"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X</w:t>
      </w:r>
      <w:r>
        <w:rPr>
          <w:rFonts w:ascii="Arial" w:cs="Arial" w:eastAsia="Arial" w:hAnsi="Arial"/>
          <w:sz w:val="19"/>
          <w:szCs w:val="19"/>
          <w:color w:val="auto"/>
        </w:rPr>
        <w:t>” shall mean Regulation X of the Board of Governors of the Federal Reserve System, as the same may be in effect from time to time, and any successor regulations.</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Y</w:t>
      </w:r>
      <w:r>
        <w:rPr>
          <w:rFonts w:ascii="Arial" w:cs="Arial" w:eastAsia="Arial" w:hAnsi="Arial"/>
          <w:sz w:val="19"/>
          <w:szCs w:val="19"/>
          <w:color w:val="auto"/>
        </w:rPr>
        <w:t>” shall mean Regulation Y of the Board of Governors of the Federal Reserve System, as the same may be in effect from time to time, and any successor regulations.</w:t>
      </w:r>
    </w:p>
    <w:p>
      <w:pPr>
        <w:spacing w:after="0" w:line="191"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Reinsurance Pooling Agreement</w:t>
      </w:r>
      <w:r>
        <w:rPr>
          <w:rFonts w:ascii="Arial" w:cs="Arial" w:eastAsia="Arial" w:hAnsi="Arial"/>
          <w:sz w:val="19"/>
          <w:szCs w:val="19"/>
          <w:color w:val="auto"/>
        </w:rPr>
        <w:t>” shall mean that certain Reinsurance Pooling Agreement, dated as of January 1, 2021 (as amended, restated, amended and restated, supplemented or otherwise modified from time to time), by and between RIC and RPC.</w:t>
      </w:r>
    </w:p>
    <w:p>
      <w:pPr>
        <w:spacing w:after="0" w:line="191"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shall mean, with respect to any Person, such Person’s Affiliates and the managers, administrators, trustees, partners, general partners, limited partners, members, controlling persons, directors, officers, employees, agents, managed funds and accounts, financing sources, advisors, attorneys or other representatives of such Person and such Person’s Affiliates, and each of their permitted successors and assigns.</w:t>
      </w:r>
    </w:p>
    <w:p>
      <w:pPr>
        <w:spacing w:after="0" w:line="193"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or facility.</w:t>
      </w:r>
    </w:p>
    <w:p>
      <w:pPr>
        <w:spacing w:after="0" w:line="19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shall mean the Term SOFR Administrator, the Federal Reserve Board and/or the Federal Reserve Bank of New York, or a committee officially endorsed or convened by the Federal Reserve Board and/or the Federal Reserve Bank of New York, or any successor thereto.</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2.26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060"/>
          </w:cols>
          <w:pgMar w:left="1380" w:top="1302" w:right="459" w:bottom="1440" w:gutter="0" w:footer="0" w:header="0"/>
        </w:sectPr>
      </w:pPr>
    </w:p>
    <w:bookmarkStart w:id="84" w:name="page85"/>
    <w:bookmarkEnd w:id="84"/>
    <w:p>
      <w:pPr>
        <w:spacing w:after="0" w:line="167"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Additional Debt Terms</w:t>
      </w:r>
      <w:r>
        <w:rPr>
          <w:rFonts w:ascii="Arial" w:cs="Arial" w:eastAsia="Arial" w:hAnsi="Arial"/>
          <w:sz w:val="17"/>
          <w:szCs w:val="17"/>
          <w:color w:val="auto"/>
        </w:rPr>
        <w:t xml:space="preserve">” shall mean, with respect to any Indebtedness incurred under </w:t>
      </w:r>
      <w:r>
        <w:rPr>
          <w:rFonts w:ascii="Arial" w:cs="Arial" w:eastAsia="Arial" w:hAnsi="Arial"/>
          <w:sz w:val="17"/>
          <w:szCs w:val="17"/>
          <w:u w:val="single" w:color="auto"/>
          <w:color w:val="auto"/>
        </w:rPr>
        <w:t>Section 7.1(f)</w:t>
      </w:r>
      <w:r>
        <w:rPr>
          <w:rFonts w:ascii="Arial" w:cs="Arial" w:eastAsia="Arial" w:hAnsi="Arial"/>
          <w:sz w:val="17"/>
          <w:szCs w:val="17"/>
          <w:color w:val="auto"/>
        </w:rPr>
        <w:t>, all of the following: (a) to the extent such Indebtedness is secured by any of the Collateral, such Indebtedness shall not be secured by any assets of a Loan Party other than the Collateral securing the Obligations unless such asset is added to the Collateral to secure the Obligations; (b) such Indebtedness shall not be borrowed, issued or guaranteed by any Person which is not a Loan Party; (c) to the extent such Indebtedness is secured by any of the Collateral, such Indebtedness shall be subject to a Market Intercreditor Agreement; (d) such Indebtedness is not structurally or contractually senior to the Obligations; (e) such Indebtedness does not have a maturity date earlier than the Stated Maturity Date or a Weighted Average Life to Maturity shorter than that of the Term Loans; and (f) such Indebtedness shall not provide the applicable lender(s) thereunder with an interest rate or effective yield greater than such terms as are provided hereunder nor shall such Indebtedness provide the applicable lender(s) thereunder with any other terms more favorable or beneficial to the lender(s) thereunder than the terms set forth in this Agreement.</w:t>
      </w:r>
    </w:p>
    <w:p>
      <w:pPr>
        <w:spacing w:after="0" w:line="19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shall mean Non-Defaulting Lenders holding, in the aggregate, more than 50% of the total Term Loan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Lender is a Defaulting Lender, such Defaulting Lender and all of its Term Loans shall be excluded for purposes of determining Required Lenders.</w:t>
      </w:r>
    </w:p>
    <w:p>
      <w:pPr>
        <w:spacing w:after="0" w:line="191"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for any Person, shall mean the articles of organization, certificate of incorporation, certificate of formation,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Resolution Authority</w:t>
      </w:r>
      <w:r>
        <w:rPr>
          <w:rFonts w:ascii="Arial" w:cs="Arial" w:eastAsia="Arial" w:hAnsi="Arial"/>
          <w:sz w:val="19"/>
          <w:szCs w:val="19"/>
          <w:color w:val="auto"/>
        </w:rPr>
        <w:t>” shall mean an EEA Resolution Authority or, with respect to any UK Financial Institution, a UK Resolution Authority.</w:t>
      </w:r>
    </w:p>
    <w:p>
      <w:pPr>
        <w:spacing w:after="0" w:line="20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of any Person, shall mean the chief executive officer, president, Financial Officer, chief operating officer, general counsel, secretary, assistant secretary or such other officer that has similar responsibilities to the extent such officer is designated in writing to the Administrative Agent.</w:t>
      </w:r>
    </w:p>
    <w:p>
      <w:pPr>
        <w:spacing w:after="0" w:line="19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7.19</w:t>
      </w:r>
      <w:r>
        <w:rPr>
          <w:rFonts w:ascii="Arial" w:cs="Arial" w:eastAsia="Arial" w:hAnsi="Arial"/>
          <w:sz w:val="19"/>
          <w:szCs w:val="19"/>
          <w:color w:val="auto"/>
        </w:rPr>
        <w:t xml:space="preserve">. For the avoidance of doubt, Indebtedness consisting any intercompany Indebtedness, or any Indebtedness permitted under </w:t>
      </w:r>
      <w:r>
        <w:rPr>
          <w:rFonts w:ascii="Arial" w:cs="Arial" w:eastAsia="Arial" w:hAnsi="Arial"/>
          <w:sz w:val="19"/>
          <w:szCs w:val="19"/>
          <w:u w:val="single" w:color="auto"/>
          <w:color w:val="auto"/>
        </w:rPr>
        <w:t>Sections 7.1(i)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(o)</w:t>
      </w:r>
      <w:r>
        <w:rPr>
          <w:rFonts w:ascii="Arial" w:cs="Arial" w:eastAsia="Arial" w:hAnsi="Arial"/>
          <w:sz w:val="19"/>
          <w:szCs w:val="19"/>
          <w:color w:val="auto"/>
        </w:rPr>
        <w:t xml:space="preserve"> shall not constitute Restricted Debt.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Debt Payment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7.19</w:t>
      </w:r>
      <w:r>
        <w:rPr>
          <w:rFonts w:ascii="Arial" w:cs="Arial" w:eastAsia="Arial" w:hAnsi="Arial"/>
          <w:sz w:val="19"/>
          <w:szCs w:val="19"/>
          <w:color w:val="auto"/>
        </w:rPr>
        <w:t>.</w:t>
      </w:r>
    </w:p>
    <w:p>
      <w:pPr>
        <w:spacing w:after="0" w:line="285" w:lineRule="exact"/>
        <w:rPr>
          <w:sz w:val="20"/>
          <w:szCs w:val="20"/>
          <w:color w:val="auto"/>
        </w:rPr>
      </w:pPr>
    </w:p>
    <w:p>
      <w:pPr>
        <w:jc w:val="both"/>
        <w:ind w:firstLine="63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shall mean (i) any dividend or other distribution, direct or indirect, on account of any shares of any class of Capital Stock of Holdings, the Borrower or any of their respective Subsidiaries now or hereafter outstanding, except a dividend payable solely in shares of that class of Capital Stock to the holders of that class (other than Disqualified Capital Stock); (ii) any redemption, retirement, sinking fund or similar payment, purchase or other acquisition for value, direct or indirect, of any shares of any class of Capital Stock of Holdings, the Borrower or any of their respective Subsidiaries now or hereafter outstanding; (iii) any payment made to retire, or to obtain the surrender of, any outstanding warrants, options or other rights to acquire shares of any class of Capital Stock of Holdings, the Borrower or any of their respective Subsidiaries now or hereafter outstanding; and (iv) any payment or prepayment of management or similar fees.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Tax Amount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0060"/>
          </w:cols>
          <w:pgMar w:left="1380" w:top="1440" w:right="459" w:bottom="1440" w:gutter="0" w:footer="0" w:header="0"/>
        </w:sectPr>
      </w:pPr>
    </w:p>
    <w:bookmarkStart w:id="85" w:name="page86"/>
    <w:bookmarkEnd w:id="85"/>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RIA</w:t>
      </w:r>
      <w:r>
        <w:rPr>
          <w:rFonts w:ascii="Arial" w:cs="Arial" w:eastAsia="Arial" w:hAnsi="Arial"/>
          <w:sz w:val="19"/>
          <w:szCs w:val="19"/>
          <w:color w:val="auto"/>
        </w:rPr>
        <w:t>” shall mean Root Insurance Agency, LLC, an Ohio limited liability company.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RIC</w:t>
      </w:r>
      <w:r>
        <w:rPr>
          <w:rFonts w:ascii="Arial" w:cs="Arial" w:eastAsia="Arial" w:hAnsi="Arial"/>
          <w:sz w:val="19"/>
          <w:szCs w:val="19"/>
          <w:color w:val="auto"/>
        </w:rPr>
        <w:t>” shall mean Root Insurance Company, an Ohio corporation.</w:t>
      </w:r>
    </w:p>
    <w:p>
      <w:pPr>
        <w:spacing w:after="0" w:line="31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RIC Administrative Services Agreement</w:t>
      </w:r>
      <w:r>
        <w:rPr>
          <w:rFonts w:ascii="Arial" w:cs="Arial" w:eastAsia="Arial" w:hAnsi="Arial"/>
          <w:sz w:val="19"/>
          <w:szCs w:val="19"/>
          <w:color w:val="auto"/>
        </w:rPr>
        <w:t>” shall mean that certain Amended and Restated Administrative Services Agreement, dated as of May 10, 2018 (as amended, restated, amended and restated, supplemented or otherwise modified from time to time), by and between the Borrower and RIC.</w:t>
      </w:r>
    </w:p>
    <w:p>
      <w:pPr>
        <w:spacing w:after="0" w:line="19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RIC Authorized Producer Agreement</w:t>
      </w:r>
      <w:r>
        <w:rPr>
          <w:rFonts w:ascii="Arial" w:cs="Arial" w:eastAsia="Arial" w:hAnsi="Arial"/>
          <w:sz w:val="19"/>
          <w:szCs w:val="19"/>
          <w:color w:val="auto"/>
        </w:rPr>
        <w:t>” shall mean that certain Authorized Producer Agreement, dated as of November 1, 2020 (as amended, restated, amended and restated, supplemented or otherwise modified from time to time), by and between RIC and RIA.</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RIC Guaranty</w:t>
      </w:r>
      <w:r>
        <w:rPr>
          <w:rFonts w:ascii="Arial" w:cs="Arial" w:eastAsia="Arial" w:hAnsi="Arial"/>
          <w:sz w:val="19"/>
          <w:szCs w:val="19"/>
          <w:color w:val="auto"/>
        </w:rPr>
        <w:t>” shall mean that certain Guaranty, dated as of June 17, 2016 (as amended, restated, amended and restated, supplemented or otherwise modified from time to time), executed by the Borrower in favor of the Superintendent of Insurance, State of Ohio.</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RLSA</w:t>
      </w:r>
      <w:r>
        <w:rPr>
          <w:rFonts w:ascii="Arial" w:cs="Arial" w:eastAsia="Arial" w:hAnsi="Arial"/>
          <w:sz w:val="19"/>
          <w:szCs w:val="19"/>
          <w:color w:val="auto"/>
        </w:rPr>
        <w:t>” shall mean Root Lone Star Insurance Agency, Inc., a Texas corporation.</w:t>
      </w:r>
    </w:p>
    <w:p>
      <w:pPr>
        <w:spacing w:after="0" w:line="31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RLSA Administrative Services Agreement</w:t>
      </w:r>
      <w:r>
        <w:rPr>
          <w:rFonts w:ascii="Arial" w:cs="Arial" w:eastAsia="Arial" w:hAnsi="Arial"/>
          <w:sz w:val="19"/>
          <w:szCs w:val="19"/>
          <w:color w:val="auto"/>
        </w:rPr>
        <w:t>” shall mean that certain Administrative Services Agreement, dated as of August 1, 2021 (as amended, restated, amended and restated, supplemented or otherwise modified from time to time), by and between the Borrower and RLSA.</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RLSA Authorized Producer Agreement</w:t>
      </w:r>
      <w:r>
        <w:rPr>
          <w:rFonts w:ascii="Arial" w:cs="Arial" w:eastAsia="Arial" w:hAnsi="Arial"/>
          <w:sz w:val="19"/>
          <w:szCs w:val="19"/>
          <w:color w:val="auto"/>
        </w:rPr>
        <w:t>” shall mean that certain Authorized Producer Agreement, dated as of August 1, 2021 (as amended, restated, amended and restated, supplemented or otherwise modified from time to time), by and between RLSA and RIA.</w:t>
      </w:r>
    </w:p>
    <w:p>
      <w:pPr>
        <w:spacing w:after="0" w:line="20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RLSA Guaranty</w:t>
      </w:r>
      <w:r>
        <w:rPr>
          <w:rFonts w:ascii="Arial" w:cs="Arial" w:eastAsia="Arial" w:hAnsi="Arial"/>
          <w:sz w:val="19"/>
          <w:szCs w:val="19"/>
          <w:color w:val="auto"/>
        </w:rPr>
        <w:t>” shall mean that certain Guaranty, substantially in the form delivered to the Administrative Agent on or prior to the Closing Date (as amended, restated, amended and restated, supplemented or otherwise modified from time to time), executed by the Borrower and acknowledged and agreed to by Redpoint.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RPC</w:t>
      </w:r>
      <w:r>
        <w:rPr>
          <w:rFonts w:ascii="Arial" w:cs="Arial" w:eastAsia="Arial" w:hAnsi="Arial"/>
          <w:sz w:val="19"/>
          <w:szCs w:val="19"/>
          <w:color w:val="auto"/>
        </w:rPr>
        <w:t>” shall mean Root Property &amp; Casualty Insurance Company, a Delaware corporation.</w:t>
      </w:r>
    </w:p>
    <w:p>
      <w:pPr>
        <w:spacing w:after="0" w:line="29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RPC Administrative Services Agreement</w:t>
      </w:r>
      <w:r>
        <w:rPr>
          <w:rFonts w:ascii="Arial" w:cs="Arial" w:eastAsia="Arial" w:hAnsi="Arial"/>
          <w:sz w:val="19"/>
          <w:szCs w:val="19"/>
          <w:color w:val="auto"/>
        </w:rPr>
        <w:t>” shall mean that certain Administrative Services Agreement, dated as of January 1, 2021 (as amended, restated, amended and restated, supplemented or otherwise modified from time to time), by and between the Borrower and RPC.</w:t>
      </w:r>
    </w:p>
    <w:p>
      <w:pPr>
        <w:spacing w:after="0" w:line="178"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RPC Authorized Producer Agreement</w:t>
      </w:r>
      <w:r>
        <w:rPr>
          <w:rFonts w:ascii="Arial" w:cs="Arial" w:eastAsia="Arial" w:hAnsi="Arial"/>
          <w:sz w:val="19"/>
          <w:szCs w:val="19"/>
          <w:color w:val="auto"/>
        </w:rPr>
        <w:t>” shall mean that certain Authorized Producer Agreement, dated as of January 1, 2021 (as amended, restated, amended and restated, supplemented or otherwise modified from time to time), by and between RPC and RIA.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RRC</w:t>
      </w:r>
      <w:r>
        <w:rPr>
          <w:rFonts w:ascii="Arial" w:cs="Arial" w:eastAsia="Arial" w:hAnsi="Arial"/>
          <w:sz w:val="19"/>
          <w:szCs w:val="19"/>
          <w:color w:val="auto"/>
        </w:rPr>
        <w:t>” shall mean Root Reinsurance Company, Ltd., a Cayman Islands exempted company.</w:t>
      </w:r>
    </w:p>
    <w:p>
      <w:pPr>
        <w:spacing w:after="0" w:line="285"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RRC Services Agreement</w:t>
      </w:r>
      <w:r>
        <w:rPr>
          <w:rFonts w:ascii="Arial" w:cs="Arial" w:eastAsia="Arial" w:hAnsi="Arial"/>
          <w:sz w:val="18"/>
          <w:szCs w:val="18"/>
          <w:color w:val="auto"/>
        </w:rPr>
        <w:t>” shall mean that certain Services Agreement, dated as of August 1, 2021 (as amended, restated, amended and restated, supplemented or otherwise modified from time to time), by and between RRC and RLSA.</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shall mean S&amp;P Global Ratings, a business unit of Standard &amp; Poor’s Financial Services LLC,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thereto.</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Sale/Leaseback Transaction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ectPr>
          <w:pgSz w:w="11900" w:h="16838" w:orient="portrait"/>
          <w:cols w:equalWidth="0" w:num="1">
            <w:col w:w="10060"/>
          </w:cols>
          <w:pgMar w:left="138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060"/>
          </w:cols>
          <w:pgMar w:left="1380" w:top="1440" w:right="459" w:bottom="1440" w:gutter="0" w:footer="0" w:header="0"/>
          <w:type w:val="continuous"/>
        </w:sectPr>
      </w:pPr>
    </w:p>
    <w:bookmarkStart w:id="86" w:name="page87"/>
    <w:bookmarkEnd w:id="86"/>
    <w:p>
      <w:pPr>
        <w:spacing w:after="0" w:line="180" w:lineRule="exact"/>
        <w:rPr>
          <w:sz w:val="20"/>
          <w:szCs w:val="20"/>
          <w:color w:val="auto"/>
        </w:rPr>
      </w:pPr>
    </w:p>
    <w:p>
      <w:pPr>
        <w:jc w:val="both"/>
        <w:ind w:right="6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shall mean, at any time, a country, region or territory that is, or whose government is, the subject or target of any comprehensive Sanctions (as of the Closing Date, Crimea, Cuba, Iran, North Korea, and Syria).</w:t>
      </w:r>
    </w:p>
    <w:p>
      <w:pPr>
        <w:spacing w:after="0" w:line="183" w:lineRule="exact"/>
        <w:rPr>
          <w:sz w:val="20"/>
          <w:szCs w:val="20"/>
          <w:color w:val="auto"/>
        </w:rPr>
      </w:pPr>
    </w:p>
    <w:p>
      <w:pPr>
        <w:jc w:val="both"/>
        <w:ind w:right="60" w:firstLine="63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at any time, (a) any Person that is the subject or target of any Sanctions, (b) any Person located, organized or resident in a Sanctioned Country or (c) any Person owned or controlled by any such Person.</w:t>
      </w:r>
    </w:p>
    <w:p>
      <w:pPr>
        <w:spacing w:after="0" w:line="159" w:lineRule="exact"/>
        <w:rPr>
          <w:sz w:val="20"/>
          <w:szCs w:val="20"/>
          <w:color w:val="auto"/>
        </w:rPr>
      </w:pPr>
    </w:p>
    <w:p>
      <w:pPr>
        <w:jc w:val="both"/>
        <w:ind w:right="60"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shall mean economic or financial sanctions or trade embargoes imposed, administered or enforced from time to time by (a) the U.S. government, including those administered by OFAC or the U.S. Department of State, (b) the United Nations Security Council, the European Union or Her Majesty’s Treasury of the United Kingdom or (c) any other relevant sanctions authority.</w:t>
      </w:r>
    </w:p>
    <w:p>
      <w:pPr>
        <w:spacing w:after="0" w:line="193" w:lineRule="exact"/>
        <w:rPr>
          <w:sz w:val="20"/>
          <w:szCs w:val="20"/>
          <w:color w:val="auto"/>
        </w:rPr>
      </w:pPr>
    </w:p>
    <w:p>
      <w:pPr>
        <w:jc w:val="both"/>
        <w:ind w:right="6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SAP</w:t>
      </w:r>
      <w:r>
        <w:rPr>
          <w:rFonts w:ascii="Arial" w:cs="Arial" w:eastAsia="Arial" w:hAnsi="Arial"/>
          <w:sz w:val="19"/>
          <w:szCs w:val="19"/>
          <w:color w:val="auto"/>
        </w:rPr>
        <w:t xml:space="preserve">” shall mean, with respect to any Insurance Subsidiary, the accounting procedures and practices prescribed or permitted by the applicable Insurance Regulatory Authority, applied in accordance with </w:t>
      </w:r>
      <w:r>
        <w:rPr>
          <w:rFonts w:ascii="Arial" w:cs="Arial" w:eastAsia="Arial" w:hAnsi="Arial"/>
          <w:sz w:val="19"/>
          <w:szCs w:val="19"/>
          <w:u w:val="single" w:color="auto"/>
          <w:color w:val="auto"/>
        </w:rPr>
        <w:t>Section 1.2</w:t>
      </w:r>
    </w:p>
    <w:p>
      <w:pPr>
        <w:spacing w:after="0" w:line="262" w:lineRule="exact"/>
        <w:rPr>
          <w:sz w:val="20"/>
          <w:szCs w:val="20"/>
          <w:color w:val="auto"/>
        </w:rPr>
      </w:pPr>
    </w:p>
    <w:p>
      <w:pPr>
        <w:ind w:right="40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shall mean the Securities and Exchange Commission or any Governmental Authority succeeding to any of its principal functions.</w:t>
      </w:r>
    </w:p>
    <w:p>
      <w:pPr>
        <w:spacing w:after="0" w:line="19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xml:space="preserve">” shall mean, collectively, the Administrative Agent, the Lenders and, solely with respect to </w:t>
      </w:r>
      <w:r>
        <w:rPr>
          <w:rFonts w:ascii="Arial" w:cs="Arial" w:eastAsia="Arial" w:hAnsi="Arial"/>
          <w:sz w:val="19"/>
          <w:szCs w:val="19"/>
          <w:u w:val="single" w:color="auto"/>
          <w:color w:val="auto"/>
        </w:rPr>
        <w:t>Section 10.3</w:t>
      </w:r>
      <w:r>
        <w:rPr>
          <w:rFonts w:ascii="Arial" w:cs="Arial" w:eastAsia="Arial" w:hAnsi="Arial"/>
          <w:sz w:val="19"/>
          <w:szCs w:val="19"/>
          <w:color w:val="auto"/>
        </w:rPr>
        <w:t>, each other Indemnitee.</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shall mean a rate equal to the secured overnight financing rate as administered by the SOFR Administrator.</w:t>
      </w:r>
    </w:p>
    <w:p>
      <w:pPr>
        <w:spacing w:after="0" w:line="217" w:lineRule="exact"/>
        <w:rPr>
          <w:sz w:val="20"/>
          <w:szCs w:val="20"/>
          <w:color w:val="auto"/>
        </w:rPr>
      </w:pPr>
    </w:p>
    <w:p>
      <w:pPr>
        <w:ind w:right="28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shall mean the Federal Reserve Bank of New York (or a successor administrator of the secured overnight financing rate).</w:t>
      </w:r>
    </w:p>
    <w:p>
      <w:pPr>
        <w:spacing w:after="0" w:line="191" w:lineRule="exact"/>
        <w:rPr>
          <w:sz w:val="20"/>
          <w:szCs w:val="20"/>
          <w:color w:val="auto"/>
        </w:rPr>
      </w:pPr>
    </w:p>
    <w:p>
      <w:pPr>
        <w:ind w:right="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Loan</w:t>
      </w:r>
      <w:r>
        <w:rPr>
          <w:rFonts w:ascii="Arial" w:cs="Arial" w:eastAsia="Arial" w:hAnsi="Arial"/>
          <w:sz w:val="19"/>
          <w:szCs w:val="19"/>
          <w:color w:val="auto"/>
        </w:rPr>
        <w:t>” shall mean a Loan that bears interest at a rate based on Adjusted Term SOFR, other than pursuant to clause (iii) of the definition of Base Rate.</w:t>
      </w:r>
    </w:p>
    <w:p>
      <w:pPr>
        <w:spacing w:after="0" w:line="191" w:lineRule="exact"/>
        <w:rPr>
          <w:sz w:val="20"/>
          <w:szCs w:val="20"/>
          <w:color w:val="auto"/>
        </w:rPr>
      </w:pPr>
    </w:p>
    <w:p>
      <w:pPr>
        <w:jc w:val="both"/>
        <w:ind w:right="60" w:firstLine="636"/>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with respect to any Person on any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25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Event of Default</w:t>
      </w:r>
      <w:r>
        <w:rPr>
          <w:rFonts w:ascii="Arial" w:cs="Arial" w:eastAsia="Arial" w:hAnsi="Arial"/>
          <w:sz w:val="19"/>
          <w:szCs w:val="19"/>
          <w:color w:val="auto"/>
        </w:rPr>
        <w:t xml:space="preserve">” shall mean any Event of Default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Maturity Date</w:t>
      </w:r>
      <w:r>
        <w:rPr>
          <w:rFonts w:ascii="Arial" w:cs="Arial" w:eastAsia="Arial" w:hAnsi="Arial"/>
          <w:sz w:val="19"/>
          <w:szCs w:val="19"/>
          <w:color w:val="auto"/>
        </w:rPr>
        <w:t>” shall mean January 27,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0120"/>
          </w:cols>
          <w:pgMar w:left="1380" w:top="1440" w:right="399" w:bottom="1440" w:gutter="0" w:footer="0" w:header="0"/>
        </w:sectPr>
      </w:pPr>
    </w:p>
    <w:bookmarkStart w:id="87" w:name="page88"/>
    <w:bookmarkEnd w:id="87"/>
    <w:p>
      <w:pPr>
        <w:spacing w:after="0" w:line="167" w:lineRule="exact"/>
        <w:rPr>
          <w:sz w:val="20"/>
          <w:szCs w:val="20"/>
          <w:color w:val="auto"/>
        </w:rPr>
      </w:pPr>
    </w:p>
    <w:p>
      <w:pPr>
        <w:ind w:right="34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w:t>
      </w:r>
      <w:r>
        <w:rPr>
          <w:rFonts w:ascii="Arial" w:cs="Arial" w:eastAsia="Arial" w:hAnsi="Arial"/>
          <w:sz w:val="19"/>
          <w:szCs w:val="19"/>
          <w:color w:val="auto"/>
        </w:rPr>
        <w:t xml:space="preserve">” shall mean any Indebtedness of the Loan Parties that is expressly permitted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7.1(k)</w:t>
      </w:r>
      <w:r>
        <w:rPr>
          <w:rFonts w:ascii="Arial" w:cs="Arial" w:eastAsia="Arial" w:hAnsi="Arial"/>
          <w:sz w:val="19"/>
          <w:szCs w:val="19"/>
          <w:color w:val="auto"/>
        </w:rPr>
        <w:t xml:space="preserve">, </w:t>
      </w:r>
      <w:r>
        <w:rPr>
          <w:rFonts w:ascii="Arial" w:cs="Arial" w:eastAsia="Arial" w:hAnsi="Arial"/>
          <w:sz w:val="19"/>
          <w:szCs w:val="19"/>
          <w:u w:val="single" w:color="auto"/>
          <w:color w:val="auto"/>
        </w:rPr>
        <w:t>7.1(r)(ii)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7.1(r)(iii)</w:t>
      </w:r>
      <w:r>
        <w:rPr>
          <w:rFonts w:ascii="Arial" w:cs="Arial" w:eastAsia="Arial" w:hAnsi="Arial"/>
          <w:sz w:val="19"/>
          <w:szCs w:val="19"/>
          <w:color w:val="auto"/>
        </w:rPr>
        <w:t>.</w:t>
      </w:r>
    </w:p>
    <w:p>
      <w:pPr>
        <w:spacing w:after="0" w:line="271"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 Documents</w:t>
      </w:r>
      <w:r>
        <w:rPr>
          <w:rFonts w:ascii="Arial" w:cs="Arial" w:eastAsia="Arial" w:hAnsi="Arial"/>
          <w:sz w:val="19"/>
          <w:szCs w:val="19"/>
          <w:color w:val="auto"/>
        </w:rPr>
        <w:t>” shall mean the indentures, loan agreements, notes, guaranties, subordination agreements and other related documents and/or agreements governing or evidencing the Subordinated Debt.</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Unless otherwise indicated, all references to “Subsidiary” hereunder shall mean a Subsidiary of the Borrower. For the avoidance of doubt, an Insurance Subsidiary is a Subsidiary of the Borrower.</w:t>
      </w:r>
    </w:p>
    <w:p>
      <w:pPr>
        <w:spacing w:after="0" w:line="177"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Loan Party</w:t>
      </w:r>
      <w:r>
        <w:rPr>
          <w:rFonts w:ascii="Arial" w:cs="Arial" w:eastAsia="Arial" w:hAnsi="Arial"/>
          <w:sz w:val="19"/>
          <w:szCs w:val="19"/>
          <w:color w:val="auto"/>
        </w:rPr>
        <w:t xml:space="preserve">” shall mean any Subsidiary that executes or becomes a party to the Guaranty and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understood and agreed that (a) no Insurance Subsidiary nor any Subsidiary of an Insurance Subsidiary shall be a Subsidiary Loan Party and (b) no Subsidiary shall be a Subsidiary Loan Party if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anything to the contrary contained herein, no Subsidiary that is a Subsidiary Loan Party as of the Closing Date shall be subject to clause (b) of the aforementioned proviso.</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10.19</w:t>
      </w:r>
      <w:r>
        <w:rPr>
          <w:rFonts w:ascii="Arial" w:cs="Arial" w:eastAsia="Arial" w:hAnsi="Arial"/>
          <w:sz w:val="19"/>
          <w:szCs w:val="19"/>
          <w:color w:val="auto"/>
        </w:rPr>
        <w:t>.</w:t>
      </w:r>
    </w:p>
    <w:p>
      <w:pPr>
        <w:spacing w:after="0" w:line="29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w:t>
      </w:r>
      <w:r>
        <w:rPr>
          <w:rFonts w:ascii="Arial" w:cs="Arial" w:eastAsia="Arial" w:hAnsi="Arial"/>
          <w:sz w:val="17"/>
          <w:szCs w:val="17"/>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75"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Obligations</w:t>
      </w:r>
      <w:r>
        <w:rPr>
          <w:rFonts w:ascii="Arial" w:cs="Arial" w:eastAsia="Arial" w:hAnsi="Arial"/>
          <w:sz w:val="19"/>
          <w:szCs w:val="19"/>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79"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any and all present or future taxes, levies, imposts, duties, deductions, withholdings (including backup withholding), assessments, fees, or charges imposed by any Governmental Authority, including any interest, additions to tax or penalties applicable thereto.</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Group</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7.5(e)</w:t>
      </w:r>
      <w:r>
        <w:rPr>
          <w:rFonts w:ascii="Arial" w:cs="Arial" w:eastAsia="Arial" w:hAnsi="Arial"/>
          <w:sz w:val="19"/>
          <w:szCs w:val="19"/>
          <w:color w:val="auto"/>
        </w:rPr>
        <w:t>.</w:t>
      </w:r>
    </w:p>
    <w:p>
      <w:pPr>
        <w:spacing w:after="0" w:line="312" w:lineRule="exact"/>
        <w:rPr>
          <w:sz w:val="20"/>
          <w:szCs w:val="20"/>
          <w:color w:val="auto"/>
        </w:rPr>
      </w:pPr>
    </w:p>
    <w:p>
      <w:pPr>
        <w:jc w:val="both"/>
        <w:ind w:firstLine="636"/>
        <w:spacing w:after="0" w:line="3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Sharing Agreement</w:t>
      </w:r>
      <w:r>
        <w:rPr>
          <w:rFonts w:ascii="Arial" w:cs="Arial" w:eastAsia="Arial" w:hAnsi="Arial"/>
          <w:sz w:val="17"/>
          <w:szCs w:val="17"/>
          <w:color w:val="auto"/>
        </w:rPr>
        <w:t>” shall mean that certain Tax Sharing Agreement, effective as of August 17, 2017 (as amended, restated, amended and restated, supplemented or otherwise modified from time to time), by and between the Borrower and 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0060"/>
          </w:cols>
          <w:pgMar w:left="1380" w:top="1440" w:right="459" w:bottom="1440" w:gutter="0" w:footer="0" w:header="0"/>
        </w:sectPr>
      </w:pPr>
    </w:p>
    <w:bookmarkStart w:id="88" w:name="page89"/>
    <w:bookmarkEnd w:id="88"/>
    <w:p>
      <w:pPr>
        <w:spacing w:after="0" w:line="167" w:lineRule="exact"/>
        <w:rPr>
          <w:sz w:val="20"/>
          <w:szCs w:val="20"/>
          <w:color w:val="auto"/>
        </w:rPr>
      </w:pPr>
    </w:p>
    <w:p>
      <w:pPr>
        <w:ind w:right="34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shall mean the date upon which all Obligations (other than contingent obligations as to which no claim exists or has been asserted) have been paid in full in cash.</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2.5(a)</w:t>
      </w:r>
      <w:r>
        <w:rPr>
          <w:rFonts w:ascii="Arial" w:cs="Arial" w:eastAsia="Arial" w:hAnsi="Arial"/>
          <w:sz w:val="19"/>
          <w:szCs w:val="19"/>
          <w:color w:val="auto"/>
        </w:rPr>
        <w:t>.</w:t>
      </w:r>
    </w:p>
    <w:p>
      <w:pPr>
        <w:spacing w:after="0" w:line="285"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shall mean, with respect to each Lender, the obligation of such Lender to make a Term Loan on the Funding Date, in a principal amount not exceeding the amount set forth with respect to such Lender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attached hereto. The aggregate principal amount of all Lenders’ Term Loan Commitments as of the Funding Date is $300,000,000.</w:t>
      </w:r>
    </w:p>
    <w:p>
      <w:pPr>
        <w:spacing w:after="0" w:line="17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Exposure</w:t>
      </w:r>
      <w:r>
        <w:rPr>
          <w:rFonts w:ascii="Arial" w:cs="Arial" w:eastAsia="Arial" w:hAnsi="Arial"/>
          <w:sz w:val="19"/>
          <w:szCs w:val="19"/>
          <w:color w:val="auto"/>
        </w:rPr>
        <w:t>” shall mean, with respect to any Lender, as of any date of determination, the outstanding principal amount of the Term Loans of such Lender.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shall mean:</w:t>
      </w:r>
    </w:p>
    <w:p>
      <w:pPr>
        <w:spacing w:after="0" w:line="298" w:lineRule="exact"/>
        <w:rPr>
          <w:sz w:val="20"/>
          <w:szCs w:val="20"/>
          <w:color w:val="auto"/>
        </w:rPr>
      </w:pPr>
    </w:p>
    <w:p>
      <w:pPr>
        <w:jc w:val="both"/>
        <w:ind w:firstLine="641"/>
        <w:spacing w:after="0" w:line="222" w:lineRule="auto"/>
        <w:tabs>
          <w:tab w:leader="none" w:pos="14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xml:space="preserve">”) that is two (2) U.S. Government Securities Business Days prior to the first day of such Interest Period,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8" w:lineRule="exact"/>
        <w:rPr>
          <w:rFonts w:ascii="Arial" w:cs="Arial" w:eastAsia="Arial" w:hAnsi="Arial"/>
          <w:sz w:val="18"/>
          <w:szCs w:val="18"/>
          <w:color w:val="auto"/>
        </w:rPr>
      </w:pPr>
    </w:p>
    <w:p>
      <w:pPr>
        <w:jc w:val="both"/>
        <w:ind w:firstLine="641"/>
        <w:spacing w:after="0" w:line="210" w:lineRule="auto"/>
        <w:tabs>
          <w:tab w:leader="none" w:pos="1472"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any calculation with respect to a Base Rate Loan on any day, the Term SOFR Reference Rate for a tenor of one month on the day (such day, the “</w:t>
      </w:r>
      <w:r>
        <w:rPr>
          <w:rFonts w:ascii="Arial" w:cs="Arial" w:eastAsia="Arial" w:hAnsi="Arial"/>
          <w:sz w:val="19"/>
          <w:szCs w:val="19"/>
          <w:u w:val="single" w:color="auto"/>
          <w:color w:val="auto"/>
        </w:rPr>
        <w:t>ABR Term SOFR Determination Day</w:t>
      </w:r>
      <w:r>
        <w:rPr>
          <w:rFonts w:ascii="Arial" w:cs="Arial" w:eastAsia="Arial" w:hAnsi="Arial"/>
          <w:sz w:val="19"/>
          <w:szCs w:val="19"/>
          <w:color w:val="auto"/>
        </w:rPr>
        <w:t xml:space="preserve">”) that is two (2) U.S. Government Securities Business Days prior to such day,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208"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Term SOFR determined as provided above (including pursuant to the provisos above) shall ever be less than the Floor, then Term SOFR shall be deemed to be the Floor.</w:t>
      </w:r>
    </w:p>
    <w:p>
      <w:pPr>
        <w:spacing w:after="0" w:line="17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Administrator</w:t>
      </w:r>
      <w:r>
        <w:rPr>
          <w:rFonts w:ascii="Arial" w:cs="Arial" w:eastAsia="Arial" w:hAnsi="Arial"/>
          <w:sz w:val="19"/>
          <w:szCs w:val="19"/>
          <w:color w:val="auto"/>
        </w:rPr>
        <w:t>” shall mean CME Group Benchmark Administration Limited (CBA) (or a successor administrator of the Term SOFR Reference Rate selected by the Administrative Agent and Required Lenders in their reasonable discretion).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Reference Rate</w:t>
      </w:r>
      <w:r>
        <w:rPr>
          <w:rFonts w:ascii="Arial" w:cs="Arial" w:eastAsia="Arial" w:hAnsi="Arial"/>
          <w:sz w:val="19"/>
          <w:szCs w:val="19"/>
          <w:color w:val="auto"/>
        </w:rPr>
        <w:t>” shall mean the forward-looking term rate based on SOFR.</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w:t>
      </w:r>
      <w:r>
        <w:rPr>
          <w:rFonts w:ascii="Arial" w:cs="Arial" w:eastAsia="Arial" w:hAnsi="Arial"/>
          <w:sz w:val="19"/>
          <w:szCs w:val="19"/>
          <w:color w:val="auto"/>
        </w:rPr>
        <w:t>” shall have the meaning assigned to such term in the Guaranty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0060"/>
          </w:cols>
          <w:pgMar w:left="1380" w:top="1440" w:right="459" w:bottom="1440" w:gutter="0" w:footer="0" w:header="0"/>
        </w:sectPr>
      </w:pPr>
    </w:p>
    <w:bookmarkStart w:id="89" w:name="page90"/>
    <w:bookmarkEnd w:id="89"/>
    <w:p>
      <w:pPr>
        <w:spacing w:after="0" w:line="167"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1 Warrants</w:t>
      </w:r>
      <w:r>
        <w:rPr>
          <w:rFonts w:ascii="Arial" w:cs="Arial" w:eastAsia="Arial" w:hAnsi="Arial"/>
          <w:sz w:val="19"/>
          <w:szCs w:val="19"/>
          <w:color w:val="auto"/>
        </w:rPr>
        <w:t>” shall mean the warrants to purchase the Capital Stock representing Class A common stock of Holdings, on a fully diluted basis, in accordance with the terms of such warrants, entered into by and among Holdings, the Lenders, or one or more of such Lenders’ respective affiliates or designees designated thereby, to be issued on the date hereof, or any replacement warrants thereof.</w:t>
      </w:r>
    </w:p>
    <w:p>
      <w:pPr>
        <w:spacing w:after="0" w:line="179"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2 Warrants</w:t>
      </w:r>
      <w:r>
        <w:rPr>
          <w:rFonts w:ascii="Arial" w:cs="Arial" w:eastAsia="Arial" w:hAnsi="Arial"/>
          <w:sz w:val="18"/>
          <w:szCs w:val="18"/>
          <w:color w:val="auto"/>
        </w:rPr>
        <w:t xml:space="preserve">” shall mean the warrants to purchase the Capital Stock representing Class A common stock of Holdings, on a fully diluted basis, in accordance with the terms of such warrants, entered into on the form attached hereto as </w:t>
      </w:r>
      <w:r>
        <w:rPr>
          <w:rFonts w:ascii="Arial" w:cs="Arial" w:eastAsia="Arial" w:hAnsi="Arial"/>
          <w:sz w:val="18"/>
          <w:szCs w:val="18"/>
          <w:u w:val="single" w:color="auto"/>
          <w:color w:val="auto"/>
        </w:rPr>
        <w:t>Exhibit 5.18</w:t>
      </w:r>
      <w:r>
        <w:rPr>
          <w:rFonts w:ascii="Arial" w:cs="Arial" w:eastAsia="Arial" w:hAnsi="Arial"/>
          <w:sz w:val="18"/>
          <w:szCs w:val="18"/>
          <w:color w:val="auto"/>
        </w:rPr>
        <w:t xml:space="preserve">, by and among Holdings, the Lenders, or one or more of such Lenders’ respective affiliates or designees designated thereby, to be issued pursuant to, and in accordance with, </w:t>
      </w:r>
      <w:r>
        <w:rPr>
          <w:rFonts w:ascii="Arial" w:cs="Arial" w:eastAsia="Arial" w:hAnsi="Arial"/>
          <w:sz w:val="18"/>
          <w:szCs w:val="18"/>
          <w:u w:val="single" w:color="auto"/>
          <w:color w:val="auto"/>
        </w:rPr>
        <w:t>Section 5.18</w:t>
      </w:r>
      <w:r>
        <w:rPr>
          <w:rFonts w:ascii="Arial" w:cs="Arial" w:eastAsia="Arial" w:hAnsi="Arial"/>
          <w:sz w:val="18"/>
          <w:szCs w:val="18"/>
          <w:color w:val="auto"/>
        </w:rPr>
        <w:t>, or any replacement warrants thereof.</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Threshold Amount</w:t>
      </w:r>
      <w:r>
        <w:rPr>
          <w:rFonts w:ascii="Arial" w:cs="Arial" w:eastAsia="Arial" w:hAnsi="Arial"/>
          <w:sz w:val="19"/>
          <w:szCs w:val="19"/>
          <w:color w:val="auto"/>
        </w:rPr>
        <w:t>” shall mean $10,000,000.</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w:t>
      </w:r>
      <w:r>
        <w:rPr>
          <w:rFonts w:ascii="Arial" w:cs="Arial" w:eastAsia="Arial" w:hAnsi="Arial"/>
          <w:sz w:val="19"/>
          <w:szCs w:val="19"/>
          <w:color w:val="auto"/>
        </w:rPr>
        <w:t>” shall have the meaning assigned to such term in the Guaranty and Security Agreement.</w:t>
      </w:r>
    </w:p>
    <w:p>
      <w:pPr>
        <w:spacing w:after="0" w:line="21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 Security Agreement</w:t>
      </w:r>
      <w:r>
        <w:rPr>
          <w:rFonts w:ascii="Arial" w:cs="Arial" w:eastAsia="Arial" w:hAnsi="Arial"/>
          <w:sz w:val="17"/>
          <w:szCs w:val="17"/>
          <w:color w:val="auto"/>
        </w:rPr>
        <w:t>” shall mean any Trademark Security Agreement, substantially in the form of Annex II attached to the Guaranty and Security Agreement, executed by a Loan Party owning registered Trademarks or applications for Trademarks in favor of the Administrative Agent for the benefit of the Secured Parties, both on the Closing Date and thereafter.</w:t>
      </w:r>
    </w:p>
    <w:p>
      <w:pPr>
        <w:spacing w:after="0" w:line="175"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xml:space="preserve">” shall mean, for any date on which the Make-Whole Amount is paid, the yield to maturity as of such date of United States Treasury securities with a constant maturity (as compiled and published in the most recent Federal Reserve Statistical Release H.15 (519) that has become publicly available at least two (2) Business Days prior to such date (or, if such Statistical Release is no longer published, any publicly available source of similar market data)) most nearly equal to the period from such date to the date that is eighteen (18) months following the Funding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period from the Payment Date to the date that is eighteen (18) months following the Funding Date is less than one year, the weekly average yield on actually traded United States Treasury securities adjusted to a constant maturity of one year shall be used.</w:t>
      </w:r>
    </w:p>
    <w:p>
      <w:pPr>
        <w:spacing w:after="0" w:line="17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shall mean, when used in reference to a Loan or a Borrowing, whether the rate of interest on such Loan, or on the Loans comprising such Borrowing, is determined by reference to Adjusted Term SOFR or the Base Rate.</w:t>
      </w:r>
    </w:p>
    <w:p>
      <w:pPr>
        <w:spacing w:after="0" w:line="191"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shall mean the Bank of England or any other public administrative authority having responsibility for the resolution of any UK Financial Institution.</w:t>
      </w:r>
    </w:p>
    <w:p>
      <w:pPr>
        <w:spacing w:after="0" w:line="183" w:lineRule="exact"/>
        <w:rPr>
          <w:sz w:val="20"/>
          <w:szCs w:val="20"/>
          <w:color w:val="auto"/>
        </w:rPr>
      </w:pPr>
    </w:p>
    <w:p>
      <w:pPr>
        <w:jc w:val="both"/>
        <w:ind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shall mean the Benchmark Replacement excluding the Benchmark Replacement Adjustment.</w:t>
      </w:r>
    </w:p>
    <w:p>
      <w:pPr>
        <w:spacing w:after="0" w:line="17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0060"/>
          </w:cols>
          <w:pgMar w:left="1380" w:top="1440" w:right="459" w:bottom="1440" w:gutter="0" w:footer="0" w:header="0"/>
        </w:sectPr>
      </w:pPr>
    </w:p>
    <w:bookmarkStart w:id="90" w:name="page91"/>
    <w:bookmarkEnd w:id="90"/>
    <w:p>
      <w:pPr>
        <w:ind w:right="1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or “</w:t>
      </w:r>
      <w:r>
        <w:rPr>
          <w:rFonts w:ascii="Arial" w:cs="Arial" w:eastAsia="Arial" w:hAnsi="Arial"/>
          <w:sz w:val="19"/>
          <w:szCs w:val="19"/>
          <w:u w:val="single" w:color="auto"/>
          <w:color w:val="auto"/>
        </w:rPr>
        <w:t>UCC</w:t>
      </w:r>
      <w:r>
        <w:rPr>
          <w:rFonts w:ascii="Arial" w:cs="Arial" w:eastAsia="Arial" w:hAnsi="Arial"/>
          <w:sz w:val="19"/>
          <w:szCs w:val="19"/>
          <w:color w:val="auto"/>
        </w:rPr>
        <w:t>” shall mean the Uniform Commercial Code as in effect from time to time in the State of New York.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or “</w:t>
      </w:r>
      <w:r>
        <w:rPr>
          <w:rFonts w:ascii="Arial" w:cs="Arial" w:eastAsia="Arial" w:hAnsi="Arial"/>
          <w:sz w:val="19"/>
          <w:szCs w:val="19"/>
          <w:u w:val="single" w:color="auto"/>
          <w:color w:val="auto"/>
        </w:rPr>
        <w:t>U.S.</w:t>
      </w:r>
      <w:r>
        <w:rPr>
          <w:rFonts w:ascii="Arial" w:cs="Arial" w:eastAsia="Arial" w:hAnsi="Arial"/>
          <w:sz w:val="19"/>
          <w:szCs w:val="19"/>
          <w:color w:val="auto"/>
        </w:rPr>
        <w:t>” shall mean the United States of America.</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USCRO</w:t>
      </w:r>
      <w:r>
        <w:rPr>
          <w:rFonts w:ascii="Arial" w:cs="Arial" w:eastAsia="Arial" w:hAnsi="Arial"/>
          <w:sz w:val="19"/>
          <w:szCs w:val="19"/>
          <w:color w:val="auto"/>
        </w:rPr>
        <w:t>” shall have the meaning assigned to such term in the Guaranty and Security Agreement.</w:t>
      </w:r>
    </w:p>
    <w:p>
      <w:pPr>
        <w:spacing w:after="0" w:line="312"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Securities Business Day</w:t>
      </w:r>
      <w:r>
        <w:rPr>
          <w:rFonts w:ascii="Arial" w:cs="Arial" w:eastAsia="Arial" w:hAnsi="Arial"/>
          <w:sz w:val="19"/>
          <w:szCs w:val="19"/>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Insurance Subsidiary</w:t>
      </w:r>
      <w:r>
        <w:rPr>
          <w:rFonts w:ascii="Arial" w:cs="Arial" w:eastAsia="Arial" w:hAnsi="Arial"/>
          <w:sz w:val="19"/>
          <w:szCs w:val="19"/>
          <w:color w:val="auto"/>
        </w:rPr>
        <w:t xml:space="preserve">” shall mean a wholly owned Insurance Subsidiary of Holdings (whether direct or indirect) that is domiciled in the United States or any Insurance Subsidiary that is a mutual insurance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“U.S. Insurance Subsidiaries” shall mean each U.S. Insurance Subsidiary on a collective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USPTO</w:t>
      </w:r>
      <w:r>
        <w:rPr>
          <w:rFonts w:ascii="Arial" w:cs="Arial" w:eastAsia="Arial" w:hAnsi="Arial"/>
          <w:sz w:val="19"/>
          <w:szCs w:val="19"/>
          <w:color w:val="auto"/>
        </w:rPr>
        <w:t>” shall have the meaning assigned to such term in the Guaranty and Security Agreement.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10.19</w:t>
      </w:r>
      <w:r>
        <w:rPr>
          <w:rFonts w:ascii="Arial" w:cs="Arial" w:eastAsia="Arial" w:hAnsi="Arial"/>
          <w:sz w:val="19"/>
          <w:szCs w:val="19"/>
          <w:color w:val="auto"/>
        </w:rPr>
        <w: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2.21(g)(ii)(B)(iii)</w:t>
      </w:r>
      <w:r>
        <w:rPr>
          <w:rFonts w:ascii="Arial" w:cs="Arial" w:eastAsia="Arial" w:hAnsi="Arial"/>
          <w:sz w:val="19"/>
          <w:szCs w:val="19"/>
          <w:color w:val="auto"/>
        </w:rPr>
        <w: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shall mean, collectively, the Tranche 1 Warrants and the Tranche 2 Warrants.</w:t>
      </w:r>
    </w:p>
    <w:p>
      <w:pPr>
        <w:spacing w:after="0" w:line="298"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xml:space="preserve">” shall mean, when applied to any Indebtedness at any date, the number of years obtained by dividing (i) the sum of the products obtained by multiplying (x) the amount of each then remaining installment, sinking fund, serial maturity or other required payments of principal, including payment at final maturity, in respect thereof, </w:t>
      </w:r>
      <w:r>
        <w:rPr>
          <w:rFonts w:ascii="Arial" w:cs="Arial" w:eastAsia="Arial" w:hAnsi="Arial"/>
          <w:sz w:val="18"/>
          <w:szCs w:val="18"/>
          <w:i w:val="1"/>
          <w:iCs w:val="1"/>
          <w:color w:val="auto"/>
        </w:rPr>
        <w:t>by</w:t>
      </w:r>
    </w:p>
    <w:p>
      <w:pPr>
        <w:spacing w:after="0" w:line="1" w:lineRule="exact"/>
        <w:rPr>
          <w:sz w:val="20"/>
          <w:szCs w:val="20"/>
          <w:color w:val="auto"/>
        </w:rPr>
      </w:pPr>
    </w:p>
    <w:p>
      <w:pPr>
        <w:ind w:firstLine="5"/>
        <w:spacing w:after="0" w:line="228" w:lineRule="auto"/>
        <w:tabs>
          <w:tab w:leader="none" w:pos="308"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number of years (calculated to the nearest one twelfth) that will elapse between such date and the making of such payment by (ii) the then outstanding principal amount of such Indebtedness.</w:t>
      </w:r>
    </w:p>
    <w:p>
      <w:pPr>
        <w:spacing w:after="0" w:line="178"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shall mean liability to a Multiemployer Plan as a result of a complete or partial withdrawal from such Multiemployer Plan, as such terms are defined in Part I of Subtitle E of Title IV of ERISA.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Withholding Agent</w:t>
      </w:r>
      <w:r>
        <w:rPr>
          <w:rFonts w:ascii="Arial" w:cs="Arial" w:eastAsia="Arial" w:hAnsi="Arial"/>
          <w:sz w:val="19"/>
          <w:szCs w:val="19"/>
          <w:color w:val="auto"/>
        </w:rPr>
        <w:t>” shall mean the Borrower, any other Loan Party or the Administrative Agent, as applicable.</w:t>
      </w:r>
    </w:p>
    <w:p>
      <w:pPr>
        <w:spacing w:after="0" w:line="219"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0060"/>
          </w:cols>
          <w:pgMar w:left="1380" w:top="1302" w:right="459" w:bottom="1440" w:gutter="0" w:footer="0" w:header="0"/>
        </w:sectPr>
      </w:pPr>
    </w:p>
    <w:bookmarkStart w:id="91" w:name="page92"/>
    <w:bookmarkEnd w:id="91"/>
    <w:p>
      <w:pPr>
        <w:jc w:val="both"/>
        <w:ind w:firstLine="636"/>
        <w:spacing w:after="0" w:line="241"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b w:val="1"/>
          <w:bCs w:val="1"/>
          <w:u w:val="single" w:color="auto"/>
          <w:color w:val="auto"/>
        </w:rPr>
        <w:t>Classifications of Loans and Borrowings</w:t>
      </w:r>
      <w:r>
        <w:rPr>
          <w:rFonts w:ascii="Arial" w:cs="Arial" w:eastAsia="Arial" w:hAnsi="Arial"/>
          <w:sz w:val="19"/>
          <w:szCs w:val="19"/>
          <w:color w:val="auto"/>
        </w:rPr>
        <w:t>. For purposes of this Agreement, Loans may be classified and referred to by Type (e.g. “SOFR Loan” or “Base Rate Loan”).</w:t>
      </w:r>
    </w:p>
    <w:p>
      <w:pPr>
        <w:spacing w:after="0" w:line="18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u w:val="single" w:color="auto"/>
          <w:color w:val="auto"/>
        </w:rPr>
        <w:t>Accounting Terms and Determination</w:t>
      </w:r>
      <w:r>
        <w:rPr>
          <w:rFonts w:ascii="Arial" w:cs="Arial" w:eastAsia="Arial" w:hAnsi="Arial"/>
          <w:sz w:val="17"/>
          <w:szCs w:val="17"/>
          <w:color w:val="auto"/>
        </w:rPr>
        <w:t xml:space="preserve">. Unless otherwise defined or specified herein, all accounting terms used herein shall be interpreted, all accounting determinations hereunder shall be made, and all financial statements required to be delivered hereunder shall be prepared, in accordance with GAAP or SAP, as applicable, as in effect from time to time, applied on a basis consistent with the most recent audited consolidated financial statements of Holdings delivered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5.1(a)</w:t>
      </w:r>
      <w:r>
        <w:rPr>
          <w:rFonts w:ascii="Arial" w:cs="Arial" w:eastAsia="Arial" w:hAnsi="Arial"/>
          <w:sz w:val="17"/>
          <w:szCs w:val="17"/>
          <w:color w:val="auto"/>
        </w:rPr>
        <w:t xml:space="preserve"> (or, if no such financial statements have been delivered, on a basis consistent with the audited consolidated financial statements of the Borrower last delivered to the Administrative Agent in connection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notifies the Administrative Agent that the Borrower wishes to amend any covenant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to eliminate the effect of any change in GAAP or SAP, as applicable, on the operation of such covenant (or if the Administrative Agent notifies the Borrower that the Required Lenders wish to amend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such purpose), then the Borrower’s compliance with such covenant shall be determined on the basis of GAAP or SAP, as applicable, in effect immediately before the relevant change in GAAP or SAP, as applicable, became effective, until either such notice is withdrawn or such covenant is amended in a manner satisfactory to the Borrower and the Required Lenders. Notwithstanding any other provision contained herein, (a) all terms of an accounting or financial nature used herein shall be construed, and all computations of amounts and ratios referred to herein shall be made, (x) without giving effect to any election under Accounting Standards Codification Section 825-10 (or any other Financial Accounting Standard having a similar result or effect including ASU 2015-03, 1 and any other related treatment for debt discounts and premiums, such as original issue discount) to value any Indebtedness or other liabilities of any Loan Party or any Subsidiary of any Loan Party at “fair value”, as defined therein and (y) without giving effect to any treatment of Indebtedness in respect of convertible debt instruments under Accounting Standards Codification 470-20 (or any other Financial Accounting Standard having a similar result or effect) to value any such Indebtedness in a reduced or bifurcated manner as described therein, and such Indebtedness shall at all times be valued at the full stated principal amount thereof, (b) the accounting for any lease (and whether such lease shall be treated as Capital Lease Obligations) shall be based on GAAP as in effect on December 31, 2017 and without giving effect to any subsequent changes in GAAP (or required implementation of any previously promulgated changes in GAAP) relating to the treatment of a lease as an operating lease, capitalized lease or finance lease and (c) for purposes of determining compliance with any basket, test or condition under any provision of this Agreement or any other Loan Document, no Loan Party or Subsidiary may retroactively divide, classify, re-classify or deem or otherwise treat a historical transaction as having occurred in reliance on a basket or exception that was not available at the time of such historical transaction or if and to the extent that such basket or exception was relied upon for any later transaction.</w:t>
      </w:r>
    </w:p>
    <w:p>
      <w:pPr>
        <w:spacing w:after="0" w:line="186"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b w:val="1"/>
          <w:bCs w:val="1"/>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“other” and “otherwise” shall not be construed ejusdem generis with any foregoing words where a wider construction is possible. Except as otherwise expressly provided herein, the word “or” shall not be exclusive.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0060"/>
          </w:cols>
          <w:pgMar w:left="1380" w:top="1296" w:right="459" w:bottom="1440" w:gutter="0" w:footer="0" w:header="0"/>
        </w:sectPr>
      </w:pPr>
    </w:p>
    <w:bookmarkStart w:id="92" w:name="page93"/>
    <w:bookmarkEnd w:id="92"/>
    <w:p>
      <w:pPr>
        <w:spacing w:after="0" w:line="16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reference to any agreement, instrument or other document herein shall be construed as referring to such agreement, instrument or other document as it was originally executed or as it may from time to time be amended, restated, amended and restated, supplemented or otherwise modified (subject to any restrictions on such amendments, supplements or modifications set forth herein), (ii) any reference herein to any Person shall be construed to include such Person’s permitted successors and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a specific time shall be construed to refer to the time in the city and state of the Administrative Agent’s principal office, unless otherwise indicated. Unless otherwise expressly provided herein, all references to dollar amounts shall mean Dollars.</w:t>
      </w:r>
    </w:p>
    <w:p>
      <w:pPr>
        <w:spacing w:after="0" w:line="17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b w:val="1"/>
          <w:bCs w:val="1"/>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b w:val="1"/>
          <w:bCs w:val="1"/>
          <w:u w:val="single" w:color="auto"/>
          <w:color w:val="auto"/>
        </w:rPr>
        <w:t>Rates</w:t>
      </w:r>
      <w:r>
        <w:rPr>
          <w:rFonts w:ascii="Arial" w:cs="Arial" w:eastAsia="Arial" w:hAnsi="Arial"/>
          <w:sz w:val="17"/>
          <w:szCs w:val="17"/>
          <w:color w:val="auto"/>
        </w:rPr>
        <w:t>. The Administrative Agent and the Lenders do not warrant or accept responsibility for, and shall not have any liability with respect to (a) the continuation of, administration of, submission of, calculation of or any other matter related to the Base Rate,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Term SOFR Reference Rate, Adjusted Term SOFR, Term SOFR or any other Benchmark prior to its discontinuance or unavailability or (b) the effect, implementation or composition of any Conforming Changes. The Administrative Agent, the Lenders and each of its Affiliates or other related entities may engage in transactions that affect the calculation of the Base Rate, Term SOFR Reference Rate, Term SOFR, Adjusted Term SOFR, any alternative, successor or replacement rate (including any Benchmark Replacement) or any relevant adjustments thereto, in each case, in a manner adverse to the Borrower. The Administrative Agent and the Lenders may select information sources or services in their reasonable discretion to ascertain the Base Rate,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left="4020"/>
        <w:spacing w:after="0"/>
        <w:rPr>
          <w:sz w:val="20"/>
          <w:szCs w:val="20"/>
          <w:color w:val="auto"/>
        </w:rPr>
      </w:pPr>
      <w:r>
        <w:rPr>
          <w:rFonts w:ascii="Arial" w:cs="Arial" w:eastAsia="Arial" w:hAnsi="Arial"/>
          <w:sz w:val="19"/>
          <w:szCs w:val="19"/>
          <w:b w:val="1"/>
          <w:bCs w:val="1"/>
          <w:u w:val="single" w:color="auto"/>
          <w:color w:val="auto"/>
        </w:rPr>
        <w:t>ARTICLE II</w:t>
      </w:r>
    </w:p>
    <w:p>
      <w:pPr>
        <w:spacing w:after="0" w:line="285" w:lineRule="exact"/>
        <w:rPr>
          <w:sz w:val="20"/>
          <w:szCs w:val="20"/>
          <w:color w:val="auto"/>
        </w:rPr>
      </w:pPr>
    </w:p>
    <w:p>
      <w:pPr>
        <w:ind w:left="1900"/>
        <w:spacing w:after="0"/>
        <w:rPr>
          <w:sz w:val="20"/>
          <w:szCs w:val="20"/>
          <w:color w:val="auto"/>
        </w:rPr>
      </w:pPr>
      <w:r>
        <w:rPr>
          <w:rFonts w:ascii="Arial" w:cs="Arial" w:eastAsia="Arial" w:hAnsi="Arial"/>
          <w:sz w:val="19"/>
          <w:szCs w:val="19"/>
          <w:b w:val="1"/>
          <w:bCs w:val="1"/>
          <w:u w:val="single" w:color="auto"/>
          <w:color w:val="auto"/>
        </w:rPr>
        <w:t>AMOUNT AND TERMS OF THE COMMITMENTS</w:t>
      </w:r>
    </w:p>
    <w:p>
      <w:pPr>
        <w:spacing w:after="0" w:line="28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0060"/>
          </w:cols>
          <w:pgMar w:left="1380" w:top="1440" w:right="459" w:bottom="1440" w:gutter="0" w:footer="0" w:header="0"/>
        </w:sectPr>
      </w:pPr>
    </w:p>
    <w:bookmarkStart w:id="93" w:name="page94"/>
    <w:bookmarkEnd w:id="93"/>
    <w:p>
      <w:pPr>
        <w:spacing w:after="0" w:line="174"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9"/>
          <w:szCs w:val="19"/>
          <w:color w:val="auto"/>
        </w:rPr>
        <w:t>Section 2.2.</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85"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85"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9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9"/>
          <w:szCs w:val="19"/>
          <w:color w:val="auto"/>
        </w:rPr>
        <w:t>Section 2.5.</w:t>
      </w:r>
      <w:r>
        <w:rPr>
          <w:sz w:val="20"/>
          <w:szCs w:val="20"/>
          <w:color w:val="auto"/>
        </w:rPr>
        <w:tab/>
      </w:r>
      <w:r>
        <w:rPr>
          <w:rFonts w:ascii="Arial" w:cs="Arial" w:eastAsia="Arial" w:hAnsi="Arial"/>
          <w:sz w:val="17"/>
          <w:szCs w:val="17"/>
          <w:b w:val="1"/>
          <w:bCs w:val="1"/>
          <w:u w:val="single" w:color="auto"/>
          <w:color w:val="auto"/>
        </w:rPr>
        <w:t>Term Loan; Term Loan Commitments</w:t>
      </w:r>
      <w:r>
        <w:rPr>
          <w:rFonts w:ascii="Arial" w:cs="Arial" w:eastAsia="Arial" w:hAnsi="Arial"/>
          <w:sz w:val="17"/>
          <w:szCs w:val="17"/>
          <w:color w:val="auto"/>
        </w:rPr>
        <w:t>.</w:t>
      </w:r>
    </w:p>
    <w:p>
      <w:pPr>
        <w:spacing w:after="0" w:line="304" w:lineRule="exact"/>
        <w:rPr>
          <w:sz w:val="20"/>
          <w:szCs w:val="20"/>
          <w:color w:val="auto"/>
        </w:rPr>
      </w:pPr>
    </w:p>
    <w:p>
      <w:pPr>
        <w:jc w:val="both"/>
        <w:ind w:left="-60" w:firstLine="1277"/>
        <w:spacing w:after="0" w:line="226" w:lineRule="auto"/>
        <w:tabs>
          <w:tab w:leader="none" w:pos="20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in reliance upon the representations and warranties of the Loan Parties contained herein, each Lender, severally and not jointly, agrees to make a single term loan to the Borrower in Dollars on the Funding Date (the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in a principal amount set forth opposite such Lender’s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The Term Loans shall be advanced in a single Borrowing on the Funding Date and shall be made ratably by the Lenders in proportion to their respective Commitments, at which time the Commitments shall expire.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each Borrowing initially shall be of SOFR Loans.</w:t>
      </w:r>
    </w:p>
    <w:p>
      <w:pPr>
        <w:spacing w:after="0" w:line="274" w:lineRule="exact"/>
        <w:rPr>
          <w:rFonts w:ascii="Arial" w:cs="Arial" w:eastAsia="Arial" w:hAnsi="Arial"/>
          <w:sz w:val="18"/>
          <w:szCs w:val="18"/>
          <w:color w:val="auto"/>
        </w:rPr>
      </w:pPr>
    </w:p>
    <w:p>
      <w:pPr>
        <w:jc w:val="both"/>
        <w:ind w:left="-60" w:firstLine="1277"/>
        <w:spacing w:after="0" w:line="226" w:lineRule="auto"/>
        <w:tabs>
          <w:tab w:leader="none" w:pos="2048"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the Term Loans may be, from time to time, Base Rate Loans or SOFR Loans or a combination thereof. Amounts paid or prepaid with respect to the Term Loans may not be reborrowed.</w:t>
      </w:r>
    </w:p>
    <w:p>
      <w:pPr>
        <w:spacing w:after="0" w:line="17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9"/>
          <w:szCs w:val="19"/>
          <w:color w:val="auto"/>
        </w:rPr>
        <w:t>Section 2.6.</w:t>
      </w:r>
      <w:r>
        <w:rPr>
          <w:sz w:val="20"/>
          <w:szCs w:val="20"/>
          <w:color w:val="auto"/>
        </w:rPr>
        <w:tab/>
      </w:r>
      <w:r>
        <w:rPr>
          <w:rFonts w:ascii="Arial" w:cs="Arial" w:eastAsia="Arial" w:hAnsi="Arial"/>
          <w:sz w:val="17"/>
          <w:szCs w:val="17"/>
          <w:b w:val="1"/>
          <w:bCs w:val="1"/>
          <w:u w:val="single" w:color="auto"/>
          <w:color w:val="auto"/>
        </w:rPr>
        <w:t>Funding of Borrowings</w:t>
      </w:r>
      <w:r>
        <w:rPr>
          <w:rFonts w:ascii="Arial" w:cs="Arial" w:eastAsia="Arial" w:hAnsi="Arial"/>
          <w:sz w:val="17"/>
          <w:szCs w:val="17"/>
          <w:color w:val="auto"/>
        </w:rPr>
        <w:t>.</w:t>
      </w:r>
    </w:p>
    <w:p>
      <w:pPr>
        <w:spacing w:after="0" w:line="291" w:lineRule="exact"/>
        <w:rPr>
          <w:sz w:val="20"/>
          <w:szCs w:val="20"/>
          <w:color w:val="auto"/>
        </w:rPr>
      </w:pPr>
    </w:p>
    <w:p>
      <w:pPr>
        <w:jc w:val="both"/>
        <w:ind w:left="-60" w:firstLine="1277"/>
        <w:spacing w:after="0" w:line="221" w:lineRule="auto"/>
        <w:tabs>
          <w:tab w:leader="none" w:pos="20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Borrower shall give the Administrative Agent written notice (or telephonic notice promptly confirmed in writing) of any Borrowing, substantially in the form of </w:t>
      </w:r>
      <w:r>
        <w:rPr>
          <w:rFonts w:ascii="Arial" w:cs="Arial" w:eastAsia="Arial" w:hAnsi="Arial"/>
          <w:sz w:val="18"/>
          <w:szCs w:val="18"/>
          <w:u w:val="single" w:color="auto"/>
          <w:color w:val="auto"/>
        </w:rPr>
        <w:t>Exhibit 2.6</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prior to 12:00 p.m. (New York city time) three (3) U.S. Government Securities Business Days prior to the requested date of such Borrowing, or such later date and/or time as the Administrative Agent and the Lenders may agree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of a Borrowing to be made on the Funding Date may be given not later than 12:00 p.m. (New York city time) one (1) U.S. Government Securities Business Day prior to the date of such proposed Borrowing, or such later date and/or time as the Administrative Agent and the Lenders may agree). Each Notice of Borrowing shall be irrevocable and shall specify (i) the aggregate principal amount of the Borrowing, (ii) the date of the Borrowing (which shall be a U.S. Government Securities Business Day), (iii) the Type of such Term Loan comprising such Borrowing and (iv) the Borrower’s bank account information for receipt of funds. Each Borrowing shall consist entirely of Base Rate Loans or SOFR Loans, as the Borrower may request. Promptly following the receipt of a Notice of Borrowing, in accordance herewith, the Administrative Agent shall advise each Lender of the details thereof and the amount of such Lender’s Loan to be made as part of the requested Borrowing.</w:t>
      </w:r>
    </w:p>
    <w:p>
      <w:pPr>
        <w:spacing w:after="0" w:line="190" w:lineRule="exact"/>
        <w:rPr>
          <w:rFonts w:ascii="Arial" w:cs="Arial" w:eastAsia="Arial" w:hAnsi="Arial"/>
          <w:sz w:val="18"/>
          <w:szCs w:val="18"/>
          <w:color w:val="auto"/>
        </w:rPr>
      </w:pPr>
    </w:p>
    <w:p>
      <w:pPr>
        <w:jc w:val="both"/>
        <w:ind w:left="-60" w:firstLine="1277"/>
        <w:spacing w:after="0" w:line="217" w:lineRule="auto"/>
        <w:tabs>
          <w:tab w:leader="none" w:pos="2048"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Lender shall make available each Term Loan to be made by it hereunder on the proposed date thereof by wire transfer in immediately available funds by 12:00 p.m. (New York city time) to the Administrative Agent at the Payment Office. The Administrative Agent shall make such Term Loans available to the Borrower by promptly crediting the amounts that it receives, in like funds by the close of business on such proposed date, to an account designated by the Borrower to the Administrative Agent in the Notice of Borrowing.</w:t>
      </w:r>
    </w:p>
    <w:p>
      <w:pPr>
        <w:spacing w:after="0" w:line="191" w:lineRule="exact"/>
        <w:rPr>
          <w:rFonts w:ascii="Arial" w:cs="Arial" w:eastAsia="Arial" w:hAnsi="Arial"/>
          <w:sz w:val="19"/>
          <w:szCs w:val="19"/>
          <w:color w:val="auto"/>
        </w:rPr>
      </w:pPr>
    </w:p>
    <w:p>
      <w:pPr>
        <w:jc w:val="both"/>
        <w:ind w:left="-60" w:firstLine="1277"/>
        <w:spacing w:after="0" w:line="215" w:lineRule="auto"/>
        <w:tabs>
          <w:tab w:leader="none" w:pos="2050" w:val="left"/>
        </w:tabs>
        <w:numPr>
          <w:ilvl w:val="0"/>
          <w:numId w:val="54"/>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by any Lender prior to 5:00 p.m. (New York city time)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0000"/>
          </w:cols>
          <w:pgMar w:left="1440" w:top="1440" w:right="459" w:bottom="1440" w:gutter="0" w:footer="0" w:header="0"/>
        </w:sectPr>
      </w:pPr>
    </w:p>
    <w:bookmarkStart w:id="94" w:name="page95"/>
    <w:bookmarkEnd w:id="94"/>
    <w:p>
      <w:pPr>
        <w:spacing w:after="0" w:line="16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to which the Borrower may have against any Lender as a result of any default by such Lender hereunder.</w:t>
      </w:r>
    </w:p>
    <w:p>
      <w:pPr>
        <w:spacing w:after="0" w:line="171"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2.7.</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31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b w:val="1"/>
          <w:bCs w:val="1"/>
          <w:u w:val="single" w:color="auto"/>
          <w:color w:val="auto"/>
        </w:rPr>
        <w:t>Repayment of Loans</w:t>
      </w:r>
      <w:r>
        <w:rPr>
          <w:rFonts w:ascii="Arial" w:cs="Arial" w:eastAsia="Arial" w:hAnsi="Arial"/>
          <w:sz w:val="19"/>
          <w:szCs w:val="19"/>
          <w:color w:val="auto"/>
        </w:rPr>
        <w:t>. The Borrower unconditionally promises to pay to the Administrative Agent, for the account of each Lender, the outstanding principal amount of the Term Loans (together with all accrued interest, fees, premiums and other Obligations relating thereto, as applicable) of such Lender on the Maturity Date (and on such other date(s) as may be required hereunder).</w:t>
      </w:r>
    </w:p>
    <w:p>
      <w:pPr>
        <w:spacing w:after="0" w:line="179"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2.9.</w:t>
      </w:r>
      <w:r>
        <w:rPr>
          <w:sz w:val="20"/>
          <w:szCs w:val="20"/>
          <w:color w:val="auto"/>
        </w:rPr>
        <w:tab/>
      </w:r>
      <w:r>
        <w:rPr>
          <w:rFonts w:ascii="Arial" w:cs="Arial" w:eastAsia="Arial" w:hAnsi="Arial"/>
          <w:sz w:val="17"/>
          <w:szCs w:val="17"/>
          <w:b w:val="1"/>
          <w:bCs w:val="1"/>
          <w:u w:val="single" w:color="auto"/>
          <w:color w:val="auto"/>
        </w:rPr>
        <w:t>Evidence of Indebtedness</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20" w:lineRule="auto"/>
        <w:tabs>
          <w:tab w:leader="none" w:pos="21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Term Loan Commitment of each Lender, (ii) the amount of each Loan made hereunder by each Lender, the Type thereof and, in the case of each SOFR Loan, the Interest Period applicable thereto, (iii) the date of any conversion of all or a portion of any Type of Loan to another Type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(iv) the date and amount of any principal or interest due and payable or to become due and payable from the Borrower to each Lender hereunder in respect of the Loans and (v) both the date and amount of any sum received by the Administrative Agent hereunder from the Borrower in respect of the Loans and each Lender’s Pro Rata Share thereof. The entries made in such records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spacing w:after="0" w:line="196" w:lineRule="exact"/>
        <w:rPr>
          <w:rFonts w:ascii="Arial" w:cs="Arial" w:eastAsia="Arial" w:hAnsi="Arial"/>
          <w:sz w:val="18"/>
          <w:szCs w:val="18"/>
          <w:color w:val="auto"/>
        </w:rPr>
      </w:pPr>
    </w:p>
    <w:p>
      <w:pPr>
        <w:jc w:val="both"/>
        <w:ind w:firstLine="1277"/>
        <w:spacing w:after="0" w:line="226" w:lineRule="auto"/>
        <w:tabs>
          <w:tab w:leader="none" w:pos="21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evidences the obligation of the Borrower to repay the Loans and is being executed as a “noteless” term loan agreement. However, at the request of any Lender at any time, the Borrower agrees that it shall prepare, execute and deliver to such Lender a promissory note payable to such Lender (or, if requested by such Lender, to such Lender and its registered assigns) and in a form approved by the Administrative Agent in its reasonable discretion. Thereafter, the Loans evidenced by such promissory note and interest thereon shall at all times (including after assignment permitted hereunder) be represented by one or more promissory notes in such form payable to the payee named therein.</w:t>
      </w:r>
    </w:p>
    <w:p>
      <w:pPr>
        <w:spacing w:after="0" w:line="176"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b w:val="1"/>
          <w:bCs w:val="1"/>
          <w:u w:val="single" w:color="auto"/>
          <w:color w:val="auto"/>
        </w:rPr>
        <w:t>Optional Prepayments</w:t>
      </w:r>
      <w:r>
        <w:rPr>
          <w:rFonts w:ascii="Arial" w:cs="Arial" w:eastAsia="Arial" w:hAnsi="Arial"/>
          <w:sz w:val="19"/>
          <w:szCs w:val="19"/>
          <w:color w:val="auto"/>
        </w:rPr>
        <w:t xml:space="preserve">. The Borrower shall have the right, at any time and from time to time, to prepay the Term Loans, in whole or in part, together with the Prepayment Premium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(if any), but otherwise without premium or penalty, by giving written notice (or telephonic notice promptly confirmed in writing) to the Administrative Agent no later than (i) in the case of any prepayment of any SOFR Loan, 1:00 p.m. (New York City time), three (3) U.S. Government Securities Business Days prior to the date of such prepayment and (ii) in the case of any prepayment of any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0060"/>
          </w:cols>
          <w:pgMar w:left="1380" w:top="1440" w:right="459" w:bottom="1440" w:gutter="0" w:footer="0" w:header="0"/>
        </w:sectPr>
      </w:pPr>
    </w:p>
    <w:bookmarkStart w:id="95" w:name="page96"/>
    <w:bookmarkEnd w:id="95"/>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 xml:space="preserve">Loan, no later than 1:00 p.m. (New York City time) on the date of such prepayment. Each such notice shall be irrevocable and shall specify the proposed date of such prepayment and the principal amount of Term Loans (or portion thereof) to be prepaid and the Prepayment Premium (if any)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in connection with a repayment of the Term Loans may be conditioned upon the occurrence of another financing or transaction.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(subject to the occurrence of any condition described above), together with accrued interest to such date on the amount so prepaid in accordance with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SOFR Loan is prepaid on a date other than the last day of the Interest Period applicable thereto, the Borrower shall also pay all amounts required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Each prepayment made by the Borrower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Prepayment Premium due on the amount of such prepayment required by </w:t>
      </w:r>
      <w:r>
        <w:rPr>
          <w:rFonts w:ascii="Arial" w:cs="Arial" w:eastAsia="Arial" w:hAnsi="Arial"/>
          <w:sz w:val="18"/>
          <w:szCs w:val="18"/>
          <w:u w:val="single" w:color="auto"/>
          <w:color w:val="auto"/>
        </w:rPr>
        <w:t>Section 2.13; second,</w:t>
      </w:r>
      <w:r>
        <w:rPr>
          <w:rFonts w:ascii="Arial" w:cs="Arial" w:eastAsia="Arial" w:hAnsi="Arial"/>
          <w:sz w:val="18"/>
          <w:szCs w:val="18"/>
          <w:color w:val="auto"/>
        </w:rPr>
        <w:t xml:space="preserve"> to the accrued interest due on the amount of the prepayment; and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the principal balance of the Term Loans, until the same shall have been paid in full,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Lenders based on their Pro Rata Shares of the Term Loans. FOR THE AVOIDANCE OF DOUBT, ANY VOLUNTARY PAYMENT OR PREPAYMENT, INCLUDING, BUT NOT LIMITED TO,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BE MADE TOGETHER WITH THE PREPAYMENT PREMIUM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(IF REQUIRED UNDER SUCH SECTION).</w:t>
      </w:r>
    </w:p>
    <w:p>
      <w:pPr>
        <w:spacing w:after="0" w:line="19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7"/>
          <w:szCs w:val="17"/>
          <w:b w:val="1"/>
          <w:bCs w:val="1"/>
          <w:u w:val="single" w:color="auto"/>
          <w:color w:val="auto"/>
        </w:rPr>
        <w:t>Mandatory Prepayments</w:t>
      </w:r>
      <w:r>
        <w:rPr>
          <w:rFonts w:ascii="Arial" w:cs="Arial" w:eastAsia="Arial" w:hAnsi="Arial"/>
          <w:sz w:val="17"/>
          <w:szCs w:val="17"/>
          <w:color w:val="auto"/>
        </w:rPr>
        <w:t>.</w:t>
      </w:r>
    </w:p>
    <w:p>
      <w:pPr>
        <w:spacing w:after="0" w:line="212" w:lineRule="exact"/>
        <w:rPr>
          <w:sz w:val="20"/>
          <w:szCs w:val="20"/>
          <w:color w:val="auto"/>
        </w:rPr>
      </w:pPr>
    </w:p>
    <w:p>
      <w:pPr>
        <w:jc w:val="both"/>
        <w:ind w:firstLine="1277"/>
        <w:spacing w:after="0" w:line="236" w:lineRule="auto"/>
        <w:tabs>
          <w:tab w:leader="none" w:pos="211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later than the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Business Day (or such later date as agreed to by the Administrative Agent and the Lenders in their sole discretion) following the date of receipt by Holdings or any of its Subsidiaries of any Net Cash Proceeds from any sale or disposition by Holdings or any of its Subsidiaries of any assets in an aggregate amount exceeding $1,000,000, the Borrower shall prepay the Obligations in an amount equal to the Net Cash Proceeds of such sale or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not be required to prepay the Obligations with respect to proceeds from the sale or disposition of assets in the ordinary course of business (including obsolete or worn-out equipment no longer useful in its business) or in connection with Permitted Reinsurance Activities in the ordinary course of business and consistent with industry practice (including the “InsureTech” industry) and (ii) so long as no Default or Event of Default shall have occurred and be continuing at the time of the receipt of proceeds pursuant to this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at the proposed time of the reinvestment of such proceeds, the Borrower shall have the option, upon written notice to the Administrative Agent, directly or (x) 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of proceeds that have been contractually committed to be reinvested as described in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within such one hundred eighty (180)-day period, within three hundred sixty-five (365) days following the date of receipt of such proceeds, in assets of the general type used in the business of the Borrower and its Subsidiaries (excluding cash or cash equivalents) so long as such proceeds received by a Loan Party are held in Controlled Account(s) subject to Control Account Agreement(s) until reinvested;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obligation of the Borrower to prepay the Obligations under this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shall also not apply solely to the extent that (A) the sale or disposition was consummated by any Insurance Subsidiary (or Subsidiary thereof) of any of such Insurance Subsidiary’s assets (or the assets of a Subsidiary thereof) and (B) the dividend of such Net Cash Proceeds by such Insurance Subsidiary (or Subsidiary thereof) to the Borrower for application of this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is prohibited by applicable law (including, without limitation, rules and regulations of any Insurance Regulatory Authority), it being understood and agreed that absent the prohibition set forth in </w:t>
      </w:r>
      <w:r>
        <w:rPr>
          <w:rFonts w:ascii="Arial" w:cs="Arial" w:eastAsia="Arial" w:hAnsi="Arial"/>
          <w:sz w:val="17"/>
          <w:szCs w:val="17"/>
          <w:u w:val="single" w:color="auto"/>
          <w:color w:val="auto"/>
        </w:rPr>
        <w:t>clause</w:t>
      </w:r>
    </w:p>
    <w:p>
      <w:pPr>
        <w:spacing w:after="0" w:line="3" w:lineRule="exact"/>
        <w:rPr>
          <w:rFonts w:ascii="Arial" w:cs="Arial" w:eastAsia="Arial" w:hAnsi="Arial"/>
          <w:sz w:val="17"/>
          <w:szCs w:val="17"/>
          <w:color w:val="auto"/>
        </w:rPr>
      </w:pPr>
    </w:p>
    <w:p>
      <w:pPr>
        <w:jc w:val="both"/>
        <w:spacing w:after="0" w:line="225" w:lineRule="auto"/>
        <w:rPr>
          <w:rFonts w:ascii="Arial" w:cs="Arial" w:eastAsia="Arial" w:hAnsi="Arial"/>
          <w:sz w:val="17"/>
          <w:szCs w:val="17"/>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Any such prepayment shall be applied in accordance with subsection (f) of this Section. FOR THE AVOIDANCE OF DOUBT, ANY MANDATORY PAYMENT OR PREPAYMENT PURSUANT TO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BE MADE TOGETHER WITH THE PREPAYMENT PREMIUM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(IF REQUIRED UNDER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0060"/>
          </w:cols>
          <w:pgMar w:left="1380" w:top="1440" w:right="459" w:bottom="1440" w:gutter="0" w:footer="0" w:header="0"/>
        </w:sectPr>
      </w:pPr>
    </w:p>
    <w:bookmarkStart w:id="96" w:name="page97"/>
    <w:bookmarkEnd w:id="96"/>
    <w:p>
      <w:pPr>
        <w:jc w:val="both"/>
        <w:ind w:left="-5" w:firstLine="1277"/>
        <w:spacing w:after="0" w:line="268" w:lineRule="auto"/>
        <w:tabs>
          <w:tab w:leader="none" w:pos="2103" w:val="left"/>
        </w:tabs>
        <w:numPr>
          <w:ilvl w:val="1"/>
          <w:numId w:val="57"/>
        </w:numPr>
        <w:rPr>
          <w:rFonts w:ascii="Arial" w:cs="Arial" w:eastAsia="Arial" w:hAnsi="Arial"/>
          <w:sz w:val="17"/>
          <w:szCs w:val="17"/>
          <w:color w:val="auto"/>
        </w:rPr>
      </w:pPr>
      <w:r>
        <w:rPr>
          <w:rFonts w:ascii="Arial" w:cs="Arial" w:eastAsia="Arial" w:hAnsi="Arial"/>
          <w:sz w:val="17"/>
          <w:szCs w:val="17"/>
          <w:color w:val="auto"/>
        </w:rPr>
        <w:t>No later than the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Business Day (or such later date as agreed to by the Administrative Agent and the Lenders in their sole discretion) following the date of receipt by Holdings or any of its Subsidiaries of any Net Cash Proceeds from any casualty insurance policies or eminent domain, condemnation or similar proceedings (which, for the avoidance of doubt, shall not include reinsurance) in an aggregate amount exceeding $1,000,000, the Borrower shall prepay the Obligations in an amount equal to all such Net Cash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shall have occurred and be continuing at the time of the receipt of proceeds pursuant to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or at the proposed time of the reinvestment of such proceeds, the Borrower shall have the option, upon written notice to the Administrative Agent, directly or</w:t>
      </w:r>
    </w:p>
    <w:p>
      <w:pPr>
        <w:jc w:val="both"/>
        <w:ind w:left="-5" w:firstLine="5"/>
        <w:spacing w:after="0" w:line="279" w:lineRule="auto"/>
        <w:tabs>
          <w:tab w:leader="none" w:pos="28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in the case of proceeds received by a Loan Party, through one or more of its Subsidiaries that is a Loan Party or (y) in the case of proceeds received by a Subsidiary that is not a Loan Party, through one or more of its Subsidiaries, to reinvest such proceeds within one hundred eighty (180) days of receipt thereof or, in the case or proceeds that have been contractually committed to be reinvested as described in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within such one hundred eighty (180)-day period, within three hundred sixty-five (365) days following the date of receipt of such proceeds, in assets of the general type used in the business of the Borrower and its Subsidiaries (excluding cash or cash equivalents) so long as such proceeds received by a Loan Party are held in Controlled Account(s) subject to Control Account Agreement(s) until reinvested;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obligation of the Borrower to prepay the Obligations under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shall also not apply solely to the extent that (A) the Net Cash Proceeds of the casualty insurance policies or eminent domain, condemnation or similar proceedings were received by any Insurance Subsidiary (or Subsidiary thereof) and (B) the dividend of such Net Cash Proceeds by such Insurance Subsidiary (or Subsidiary thereof) to the Borrower for application of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is prohibited by applicable law (including, without limitation, rules and regulations of any Insurance Regulatory Authority), it being understood and agreed that absent the prohibition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Any such prepayment shall be applied in accordance with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of this Section. For the avoidance of doubt, no Prepayment Premium shall be due with respect to any prepayment made pursuant to this clause (b).</w:t>
      </w:r>
    </w:p>
    <w:p>
      <w:pPr>
        <w:spacing w:after="0" w:line="190" w:lineRule="exact"/>
        <w:rPr>
          <w:rFonts w:ascii="Arial" w:cs="Arial" w:eastAsia="Arial" w:hAnsi="Arial"/>
          <w:sz w:val="17"/>
          <w:szCs w:val="17"/>
          <w:color w:val="auto"/>
        </w:rPr>
      </w:pPr>
    </w:p>
    <w:p>
      <w:pPr>
        <w:jc w:val="both"/>
        <w:ind w:left="-5" w:firstLine="1277"/>
        <w:spacing w:after="0" w:line="215" w:lineRule="auto"/>
        <w:tabs>
          <w:tab w:leader="none" w:pos="2105"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later than the first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Business Day (or such later date as agreed to by the Administrative Agent and the Lenders in their sole discretion) following the date of receipt by Holdings or any of its Subsidiaries of any Net Cash Proceeds from any issuance of Indebtedness by Holdings or any of its Subsidiaries, the Borrower shall prepay the Obligations in an amount equal to all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prepay the Obligations with respect to proceeds of Indebtedness permitted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obligation of the Borrower to prepay the Obligations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shall also not apply solely to the extent that (A) the Net Cash Proceeds of such Indebtedness were incurred and received by any Insurance Subsidiary (or Subsidiary thereof) and (B) the dividend of such Net Cash Proceeds by such Insurance Subsidiary (or Subsidiary thereof) to the Borrower for application of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is prohibited by applicable law (including, without limitation, rules and regulations of any Insurance Regulatory Authority), it being understood and agreed that absent the prohibition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 Borrower shall cause such Insurance Subsidiary (or Subsidiary thereof) to immediately make a dividend of the Net Cash Proceeds to the Borrower which the Borrower shall use to prepay the Obligations in accordance with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Any such prepayment shall be applied in accordance with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FOR THE AVOIDANCE OF DOUBT, ANY MANDATORY PAYMENT OR PREPAYMENT PURSUANT TO THIS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SHALL BE MADE TOGETHER WITH THE PREPAYMENT PREMIUM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(IF REQUIRED UNDER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55"/>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0055"/>
          </w:cols>
          <w:pgMar w:left="1385" w:top="1315" w:right="459" w:bottom="1440" w:gutter="0" w:footer="0" w:header="0"/>
        </w:sectPr>
      </w:pPr>
    </w:p>
    <w:bookmarkStart w:id="97" w:name="page98"/>
    <w:bookmarkEnd w:id="97"/>
    <w:p>
      <w:pPr>
        <w:jc w:val="both"/>
        <w:ind w:firstLine="1277"/>
        <w:spacing w:after="0" w:line="217" w:lineRule="auto"/>
        <w:tabs>
          <w:tab w:leader="none" w:pos="2108"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Upon the occurrence of a Change of Control, the Borrower shall prepay the Obligations, in full, unless such prepayment is waived in writing by all of the Lenders under this Agreement. Any such prepayment shall be applied in accordance with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Section. FOR THE AVOIDANCE OF DOUBT, ANY MANDATORY PAYMENT OR PREPAYMENT PURSUANT TO THIS </w:t>
      </w:r>
      <w:r>
        <w:rPr>
          <w:rFonts w:ascii="Arial" w:cs="Arial" w:eastAsia="Arial" w:hAnsi="Arial"/>
          <w:sz w:val="19"/>
          <w:szCs w:val="19"/>
          <w:u w:val="single" w:color="auto"/>
          <w:color w:val="auto"/>
        </w:rPr>
        <w:t>SECTION 2.11(d)</w:t>
      </w:r>
      <w:r>
        <w:rPr>
          <w:rFonts w:ascii="Arial" w:cs="Arial" w:eastAsia="Arial" w:hAnsi="Arial"/>
          <w:sz w:val="19"/>
          <w:szCs w:val="19"/>
          <w:color w:val="auto"/>
        </w:rPr>
        <w:t xml:space="preserve"> SHALL BE MADE TOGETHER WITH THE PREPAYMENT PREMIUM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(IF REQUIRED UNDER SUCH SECTION).</w:t>
      </w:r>
    </w:p>
    <w:p>
      <w:pPr>
        <w:spacing w:after="0" w:line="257" w:lineRule="exact"/>
        <w:rPr>
          <w:rFonts w:ascii="Arial" w:cs="Arial" w:eastAsia="Arial" w:hAnsi="Arial"/>
          <w:sz w:val="19"/>
          <w:szCs w:val="19"/>
          <w:color w:val="auto"/>
        </w:rPr>
      </w:pPr>
    </w:p>
    <w:p>
      <w:pPr>
        <w:ind w:left="1900" w:hanging="623"/>
        <w:spacing w:after="0"/>
        <w:tabs>
          <w:tab w:leader="none" w:pos="19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3" w:lineRule="exact"/>
        <w:rPr>
          <w:rFonts w:ascii="Arial" w:cs="Arial" w:eastAsia="Arial" w:hAnsi="Arial"/>
          <w:sz w:val="19"/>
          <w:szCs w:val="19"/>
          <w:color w:val="auto"/>
        </w:rPr>
      </w:pPr>
    </w:p>
    <w:p>
      <w:pPr>
        <w:ind w:left="1540" w:hanging="262"/>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prepayments made by the Borrower pursuant to subsection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w:t>
      </w:r>
    </w:p>
    <w:p>
      <w:pPr>
        <w:jc w:val="both"/>
        <w:spacing w:after="0" w:line="213" w:lineRule="auto"/>
        <w:rPr>
          <w:rFonts w:ascii="Arial" w:cs="Arial" w:eastAsia="Arial" w:hAnsi="Arial"/>
          <w:sz w:val="18"/>
          <w:szCs w:val="18"/>
          <w:color w:val="auto"/>
        </w:rPr>
      </w:pPr>
      <w:r>
        <w:rPr>
          <w:rFonts w:ascii="Arial" w:cs="Arial" w:eastAsia="Arial" w:hAnsi="Arial"/>
          <w:sz w:val="19"/>
          <w:szCs w:val="19"/>
          <w:color w:val="auto"/>
        </w:rPr>
        <w:t xml:space="preserve">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Administrative Agent’s and Lenders’ fees and reimbursable expenses then due and payable pursuant to any of the Loan Documents, including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Prepayment Premium due on the amount of prepayment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(if any);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accrued interest due on the amount of the prepayment; and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principal balance of the Term Loans, until the same shall have been paid in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based on their Pro Rata Shares of the Term Loans.</w:t>
      </w:r>
    </w:p>
    <w:p>
      <w:pPr>
        <w:spacing w:after="0" w:line="180" w:lineRule="exact"/>
        <w:rPr>
          <w:rFonts w:ascii="Arial" w:cs="Arial" w:eastAsia="Arial" w:hAnsi="Arial"/>
          <w:sz w:val="18"/>
          <w:szCs w:val="18"/>
          <w:color w:val="auto"/>
        </w:rPr>
      </w:pPr>
    </w:p>
    <w:p>
      <w:pPr>
        <w:ind w:left="1900" w:hanging="623"/>
        <w:spacing w:after="0"/>
        <w:tabs>
          <w:tab w:leader="none" w:pos="19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7"/>
        <w:spacing w:after="0" w:line="224" w:lineRule="auto"/>
        <w:tabs>
          <w:tab w:leader="none" w:pos="2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by written notice of any prepayment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not later than 11:00 a.m. (New York City time) one (1) Business Day (or such later date as agreed to by the Administrative Agent and the Lenders in their sole discretion) before the date of prepayment. Each such notice shall specify the prepayment date (which shall be a Business Day), the principal amount of the Loans to be prepaid, the Prepayment Premium (if any) applicable thereto and a reasonably detailed calculation of the amount of such prepayment. Promptly following receipt of any such notice, the Administrative Agent shall advise the Lenders of the contents thereof. All prepayments of the Loans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accompanied by accrued and unpaid interest on the principal amount to be prepaid to, but excluding, the date of payment.</w:t>
      </w:r>
    </w:p>
    <w:p>
      <w:pPr>
        <w:spacing w:after="0" w:line="177" w:lineRule="exact"/>
        <w:rPr>
          <w:rFonts w:ascii="Arial" w:cs="Arial" w:eastAsia="Arial" w:hAnsi="Arial"/>
          <w:sz w:val="18"/>
          <w:szCs w:val="18"/>
          <w:color w:val="auto"/>
        </w:rPr>
      </w:pPr>
    </w:p>
    <w:p>
      <w:pPr>
        <w:jc w:val="both"/>
        <w:ind w:firstLine="1277"/>
        <w:spacing w:after="0" w:line="221" w:lineRule="auto"/>
        <w:tabs>
          <w:tab w:leader="none" w:pos="1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To the extent and for so long as the Borrower reasonably determines in good faith (in consultation with the Required lenders and as set forth in a written notice delivered to the Administrative Agent) that the repatriation to the Borrower of any dividend or other distribution, as applicable, from a Subsidiary that is not organized in the United States to the Borrower of any amounts required to mandatorily prepay the Obligations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would result in an adverse Tax liability (which is not de minimis) to the Borrower or any of its Subsidiaries (including any material withholding Tax and taking into account any foreign tax credit or benefit received in connection with such repatriation, as determined by the Borrower in good faith and in consultation with the Required Lenders and as set forth in a written notice delivered to the Administrative Agent) (such amount, a “</w:t>
      </w:r>
      <w:r>
        <w:rPr>
          <w:rFonts w:ascii="Arial" w:cs="Arial" w:eastAsia="Arial" w:hAnsi="Arial"/>
          <w:sz w:val="18"/>
          <w:szCs w:val="18"/>
          <w:u w:val="single" w:color="auto"/>
          <w:color w:val="auto"/>
        </w:rPr>
        <w:t>Restricted Tax Amount</w:t>
      </w:r>
      <w:r>
        <w:rPr>
          <w:rFonts w:ascii="Arial" w:cs="Arial" w:eastAsia="Arial" w:hAnsi="Arial"/>
          <w:sz w:val="18"/>
          <w:szCs w:val="18"/>
          <w:color w:val="auto"/>
        </w:rPr>
        <w:t xml:space="preserve">”), the amount that the Borrower shall be required to mandatorily prepay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reduced by the Restricted Tax Amount;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the repatriation of such dividend or other distribution would no longer result in an adverse Tax liability (which is not de minimis), such dividend or other distribution shall be promptly applied to the repayment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0060"/>
          </w:cols>
          <w:pgMar w:left="1380" w:top="1381" w:right="459" w:bottom="1440" w:gutter="0" w:footer="0" w:header="0"/>
        </w:sectPr>
      </w:pPr>
    </w:p>
    <w:bookmarkStart w:id="98" w:name="page99"/>
    <w:bookmarkEnd w:id="98"/>
    <w:p>
      <w:pPr>
        <w:spacing w:after="0" w:line="174"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2.12.</w:t>
      </w:r>
      <w:r>
        <w:rPr>
          <w:sz w:val="20"/>
          <w:szCs w:val="20"/>
          <w:color w:val="auto"/>
        </w:rPr>
        <w:tab/>
      </w:r>
      <w:r>
        <w:rPr>
          <w:rFonts w:ascii="Arial" w:cs="Arial" w:eastAsia="Arial" w:hAnsi="Arial"/>
          <w:sz w:val="17"/>
          <w:szCs w:val="17"/>
          <w:b w:val="1"/>
          <w:bCs w:val="1"/>
          <w:u w:val="single" w:color="auto"/>
          <w:color w:val="auto"/>
        </w:rPr>
        <w:t>Interest on Loans</w:t>
      </w:r>
      <w:r>
        <w:rPr>
          <w:rFonts w:ascii="Arial" w:cs="Arial" w:eastAsia="Arial" w:hAnsi="Arial"/>
          <w:sz w:val="17"/>
          <w:szCs w:val="17"/>
          <w:color w:val="auto"/>
        </w:rPr>
        <w:t>.</w:t>
      </w:r>
    </w:p>
    <w:p>
      <w:pPr>
        <w:spacing w:after="0" w:line="291" w:lineRule="exact"/>
        <w:rPr>
          <w:sz w:val="20"/>
          <w:szCs w:val="20"/>
          <w:color w:val="auto"/>
        </w:rPr>
      </w:pPr>
    </w:p>
    <w:p>
      <w:pPr>
        <w:jc w:val="both"/>
        <w:ind w:left="-60" w:firstLine="1278"/>
        <w:spacing w:after="0" w:line="226" w:lineRule="auto"/>
        <w:tabs>
          <w:tab w:leader="none" w:pos="205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Borrower shall pay interest on (i) each Base Rate Loan at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and (ii) each SOFR Loan at Adjusted Term SOFR for the applicable Interest Period then in effect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w:t>
      </w:r>
    </w:p>
    <w:p>
      <w:pPr>
        <w:spacing w:after="0" w:line="257" w:lineRule="exact"/>
        <w:rPr>
          <w:rFonts w:ascii="Arial" w:cs="Arial" w:eastAsia="Arial" w:hAnsi="Arial"/>
          <w:sz w:val="19"/>
          <w:szCs w:val="19"/>
          <w:color w:val="auto"/>
        </w:rPr>
      </w:pPr>
    </w:p>
    <w:p>
      <w:pPr>
        <w:ind w:left="1840" w:hanging="623"/>
        <w:spacing w:after="0"/>
        <w:tabs>
          <w:tab w:leader="none" w:pos="18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left="-60" w:firstLine="1277"/>
        <w:spacing w:after="0" w:line="212" w:lineRule="auto"/>
        <w:tabs>
          <w:tab w:leader="none" w:pos="205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Notwithstanding subsections (a) and (b) of this Section, at the election of the Administrative Agent (or upon the written request of the Required Lenders), and automatically after the occurrence and during the continuance of an Event of Default pursuant to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(g), (h) or (j)</w:t>
      </w:r>
      <w:r>
        <w:rPr>
          <w:rFonts w:ascii="Arial" w:cs="Arial" w:eastAsia="Arial" w:hAnsi="Arial"/>
          <w:sz w:val="19"/>
          <w:szCs w:val="19"/>
          <w:color w:val="auto"/>
        </w:rPr>
        <w:t>) if an Event of Default has occurred and is continuing, and automatically after acceleration or with respect to any past due amount hereunder, the Borrower shall pay interest (“</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with respect to all SOFR Loans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such SOFR Loans for the then-current Interest Period until the last day of such Interest Period, and thereafter, and with respect to all Base Rate Loans and all other Obligations hereunder,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200 basis points above the otherwise applicable interest rate for Base Rate Loans.</w:t>
      </w:r>
    </w:p>
    <w:p>
      <w:pPr>
        <w:spacing w:after="0" w:line="191" w:lineRule="exact"/>
        <w:rPr>
          <w:rFonts w:ascii="Arial" w:cs="Arial" w:eastAsia="Arial" w:hAnsi="Arial"/>
          <w:sz w:val="19"/>
          <w:szCs w:val="19"/>
          <w:color w:val="auto"/>
        </w:rPr>
      </w:pPr>
    </w:p>
    <w:p>
      <w:pPr>
        <w:jc w:val="both"/>
        <w:ind w:left="-60" w:firstLine="1277"/>
        <w:spacing w:after="0" w:line="213" w:lineRule="auto"/>
        <w:tabs>
          <w:tab w:leader="none" w:pos="2048"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Interest on the principal amount of all Loans shall accrue from and including the date such Loans are made to, but excluding, the date of any repayment thereof. Interest on all outstanding Base Rate Loans shall be payable quarterly in arrears on the last day of each of March, June, September and December and on the Maturity Date. Interest on all outstanding SOFR Loans shall be payable on the last day of each Interest Period applicable thereto and on the Maturity Date.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pacing w:after="0" w:line="179" w:lineRule="exact"/>
        <w:rPr>
          <w:rFonts w:ascii="Arial" w:cs="Arial" w:eastAsia="Arial" w:hAnsi="Arial"/>
          <w:sz w:val="19"/>
          <w:szCs w:val="19"/>
          <w:color w:val="auto"/>
        </w:rPr>
      </w:pPr>
    </w:p>
    <w:p>
      <w:pPr>
        <w:jc w:val="both"/>
        <w:ind w:left="-60" w:firstLine="1278"/>
        <w:spacing w:after="0" w:line="226" w:lineRule="auto"/>
        <w:tabs>
          <w:tab w:leader="none" w:pos="205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pacing w:after="0" w:line="191" w:lineRule="exact"/>
        <w:rPr>
          <w:rFonts w:ascii="Arial" w:cs="Arial" w:eastAsia="Arial" w:hAnsi="Arial"/>
          <w:sz w:val="19"/>
          <w:szCs w:val="19"/>
          <w:color w:val="auto"/>
        </w:rPr>
      </w:pPr>
    </w:p>
    <w:p>
      <w:pPr>
        <w:jc w:val="both"/>
        <w:ind w:left="-60" w:firstLine="1278"/>
        <w:spacing w:after="0" w:line="215" w:lineRule="auto"/>
        <w:tabs>
          <w:tab w:leader="none" w:pos="1468"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connection with the use or administration of Term SOFR, the Administrative Agent (in consultation with the Required Lenders and the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shall promptly notify the Borrower and the Lenders of the effectiveness of any Conforming Changes in connection with the use or administration of Term SOFR.</w:t>
      </w:r>
    </w:p>
    <w:p>
      <w:pPr>
        <w:spacing w:after="0" w:line="171"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2.13.</w:t>
      </w:r>
      <w:r>
        <w:rPr>
          <w:sz w:val="20"/>
          <w:szCs w:val="20"/>
          <w:color w:val="auto"/>
        </w:rPr>
        <w:tab/>
      </w:r>
      <w:r>
        <w:rPr>
          <w:rFonts w:ascii="Arial" w:cs="Arial" w:eastAsia="Arial" w:hAnsi="Arial"/>
          <w:sz w:val="17"/>
          <w:szCs w:val="17"/>
          <w:b w:val="1"/>
          <w:bCs w:val="1"/>
          <w:u w:val="single" w:color="auto"/>
          <w:color w:val="auto"/>
        </w:rPr>
        <w:t>Prepayment Premium</w:t>
      </w:r>
      <w:r>
        <w:rPr>
          <w:rFonts w:ascii="Arial" w:cs="Arial" w:eastAsia="Arial" w:hAnsi="Arial"/>
          <w:sz w:val="17"/>
          <w:szCs w:val="17"/>
          <w:color w:val="auto"/>
        </w:rPr>
        <w:t>.</w:t>
      </w:r>
    </w:p>
    <w:p>
      <w:pPr>
        <w:spacing w:after="0" w:line="304" w:lineRule="exact"/>
        <w:rPr>
          <w:sz w:val="20"/>
          <w:szCs w:val="20"/>
          <w:color w:val="auto"/>
        </w:rPr>
      </w:pPr>
    </w:p>
    <w:p>
      <w:pPr>
        <w:jc w:val="both"/>
        <w:ind w:left="-60" w:firstLine="1277"/>
        <w:spacing w:after="0" w:line="210" w:lineRule="auto"/>
        <w:tabs>
          <w:tab w:leader="none" w:pos="205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Any (i) voluntary payment, repayment, prepayment, satisfaction, replacement or refinancing (including in connection with any payment pursuant to Section 2.26), (ii) mandatory prepayment pursuant to Sections 2.11(a), (c) or (d), (iii) reduction to the amount of any Loan (whether in connection with any proceeding under Debtor Relief Laws or otherwise) (in each case of clauses (i), (ii) and (iii), whether before or after the occurrence of an Event of Default), (iv) the occurrence of a Change of Control or (v) acceleration (including as a result of any Event of Default (including as a result of any proceeding under Debtor Relief Laws), whether automatically or by declaration, by operation of law or otherwise), in each case, in advance of the Stated Maturity Date, of any Loans, whether in whole or in part, shall be at a price equal to (1) 100.0% of the principal amount thereof,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accrued and unpaid interest as of the date of such payment, repayment or prepayment or other event or occurrence,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(3) the Prepayment Premium, if any, as of the date of such payment, repayment or prepayment or other event or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0000"/>
          </w:cols>
          <w:pgMar w:left="1440" w:top="1440" w:right="459" w:bottom="1440" w:gutter="0" w:footer="0" w:header="0"/>
        </w:sectPr>
      </w:pPr>
    </w:p>
    <w:bookmarkStart w:id="99" w:name="page100"/>
    <w:bookmarkEnd w:id="99"/>
    <w:p>
      <w:pPr>
        <w:jc w:val="both"/>
        <w:ind w:left="-60" w:firstLine="1278"/>
        <w:spacing w:after="0" w:line="231" w:lineRule="auto"/>
        <w:tabs>
          <w:tab w:leader="none" w:pos="20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Prepayment Premium payable in accordance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presumed to be equal to the liquidated damages sustained by the Lenders as the result of the occurrence of the payment, repayment or prepayment event, and the Borrower and the other Loan Parties agree that it is reasonable under the circumstances currently existing. The Prepayment Premium, if any, shall also be payable in the event that the Obligations (and/or this Agreement) are satisfied, released, restructured, reorganized, replaced, reinstated, defeased or compromised in any proceeding under any Debtor Relief Law, by foreclosure (whether by power of judicial proceeding), deed in lieu of foreclosure or by any other means. THE BORROWER AND OTHER LOAN PARTIES EXPRESSLY WAIVE THE PROVISIONS OF ANY PRESENT OR FUTURE STATUTE OR LAW THAT PROHIBITS OR MAY PROHIBIT THE COLLECTION OF THE PREPAYMENT PREMIUM IN CONNECTION WITH ANY OF THE FOREGOING OR ANY ACCELERATION. The Borrower and the other Loan Parties expressly agree that (A) the Prepayment Premium is reasonable and is the product of an arm’s length transaction between sophisticated business people, ably represented by counsel, (B) the Prepayment Premium shall be payable notwithstanding the then-prevailing market rates at the time the payment is made, (C) there has been a course of conduct between the Lenders and the Borrower and the other Loan Parties giving specific consideration in this transaction for such agreement to pay the Prepayment Premium, (D) the Borrower and the other Loan Parties shall be estopped hereafter from claiming differently than as agreed to in this </w:t>
      </w:r>
      <w:r>
        <w:rPr>
          <w:rFonts w:ascii="Arial" w:cs="Arial" w:eastAsia="Arial" w:hAnsi="Arial"/>
          <w:sz w:val="17"/>
          <w:szCs w:val="17"/>
          <w:u w:val="single" w:color="auto"/>
          <w:color w:val="auto"/>
        </w:rPr>
        <w:t>Section 2.13</w:t>
      </w:r>
      <w:r>
        <w:rPr>
          <w:rFonts w:ascii="Arial" w:cs="Arial" w:eastAsia="Arial" w:hAnsi="Arial"/>
          <w:sz w:val="17"/>
          <w:szCs w:val="17"/>
          <w:color w:val="auto"/>
        </w:rPr>
        <w:t>, (E) the agreement of the Borrower and the other Loan Parties to pay the Prepayment Premium is a material inducement to the Lenders to extend the Term Loans and (F)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prepayment event.</w:t>
      </w:r>
    </w:p>
    <w:p>
      <w:pPr>
        <w:spacing w:after="0" w:line="185"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2.14.</w:t>
      </w:r>
      <w:r>
        <w:rPr>
          <w:sz w:val="20"/>
          <w:szCs w:val="20"/>
          <w:color w:val="auto"/>
        </w:rPr>
        <w:tab/>
      </w:r>
      <w:r>
        <w:rPr>
          <w:rFonts w:ascii="Arial" w:cs="Arial" w:eastAsia="Arial" w:hAnsi="Arial"/>
          <w:sz w:val="17"/>
          <w:szCs w:val="17"/>
          <w:b w:val="1"/>
          <w:bCs w:val="1"/>
          <w:u w:val="single" w:color="auto"/>
          <w:color w:val="auto"/>
        </w:rPr>
        <w:t>Conversion</w:t>
      </w:r>
      <w:r>
        <w:rPr>
          <w:rFonts w:ascii="Arial" w:cs="Arial" w:eastAsia="Arial" w:hAnsi="Arial"/>
          <w:sz w:val="17"/>
          <w:szCs w:val="17"/>
          <w:color w:val="auto"/>
        </w:rPr>
        <w:t>.</w:t>
      </w:r>
    </w:p>
    <w:p>
      <w:pPr>
        <w:spacing w:after="0" w:line="304" w:lineRule="exact"/>
        <w:rPr>
          <w:sz w:val="20"/>
          <w:szCs w:val="20"/>
          <w:color w:val="auto"/>
        </w:rPr>
      </w:pPr>
    </w:p>
    <w:p>
      <w:pPr>
        <w:jc w:val="both"/>
        <w:ind w:left="-60" w:firstLine="1277"/>
        <w:spacing w:after="0" w:line="226" w:lineRule="auto"/>
        <w:tabs>
          <w:tab w:leader="none" w:pos="205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Each Borrowing initially shall be of the Type specified in the applicable Notice of Borrowing. Thereafter, subject to </w:t>
      </w:r>
      <w:r>
        <w:rPr>
          <w:rFonts w:ascii="Arial" w:cs="Arial" w:eastAsia="Arial" w:hAnsi="Arial"/>
          <w:sz w:val="19"/>
          <w:szCs w:val="19"/>
          <w:u w:val="single" w:color="auto"/>
          <w:color w:val="auto"/>
        </w:rPr>
        <w:t>Section 2.17</w:t>
      </w:r>
      <w:r>
        <w:rPr>
          <w:rFonts w:ascii="Arial" w:cs="Arial" w:eastAsia="Arial" w:hAnsi="Arial"/>
          <w:sz w:val="19"/>
          <w:szCs w:val="19"/>
          <w:color w:val="auto"/>
        </w:rPr>
        <w:t>, and so long as no Default or Event of Default shall have occurred and be continuing, the Borrower shall have the option:</w:t>
      </w:r>
    </w:p>
    <w:p>
      <w:pPr>
        <w:spacing w:after="0" w:line="191" w:lineRule="exact"/>
        <w:rPr>
          <w:rFonts w:ascii="Arial" w:cs="Arial" w:eastAsia="Arial" w:hAnsi="Arial"/>
          <w:sz w:val="19"/>
          <w:szCs w:val="19"/>
          <w:color w:val="auto"/>
        </w:rPr>
      </w:pPr>
    </w:p>
    <w:p>
      <w:pPr>
        <w:jc w:val="both"/>
        <w:ind w:left="580" w:firstLine="1273"/>
        <w:spacing w:after="0" w:line="220" w:lineRule="auto"/>
        <w:tabs>
          <w:tab w:leader="none" w:pos="2062"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To convert, at any time, all or any part of any Loan equal to $100,000 and integral multiples of $100,000 in excess of that amount from one Type of Loan to another Type of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SOFR Loan may only be converted on the expiration of the Interest Period applicable to such SOFR Loan unless the Borrower shall pay all amounts due under </w:t>
      </w:r>
      <w:r>
        <w:rPr>
          <w:rFonts w:ascii="Arial" w:cs="Arial" w:eastAsia="Arial" w:hAnsi="Arial"/>
          <w:sz w:val="19"/>
          <w:szCs w:val="19"/>
          <w:u w:val="single" w:color="auto"/>
          <w:color w:val="auto"/>
        </w:rPr>
        <w:t>Section 2.20</w:t>
      </w:r>
    </w:p>
    <w:p>
      <w:pPr>
        <w:spacing w:after="0" w:line="258" w:lineRule="exact"/>
        <w:rPr>
          <w:rFonts w:ascii="Arial" w:cs="Arial" w:eastAsia="Arial" w:hAnsi="Arial"/>
          <w:sz w:val="19"/>
          <w:szCs w:val="19"/>
          <w:color w:val="auto"/>
        </w:rPr>
      </w:pPr>
    </w:p>
    <w:p>
      <w:pPr>
        <w:ind w:left="2480" w:hanging="627"/>
        <w:spacing w:after="0"/>
        <w:tabs>
          <w:tab w:leader="none" w:pos="2480" w:val="left"/>
        </w:tabs>
        <w:numPr>
          <w:ilvl w:val="1"/>
          <w:numId w:val="6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left="-60" w:firstLine="1277"/>
        <w:spacing w:after="0" w:line="270" w:lineRule="auto"/>
        <w:tabs>
          <w:tab w:leader="none" w:pos="20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Borrower shall deliver to the Administrative Agent a written notice (or a telephonic notice promptly confirmed in writing) of each Type of Loan that is to be converted, substantially in the form of </w:t>
      </w:r>
      <w:r>
        <w:rPr>
          <w:rFonts w:ascii="Arial" w:cs="Arial" w:eastAsia="Arial" w:hAnsi="Arial"/>
          <w:sz w:val="18"/>
          <w:szCs w:val="18"/>
          <w:u w:val="single" w:color="auto"/>
          <w:color w:val="auto"/>
        </w:rPr>
        <w:t>Exhibit 2.14</w:t>
      </w:r>
      <w:r>
        <w:rPr>
          <w:rFonts w:ascii="Arial" w:cs="Arial" w:eastAsia="Arial" w:hAnsi="Arial"/>
          <w:sz w:val="18"/>
          <w:szCs w:val="18"/>
          <w:color w:val="auto"/>
        </w:rPr>
        <w:t xml:space="preserve"> attached hereto (a “</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xml:space="preserve"> no later than 1:00 p.m. (New York City time) at least one (1) Business Day in advance of the proposed conversion date (in the case of a conversion to a Base Rate Loan) and at least three (3) U.S. Government Securities Business Days in advance of the proposed conversion date (in the case of a conversion to a SOFR Loan). Each Notice of Conversion shall be irrevocable, and the Borrower shall be bound to effect a conversion in accordance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0000"/>
          </w:cols>
          <w:pgMar w:left="1440" w:top="1302" w:right="459" w:bottom="1440" w:gutter="0" w:footer="0" w:header="0"/>
        </w:sectPr>
      </w:pPr>
    </w:p>
    <w:bookmarkStart w:id="100" w:name="page101"/>
    <w:bookmarkEnd w:id="100"/>
    <w:p>
      <w:pPr>
        <w:jc w:val="both"/>
        <w:ind w:firstLine="1277"/>
        <w:spacing w:after="0" w:line="226" w:lineRule="auto"/>
        <w:tabs>
          <w:tab w:leader="none" w:pos="211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on the expiration of any Interest Period in respect of any SOFR Loan, the Borrower shall have failed to deliver a Notice of Conversion, then, unless such SOFR Loan is repaid as provided herein, such SOFR Loan shall continue as a SOFR Loan with the applicable Interest Period relating thereto.</w:t>
      </w:r>
    </w:p>
    <w:p>
      <w:pPr>
        <w:spacing w:after="0" w:line="191" w:lineRule="exact"/>
        <w:rPr>
          <w:rFonts w:ascii="Arial" w:cs="Arial" w:eastAsia="Arial" w:hAnsi="Arial"/>
          <w:sz w:val="19"/>
          <w:szCs w:val="19"/>
          <w:color w:val="auto"/>
        </w:rPr>
      </w:pPr>
    </w:p>
    <w:p>
      <w:pPr>
        <w:ind w:right="520" w:firstLine="1277"/>
        <w:spacing w:after="0" w:line="237" w:lineRule="auto"/>
        <w:tabs>
          <w:tab w:leader="none" w:pos="2108" w:val="left"/>
        </w:tabs>
        <w:numPr>
          <w:ilvl w:val="0"/>
          <w:numId w:val="64"/>
        </w:numPr>
        <w:rPr>
          <w:rFonts w:ascii="Arial" w:cs="Arial" w:eastAsia="Arial" w:hAnsi="Arial"/>
          <w:sz w:val="19"/>
          <w:szCs w:val="19"/>
          <w:color w:val="auto"/>
        </w:rPr>
      </w:pPr>
      <w:r>
        <w:rPr>
          <w:rFonts w:ascii="Arial" w:cs="Arial" w:eastAsia="Arial" w:hAnsi="Arial"/>
          <w:sz w:val="19"/>
          <w:szCs w:val="19"/>
          <w:color w:val="auto"/>
        </w:rPr>
        <w:t>Upon receipt of any Notice of Conversion, the Administrative Agent shall promptly notify each Lender of the details thereof.</w:t>
      </w:r>
    </w:p>
    <w:p>
      <w:pPr>
        <w:spacing w:after="0" w:line="17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2.15.</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w:t>
      </w:r>
    </w:p>
    <w:p>
      <w:pPr>
        <w:spacing w:after="0" w:line="304" w:lineRule="exact"/>
        <w:rPr>
          <w:sz w:val="20"/>
          <w:szCs w:val="20"/>
          <w:color w:val="auto"/>
        </w:rPr>
      </w:pPr>
    </w:p>
    <w:p>
      <w:pPr>
        <w:jc w:val="both"/>
        <w:ind w:firstLine="1277"/>
        <w:spacing w:after="0" w:line="226" w:lineRule="auto"/>
        <w:tabs>
          <w:tab w:leader="none" w:pos="211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shall pay, on the Funding Date, to the Administrative Agent and its affiliates (for the account of the Persons entitled thereto in accordance with the terms thereof) all fees in the Agent Fee Letter that are due and payable on or prior to (to the extent any such fees have not already been paid) the Funding Date.</w:t>
      </w:r>
    </w:p>
    <w:p>
      <w:pPr>
        <w:spacing w:after="0" w:line="172" w:lineRule="exact"/>
        <w:rPr>
          <w:rFonts w:ascii="Arial" w:cs="Arial" w:eastAsia="Arial" w:hAnsi="Arial"/>
          <w:sz w:val="19"/>
          <w:szCs w:val="19"/>
          <w:color w:val="auto"/>
        </w:rPr>
      </w:pPr>
    </w:p>
    <w:p>
      <w:pPr>
        <w:ind w:left="2120" w:hanging="844"/>
        <w:spacing w:after="0"/>
        <w:tabs>
          <w:tab w:leader="none" w:pos="2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shall pay, on the Funding Date to the BlackRock Lenders, all fees specified in the</w:t>
      </w:r>
    </w:p>
    <w:p>
      <w:pPr>
        <w:spacing w:after="0"/>
        <w:rPr>
          <w:rFonts w:ascii="Arial" w:cs="Arial" w:eastAsia="Arial" w:hAnsi="Arial"/>
          <w:sz w:val="18"/>
          <w:szCs w:val="18"/>
          <w:color w:val="auto"/>
        </w:rPr>
      </w:pPr>
      <w:r>
        <w:rPr>
          <w:rFonts w:ascii="Arial" w:cs="Arial" w:eastAsia="Arial" w:hAnsi="Arial"/>
          <w:sz w:val="19"/>
          <w:szCs w:val="19"/>
          <w:color w:val="auto"/>
        </w:rPr>
        <w:t>BlackRock Fee Letter.</w:t>
      </w:r>
    </w:p>
    <w:p>
      <w:pPr>
        <w:spacing w:after="0" w:line="216" w:lineRule="exact"/>
        <w:rPr>
          <w:rFonts w:ascii="Arial" w:cs="Arial" w:eastAsia="Arial" w:hAnsi="Arial"/>
          <w:sz w:val="18"/>
          <w:szCs w:val="18"/>
          <w:color w:val="auto"/>
        </w:rPr>
      </w:pPr>
    </w:p>
    <w:p>
      <w:pPr>
        <w:ind w:left="2120" w:hanging="843"/>
        <w:spacing w:after="0"/>
        <w:tabs>
          <w:tab w:leader="none" w:pos="2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shall pay, on the Funding Date to the AIMCo Lender, all fees specified in the AIMCo</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Fee Letter.</w:t>
      </w:r>
    </w:p>
    <w:p>
      <w:pPr>
        <w:spacing w:after="0" w:line="210"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2.16.</w:t>
      </w:r>
      <w:r>
        <w:rPr>
          <w:sz w:val="20"/>
          <w:szCs w:val="20"/>
          <w:color w:val="auto"/>
        </w:rPr>
        <w:tab/>
      </w:r>
      <w:r>
        <w:rPr>
          <w:rFonts w:ascii="Arial" w:cs="Arial" w:eastAsia="Arial" w:hAnsi="Arial"/>
          <w:sz w:val="17"/>
          <w:szCs w:val="17"/>
          <w:b w:val="1"/>
          <w:bCs w:val="1"/>
          <w:u w:val="single" w:color="auto"/>
          <w:color w:val="auto"/>
        </w:rPr>
        <w:t>Computation of Interest and Fees</w:t>
      </w:r>
      <w:r>
        <w:rPr>
          <w:rFonts w:ascii="Arial" w:cs="Arial" w:eastAsia="Arial" w:hAnsi="Arial"/>
          <w:sz w:val="17"/>
          <w:szCs w:val="17"/>
          <w:color w:val="auto"/>
        </w:rPr>
        <w:t>.</w:t>
      </w:r>
    </w:p>
    <w:p>
      <w:pPr>
        <w:spacing w:after="0" w:line="304"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17"/>
          <w:szCs w:val="17"/>
          <w:color w:val="auto"/>
        </w:rPr>
        <w:t>Interest hereunder based on the Prime Rate shall be computed on the basis of a year of 365 days (or 366 days in a leap year) and paid for the actual number of days elapsed (including the first day but excluding the last day). All other interest and fees payable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170"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2.17.</w:t>
      </w:r>
      <w:r>
        <w:rPr>
          <w:sz w:val="20"/>
          <w:szCs w:val="20"/>
          <w:color w:val="auto"/>
        </w:rPr>
        <w:tab/>
      </w:r>
      <w:r>
        <w:rPr>
          <w:rFonts w:ascii="Arial" w:cs="Arial" w:eastAsia="Arial" w:hAnsi="Arial"/>
          <w:sz w:val="17"/>
          <w:szCs w:val="17"/>
          <w:b w:val="1"/>
          <w:bCs w:val="1"/>
          <w:u w:val="single" w:color="auto"/>
          <w:color w:val="auto"/>
        </w:rPr>
        <w:t>Inability to Determine Interest Rates</w:t>
      </w:r>
      <w:r>
        <w:rPr>
          <w:rFonts w:ascii="Arial" w:cs="Arial" w:eastAsia="Arial" w:hAnsi="Arial"/>
          <w:sz w:val="17"/>
          <w:szCs w:val="17"/>
          <w:color w:val="auto"/>
        </w:rPr>
        <w:t>.</w:t>
      </w:r>
    </w:p>
    <w:p>
      <w:pPr>
        <w:spacing w:after="0" w:line="299" w:lineRule="exact"/>
        <w:rPr>
          <w:sz w:val="20"/>
          <w:szCs w:val="20"/>
          <w:color w:val="auto"/>
        </w:rPr>
      </w:pPr>
    </w:p>
    <w:p>
      <w:pPr>
        <w:ind w:left="2120" w:hanging="842"/>
        <w:spacing w:after="0"/>
        <w:tabs>
          <w:tab w:leader="none" w:pos="2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if, on or prior to the commencement of any Interest Period for any SOFR</w:t>
      </w:r>
    </w:p>
    <w:p>
      <w:pPr>
        <w:spacing w:after="0"/>
        <w:rPr>
          <w:sz w:val="20"/>
          <w:szCs w:val="20"/>
          <w:color w:val="auto"/>
        </w:rPr>
      </w:pPr>
      <w:r>
        <w:rPr>
          <w:rFonts w:ascii="Arial" w:cs="Arial" w:eastAsia="Arial" w:hAnsi="Arial"/>
          <w:sz w:val="19"/>
          <w:szCs w:val="19"/>
          <w:color w:val="auto"/>
        </w:rPr>
        <w:t>Loan:</w:t>
      </w:r>
    </w:p>
    <w:p>
      <w:pPr>
        <w:spacing w:after="0" w:line="203" w:lineRule="exact"/>
        <w:rPr>
          <w:sz w:val="20"/>
          <w:szCs w:val="20"/>
          <w:color w:val="auto"/>
        </w:rPr>
      </w:pPr>
    </w:p>
    <w:p>
      <w:pPr>
        <w:jc w:val="both"/>
        <w:ind w:left="640" w:firstLine="1273"/>
        <w:spacing w:after="0" w:line="226" w:lineRule="auto"/>
        <w:tabs>
          <w:tab w:leader="none" w:pos="2121"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Administrative Agent shall have determined (which determination shall be conclusive and binding absent manifest error) that “Adjusted Term SOFR” or “Term SOFR”, as applicable, cannot be determined pursuant to the definitions thereof, or</w:t>
      </w:r>
    </w:p>
    <w:p>
      <w:pPr>
        <w:spacing w:after="0" w:line="177" w:lineRule="exact"/>
        <w:rPr>
          <w:rFonts w:ascii="Arial" w:cs="Arial" w:eastAsia="Arial" w:hAnsi="Arial"/>
          <w:sz w:val="19"/>
          <w:szCs w:val="19"/>
          <w:color w:val="auto"/>
        </w:rPr>
      </w:pPr>
    </w:p>
    <w:p>
      <w:pPr>
        <w:jc w:val="both"/>
        <w:ind w:left="640" w:firstLine="1273"/>
        <w:spacing w:after="0" w:line="229" w:lineRule="auto"/>
        <w:tabs>
          <w:tab w:leader="none" w:pos="27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Required Lenders determine that for any reason in connection with any request for a SOFR Loan or a conversion thereto or a continuation thereof that Adjusted Term SOFR or Term SOFR, as applicable, for any requested Interest Period with respect to a proposed SOFR Loan does not adequately and fairly reflect the cost to such Lenders of making, funding or maintaining such SOFR Loans for such Interest Period, as applicable, and the Required Lenders have provided notice of such determination to the Administrative Agent,</w:t>
      </w:r>
    </w:p>
    <w:p>
      <w:pPr>
        <w:spacing w:after="0" w:line="179" w:lineRule="exact"/>
        <w:rPr>
          <w:sz w:val="20"/>
          <w:szCs w:val="20"/>
          <w:color w:val="auto"/>
        </w:rPr>
      </w:pPr>
    </w:p>
    <w:p>
      <w:pPr>
        <w:jc w:val="both"/>
        <w:ind w:firstLine="636"/>
        <w:spacing w:after="0" w:line="224" w:lineRule="auto"/>
        <w:rPr>
          <w:sz w:val="20"/>
          <w:szCs w:val="20"/>
          <w:color w:val="auto"/>
        </w:rPr>
      </w:pPr>
      <w:r>
        <w:rPr>
          <w:rFonts w:ascii="Arial" w:cs="Arial" w:eastAsia="Arial" w:hAnsi="Arial"/>
          <w:sz w:val="18"/>
          <w:szCs w:val="18"/>
          <w:color w:val="auto"/>
        </w:rPr>
        <w:t>then the Administrative Agent shall give written notice thereof (or telephonic notice, promptly confirmed in writing) to the Borrower and to the Lenders as soon as practicable thereafter. Until the Administrative Agent shall notify the Borrower and the Lenders that the circumstances giving rise to such notice no longer exist, (i) any SOFR Loans requested to be made on the first day of such Interest Period which have not yet been incurred shall be deemed rescinded by the Borrower and (ii) all such affected SOFR Loans shall be converted into Base Rate Loans on the last day of the then-current Interest Period applicable thereto unless the Borrower prepays such SOFR Loans in accordance with this Agreement. Until such notice has been withdrawn by the Administrative Agent, no further SOFR Loans shall be made or continued as such, nor shall the Borrower have the right to convert a Type of Loan to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0060"/>
          </w:cols>
          <w:pgMar w:left="1380" w:top="1302" w:right="459" w:bottom="1440" w:gutter="0" w:footer="0" w:header="0"/>
        </w:sectPr>
      </w:pPr>
    </w:p>
    <w:bookmarkStart w:id="101" w:name="page102"/>
    <w:bookmarkEnd w:id="101"/>
    <w:p>
      <w:pPr>
        <w:ind w:left="1840" w:hanging="623"/>
        <w:spacing w:after="0"/>
        <w:tabs>
          <w:tab w:leader="none" w:pos="184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w:t>
      </w:r>
    </w:p>
    <w:p>
      <w:pPr>
        <w:spacing w:after="0" w:line="298" w:lineRule="exact"/>
        <w:rPr>
          <w:rFonts w:ascii="Arial" w:cs="Arial" w:eastAsia="Arial" w:hAnsi="Arial"/>
          <w:sz w:val="19"/>
          <w:szCs w:val="19"/>
          <w:color w:val="auto"/>
        </w:rPr>
      </w:pPr>
    </w:p>
    <w:p>
      <w:pPr>
        <w:jc w:val="both"/>
        <w:ind w:left="580" w:firstLine="1273"/>
        <w:spacing w:after="0" w:line="213" w:lineRule="auto"/>
        <w:tabs>
          <w:tab w:leader="none" w:pos="2062" w:val="left"/>
        </w:tabs>
        <w:numPr>
          <w:ilvl w:val="2"/>
          <w:numId w:val="6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upon the occurrence of a Benchmark Transition Event, the Administrative Agent, the Required Lenders and the Borrower may amend this Agreement to replace the then-current Benchmark with a Benchmark Replacement. Any such amendment with respect to a Benchmark Transition Event shall become effective on the date that the Lenders comprising the Required Lenders have delivered to the Administrative Agent written notice that such Required Lenders accept such amendment. No replacement of a Benchmark with a Benchmark Replacement pursuant to these provisions shall occur prior to the applicable Benchmark Transition Start Date.</w:t>
      </w:r>
    </w:p>
    <w:p>
      <w:pPr>
        <w:spacing w:after="0" w:line="179" w:lineRule="exact"/>
        <w:rPr>
          <w:rFonts w:ascii="Arial" w:cs="Arial" w:eastAsia="Arial" w:hAnsi="Arial"/>
          <w:sz w:val="19"/>
          <w:szCs w:val="19"/>
          <w:color w:val="auto"/>
        </w:rPr>
      </w:pPr>
    </w:p>
    <w:p>
      <w:pPr>
        <w:jc w:val="both"/>
        <w:ind w:left="580" w:firstLine="1273"/>
        <w:spacing w:after="0" w:line="229" w:lineRule="auto"/>
        <w:tabs>
          <w:tab w:leader="none" w:pos="2699" w:val="left"/>
        </w:tabs>
        <w:numPr>
          <w:ilvl w:val="2"/>
          <w:numId w:val="68"/>
        </w:numPr>
        <w:rPr>
          <w:rFonts w:ascii="Arial" w:cs="Arial" w:eastAsia="Arial" w:hAnsi="Arial"/>
          <w:sz w:val="18"/>
          <w:szCs w:val="18"/>
          <w:color w:val="auto"/>
        </w:rPr>
      </w:pPr>
      <w:r>
        <w:rPr>
          <w:rFonts w:ascii="Arial" w:cs="Arial" w:eastAsia="Arial" w:hAnsi="Arial"/>
          <w:sz w:val="18"/>
          <w:szCs w:val="18"/>
          <w:color w:val="auto"/>
        </w:rPr>
        <w:t>In connection with the use, administration, adoption or implementation of a Benchmark Replacement, the Administrative Agent and the Required Lenders shall have the right, in consultation with the Borrower, to make Conforming Changes from time to time and, notwithstanding anything to the contrary contained herein or in any other Loan Document, any amendments implementing such Conforming Changes shall become effective without any further action or consent of any other party to this Agreement or any other Loan Document.</w:t>
      </w:r>
    </w:p>
    <w:p>
      <w:pPr>
        <w:spacing w:after="0" w:line="178" w:lineRule="exact"/>
        <w:rPr>
          <w:rFonts w:ascii="Arial" w:cs="Arial" w:eastAsia="Arial" w:hAnsi="Arial"/>
          <w:sz w:val="18"/>
          <w:szCs w:val="18"/>
          <w:color w:val="auto"/>
        </w:rPr>
      </w:pPr>
    </w:p>
    <w:p>
      <w:pPr>
        <w:jc w:val="both"/>
        <w:ind w:left="580" w:firstLine="1272"/>
        <w:spacing w:after="0" w:line="222" w:lineRule="auto"/>
        <w:tabs>
          <w:tab w:leader="none" w:pos="2699"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(i) any occurrence of a Benchmark Transition Event, (ii) the implementation of any Benchmark Replacement, (iii) the effectiveness of any Conforming Changes, and (iv) (x) the removal or reinstatement of any tenor of a Benchmark pursuant to clause (iv) below and (y) the commencement or conclusion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Section.</w:t>
      </w:r>
    </w:p>
    <w:p>
      <w:pPr>
        <w:spacing w:after="0" w:line="192" w:lineRule="exact"/>
        <w:rPr>
          <w:rFonts w:ascii="Arial" w:cs="Arial" w:eastAsia="Arial" w:hAnsi="Arial"/>
          <w:sz w:val="18"/>
          <w:szCs w:val="18"/>
          <w:color w:val="auto"/>
        </w:rPr>
      </w:pPr>
    </w:p>
    <w:p>
      <w:pPr>
        <w:jc w:val="both"/>
        <w:ind w:left="580" w:firstLine="1272"/>
        <w:spacing w:after="0" w:line="229" w:lineRule="auto"/>
        <w:tabs>
          <w:tab w:leader="none" w:pos="2689" w:val="left"/>
        </w:tabs>
        <w:numPr>
          <w:ilvl w:val="2"/>
          <w:numId w:val="68"/>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Required Lenders and the Borrower) or (B) the regulatory supervisor for the administrator of such Benchmark has provided a public statement or publication of information announcing that any tenor for such Benchmark is not or will not be representative, then the Administrative Agent (in consultation with the Required Lenders and the Borrower) may modify the definition of “Interest Period” (or any similar or analogous definition) for any Benchmark settings at or after such time to remove such unavailable or non-representative tenor and</w:t>
      </w:r>
    </w:p>
    <w:p>
      <w:pPr>
        <w:spacing w:after="0" w:line="6" w:lineRule="exact"/>
        <w:rPr>
          <w:rFonts w:ascii="Arial" w:cs="Arial" w:eastAsia="Arial" w:hAnsi="Arial"/>
          <w:sz w:val="17"/>
          <w:szCs w:val="17"/>
          <w:color w:val="auto"/>
        </w:rPr>
      </w:pPr>
    </w:p>
    <w:p>
      <w:pPr>
        <w:jc w:val="both"/>
        <w:ind w:left="580"/>
        <w:spacing w:after="0" w:line="212" w:lineRule="auto"/>
        <w:tabs>
          <w:tab w:leader="none" w:pos="908"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(in consultation with the Required Lenders and the Borrower)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0000"/>
          </w:cols>
          <w:pgMar w:left="1440" w:top="1302" w:right="459" w:bottom="1440" w:gutter="0" w:footer="0" w:header="0"/>
        </w:sectPr>
      </w:pPr>
    </w:p>
    <w:bookmarkStart w:id="102" w:name="page103"/>
    <w:bookmarkEnd w:id="102"/>
    <w:p>
      <w:pPr>
        <w:jc w:val="both"/>
        <w:ind w:left="640" w:firstLine="1273"/>
        <w:spacing w:after="0" w:line="225" w:lineRule="auto"/>
        <w:tabs>
          <w:tab w:leader="none" w:pos="27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Borrowing of, conversion to or continuation of SOFR Loans to be made, converted or continued during any Benchmark Unavailability Period and, failing that, the Borrower shall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shall not be used in any determination of the Base Rate.</w:t>
      </w:r>
    </w:p>
    <w:p>
      <w:pPr>
        <w:spacing w:after="0" w:line="173"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b w:val="1"/>
          <w:bCs w:val="1"/>
          <w:u w:val="single" w:color="auto"/>
          <w:color w:val="auto"/>
        </w:rPr>
        <w:t>Illegality</w:t>
      </w:r>
      <w:r>
        <w:rPr>
          <w:rFonts w:ascii="Arial" w:cs="Arial" w:eastAsia="Arial" w:hAnsi="Arial"/>
          <w:sz w:val="16"/>
          <w:szCs w:val="16"/>
          <w:color w:val="auto"/>
        </w:rPr>
        <w:t>.</w:t>
      </w:r>
      <w:r>
        <w:rPr>
          <w:rFonts w:ascii="Arial" w:cs="Arial" w:eastAsia="Arial" w:hAnsi="Arial"/>
          <w:sz w:val="18"/>
          <w:szCs w:val="18"/>
          <w:color w:val="auto"/>
        </w:rPr>
        <w:t xml:space="preserve"> If any Change in Law shall make it unlawful or impossible for any Lender to make, maintain or fund any SOFR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SOFR Loans, or to continue or convert outstanding Types of Loans as or into SOFR Loans, shall be suspended. In the case of the making of a SOFR Loan, if the affected SOFR Loan is then-outstanding, such SOFR Loan shall be converted to a Base Rate Loan either (i) on the last day of the then-current Interest Period applicable to such SOFR Loan if such Lender may lawfully continue to maintain such SOFR Loan to such date or (ii) immediately if such Lender shall determine that it may not lawfully continue to maintain such SOFR Loan to such date.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w:t>
      </w:r>
    </w:p>
    <w:p>
      <w:pPr>
        <w:spacing w:after="0" w:line="19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2.19.</w:t>
      </w:r>
      <w:r>
        <w:rPr>
          <w:sz w:val="20"/>
          <w:szCs w:val="20"/>
          <w:color w:val="auto"/>
        </w:rPr>
        <w:tab/>
      </w:r>
      <w:r>
        <w:rPr>
          <w:rFonts w:ascii="Arial" w:cs="Arial" w:eastAsia="Arial" w:hAnsi="Arial"/>
          <w:sz w:val="16"/>
          <w:szCs w:val="16"/>
          <w:b w:val="1"/>
          <w:bCs w:val="1"/>
          <w:u w:val="single" w:color="auto"/>
          <w:color w:val="auto"/>
        </w:rPr>
        <w:t>Increased Costs</w:t>
      </w:r>
      <w:r>
        <w:rPr>
          <w:rFonts w:ascii="Arial" w:cs="Arial" w:eastAsia="Arial" w:hAnsi="Arial"/>
          <w:sz w:val="16"/>
          <w:szCs w:val="16"/>
          <w:color w:val="auto"/>
        </w:rPr>
        <w:t>.</w:t>
      </w:r>
    </w:p>
    <w:p>
      <w:pPr>
        <w:spacing w:after="0" w:line="291" w:lineRule="exact"/>
        <w:rPr>
          <w:sz w:val="20"/>
          <w:szCs w:val="20"/>
          <w:color w:val="auto"/>
        </w:rPr>
      </w:pPr>
    </w:p>
    <w:p>
      <w:pPr>
        <w:ind w:left="1900" w:hanging="623"/>
        <w:spacing w:after="0"/>
        <w:tabs>
          <w:tab w:leader="none" w:pos="19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any Change in Law shall:</w:t>
      </w:r>
    </w:p>
    <w:p>
      <w:pPr>
        <w:spacing w:after="0" w:line="205" w:lineRule="exact"/>
        <w:rPr>
          <w:rFonts w:ascii="Arial" w:cs="Arial" w:eastAsia="Arial" w:hAnsi="Arial"/>
          <w:sz w:val="19"/>
          <w:szCs w:val="19"/>
          <w:color w:val="auto"/>
        </w:rPr>
      </w:pPr>
    </w:p>
    <w:p>
      <w:pPr>
        <w:jc w:val="both"/>
        <w:ind w:left="640" w:firstLine="1273"/>
        <w:spacing w:after="0" w:line="238" w:lineRule="auto"/>
        <w:tabs>
          <w:tab w:leader="none" w:pos="218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that is not otherwise included in the determination of Adjusted Term SOFR hereunder against assets of, deposits with or for the account of, or credit extended by, any Lender (except any such reserve requirement reflected in Term SOFR); or</w:t>
      </w:r>
    </w:p>
    <w:p>
      <w:pPr>
        <w:spacing w:after="0" w:line="192" w:lineRule="exact"/>
        <w:rPr>
          <w:rFonts w:ascii="Arial" w:cs="Arial" w:eastAsia="Arial" w:hAnsi="Arial"/>
          <w:sz w:val="18"/>
          <w:szCs w:val="18"/>
          <w:color w:val="auto"/>
        </w:rPr>
      </w:pPr>
    </w:p>
    <w:p>
      <w:pPr>
        <w:jc w:val="both"/>
        <w:ind w:left="640" w:firstLine="1273"/>
        <w:spacing w:after="0" w:line="238" w:lineRule="auto"/>
        <w:tabs>
          <w:tab w:leader="none" w:pos="2759"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spacing w:after="0" w:line="192" w:lineRule="exact"/>
        <w:rPr>
          <w:rFonts w:ascii="Arial" w:cs="Arial" w:eastAsia="Arial" w:hAnsi="Arial"/>
          <w:sz w:val="18"/>
          <w:szCs w:val="18"/>
          <w:color w:val="auto"/>
        </w:rPr>
      </w:pPr>
    </w:p>
    <w:p>
      <w:pPr>
        <w:jc w:val="both"/>
        <w:ind w:left="640" w:firstLine="1273"/>
        <w:spacing w:after="0" w:line="226" w:lineRule="auto"/>
        <w:tabs>
          <w:tab w:leader="none" w:pos="2759" w:val="left"/>
        </w:tabs>
        <w:numPr>
          <w:ilvl w:val="1"/>
          <w:numId w:val="71"/>
        </w:numPr>
        <w:rPr>
          <w:rFonts w:ascii="Arial" w:cs="Arial" w:eastAsia="Arial" w:hAnsi="Arial"/>
          <w:sz w:val="19"/>
          <w:szCs w:val="19"/>
          <w:color w:val="auto"/>
        </w:rPr>
      </w:pPr>
      <w:r>
        <w:rPr>
          <w:rFonts w:ascii="Arial" w:cs="Arial" w:eastAsia="Arial" w:hAnsi="Arial"/>
          <w:sz w:val="19"/>
          <w:szCs w:val="19"/>
          <w:color w:val="auto"/>
        </w:rPr>
        <w:t>impose on any Lender or the interbank market any other condition, cost or expense (other than Taxes) affecting this Agreement or any SOFR Loans made by such Lender (except any such requirement reflected in Term SOFR);</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and the result of any of the foregoing is to increase the cost to such Lender of making, converting into, continuing or maintaining a SOFR Loan or to increase the cost to such Lender, then, from time to time, such Lender may provide the Borrower (with a copy thereof to the Administrative Agent) with written notice and demand with respect to such increased costs or reduced amounts, and within ten (10) Business Days after receipt of such notice and demand, the Borrower shall pay to such Lender such additional amounts as will compensate such Lender for any such increased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0060"/>
          </w:cols>
          <w:pgMar w:left="1380" w:top="1302" w:right="459" w:bottom="1440" w:gutter="0" w:footer="0" w:header="0"/>
        </w:sectPr>
      </w:pPr>
    </w:p>
    <w:bookmarkStart w:id="103" w:name="page104"/>
    <w:bookmarkEnd w:id="103"/>
    <w:p>
      <w:pPr>
        <w:spacing w:after="0" w:line="167" w:lineRule="exact"/>
        <w:rPr>
          <w:sz w:val="20"/>
          <w:szCs w:val="20"/>
          <w:color w:val="auto"/>
        </w:rPr>
      </w:pPr>
    </w:p>
    <w:p>
      <w:pPr>
        <w:jc w:val="both"/>
        <w:ind w:firstLine="1277"/>
        <w:spacing w:after="0" w:line="222" w:lineRule="auto"/>
        <w:tabs>
          <w:tab w:leader="none" w:pos="2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any Lender shall have determined that any Change in Law regarding capital or liquidity ratios or requirements has or would have the effect of reducing the rate of return on such Lender’s capital (or on the capital of the Parent Company of such Lender) as a consequence of its obligations hereunder to a level below that which such Lender or such Parent Company could have achieved but for such Change in Law (taking into consideration such Lender’s policies or the policies of such Parent Company with respect to capital adequacy and liquidity), then, from time to time, such Lender may provide the Borrower (with a copy thereof to the Administrative Agent) with written notice and demand with respect to such reduced amounts, and within ten (10) Business Days after receipt of such notice and demand the Borrower shall pay to such Lender such additional amounts as will compensate such Lender or such Parent Company for any such reduction suffered. Notwithstanding the foregoing, this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not apply to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or (C) Connection Income Taxes.</w:t>
      </w:r>
    </w:p>
    <w:p>
      <w:pPr>
        <w:spacing w:after="0" w:line="192" w:lineRule="exact"/>
        <w:rPr>
          <w:rFonts w:ascii="Arial" w:cs="Arial" w:eastAsia="Arial" w:hAnsi="Arial"/>
          <w:sz w:val="18"/>
          <w:szCs w:val="18"/>
          <w:color w:val="auto"/>
        </w:rPr>
      </w:pPr>
    </w:p>
    <w:p>
      <w:pPr>
        <w:jc w:val="both"/>
        <w:ind w:firstLine="1277"/>
        <w:spacing w:after="0" w:line="238" w:lineRule="auto"/>
        <w:tabs>
          <w:tab w:leader="none" w:pos="21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certificate of such Lender setting forth the amount or amounts necessary to compensate such Lender or the Parent Company of such Lender, as the case may be,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delivered to the Borrower (with a copy to the Administrative Agent) and shall be conclusive, absent manifest error.</w:t>
      </w:r>
    </w:p>
    <w:p>
      <w:pPr>
        <w:spacing w:after="0" w:line="192" w:lineRule="exact"/>
        <w:rPr>
          <w:rFonts w:ascii="Arial" w:cs="Arial" w:eastAsia="Arial" w:hAnsi="Arial"/>
          <w:sz w:val="18"/>
          <w:szCs w:val="18"/>
          <w:color w:val="auto"/>
        </w:rPr>
      </w:pPr>
    </w:p>
    <w:p>
      <w:pPr>
        <w:jc w:val="both"/>
        <w:ind w:firstLine="1277"/>
        <w:spacing w:after="0" w:line="213" w:lineRule="auto"/>
        <w:tabs>
          <w:tab w:leader="none" w:pos="210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any Lender pursuant to this Section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 (6)-month period referred to above shall be extended to include the period of retroactive effect thereof).</w:t>
      </w:r>
    </w:p>
    <w:p>
      <w:pPr>
        <w:spacing w:after="0" w:line="174"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b w:val="1"/>
          <w:bCs w:val="1"/>
          <w:u w:val="single" w:color="auto"/>
          <w:color w:val="auto"/>
        </w:rPr>
        <w:t>Funding Indemnity</w:t>
      </w:r>
      <w:r>
        <w:rPr>
          <w:rFonts w:ascii="Arial" w:cs="Arial" w:eastAsia="Arial" w:hAnsi="Arial"/>
          <w:sz w:val="17"/>
          <w:szCs w:val="17"/>
          <w:color w:val="auto"/>
        </w:rPr>
        <w:t xml:space="preserve">. In the event of (a) the payment of any principal of a SOFR Loan other than on the last day of the Interest Period applicable thereto (including as a result of an Event of Default), (b) the conversion of a SOFR Loan other than on the last day of the Interest Period applicable thereto, (c) the failure by the Borrower to borrow, prepay, convert or continue any SOFR Loan on the date specified in any applicable notice (regardless of whether such notice is withdrawn or revoked but other than as a result of a notice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or (d) the assignment of any SOFR Loan other than on the last day of the Interest Period applicable thereto as a result of a request by the Borrower pursuant to </w:t>
      </w:r>
      <w:r>
        <w:rPr>
          <w:rFonts w:ascii="Arial" w:cs="Arial" w:eastAsia="Arial" w:hAnsi="Arial"/>
          <w:sz w:val="17"/>
          <w:szCs w:val="17"/>
          <w:u w:val="single" w:color="auto"/>
          <w:color w:val="auto"/>
        </w:rPr>
        <w:t>Section 2.26</w:t>
      </w:r>
      <w:r>
        <w:rPr>
          <w:rFonts w:ascii="Arial" w:cs="Arial" w:eastAsia="Arial" w:hAnsi="Arial"/>
          <w:sz w:val="17"/>
          <w:szCs w:val="17"/>
          <w:color w:val="auto"/>
        </w:rPr>
        <w:t>, then, in any such event, the Borrower shall compensate each Lender, within ten(10) Business Days after written demand from such Lender, for any loss, cost or expense attributable to such event. In the case of a SOFR Loan, such loss, cost or expense shall be deemed to include an amount determined by such Lender to be the excess, if any, of (A) the amount of interest that would have accrued on the principal amount of such SOFR Loan if such event had not occurred at Adjusted Term SOFR applicable to such SOFR Loan for the period from the date of such event to the last day of the then-current Interest Period therefor (or, in the case of a failure to borrow, convert or continue, for the period that would have been the Interest Period for such SOFR Loan) over (B) the amount of interest that would accrue on the principal amount of such SOFR Loan for the same period if Adjusted Term SOFR was set on the date such SOFR Loan was prepaid or converted or the date on which the Borrower failed to borrow, convert or continue such SOFR Loan. A certificate as to any additional amount payable under this Section submitted to the Borrower by any Lender (with a copy to the Administrative Agent)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0060"/>
          </w:cols>
          <w:pgMar w:left="1380" w:top="1440" w:right="459" w:bottom="1440" w:gutter="0" w:footer="0" w:header="0"/>
        </w:sectPr>
      </w:pPr>
    </w:p>
    <w:bookmarkStart w:id="104" w:name="page105"/>
    <w:bookmarkEnd w:id="104"/>
    <w:p>
      <w:pPr>
        <w:spacing w:after="0" w:line="174"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2.21.</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304" w:lineRule="exact"/>
        <w:rPr>
          <w:sz w:val="20"/>
          <w:szCs w:val="20"/>
          <w:color w:val="auto"/>
        </w:rPr>
      </w:pPr>
    </w:p>
    <w:p>
      <w:pPr>
        <w:ind w:left="2060" w:hanging="842"/>
        <w:spacing w:after="0"/>
        <w:tabs>
          <w:tab w:leader="none" w:pos="206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2.21</w:t>
      </w:r>
      <w:r>
        <w:rPr>
          <w:rFonts w:ascii="Arial" w:cs="Arial" w:eastAsia="Arial" w:hAnsi="Arial"/>
          <w:sz w:val="19"/>
          <w:szCs w:val="19"/>
          <w:color w:val="auto"/>
        </w:rPr>
        <w:t>, the term “applicable law” includes FATCA.</w:t>
      </w:r>
    </w:p>
    <w:p>
      <w:pPr>
        <w:spacing w:after="0" w:line="232" w:lineRule="exact"/>
        <w:rPr>
          <w:rFonts w:ascii="Arial" w:cs="Arial" w:eastAsia="Arial" w:hAnsi="Arial"/>
          <w:sz w:val="19"/>
          <w:szCs w:val="19"/>
          <w:color w:val="auto"/>
        </w:rPr>
      </w:pPr>
    </w:p>
    <w:p>
      <w:pPr>
        <w:jc w:val="both"/>
        <w:ind w:left="-60" w:firstLine="1278"/>
        <w:spacing w:after="0" w:line="223" w:lineRule="auto"/>
        <w:tabs>
          <w:tab w:leader="none" w:pos="20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3" w:lineRule="exact"/>
        <w:rPr>
          <w:rFonts w:ascii="Arial" w:cs="Arial" w:eastAsia="Arial" w:hAnsi="Arial"/>
          <w:sz w:val="18"/>
          <w:szCs w:val="18"/>
          <w:color w:val="auto"/>
        </w:rPr>
      </w:pPr>
    </w:p>
    <w:p>
      <w:pPr>
        <w:jc w:val="both"/>
        <w:ind w:left="-60" w:firstLine="1278"/>
        <w:spacing w:after="0" w:line="263" w:lineRule="auto"/>
        <w:tabs>
          <w:tab w:leader="none" w:pos="205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The Borrower shall timely pay to the relevant Governmental Authority in accordance with applicable law, or at the option of the Administrative Agent timely reimburse it for the payment of, any Other Taxes.</w:t>
      </w:r>
    </w:p>
    <w:p>
      <w:pPr>
        <w:spacing w:after="0" w:line="182" w:lineRule="exact"/>
        <w:rPr>
          <w:rFonts w:ascii="Arial" w:cs="Arial" w:eastAsia="Arial" w:hAnsi="Arial"/>
          <w:sz w:val="19"/>
          <w:szCs w:val="19"/>
          <w:color w:val="auto"/>
        </w:rPr>
      </w:pPr>
    </w:p>
    <w:p>
      <w:pPr>
        <w:jc w:val="both"/>
        <w:ind w:left="-60" w:firstLine="1277"/>
        <w:spacing w:after="0" w:line="224" w:lineRule="auto"/>
        <w:tabs>
          <w:tab w:leader="none" w:pos="20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xml:space="preserve">. Without duplication of any additional amounts paid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hereof, the Borrower shall indemnify each Recipient (without duplication),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0" w:lineRule="exact"/>
        <w:rPr>
          <w:rFonts w:ascii="Arial" w:cs="Arial" w:eastAsia="Arial" w:hAnsi="Arial"/>
          <w:sz w:val="18"/>
          <w:szCs w:val="18"/>
          <w:color w:val="auto"/>
        </w:rPr>
      </w:pPr>
    </w:p>
    <w:p>
      <w:pPr>
        <w:jc w:val="both"/>
        <w:ind w:left="-60" w:firstLine="1278"/>
        <w:spacing w:after="0" w:line="209" w:lineRule="auto"/>
        <w:tabs>
          <w:tab w:leader="none" w:pos="205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ten (10) Business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paragraph (e)</w:t>
      </w:r>
      <w:r>
        <w:rPr>
          <w:rFonts w:ascii="Arial" w:cs="Arial" w:eastAsia="Arial" w:hAnsi="Arial"/>
          <w:sz w:val="19"/>
          <w:szCs w:val="19"/>
          <w:color w:val="auto"/>
        </w:rPr>
        <w:t>.</w:t>
      </w:r>
    </w:p>
    <w:p>
      <w:pPr>
        <w:spacing w:after="0" w:line="260" w:lineRule="exact"/>
        <w:rPr>
          <w:rFonts w:ascii="Arial" w:cs="Arial" w:eastAsia="Arial" w:hAnsi="Arial"/>
          <w:sz w:val="19"/>
          <w:szCs w:val="19"/>
          <w:color w:val="auto"/>
        </w:rPr>
      </w:pPr>
    </w:p>
    <w:p>
      <w:pPr>
        <w:jc w:val="both"/>
        <w:ind w:left="-60" w:firstLine="1278"/>
        <w:spacing w:after="0" w:line="217" w:lineRule="auto"/>
        <w:tabs>
          <w:tab w:leader="none" w:pos="1419"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or any other Loan Party to a Governmental Authority pursuant to this </w:t>
      </w:r>
      <w:r>
        <w:rPr>
          <w:rFonts w:ascii="Arial" w:cs="Arial" w:eastAsia="Arial" w:hAnsi="Arial"/>
          <w:sz w:val="19"/>
          <w:szCs w:val="19"/>
          <w:u w:val="single" w:color="auto"/>
          <w:color w:val="auto"/>
        </w:rPr>
        <w:t>Section 2.21</w:t>
      </w:r>
      <w:r>
        <w:rPr>
          <w:rFonts w:ascii="Arial" w:cs="Arial" w:eastAsia="Arial" w:hAnsi="Arial"/>
          <w:sz w:val="19"/>
          <w:szCs w:val="19"/>
          <w:color w:val="auto"/>
        </w:rPr>
        <w:t>,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0000"/>
          </w:cols>
          <w:pgMar w:left="1440" w:top="1440" w:right="459" w:bottom="1440" w:gutter="0" w:footer="0" w:header="0"/>
        </w:sectPr>
      </w:pPr>
    </w:p>
    <w:bookmarkStart w:id="105" w:name="page106"/>
    <w:bookmarkEnd w:id="105"/>
    <w:p>
      <w:pPr>
        <w:ind w:left="1840" w:hanging="623"/>
        <w:spacing w:after="0"/>
        <w:tabs>
          <w:tab w:leader="none" w:pos="184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w:t>
      </w:r>
    </w:p>
    <w:p>
      <w:pPr>
        <w:spacing w:after="0" w:line="298" w:lineRule="exact"/>
        <w:rPr>
          <w:rFonts w:ascii="Arial" w:cs="Arial" w:eastAsia="Arial" w:hAnsi="Arial"/>
          <w:sz w:val="19"/>
          <w:szCs w:val="19"/>
          <w:color w:val="auto"/>
        </w:rPr>
      </w:pPr>
    </w:p>
    <w:p>
      <w:pPr>
        <w:jc w:val="both"/>
        <w:ind w:left="580" w:firstLine="1273"/>
        <w:spacing w:after="0" w:line="220" w:lineRule="auto"/>
        <w:tabs>
          <w:tab w:leader="none" w:pos="206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2.21(g)(ii)(A)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2.21(g)(ii)(B) and 2.21(g)(ii)(D)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Solely for purposes of this </w:t>
      </w:r>
      <w:r>
        <w:rPr>
          <w:rFonts w:ascii="Arial" w:cs="Arial" w:eastAsia="Arial" w:hAnsi="Arial"/>
          <w:sz w:val="18"/>
          <w:szCs w:val="18"/>
          <w:u w:val="single" w:color="auto"/>
          <w:color w:val="auto"/>
        </w:rPr>
        <w:t>Section 2.21(g)</w:t>
      </w:r>
      <w:r>
        <w:rPr>
          <w:rFonts w:ascii="Arial" w:cs="Arial" w:eastAsia="Arial" w:hAnsi="Arial"/>
          <w:sz w:val="18"/>
          <w:szCs w:val="18"/>
          <w:color w:val="auto"/>
        </w:rPr>
        <w:t>, the Administrative Agent shall be considered to be a Lender (and if applicable, a Foreign Lender).</w:t>
      </w:r>
    </w:p>
    <w:p>
      <w:pPr>
        <w:spacing w:after="0" w:line="179" w:lineRule="exact"/>
        <w:rPr>
          <w:rFonts w:ascii="Arial" w:cs="Arial" w:eastAsia="Arial" w:hAnsi="Arial"/>
          <w:sz w:val="18"/>
          <w:szCs w:val="18"/>
          <w:color w:val="auto"/>
        </w:rPr>
      </w:pPr>
    </w:p>
    <w:p>
      <w:pPr>
        <w:ind w:left="2480" w:hanging="627"/>
        <w:spacing w:after="0"/>
        <w:tabs>
          <w:tab w:leader="none" w:pos="24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Without limiting the generality of the foregoing,</w:t>
      </w:r>
    </w:p>
    <w:p>
      <w:pPr>
        <w:spacing w:after="0" w:line="205" w:lineRule="exact"/>
        <w:rPr>
          <w:rFonts w:ascii="Arial" w:cs="Arial" w:eastAsia="Arial" w:hAnsi="Arial"/>
          <w:sz w:val="19"/>
          <w:szCs w:val="19"/>
          <w:color w:val="auto"/>
        </w:rPr>
      </w:pPr>
    </w:p>
    <w:p>
      <w:pPr>
        <w:jc w:val="both"/>
        <w:ind w:left="1220" w:firstLine="1269"/>
        <w:spacing w:after="0" w:line="248" w:lineRule="auto"/>
        <w:tabs>
          <w:tab w:leader="none" w:pos="3331" w:val="left"/>
        </w:tabs>
        <w:numPr>
          <w:ilvl w:val="2"/>
          <w:numId w:val="74"/>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85" w:lineRule="exact"/>
        <w:rPr>
          <w:rFonts w:ascii="Arial" w:cs="Arial" w:eastAsia="Arial" w:hAnsi="Arial"/>
          <w:sz w:val="17"/>
          <w:szCs w:val="17"/>
          <w:color w:val="auto"/>
        </w:rPr>
      </w:pPr>
    </w:p>
    <w:p>
      <w:pPr>
        <w:jc w:val="both"/>
        <w:ind w:left="1220" w:firstLine="1269"/>
        <w:spacing w:after="0" w:line="217" w:lineRule="auto"/>
        <w:tabs>
          <w:tab w:leader="none" w:pos="3334" w:val="left"/>
        </w:tabs>
        <w:numPr>
          <w:ilvl w:val="2"/>
          <w:numId w:val="74"/>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19"/>
          <w:szCs w:val="19"/>
          <w:color w:val="auto"/>
        </w:rPr>
      </w:pPr>
    </w:p>
    <w:p>
      <w:pPr>
        <w:jc w:val="both"/>
        <w:ind w:left="1860" w:firstLine="1265"/>
        <w:spacing w:after="0" w:line="212" w:lineRule="auto"/>
        <w:tabs>
          <w:tab w:leader="none" w:pos="3417" w:val="left"/>
        </w:tabs>
        <w:numPr>
          <w:ilvl w:val="3"/>
          <w:numId w:val="74"/>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forms) establishing an exemption from, or reduction of, U.S. federal withholding Tax pursuant to the “interest” article of such tax treaty and (y) with respect to any other applicable payments under any Loan Document, IRS Form W-8BEN or IRS Form W-8BEN-E (as applicable, or any successor forms) establishing an exemption from, or reduction of, U.S. federal withholding Tax pursuant to the “business profits” or “other income” article of such tax treaty;</w:t>
      </w:r>
    </w:p>
    <w:p>
      <w:pPr>
        <w:spacing w:after="0" w:line="191" w:lineRule="exact"/>
        <w:rPr>
          <w:rFonts w:ascii="Arial" w:cs="Arial" w:eastAsia="Arial" w:hAnsi="Arial"/>
          <w:sz w:val="19"/>
          <w:szCs w:val="19"/>
          <w:color w:val="auto"/>
        </w:rPr>
      </w:pPr>
    </w:p>
    <w:p>
      <w:pPr>
        <w:ind w:left="3980" w:hanging="855"/>
        <w:spacing w:after="0"/>
        <w:tabs>
          <w:tab w:leader="none" w:pos="3980" w:val="left"/>
        </w:tabs>
        <w:numPr>
          <w:ilvl w:val="3"/>
          <w:numId w:val="74"/>
        </w:numPr>
        <w:rPr>
          <w:rFonts w:ascii="Arial" w:cs="Arial" w:eastAsia="Arial" w:hAnsi="Arial"/>
          <w:sz w:val="19"/>
          <w:szCs w:val="19"/>
          <w:color w:val="auto"/>
        </w:rPr>
      </w:pPr>
      <w:r>
        <w:rPr>
          <w:rFonts w:ascii="Arial" w:cs="Arial" w:eastAsia="Arial" w:hAnsi="Arial"/>
          <w:sz w:val="19"/>
          <w:szCs w:val="19"/>
          <w:color w:val="auto"/>
        </w:rPr>
        <w:t>executed originals of IRS Form W-8ECI (or any successor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0000"/>
          </w:cols>
          <w:pgMar w:left="1440" w:top="1302" w:right="459" w:bottom="1440" w:gutter="0" w:footer="0" w:header="0"/>
        </w:sectPr>
      </w:pPr>
    </w:p>
    <w:bookmarkStart w:id="106" w:name="page107"/>
    <w:bookmarkEnd w:id="106"/>
    <w:p>
      <w:pPr>
        <w:spacing w:after="0" w:line="167" w:lineRule="exact"/>
        <w:rPr>
          <w:sz w:val="20"/>
          <w:szCs w:val="20"/>
          <w:color w:val="auto"/>
        </w:rPr>
      </w:pPr>
    </w:p>
    <w:p>
      <w:pPr>
        <w:jc w:val="both"/>
        <w:ind w:left="1920" w:firstLine="1265"/>
        <w:spacing w:after="0" w:line="206" w:lineRule="auto"/>
        <w:tabs>
          <w:tab w:leader="none" w:pos="4040"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2.21A</w:t>
      </w:r>
      <w:r>
        <w:rPr>
          <w:rFonts w:ascii="Arial" w:cs="Arial" w:eastAsia="Arial" w:hAnsi="Arial"/>
          <w:sz w:val="19"/>
          <w:szCs w:val="19"/>
          <w:color w:val="auto"/>
        </w:rPr>
        <w:t xml:space="preserve"> to the effect that such Foreign Lender is not a “bank” described in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left="1920" w:right="160" w:hanging="6"/>
        <w:spacing w:after="0" w:line="228" w:lineRule="auto"/>
        <w:tabs>
          <w:tab w:leader="none" w:pos="21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executed originals of IRS Form W-8BEN or IRS Form W-8BEN-E (as applicable, or any successor forms); or</w:t>
      </w:r>
    </w:p>
    <w:p>
      <w:pPr>
        <w:spacing w:after="0" w:line="192" w:lineRule="exact"/>
        <w:rPr>
          <w:sz w:val="20"/>
          <w:szCs w:val="20"/>
          <w:color w:val="auto"/>
        </w:rPr>
      </w:pPr>
    </w:p>
    <w:p>
      <w:pPr>
        <w:jc w:val="both"/>
        <w:ind w:left="1920" w:firstLine="1265"/>
        <w:spacing w:after="0" w:line="224" w:lineRule="auto"/>
        <w:tabs>
          <w:tab w:leader="none" w:pos="4029"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or IRS Form W-8BEN-E (as applicable, or any successor forms), a U.S. Tax Compliance Certificate substantially in the form of </w:t>
      </w:r>
      <w:r>
        <w:rPr>
          <w:rFonts w:ascii="Arial" w:cs="Arial" w:eastAsia="Arial" w:hAnsi="Arial"/>
          <w:sz w:val="18"/>
          <w:szCs w:val="18"/>
          <w:u w:val="single" w:color="auto"/>
          <w:color w:val="auto"/>
        </w:rPr>
        <w:t>Exhibit 2.21B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2.21C</w:t>
      </w:r>
      <w:r>
        <w:rPr>
          <w:rFonts w:ascii="Arial" w:cs="Arial" w:eastAsia="Arial" w:hAnsi="Arial"/>
          <w:sz w:val="18"/>
          <w:szCs w:val="18"/>
          <w:color w:val="auto"/>
        </w:rPr>
        <w:t xml:space="preserve">, IRS Form W-9 (or any successor forms),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2.21D</w:t>
      </w:r>
      <w:r>
        <w:rPr>
          <w:rFonts w:ascii="Arial" w:cs="Arial" w:eastAsia="Arial" w:hAnsi="Arial"/>
          <w:sz w:val="18"/>
          <w:szCs w:val="18"/>
          <w:color w:val="auto"/>
        </w:rPr>
        <w:t xml:space="preserve"> on behalf of each such direct and indirect partner;</w:t>
      </w:r>
    </w:p>
    <w:p>
      <w:pPr>
        <w:spacing w:after="0" w:line="269" w:lineRule="exact"/>
        <w:rPr>
          <w:rFonts w:ascii="Arial" w:cs="Arial" w:eastAsia="Arial" w:hAnsi="Arial"/>
          <w:sz w:val="18"/>
          <w:szCs w:val="18"/>
          <w:color w:val="auto"/>
        </w:rPr>
      </w:pPr>
    </w:p>
    <w:p>
      <w:pPr>
        <w:jc w:val="both"/>
        <w:ind w:left="1280" w:firstLine="1269"/>
        <w:spacing w:after="0" w:line="212" w:lineRule="auto"/>
        <w:tabs>
          <w:tab w:leader="none" w:pos="3394"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8" w:lineRule="exact"/>
        <w:rPr>
          <w:rFonts w:ascii="Arial" w:cs="Arial" w:eastAsia="Arial" w:hAnsi="Arial"/>
          <w:sz w:val="19"/>
          <w:szCs w:val="19"/>
          <w:color w:val="auto"/>
        </w:rPr>
      </w:pPr>
    </w:p>
    <w:p>
      <w:pPr>
        <w:jc w:val="both"/>
        <w:ind w:left="1280" w:firstLine="1269"/>
        <w:spacing w:after="0" w:line="221" w:lineRule="auto"/>
        <w:tabs>
          <w:tab w:leader="none" w:pos="33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6"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Each Lender hereby agrees that if any form or certification it previously delivered becomes inaccurate in any respect, it shall update such form or certification or promptly notify the Borrower and the Administrative Agent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0060"/>
          </w:cols>
          <w:pgMar w:left="1380" w:top="1440" w:right="459" w:bottom="1440" w:gutter="0" w:footer="0" w:header="0"/>
        </w:sectPr>
      </w:pPr>
    </w:p>
    <w:bookmarkStart w:id="107" w:name="page108"/>
    <w:bookmarkEnd w:id="107"/>
    <w:p>
      <w:pPr>
        <w:spacing w:after="0" w:line="167" w:lineRule="exact"/>
        <w:rPr>
          <w:sz w:val="20"/>
          <w:szCs w:val="20"/>
          <w:color w:val="auto"/>
        </w:rPr>
      </w:pPr>
    </w:p>
    <w:p>
      <w:pPr>
        <w:jc w:val="both"/>
        <w:ind w:left="-60" w:firstLine="1277"/>
        <w:spacing w:after="0" w:line="219" w:lineRule="auto"/>
        <w:tabs>
          <w:tab w:leader="none" w:pos="204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in no event shall the indemnified party be required to pay any amount to an indemnifying party pursuant to this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14" w:lineRule="exact"/>
        <w:rPr>
          <w:rFonts w:ascii="Arial" w:cs="Arial" w:eastAsia="Arial" w:hAnsi="Arial"/>
          <w:sz w:val="18"/>
          <w:szCs w:val="18"/>
          <w:color w:val="auto"/>
        </w:rPr>
      </w:pPr>
    </w:p>
    <w:p>
      <w:pPr>
        <w:jc w:val="both"/>
        <w:ind w:left="-60" w:firstLine="1277"/>
        <w:spacing w:after="0" w:line="252" w:lineRule="auto"/>
        <w:tabs>
          <w:tab w:leader="none" w:pos="1422"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Each Lender and the Loan Parties agree (a) that the Loans and the Warrants together constitute an “investment unit” for purposes of Section 1273(c)(2) of the Code, (b) that for purposes of the allocation of the issue price of such investment unit among the Loans and the Warrants in accordance with Section 1273(c)(2) of the Code and U.S. Treasury Regulation Section 1.1273-2(h), after the Closing Date each BlackRock Lender, Holdings and the Borrower shall promptly agree on the allocation of the issue price that shall be allocated to the Loans and the Warrants and (c) not to take any actions inconsistent with such allocation, except as otherwise required by a “determination” within the meaning of Section 1313(a) of the Code.</w:t>
      </w:r>
    </w:p>
    <w:p>
      <w:pPr>
        <w:spacing w:after="0" w:line="196" w:lineRule="exact"/>
        <w:rPr>
          <w:rFonts w:ascii="Arial" w:cs="Arial" w:eastAsia="Arial" w:hAnsi="Arial"/>
          <w:sz w:val="19"/>
          <w:szCs w:val="19"/>
          <w:color w:val="auto"/>
        </w:rPr>
      </w:pPr>
    </w:p>
    <w:p>
      <w:pPr>
        <w:jc w:val="both"/>
        <w:ind w:left="-60" w:firstLine="1278"/>
        <w:spacing w:after="0" w:line="226" w:lineRule="auto"/>
        <w:tabs>
          <w:tab w:leader="none" w:pos="1422"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Each party’s obligations under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survive the resignation or replacement of the Administrative Agent or any assignment of rights by, or the replacement of, a Lender, the termination of the Term Loan Commitments and the repayment, satisfaction or discharge of all obligations under any Loan Document.</w:t>
      </w:r>
    </w:p>
    <w:p>
      <w:pPr>
        <w:spacing w:after="0" w:line="185"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9"/>
          <w:szCs w:val="19"/>
          <w:color w:val="auto"/>
        </w:rPr>
        <w:t>Section 2.22.</w:t>
      </w:r>
      <w:r>
        <w:rPr>
          <w:sz w:val="20"/>
          <w:szCs w:val="20"/>
          <w:color w:val="auto"/>
        </w:rPr>
        <w:tab/>
      </w:r>
      <w:r>
        <w:rPr>
          <w:rFonts w:ascii="Arial" w:cs="Arial" w:eastAsia="Arial" w:hAnsi="Arial"/>
          <w:sz w:val="17"/>
          <w:szCs w:val="17"/>
          <w:b w:val="1"/>
          <w:bCs w:val="1"/>
          <w:u w:val="single" w:color="auto"/>
          <w:color w:val="auto"/>
        </w:rPr>
        <w:t>Payments Generally; Pro Rata Treatment; Sharing of Set-offs</w:t>
      </w:r>
      <w:r>
        <w:rPr>
          <w:rFonts w:ascii="Arial" w:cs="Arial" w:eastAsia="Arial" w:hAnsi="Arial"/>
          <w:sz w:val="17"/>
          <w:szCs w:val="17"/>
          <w:color w:val="auto"/>
        </w:rPr>
        <w:t>.</w:t>
      </w:r>
    </w:p>
    <w:p>
      <w:pPr>
        <w:spacing w:after="0" w:line="291" w:lineRule="exact"/>
        <w:rPr>
          <w:sz w:val="20"/>
          <w:szCs w:val="20"/>
          <w:color w:val="auto"/>
        </w:rPr>
      </w:pPr>
    </w:p>
    <w:p>
      <w:pPr>
        <w:jc w:val="both"/>
        <w:ind w:left="-60" w:firstLine="1277"/>
        <w:spacing w:after="0" w:line="221" w:lineRule="auto"/>
        <w:tabs>
          <w:tab w:leader="none" w:pos="20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(whether of principal, interest, fees or of amounts payable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or otherwise) prior to 2:00 p.m. (New York City time)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that payments pursuant to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0000"/>
          </w:cols>
          <w:pgMar w:left="1440" w:top="1440" w:right="459" w:bottom="1440" w:gutter="0" w:footer="0" w:header="0"/>
        </w:sectPr>
      </w:pPr>
    </w:p>
    <w:bookmarkStart w:id="108" w:name="page109"/>
    <w:bookmarkEnd w:id="108"/>
    <w:p>
      <w:pPr>
        <w:jc w:val="both"/>
        <w:ind w:firstLine="1277"/>
        <w:spacing w:after="0" w:line="213" w:lineRule="auto"/>
        <w:tabs>
          <w:tab w:leader="none" w:pos="210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If at any time insufficient funds are received by and available to the Administrative Agent to pay fully all amounts of principal, interest and fees then due hereunder, such funds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to all fees, indemnities and reimbursable expenses of the Administrative Agent and the Lenders then due and payable pursuant to any of the Loan Documents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fees and expenses);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all interest and fees then due and payable hereunder,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Lenders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such interest and fees;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all principal of the Loans then due and payable hereunder,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parties entitled thereto based on their respective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shares of such principal.</w:t>
      </w:r>
    </w:p>
    <w:p>
      <w:pPr>
        <w:spacing w:after="0" w:line="192" w:lineRule="exact"/>
        <w:rPr>
          <w:rFonts w:ascii="Arial" w:cs="Arial" w:eastAsia="Arial" w:hAnsi="Arial"/>
          <w:sz w:val="19"/>
          <w:szCs w:val="19"/>
          <w:color w:val="auto"/>
        </w:rPr>
      </w:pPr>
    </w:p>
    <w:p>
      <w:pPr>
        <w:jc w:val="both"/>
        <w:ind w:firstLine="1277"/>
        <w:spacing w:after="0" w:line="232" w:lineRule="auto"/>
        <w:tabs>
          <w:tab w:leader="none" w:pos="211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Term Loans that would result in such Lender receiving payment of a greater proportion of the aggregate amount of Term Loans and accrued interest and fees thereon than the proportion received by any other Lender with respect to its Term Loans, then the Lender receiving such greater proportion shall purchase (for cash at face value) participations in Term Loans of other Lenders to the extent necessary so that the benefit of all such payments shall be shared by the Lenders ratably in accordance with the aggregate amount of principal of and accrued interest on their respective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or any payment obtained by a Lender as consideration for the assignment of or sale of a participation in any of its Term Loans to any assignee or participant, other than to the Borrower or any Subsidiary or Affiliate thereof (as to which the provisions of this subsection shall apply). The Borrower hereby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6" w:lineRule="exact"/>
        <w:rPr>
          <w:rFonts w:ascii="Arial" w:cs="Arial" w:eastAsia="Arial" w:hAnsi="Arial"/>
          <w:sz w:val="17"/>
          <w:szCs w:val="17"/>
          <w:color w:val="auto"/>
        </w:rPr>
      </w:pPr>
    </w:p>
    <w:p>
      <w:pPr>
        <w:jc w:val="both"/>
        <w:ind w:firstLine="1277"/>
        <w:spacing w:after="0" w:line="211" w:lineRule="auto"/>
        <w:tabs>
          <w:tab w:leader="none" w:pos="2108" w:val="left"/>
        </w:tabs>
        <w:numPr>
          <w:ilvl w:val="0"/>
          <w:numId w:val="81"/>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or amounts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2.23.</w:t>
      </w:r>
      <w:r>
        <w:rPr>
          <w:sz w:val="20"/>
          <w:szCs w:val="20"/>
          <w:color w:val="auto"/>
        </w:rPr>
        <w:tab/>
      </w:r>
      <w:r>
        <w:rPr>
          <w:rFonts w:ascii="Arial" w:cs="Arial" w:eastAsia="Arial" w:hAnsi="Arial"/>
          <w:sz w:val="17"/>
          <w:szCs w:val="17"/>
          <w:b w:val="1"/>
          <w:bCs w:val="1"/>
          <w:u w:val="single" w:color="auto"/>
          <w:color w:val="auto"/>
        </w:rPr>
        <w:t>[Reserved]</w:t>
      </w:r>
    </w:p>
    <w:p>
      <w:pPr>
        <w:spacing w:after="0" w:line="29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2.24.</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85" w:lineRule="exact"/>
        <w:rPr>
          <w:sz w:val="20"/>
          <w:szCs w:val="20"/>
          <w:color w:val="auto"/>
        </w:rPr>
      </w:pPr>
    </w:p>
    <w:p>
      <w:pPr>
        <w:jc w:val="both"/>
        <w:ind w:firstLine="636"/>
        <w:spacing w:after="0" w:line="224" w:lineRule="auto"/>
        <w:rPr>
          <w:sz w:val="20"/>
          <w:szCs w:val="20"/>
          <w:color w:val="auto"/>
        </w:rPr>
      </w:pPr>
      <w:r>
        <w:rPr>
          <w:rFonts w:ascii="Arial" w:cs="Arial" w:eastAsia="Arial" w:hAnsi="Arial"/>
          <w:sz w:val="18"/>
          <w:szCs w:val="18"/>
          <w:color w:val="auto"/>
        </w:rPr>
        <w:t xml:space="preserve">Section 2.25. </w:t>
      </w:r>
      <w:r>
        <w:rPr>
          <w:rFonts w:ascii="Arial" w:cs="Arial" w:eastAsia="Arial" w:hAnsi="Arial"/>
          <w:sz w:val="18"/>
          <w:szCs w:val="18"/>
          <w:b w:val="1"/>
          <w:bCs w:val="1"/>
          <w:u w:val="single" w:color="auto"/>
          <w:color w:val="auto"/>
        </w:rPr>
        <w:t>Mitigation of Obligations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if the Borrower is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2.21</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0060"/>
          </w:cols>
          <w:pgMar w:left="1380" w:top="1302" w:right="459" w:bottom="1440" w:gutter="0" w:footer="0" w:header="0"/>
        </w:sectPr>
      </w:pPr>
    </w:p>
    <w:bookmarkStart w:id="109" w:name="page110"/>
    <w:bookmarkEnd w:id="109"/>
    <w:p>
      <w:pPr>
        <w:spacing w:after="0" w:line="174" w:lineRule="exact"/>
        <w:rPr>
          <w:sz w:val="20"/>
          <w:szCs w:val="20"/>
          <w:color w:val="auto"/>
        </w:rPr>
      </w:pPr>
    </w:p>
    <w:p>
      <w:pPr>
        <w:jc w:val="both"/>
        <w:ind w:left="1" w:firstLine="636"/>
        <w:spacing w:after="0" w:line="254" w:lineRule="auto"/>
        <w:rPr>
          <w:sz w:val="20"/>
          <w:szCs w:val="20"/>
          <w:color w:val="auto"/>
        </w:rPr>
      </w:pPr>
      <w:r>
        <w:rPr>
          <w:rFonts w:ascii="Arial" w:cs="Arial" w:eastAsia="Arial" w:hAnsi="Arial"/>
          <w:sz w:val="18"/>
          <w:szCs w:val="18"/>
          <w:color w:val="auto"/>
        </w:rPr>
        <w:t xml:space="preserve">Section 2.26.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color w:val="auto"/>
        </w:rPr>
        <w:t xml:space="preserve">. If (a) any Lender gives notice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(b) any Lender requests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(c) the Borrower is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(d) any Lender is a Defaulting Lender or</w:t>
      </w:r>
    </w:p>
    <w:p>
      <w:pPr>
        <w:spacing w:after="0" w:line="1" w:lineRule="exact"/>
        <w:rPr>
          <w:sz w:val="20"/>
          <w:szCs w:val="20"/>
          <w:color w:val="auto"/>
        </w:rPr>
      </w:pPr>
    </w:p>
    <w:p>
      <w:pPr>
        <w:jc w:val="both"/>
        <w:ind w:left="1" w:hanging="1"/>
        <w:spacing w:after="0" w:line="262" w:lineRule="auto"/>
        <w:tabs>
          <w:tab w:leader="none" w:pos="266"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in connection with any proposed amendment, modification, termination, waiver or consent with respect to any of the provisions hereof as contemplated by </w:t>
      </w:r>
      <w:r>
        <w:rPr>
          <w:rFonts w:ascii="Arial" w:cs="Arial" w:eastAsia="Arial" w:hAnsi="Arial"/>
          <w:sz w:val="17"/>
          <w:szCs w:val="17"/>
          <w:u w:val="single" w:color="auto"/>
          <w:color w:val="auto"/>
        </w:rPr>
        <w:t>Section 10.2(b)</w:t>
      </w:r>
      <w:r>
        <w:rPr>
          <w:rFonts w:ascii="Arial" w:cs="Arial" w:eastAsia="Arial" w:hAnsi="Arial"/>
          <w:sz w:val="17"/>
          <w:szCs w:val="17"/>
          <w:color w:val="auto"/>
        </w:rPr>
        <w:t>, the consent of the Required Lenders shall have been obtained but the consent of one or more of such other Lenders (each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whose consent is required shall not have been obtained, then the Borrower may, at its sole expense and effort, upon notice to such Lender and the Administrative Agent, require such Lender to assign and delegate, without recourse (in accordance with and subject to the restrictions set forth in </w:t>
      </w:r>
      <w:r>
        <w:rPr>
          <w:rFonts w:ascii="Arial" w:cs="Arial" w:eastAsia="Arial" w:hAnsi="Arial"/>
          <w:sz w:val="17"/>
          <w:szCs w:val="17"/>
          <w:u w:val="single" w:color="auto"/>
          <w:color w:val="auto"/>
        </w:rPr>
        <w:t>Section 10.4(b)</w:t>
      </w:r>
      <w:r>
        <w:rPr>
          <w:rFonts w:ascii="Arial" w:cs="Arial" w:eastAsia="Arial" w:hAnsi="Arial"/>
          <w:sz w:val="17"/>
          <w:szCs w:val="17"/>
          <w:color w:val="auto"/>
        </w:rPr>
        <w:t xml:space="preserve">), all of its interests, rights (other than its existing rights to payments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2.21</w:t>
      </w:r>
      <w:r>
        <w:rPr>
          <w:rFonts w:ascii="Arial" w:cs="Arial" w:eastAsia="Arial" w:hAnsi="Arial"/>
          <w:sz w:val="17"/>
          <w:szCs w:val="17"/>
          <w:color w:val="auto"/>
        </w:rPr>
        <w:t>, as applicable) and obligations under this Agreement and the other Loan Documents to an assignee that shall assume such obligations (which assignee may be another Lender) (a “</w:t>
      </w:r>
      <w:r>
        <w:rPr>
          <w:rFonts w:ascii="Arial" w:cs="Arial" w:eastAsia="Arial" w:hAnsi="Arial"/>
          <w:sz w:val="17"/>
          <w:szCs w:val="17"/>
          <w:u w:val="single" w:color="auto"/>
          <w:color w:val="auto"/>
        </w:rPr>
        <w:t>Replacement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have received the prior written consent of the Administrative Agent (to the extent such consent is required for an assignment to such Replacement Lender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10.4(b)</w:t>
      </w:r>
      <w:r>
        <w:rPr>
          <w:rFonts w:ascii="Arial" w:cs="Arial" w:eastAsia="Arial" w:hAnsi="Arial"/>
          <w:sz w:val="17"/>
          <w:szCs w:val="17"/>
          <w:color w:val="auto"/>
        </w:rPr>
        <w:t xml:space="preserve">), which consent shall not be unreasonably withheld, (ii)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and (iii) in the case of a notice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a claim for compensation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such assignment shall result in elimination of the applicable illegality or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Upon receipt by the Lender being replaced of all amounts required to be paid by it pursuant to this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such Lender shall execute an Assignment and Acceptance within two (2) Business Days of the date on which the Replacement Lender executes and delivers such Assignment and Assumption to the Lender (or such executed Assignment and Assumption is delivered by the Administrative Agent on behalf of the Replacement Lender). If the Lender does not execute such Assignment and Acceptance within such two (2) Business Days, then such Lender shall be deemed to have executed and delivered the Assignment and Assumption without any action on the part of the Lender and the Assignment and Assumption so executed by the Replacement Lender shall be effective for the purposes of this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264" w:lineRule="exact"/>
        <w:rPr>
          <w:sz w:val="20"/>
          <w:szCs w:val="20"/>
          <w:color w:val="auto"/>
        </w:rPr>
      </w:pPr>
    </w:p>
    <w:p>
      <w:pPr>
        <w:ind w:left="661"/>
        <w:spacing w:after="0"/>
        <w:tabs>
          <w:tab w:leader="none" w:pos="1860" w:val="left"/>
        </w:tabs>
        <w:rPr>
          <w:sz w:val="20"/>
          <w:szCs w:val="20"/>
          <w:color w:val="auto"/>
        </w:rPr>
      </w:pPr>
      <w:r>
        <w:rPr>
          <w:rFonts w:ascii="Arial" w:cs="Arial" w:eastAsia="Arial" w:hAnsi="Arial"/>
          <w:sz w:val="19"/>
          <w:szCs w:val="19"/>
          <w:color w:val="auto"/>
        </w:rPr>
        <w:t>Section 2.27.</w:t>
      </w:r>
      <w:r>
        <w:rPr>
          <w:sz w:val="20"/>
          <w:szCs w:val="20"/>
          <w:color w:val="auto"/>
        </w:rPr>
        <w:tab/>
      </w:r>
      <w:r>
        <w:rPr>
          <w:rFonts w:ascii="Arial" w:cs="Arial" w:eastAsia="Arial" w:hAnsi="Arial"/>
          <w:sz w:val="17"/>
          <w:szCs w:val="17"/>
          <w:b w:val="1"/>
          <w:bCs w:val="1"/>
          <w:u w:val="single" w:color="auto"/>
          <w:color w:val="auto"/>
        </w:rPr>
        <w:t>Defaulting Lenders</w:t>
      </w:r>
      <w:r>
        <w:rPr>
          <w:rFonts w:ascii="Arial" w:cs="Arial" w:eastAsia="Arial" w:hAnsi="Arial"/>
          <w:sz w:val="17"/>
          <w:szCs w:val="17"/>
          <w:color w:val="auto"/>
        </w:rPr>
        <w:t>.</w:t>
      </w:r>
    </w:p>
    <w:p>
      <w:pPr>
        <w:spacing w:after="0" w:line="291" w:lineRule="exact"/>
        <w:rPr>
          <w:sz w:val="20"/>
          <w:szCs w:val="20"/>
          <w:color w:val="auto"/>
        </w:rPr>
      </w:pPr>
    </w:p>
    <w:p>
      <w:pPr>
        <w:ind w:left="1921" w:hanging="623"/>
        <w:spacing w:after="0"/>
        <w:tabs>
          <w:tab w:leader="none" w:pos="192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311" w:lineRule="exact"/>
        <w:rPr>
          <w:rFonts w:ascii="Arial" w:cs="Arial" w:eastAsia="Arial" w:hAnsi="Arial"/>
          <w:sz w:val="19"/>
          <w:szCs w:val="19"/>
          <w:color w:val="auto"/>
        </w:rPr>
      </w:pPr>
    </w:p>
    <w:p>
      <w:pPr>
        <w:jc w:val="both"/>
        <w:ind w:left="21" w:right="120" w:firstLine="1278"/>
        <w:spacing w:after="0" w:line="263" w:lineRule="auto"/>
        <w:tabs>
          <w:tab w:leader="none" w:pos="212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Defaulting Lender Adjustments</w:t>
      </w:r>
      <w:r>
        <w:rPr>
          <w:rFonts w:ascii="Arial" w:cs="Arial" w:eastAsia="Arial" w:hAnsi="Arial"/>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95" w:lineRule="exact"/>
        <w:rPr>
          <w:rFonts w:ascii="Arial" w:cs="Arial" w:eastAsia="Arial" w:hAnsi="Arial"/>
          <w:sz w:val="19"/>
          <w:szCs w:val="19"/>
          <w:color w:val="auto"/>
        </w:rPr>
      </w:pPr>
    </w:p>
    <w:p>
      <w:pPr>
        <w:ind w:left="661" w:right="120" w:firstLine="1273"/>
        <w:spacing w:after="0" w:line="307" w:lineRule="auto"/>
        <w:tabs>
          <w:tab w:leader="none" w:pos="2142"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2561" w:hanging="627"/>
        <w:spacing w:after="0"/>
        <w:tabs>
          <w:tab w:leader="none" w:pos="2561" w:val="left"/>
        </w:tabs>
        <w:numPr>
          <w:ilvl w:val="1"/>
          <w:numId w:val="8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2561" w:hanging="627"/>
        <w:spacing w:after="0"/>
        <w:tabs>
          <w:tab w:leader="none" w:pos="2561" w:val="left"/>
        </w:tabs>
        <w:numPr>
          <w:ilvl w:val="1"/>
          <w:numId w:val="8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2561" w:hanging="627"/>
        <w:spacing w:after="0"/>
        <w:tabs>
          <w:tab w:leader="none" w:pos="2561" w:val="left"/>
        </w:tabs>
        <w:numPr>
          <w:ilvl w:val="1"/>
          <w:numId w:val="83"/>
        </w:numPr>
        <w:rPr>
          <w:rFonts w:ascii="Arial" w:cs="Arial" w:eastAsia="Arial" w:hAnsi="Arial"/>
          <w:sz w:val="19"/>
          <w:szCs w:val="19"/>
          <w:color w:val="auto"/>
        </w:rPr>
      </w:pPr>
      <w:r>
        <w:rPr>
          <w:rFonts w:ascii="Arial" w:cs="Arial" w:eastAsia="Arial" w:hAnsi="Arial"/>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81"/>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0201"/>
          </w:cols>
          <w:pgMar w:left="1359" w:top="1440" w:right="339" w:bottom="1440" w:gutter="0" w:footer="0" w:header="0"/>
        </w:sectPr>
      </w:pPr>
    </w:p>
    <w:bookmarkStart w:id="110" w:name="page111"/>
    <w:bookmarkEnd w:id="110"/>
    <w:p>
      <w:pPr>
        <w:spacing w:after="0" w:line="167" w:lineRule="exact"/>
        <w:rPr>
          <w:sz w:val="20"/>
          <w:szCs w:val="20"/>
          <w:color w:val="auto"/>
        </w:rPr>
      </w:pPr>
    </w:p>
    <w:p>
      <w:pPr>
        <w:jc w:val="both"/>
        <w:ind w:firstLine="1278"/>
        <w:spacing w:after="0" w:line="215" w:lineRule="auto"/>
        <w:tabs>
          <w:tab w:leader="none" w:pos="211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and the Administrative Agent agree in writing that a Lender is no longer a Defaulting Lender, the Administrative Agent shall so notify the parties hereto, whereupon as of the effective date specified in such notice, and subject to any conditions set forth therein, that Lender shall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to by the affected parties, no change hereunder from Defaulting Lender to Lender shall constitute a waiver or release of any claim of any party hereunder arising from that Lender having been a Defaulting Lender.</w:t>
      </w:r>
    </w:p>
    <w:p>
      <w:pPr>
        <w:spacing w:after="0" w:line="190" w:lineRule="exact"/>
        <w:rPr>
          <w:rFonts w:ascii="Arial" w:cs="Arial" w:eastAsia="Arial" w:hAnsi="Arial"/>
          <w:sz w:val="19"/>
          <w:szCs w:val="19"/>
          <w:color w:val="auto"/>
        </w:rPr>
      </w:pPr>
    </w:p>
    <w:p>
      <w:pPr>
        <w:ind w:left="1900" w:hanging="623"/>
        <w:spacing w:after="0"/>
        <w:tabs>
          <w:tab w:leader="none" w:pos="190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9" w:lineRule="exact"/>
        <w:rPr>
          <w:sz w:val="20"/>
          <w:szCs w:val="20"/>
          <w:color w:val="auto"/>
        </w:rPr>
      </w:pPr>
    </w:p>
    <w:p>
      <w:pPr>
        <w:ind w:left="3980"/>
        <w:spacing w:after="0"/>
        <w:rPr>
          <w:sz w:val="20"/>
          <w:szCs w:val="20"/>
          <w:color w:val="auto"/>
        </w:rPr>
      </w:pPr>
      <w:r>
        <w:rPr>
          <w:rFonts w:ascii="Arial" w:cs="Arial" w:eastAsia="Arial" w:hAnsi="Arial"/>
          <w:sz w:val="19"/>
          <w:szCs w:val="19"/>
          <w:b w:val="1"/>
          <w:bCs w:val="1"/>
          <w:u w:val="single" w:color="auto"/>
          <w:color w:val="auto"/>
        </w:rPr>
        <w:t>ARTICLE III</w:t>
      </w:r>
    </w:p>
    <w:p>
      <w:pPr>
        <w:spacing w:after="0" w:line="285" w:lineRule="exact"/>
        <w:rPr>
          <w:sz w:val="20"/>
          <w:szCs w:val="20"/>
          <w:color w:val="auto"/>
        </w:rPr>
      </w:pPr>
    </w:p>
    <w:p>
      <w:pPr>
        <w:ind w:left="2360"/>
        <w:spacing w:after="0"/>
        <w:rPr>
          <w:sz w:val="20"/>
          <w:szCs w:val="20"/>
          <w:color w:val="auto"/>
        </w:rPr>
      </w:pPr>
      <w:r>
        <w:rPr>
          <w:rFonts w:ascii="Arial" w:cs="Arial" w:eastAsia="Arial" w:hAnsi="Arial"/>
          <w:sz w:val="19"/>
          <w:szCs w:val="19"/>
          <w:b w:val="1"/>
          <w:bCs w:val="1"/>
          <w:u w:val="single" w:color="auto"/>
          <w:color w:val="auto"/>
        </w:rPr>
        <w:t>CONDITIONS PRECEDENT TO LOANS</w:t>
      </w:r>
    </w:p>
    <w:p>
      <w:pPr>
        <w:spacing w:after="0" w:line="312" w:lineRule="exact"/>
        <w:rPr>
          <w:sz w:val="20"/>
          <w:szCs w:val="20"/>
          <w:color w:val="auto"/>
        </w:rPr>
      </w:pPr>
    </w:p>
    <w:p>
      <w:pPr>
        <w:ind w:right="180" w:firstLine="636"/>
        <w:spacing w:after="0" w:line="285"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b w:val="1"/>
          <w:bCs w:val="1"/>
          <w:u w:val="single" w:color="auto"/>
          <w:color w:val="auto"/>
        </w:rPr>
        <w:t>Conditions to Effectiveness</w:t>
      </w:r>
      <w:r>
        <w:rPr>
          <w:rFonts w:ascii="Arial" w:cs="Arial" w:eastAsia="Arial" w:hAnsi="Arial"/>
          <w:sz w:val="19"/>
          <w:szCs w:val="19"/>
          <w:color w:val="auto"/>
        </w:rPr>
        <w:t xml:space="preserve">. This Agreement shall not become effective until the date on which each of the following conditions is satisfied (or waived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42" w:lineRule="exact"/>
        <w:rPr>
          <w:sz w:val="20"/>
          <w:szCs w:val="20"/>
          <w:color w:val="auto"/>
        </w:rPr>
      </w:pPr>
    </w:p>
    <w:p>
      <w:pPr>
        <w:jc w:val="both"/>
        <w:ind w:firstLine="1277"/>
        <w:spacing w:after="0" w:line="238" w:lineRule="auto"/>
        <w:tabs>
          <w:tab w:leader="none" w:pos="211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Administrative Agent and the Lenders shall have received the payment of all fees, expenses and other amounts earned, due and payable on or prior to the Closing Date, including, without limitation, and to the extent invoiced, reimbursement or payment of all reasonable and documented out-of-pocket expenses (including reasonable and documented fees, charges and disbursements of outside counsel), in each case, required to be reimbursed or paid by the Borrower hereunder or under any other Loan Document (including, for the avoidance of doubt, the Fee Letters);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(a) shall be deemed satisfied on the Closing Date by the delivery of a Notice of Borrowing on or prior to the Closing Date that authorizes the disbursement of the proceeds of the Term Loans on the Funding Date to pay such fees, expenses and other amounts.</w:t>
      </w:r>
    </w:p>
    <w:p>
      <w:pPr>
        <w:spacing w:after="0" w:line="193" w:lineRule="exact"/>
        <w:rPr>
          <w:rFonts w:ascii="Arial" w:cs="Arial" w:eastAsia="Arial" w:hAnsi="Arial"/>
          <w:sz w:val="17"/>
          <w:szCs w:val="17"/>
          <w:color w:val="auto"/>
        </w:rPr>
      </w:pPr>
    </w:p>
    <w:p>
      <w:pPr>
        <w:ind w:firstLine="1277"/>
        <w:spacing w:after="0" w:line="237" w:lineRule="auto"/>
        <w:tabs>
          <w:tab w:leader="none" w:pos="2108"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the following, each to be in form and substance reasonably satisfactory to the Administrative Agent and Required Lenders:</w:t>
      </w:r>
    </w:p>
    <w:p>
      <w:pPr>
        <w:spacing w:after="0" w:line="191" w:lineRule="exact"/>
        <w:rPr>
          <w:rFonts w:ascii="Arial" w:cs="Arial" w:eastAsia="Arial" w:hAnsi="Arial"/>
          <w:sz w:val="19"/>
          <w:szCs w:val="19"/>
          <w:color w:val="auto"/>
        </w:rPr>
      </w:pPr>
    </w:p>
    <w:p>
      <w:pPr>
        <w:ind w:left="640" w:firstLine="1273"/>
        <w:spacing w:after="0" w:line="307" w:lineRule="auto"/>
        <w:tabs>
          <w:tab w:leader="none" w:pos="212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counterpart of this Agreement, signed by or on behalf of each party hereto, or written evidence reasonably satisfactory to the Administrative Agent that such party has signed a counterpart of this Agreement;</w:t>
      </w:r>
    </w:p>
    <w:p>
      <w:pPr>
        <w:spacing w:after="0" w:line="159" w:lineRule="exact"/>
        <w:rPr>
          <w:rFonts w:ascii="Arial" w:cs="Arial" w:eastAsia="Arial" w:hAnsi="Arial"/>
          <w:sz w:val="18"/>
          <w:szCs w:val="18"/>
          <w:color w:val="auto"/>
        </w:rPr>
      </w:pPr>
    </w:p>
    <w:p>
      <w:pPr>
        <w:ind w:left="640" w:firstLine="1273"/>
        <w:spacing w:after="0" w:line="237" w:lineRule="auto"/>
        <w:tabs>
          <w:tab w:leader="none" w:pos="2759" w:val="left"/>
        </w:tabs>
        <w:numPr>
          <w:ilvl w:val="1"/>
          <w:numId w:val="85"/>
        </w:numPr>
        <w:rPr>
          <w:rFonts w:ascii="Arial" w:cs="Arial" w:eastAsia="Arial" w:hAnsi="Arial"/>
          <w:sz w:val="19"/>
          <w:szCs w:val="19"/>
          <w:color w:val="auto"/>
        </w:rPr>
      </w:pPr>
      <w:r>
        <w:rPr>
          <w:rFonts w:ascii="Arial" w:cs="Arial" w:eastAsia="Arial" w:hAnsi="Arial"/>
          <w:sz w:val="19"/>
          <w:szCs w:val="19"/>
          <w:color w:val="auto"/>
        </w:rPr>
        <w:t>duly executed signatures to, and true, correct and complete copies of, each other Loan Document (as applicable) related to the Closing Date;</w:t>
      </w:r>
    </w:p>
    <w:p>
      <w:pPr>
        <w:spacing w:after="0" w:line="177" w:lineRule="exact"/>
        <w:rPr>
          <w:rFonts w:ascii="Arial" w:cs="Arial" w:eastAsia="Arial" w:hAnsi="Arial"/>
          <w:sz w:val="19"/>
          <w:szCs w:val="19"/>
          <w:color w:val="auto"/>
        </w:rPr>
      </w:pPr>
    </w:p>
    <w:p>
      <w:pPr>
        <w:jc w:val="both"/>
        <w:ind w:left="640" w:firstLine="1273"/>
        <w:spacing w:after="0" w:line="212" w:lineRule="auto"/>
        <w:tabs>
          <w:tab w:leader="none" w:pos="27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a certificate of the Secretary or Assistant Secretary of each Loan Party, substantially in the form of </w:t>
      </w:r>
      <w:r>
        <w:rPr>
          <w:rFonts w:ascii="Arial" w:cs="Arial" w:eastAsia="Arial" w:hAnsi="Arial"/>
          <w:sz w:val="19"/>
          <w:szCs w:val="19"/>
          <w:u w:val="single" w:color="auto"/>
          <w:color w:val="auto"/>
        </w:rPr>
        <w:t>Exhibit 3.1(b)(iii)</w:t>
      </w:r>
      <w:r>
        <w:rPr>
          <w:rFonts w:ascii="Arial" w:cs="Arial" w:eastAsia="Arial" w:hAnsi="Arial"/>
          <w:sz w:val="19"/>
          <w:szCs w:val="19"/>
          <w:color w:val="auto"/>
        </w:rPr>
        <w:t xml:space="preserve"> attached hereto, attaching and certifying copies of (x) its bylaws, limited liability company agreement, declaration of sole member or partnership agreement, as applicable, or equivalent thereof, (y) its articles or certificate of incorporation, certificate of formation, articles of organization or certificate of partnership, as applicable, or equivalent thereof and (z) the resolutions of its Board of Directors, shareholders (if required) or comparable authorizations, authorizing the execution, delivery and performance of the Loan Document(s) to which it is a party and certifying the name, title and true signature of each officer of such Loan Party executing the Loan Document(s) to which it is a party;</w:t>
      </w:r>
    </w:p>
    <w:p>
      <w:pPr>
        <w:spacing w:after="0" w:line="191" w:lineRule="exact"/>
        <w:rPr>
          <w:rFonts w:ascii="Arial" w:cs="Arial" w:eastAsia="Arial" w:hAnsi="Arial"/>
          <w:sz w:val="19"/>
          <w:szCs w:val="19"/>
          <w:color w:val="auto"/>
        </w:rPr>
      </w:pPr>
    </w:p>
    <w:p>
      <w:pPr>
        <w:jc w:val="both"/>
        <w:ind w:left="640" w:firstLine="1273"/>
        <w:spacing w:after="0" w:line="220" w:lineRule="auto"/>
        <w:tabs>
          <w:tab w:leader="none" w:pos="2749" w:val="left"/>
        </w:tabs>
        <w:numPr>
          <w:ilvl w:val="1"/>
          <w:numId w:val="85"/>
        </w:numPr>
        <w:rPr>
          <w:rFonts w:ascii="Arial" w:cs="Arial" w:eastAsia="Arial" w:hAnsi="Arial"/>
          <w:sz w:val="19"/>
          <w:szCs w:val="19"/>
          <w:color w:val="auto"/>
        </w:rPr>
      </w:pPr>
      <w:r>
        <w:rPr>
          <w:rFonts w:ascii="Arial" w:cs="Arial" w:eastAsia="Arial" w:hAnsi="Arial"/>
          <w:sz w:val="19"/>
          <w:szCs w:val="19"/>
          <w:color w:val="auto"/>
        </w:rPr>
        <w:t>(A) certificates of good standing or existence, as may be available from the Secretary of State of the jurisdiction of organization of each Loan Party and (B) with respect to RRC, a certificate of good standing from the Registrar of Companies and a letter of good standing from the Cayman Islands Monetary Authority, in each case, issued on the Closing Date or as reasonably close to the Closing Date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0060"/>
          </w:cols>
          <w:pgMar w:left="1380" w:top="1440" w:right="459" w:bottom="1440" w:gutter="0" w:footer="0" w:header="0"/>
        </w:sectPr>
      </w:pPr>
    </w:p>
    <w:bookmarkStart w:id="111" w:name="page112"/>
    <w:bookmarkEnd w:id="111"/>
    <w:p>
      <w:pPr>
        <w:jc w:val="both"/>
        <w:ind w:left="580" w:firstLine="1274"/>
        <w:spacing w:after="0" w:line="229" w:lineRule="auto"/>
        <w:tabs>
          <w:tab w:leader="none" w:pos="26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written opinions of Kirkland &amp; Ellis LLP, Squire Patton Boggs (US) LLP and Conyers Dill &amp; Pearman LLP, counsel to the Loan Parties, as applicable, addressed to the Administrative Agent and each of the Lenders, and covering such matters relating to the Loan Parties, the Loan Documents and the transactions contemplated therein as the Administrative Agent and the Required Lenders shall reasonably request (which opinions shall expressly permit reliance by permitted successors and assigns of the Administrative Agent and the Lenders);</w:t>
      </w:r>
    </w:p>
    <w:p>
      <w:pPr>
        <w:spacing w:after="0" w:line="191" w:lineRule="exact"/>
        <w:rPr>
          <w:rFonts w:ascii="Arial" w:cs="Arial" w:eastAsia="Arial" w:hAnsi="Arial"/>
          <w:sz w:val="18"/>
          <w:szCs w:val="18"/>
          <w:color w:val="auto"/>
        </w:rPr>
      </w:pPr>
    </w:p>
    <w:p>
      <w:pPr>
        <w:jc w:val="both"/>
        <w:ind w:left="580" w:firstLine="1274"/>
        <w:spacing w:after="0" w:line="223" w:lineRule="auto"/>
        <w:tabs>
          <w:tab w:leader="none" w:pos="26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3.1(b)(vi)</w:t>
      </w:r>
      <w:r>
        <w:rPr>
          <w:rFonts w:ascii="Arial" w:cs="Arial" w:eastAsia="Arial" w:hAnsi="Arial"/>
          <w:sz w:val="18"/>
          <w:szCs w:val="18"/>
          <w:color w:val="auto"/>
        </w:rPr>
        <w:t xml:space="preserve"> attached hereto, dated as of the Closing Date, and signed by a Responsible Officer of the Borrower, certifying that immediately after giving effect to consummation of the transactions contemplated to occur on the Closing Date, (A) no Default or Event of Default exists or shall result therefrom, (B) all representations and warranties of each Loan Party set forth in the Loan Documents are true and correct in all material respects (other than those representations and warranties that are expressly qualified by “Material Adverse Effect” or other materiality, which representations and warranties shall be true and correct in all respects), (C) since the date of the financial statements of the Borrower described in </w:t>
      </w:r>
      <w:r>
        <w:rPr>
          <w:rFonts w:ascii="Arial" w:cs="Arial" w:eastAsia="Arial" w:hAnsi="Arial"/>
          <w:sz w:val="18"/>
          <w:szCs w:val="18"/>
          <w:u w:val="single" w:color="auto"/>
          <w:color w:val="auto"/>
        </w:rPr>
        <w:t>Section 4.4</w:t>
      </w:r>
      <w:r>
        <w:rPr>
          <w:rFonts w:ascii="Arial" w:cs="Arial" w:eastAsia="Arial" w:hAnsi="Arial"/>
          <w:sz w:val="18"/>
          <w:szCs w:val="18"/>
          <w:color w:val="auto"/>
        </w:rPr>
        <w:t>, there shall have been no change which has had or would reasonably be expected to have a Material Adverse Effect and (D) the Liquidity of the Borrower and the other Loan Parties shall be no less than $200,000,000;</w:t>
      </w:r>
    </w:p>
    <w:p>
      <w:pPr>
        <w:spacing w:after="0" w:line="177" w:lineRule="exact"/>
        <w:rPr>
          <w:rFonts w:ascii="Arial" w:cs="Arial" w:eastAsia="Arial" w:hAnsi="Arial"/>
          <w:sz w:val="18"/>
          <w:szCs w:val="18"/>
          <w:color w:val="auto"/>
        </w:rPr>
      </w:pPr>
    </w:p>
    <w:p>
      <w:pPr>
        <w:ind w:left="2480" w:hanging="627"/>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jc w:val="both"/>
        <w:ind w:left="580" w:firstLine="1272"/>
        <w:spacing w:after="0" w:line="226" w:lineRule="auto"/>
        <w:tabs>
          <w:tab w:leader="none" w:pos="26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certified copies of all consents, approvals, authorizations, registrations and filings and orders required to be made or obtained under any Requirement of Law, or by any Material Agreement of any Loan Party, in connection with the execution, delivery, performance, validity and enforceability of the Loan Documents or any of the transactions contemplated hereby or thereby, and such consents, approvals, authorizations, registrations, filings and orders shall be in full force and effect and all applicable waiting periods shall have expired, and no investigation or inquiry by any Governmental Authority regarding the Term Loans shall be ongoing;</w:t>
      </w:r>
    </w:p>
    <w:p>
      <w:pPr>
        <w:spacing w:after="0" w:line="182" w:lineRule="exact"/>
        <w:rPr>
          <w:rFonts w:ascii="Arial" w:cs="Arial" w:eastAsia="Arial" w:hAnsi="Arial"/>
          <w:sz w:val="18"/>
          <w:szCs w:val="18"/>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32" w:lineRule="exact"/>
        <w:rPr>
          <w:rFonts w:ascii="Arial" w:cs="Arial" w:eastAsia="Arial" w:hAnsi="Arial"/>
          <w:sz w:val="19"/>
          <w:szCs w:val="19"/>
          <w:color w:val="auto"/>
        </w:rPr>
      </w:pPr>
    </w:p>
    <w:p>
      <w:pPr>
        <w:jc w:val="both"/>
        <w:ind w:left="580" w:firstLine="1273"/>
        <w:spacing w:after="0" w:line="263" w:lineRule="auto"/>
        <w:tabs>
          <w:tab w:leader="none" w:pos="2692" w:val="left"/>
        </w:tabs>
        <w:numPr>
          <w:ilvl w:val="0"/>
          <w:numId w:val="86"/>
        </w:numPr>
        <w:rPr>
          <w:rFonts w:ascii="Arial" w:cs="Arial" w:eastAsia="Arial" w:hAnsi="Arial"/>
          <w:sz w:val="19"/>
          <w:szCs w:val="19"/>
          <w:color w:val="auto"/>
        </w:rPr>
      </w:pPr>
      <w:r>
        <w:rPr>
          <w:rFonts w:ascii="Arial" w:cs="Arial" w:eastAsia="Arial" w:hAnsi="Arial"/>
          <w:sz w:val="19"/>
          <w:szCs w:val="19"/>
          <w:color w:val="auto"/>
        </w:rPr>
        <w:t>a certificate, dated as of the Closing Date, and signed by a Responsible Officer of the Borrower, confirming that the Loan Parties and their Subsidiaries, taken as a whole, are Solvent, immediately after giving effect to the consummation of the transactions contemplated to occur on the Closing Date;</w:t>
      </w:r>
    </w:p>
    <w:p>
      <w:pPr>
        <w:spacing w:after="0" w:line="182" w:lineRule="exact"/>
        <w:rPr>
          <w:rFonts w:ascii="Arial" w:cs="Arial" w:eastAsia="Arial" w:hAnsi="Arial"/>
          <w:sz w:val="19"/>
          <w:szCs w:val="19"/>
          <w:color w:val="auto"/>
        </w:rPr>
      </w:pPr>
    </w:p>
    <w:p>
      <w:pPr>
        <w:ind w:left="2480" w:hanging="628"/>
        <w:spacing w:after="0"/>
        <w:tabs>
          <w:tab w:leader="none" w:pos="24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0000"/>
          </w:cols>
          <w:pgMar w:left="1440" w:top="1302" w:right="459" w:bottom="1440" w:gutter="0" w:footer="0" w:header="0"/>
        </w:sectPr>
      </w:pPr>
    </w:p>
    <w:bookmarkStart w:id="112" w:name="page113"/>
    <w:bookmarkEnd w:id="112"/>
    <w:p>
      <w:pPr>
        <w:spacing w:after="0" w:line="180" w:lineRule="exact"/>
        <w:rPr>
          <w:sz w:val="20"/>
          <w:szCs w:val="20"/>
          <w:color w:val="auto"/>
        </w:rPr>
      </w:pPr>
    </w:p>
    <w:p>
      <w:pPr>
        <w:ind w:left="2540" w:hanging="627"/>
        <w:spacing w:after="0"/>
        <w:tabs>
          <w:tab w:leader="none" w:pos="2540" w:val="left"/>
        </w:tabs>
        <w:numPr>
          <w:ilvl w:val="1"/>
          <w:numId w:val="87"/>
        </w:numPr>
        <w:rPr>
          <w:rFonts w:ascii="Arial" w:cs="Arial" w:eastAsia="Arial" w:hAnsi="Arial"/>
          <w:sz w:val="19"/>
          <w:szCs w:val="19"/>
          <w:color w:val="auto"/>
        </w:rPr>
      </w:pPr>
      <w:r>
        <w:rPr>
          <w:rFonts w:ascii="Arial" w:cs="Arial" w:eastAsia="Arial" w:hAnsi="Arial"/>
          <w:sz w:val="19"/>
          <w:szCs w:val="19"/>
          <w:color w:val="auto"/>
        </w:rPr>
        <w:t>[reserved]; and</w:t>
      </w:r>
    </w:p>
    <w:p>
      <w:pPr>
        <w:spacing w:after="0" w:line="205" w:lineRule="exact"/>
        <w:rPr>
          <w:rFonts w:ascii="Arial" w:cs="Arial" w:eastAsia="Arial" w:hAnsi="Arial"/>
          <w:sz w:val="19"/>
          <w:szCs w:val="19"/>
          <w:color w:val="auto"/>
        </w:rPr>
      </w:pPr>
    </w:p>
    <w:p>
      <w:pPr>
        <w:ind w:left="640" w:firstLine="1273"/>
        <w:spacing w:after="0" w:line="237" w:lineRule="auto"/>
        <w:tabs>
          <w:tab w:leader="none" w:pos="2755" w:val="left"/>
        </w:tabs>
        <w:numPr>
          <w:ilvl w:val="1"/>
          <w:numId w:val="87"/>
        </w:numPr>
        <w:rPr>
          <w:rFonts w:ascii="Arial" w:cs="Arial" w:eastAsia="Arial" w:hAnsi="Arial"/>
          <w:sz w:val="19"/>
          <w:szCs w:val="19"/>
          <w:color w:val="auto"/>
        </w:rPr>
      </w:pPr>
      <w:r>
        <w:rPr>
          <w:rFonts w:ascii="Arial" w:cs="Arial" w:eastAsia="Arial" w:hAnsi="Arial"/>
          <w:sz w:val="19"/>
          <w:szCs w:val="19"/>
          <w:color w:val="auto"/>
        </w:rPr>
        <w:t>delivery of such other documents, certificates, information or legal opinions as the Administrative Agent or any Lender shall have reasonably requested prior to the Closing Date.</w:t>
      </w:r>
    </w:p>
    <w:p>
      <w:pPr>
        <w:spacing w:after="0" w:line="177" w:lineRule="exact"/>
        <w:rPr>
          <w:rFonts w:ascii="Arial" w:cs="Arial" w:eastAsia="Arial" w:hAnsi="Arial"/>
          <w:sz w:val="19"/>
          <w:szCs w:val="19"/>
          <w:color w:val="auto"/>
        </w:rPr>
      </w:pPr>
    </w:p>
    <w:p>
      <w:pPr>
        <w:ind w:firstLine="1277"/>
        <w:spacing w:after="0" w:line="237" w:lineRule="auto"/>
        <w:tabs>
          <w:tab w:leader="none" w:pos="211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BlackRock Lenders (or one or more of their designated affiliates or other designees) shall have received executed counterparts of the Board Observer Side Letter.</w:t>
      </w:r>
    </w:p>
    <w:p>
      <w:pPr>
        <w:spacing w:after="0" w:line="204" w:lineRule="exact"/>
        <w:rPr>
          <w:rFonts w:ascii="Arial" w:cs="Arial" w:eastAsia="Arial" w:hAnsi="Arial"/>
          <w:sz w:val="19"/>
          <w:szCs w:val="19"/>
          <w:color w:val="auto"/>
        </w:rPr>
      </w:pPr>
    </w:p>
    <w:p>
      <w:pPr>
        <w:ind w:firstLine="1277"/>
        <w:spacing w:after="0" w:line="278" w:lineRule="auto"/>
        <w:tabs>
          <w:tab w:leader="none" w:pos="2108"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Lenders (or one or more of their designated affiliates or other designees) shall have received executed counterparts of the Tranche 1 Warrants.</w:t>
      </w:r>
    </w:p>
    <w:p>
      <w:pPr>
        <w:spacing w:after="0" w:line="169" w:lineRule="exact"/>
        <w:rPr>
          <w:rFonts w:ascii="Arial" w:cs="Arial" w:eastAsia="Arial" w:hAnsi="Arial"/>
          <w:sz w:val="19"/>
          <w:szCs w:val="19"/>
          <w:color w:val="auto"/>
        </w:rPr>
      </w:pPr>
    </w:p>
    <w:p>
      <w:pPr>
        <w:ind w:firstLine="1277"/>
        <w:spacing w:after="0" w:line="237" w:lineRule="auto"/>
        <w:tabs>
          <w:tab w:leader="none" w:pos="211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satisfactory to the Administrative Agent that the Cayman Islands Monetary Authority has approved the Borrower’s entry into the Loan Documents.</w:t>
      </w:r>
    </w:p>
    <w:p>
      <w:pPr>
        <w:spacing w:after="0" w:line="178"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Without limiting the generality of the provisions of this Section, for purposes of determining compliance with the conditions specified in this Section, upon the express release of their signatures, the Administrative Agent and each Lender that has signed this Agreement shall be deemed to have consented to, approved of, accepted or been satisfied with each document or other matter required thereunder to be consented to, approved by or acceptable or satisfactory to the Administrative Agent or such Lender.</w:t>
      </w:r>
    </w:p>
    <w:p>
      <w:pPr>
        <w:spacing w:after="0" w:line="172" w:lineRule="exact"/>
        <w:rPr>
          <w:sz w:val="20"/>
          <w:szCs w:val="20"/>
          <w:color w:val="auto"/>
        </w:rPr>
      </w:pPr>
    </w:p>
    <w:p>
      <w:pPr>
        <w:ind w:right="420" w:firstLine="636"/>
        <w:spacing w:after="0" w:line="241"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b w:val="1"/>
          <w:bCs w:val="1"/>
          <w:u w:val="single" w:color="auto"/>
          <w:color w:val="auto"/>
        </w:rPr>
        <w:t>Conditions to the Borrowing</w:t>
      </w:r>
      <w:r>
        <w:rPr>
          <w:rFonts w:ascii="Arial" w:cs="Arial" w:eastAsia="Arial" w:hAnsi="Arial"/>
          <w:sz w:val="19"/>
          <w:szCs w:val="19"/>
          <w:color w:val="auto"/>
        </w:rPr>
        <w:t>. The obligation of each Lender to make a Loan on the Funding Date is subject to the satisfaction of the following conditions:</w:t>
      </w:r>
    </w:p>
    <w:p>
      <w:pPr>
        <w:spacing w:after="0" w:line="203" w:lineRule="exact"/>
        <w:rPr>
          <w:sz w:val="20"/>
          <w:szCs w:val="20"/>
          <w:color w:val="auto"/>
        </w:rPr>
      </w:pPr>
    </w:p>
    <w:p>
      <w:pPr>
        <w:ind w:left="2120" w:hanging="843"/>
        <w:spacing w:after="0"/>
        <w:tabs>
          <w:tab w:leader="none" w:pos="2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no Default or Event of Default</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shall exist;</w:t>
      </w:r>
    </w:p>
    <w:p>
      <w:pPr>
        <w:spacing w:after="0" w:line="216" w:lineRule="exact"/>
        <w:rPr>
          <w:sz w:val="20"/>
          <w:szCs w:val="20"/>
          <w:color w:val="auto"/>
        </w:rPr>
      </w:pPr>
    </w:p>
    <w:p>
      <w:pPr>
        <w:jc w:val="both"/>
        <w:ind w:firstLine="1277"/>
        <w:spacing w:after="0" w:line="220" w:lineRule="auto"/>
        <w:tabs>
          <w:tab w:leader="none" w:pos="2108" w:val="left"/>
        </w:tabs>
        <w:numPr>
          <w:ilvl w:val="0"/>
          <w:numId w:val="90"/>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Borrowing, all representations and warranties of each Loan Party set forth in the Loan Documents shall be true and correct in all material respects (other than those representations and warranties that are expressly qualified by “Material Adverse Effect” or other materiality, in which case, such representations and warranties shall be true and correct in all respects); and</w:t>
      </w:r>
    </w:p>
    <w:p>
      <w:pPr>
        <w:spacing w:after="0" w:line="179" w:lineRule="exact"/>
        <w:rPr>
          <w:rFonts w:ascii="Arial" w:cs="Arial" w:eastAsia="Arial" w:hAnsi="Arial"/>
          <w:sz w:val="19"/>
          <w:szCs w:val="19"/>
          <w:color w:val="auto"/>
        </w:rPr>
      </w:pPr>
    </w:p>
    <w:p>
      <w:pPr>
        <w:ind w:left="1900" w:hanging="623"/>
        <w:spacing w:after="0"/>
        <w:tabs>
          <w:tab w:leader="none" w:pos="19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shall have delivered the required Notice of Borrowing.</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 xml:space="preserve">The Borrowing shall be deemed to constitute a representation and warranty by the Borrower on the date thereof as to the matters specified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Section.</w:t>
      </w:r>
    </w:p>
    <w:p>
      <w:pPr>
        <w:spacing w:after="0" w:line="26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3.3.</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0060"/>
          </w:cols>
          <w:pgMar w:left="1380" w:top="1440" w:right="459" w:bottom="1440" w:gutter="0" w:footer="0" w:header="0"/>
        </w:sectPr>
      </w:pPr>
    </w:p>
    <w:bookmarkStart w:id="113" w:name="page114"/>
    <w:bookmarkEnd w:id="113"/>
    <w:p>
      <w:pPr>
        <w:jc w:val="center"/>
        <w:ind w:right="940"/>
        <w:spacing w:after="0"/>
        <w:rPr>
          <w:sz w:val="20"/>
          <w:szCs w:val="20"/>
          <w:color w:val="auto"/>
        </w:rPr>
      </w:pPr>
      <w:r>
        <w:rPr>
          <w:rFonts w:ascii="Arial" w:cs="Arial" w:eastAsia="Arial" w:hAnsi="Arial"/>
          <w:sz w:val="19"/>
          <w:szCs w:val="19"/>
          <w:b w:val="1"/>
          <w:bCs w:val="1"/>
          <w:u w:val="single" w:color="auto"/>
          <w:color w:val="auto"/>
        </w:rPr>
        <w:t>ARTICLE IV</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9"/>
          <w:szCs w:val="19"/>
          <w:b w:val="1"/>
          <w:bCs w:val="1"/>
          <w:u w:val="single" w:color="auto"/>
          <w:color w:val="auto"/>
        </w:rPr>
        <w:t>REPRESENTATIONS AND WARRANTIES</w:t>
      </w:r>
    </w:p>
    <w:p>
      <w:pPr>
        <w:spacing w:after="0" w:line="66" w:lineRule="exact"/>
        <w:rPr>
          <w:sz w:val="20"/>
          <w:szCs w:val="20"/>
          <w:color w:val="auto"/>
        </w:rPr>
      </w:pPr>
    </w:p>
    <w:p>
      <w:pPr>
        <w:jc w:val="both"/>
        <w:ind w:firstLine="636"/>
        <w:spacing w:after="0" w:line="212" w:lineRule="auto"/>
        <w:rPr>
          <w:sz w:val="20"/>
          <w:szCs w:val="20"/>
          <w:color w:val="auto"/>
        </w:rPr>
      </w:pPr>
      <w:r>
        <w:rPr>
          <w:rFonts w:ascii="Arial" w:cs="Arial" w:eastAsia="Arial" w:hAnsi="Arial"/>
          <w:sz w:val="19"/>
          <w:szCs w:val="19"/>
          <w:color w:val="auto"/>
        </w:rPr>
        <w:t>Each of Holdings and the Borrower hereby represents and warrants to the Administrative Agent and each Lender as follows:</w:t>
      </w:r>
    </w:p>
    <w:p>
      <w:pPr>
        <w:spacing w:after="0" w:line="1" w:lineRule="exact"/>
        <w:rPr>
          <w:sz w:val="20"/>
          <w:szCs w:val="20"/>
          <w:color w:val="auto"/>
        </w:rPr>
      </w:pPr>
    </w:p>
    <w:p>
      <w:pPr>
        <w:jc w:val="both"/>
        <w:ind w:firstLine="636"/>
        <w:spacing w:after="0" w:line="210"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b w:val="1"/>
          <w:bCs w:val="1"/>
          <w:u w:val="single" w:color="auto"/>
          <w:color w:val="auto"/>
        </w:rPr>
        <w:t>Existence; Power</w:t>
      </w:r>
      <w:r>
        <w:rPr>
          <w:rFonts w:ascii="Arial" w:cs="Arial" w:eastAsia="Arial" w:hAnsi="Arial"/>
          <w:sz w:val="19"/>
          <w:szCs w:val="19"/>
          <w:color w:val="auto"/>
        </w:rPr>
        <w:t>. Holdings and each of its Subsidiaries (i) is duly organized, validly existing and in good standing as a corporation, partnership, limited liability company or exempted company, as applicable, under the laws of the jurisdiction of its organization, (ii) has all requisite power and authority to (a) carry on its business as now conducted except where a failure would not reasonably be expected to result in a Material Adverse Effect and (b) execute, deliver and perform its obligations under the Loan Documents to which it is a party (if any) and (iii) is duly qualified to do business, and is in good standing, in each jurisdiction where such qualification is required, except where a failure to be so qualified would not reasonably be expected to result in a Material Adverse Effect.</w:t>
      </w:r>
    </w:p>
    <w:p>
      <w:pPr>
        <w:spacing w:after="0" w:line="6"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u w:val="single" w:color="auto"/>
          <w:color w:val="auto"/>
        </w:rPr>
        <w:t>Organizational Power; Authorization</w:t>
      </w:r>
      <w:r>
        <w:rPr>
          <w:rFonts w:ascii="Arial" w:cs="Arial" w:eastAsia="Arial" w:hAnsi="Arial"/>
          <w:sz w:val="18"/>
          <w:szCs w:val="18"/>
          <w:color w:val="auto"/>
        </w:rPr>
        <w:t>. The execution, delivery and performance by each Loan Party of the Loan Documents to which it is a party are within such Loan Party’s organizational powers and have been duly authorized by all necessary organizational and, if required, shareholder, partner or member action. This Agreement has been duly executed and delivered by Holdings, the Borrower and each other Loan Party, and constitutes, and each other Loan Document to which any Loan Party is a party, when executed and delivered by such Loan Party, shall constitute, valid and binding obligations of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5"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b w:val="1"/>
          <w:bCs w:val="1"/>
          <w:u w:val="single" w:color="auto"/>
          <w:color w:val="auto"/>
        </w:rPr>
        <w:t>Governmental Approvals; No Conflicts; No Default</w:t>
      </w:r>
      <w:r>
        <w:rPr>
          <w:rFonts w:ascii="Arial" w:cs="Arial" w:eastAsia="Arial" w:hAnsi="Arial"/>
          <w:sz w:val="18"/>
          <w:szCs w:val="18"/>
          <w:color w:val="auto"/>
        </w:rPr>
        <w:t xml:space="preserve">. The execution, delivery and performance by each Loan Party of the Loan Documents to which it is a party (a) do not require any material consent or approval of, registration or filing with, or any action by, any Governmental Authority or any other Person, except those as have been obtained or made and are in full force and effect and except for filings necessary to perfect or maintain perfection of the Liens created under the Loan Documents, (b) shall not materially violate (i) any Requirement of Law applicable to Holdings or any of its Subsidiaries or (ii) any judgment, order or ruling of any Governmental Authority, (c) shall not violate or result in a default under any Contractual Obligation of Holdings or any of its Subsidiaries or any of its assets or give rise to a right thereunder to require any payment to be made by Holdings or any of its Subsidiaries (except as would not reasonably be expected to result in a Material Adverse Effect) and (d) shall not result in the creation or imposition of any Lien on any asset of Holdings or any of its Subsidiaries, except Liens (if any) created under the Loan Documents and Liens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As of the Closing Date, no Default or Event of Default has occurred and is continuing. As of the Closing Date, neither the Borrower nor any Subsidiary is in default under or with respect to any Material Agreement in any respect that, individually or collectively, with all such defaults, would reasonably be expected to have a Material Adverse Effect.</w:t>
      </w:r>
    </w:p>
    <w:p>
      <w:pPr>
        <w:spacing w:after="0" w:line="9"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xml:space="preserve">. Holdings has furnished to each Lender (i) the audited consolidated balance sheet of Holdings and its Subsidiaries as of the Fiscal Years ended December 31, 2018, December 31, 2019 and December 31, 2020, and the related audited consolidated statements of income, shareholders’ equity and cash flows for such Fiscal Years then ended, in each case, audited by Deloitte, (ii) the unaudited consolidated balance sheet of Holdings and its Subsidiaries as of the Fiscal Quarter ended September 30, 2021, and the related unaudited consolidated statements of income and cash flows for the Fiscal Quarter and year-to-date period then ended, certified by a Responsible Officer of Holdings and (iii) the audited consolidated balance sheet of RIC as of the Fiscal Years ended December 31, 2018, December 31, 2019 and December 31, 2020, and the related audited consolidated statements of income, shareholders’ equity and cash flows for such Fiscal Years then ended, in each case, audited by Deloitte (the foregoing </w:t>
      </w:r>
      <w:r>
        <w:rPr>
          <w:rFonts w:ascii="Arial" w:cs="Arial" w:eastAsia="Arial" w:hAnsi="Arial"/>
          <w:sz w:val="17"/>
          <w:szCs w:val="17"/>
          <w:u w:val="single" w:color="auto"/>
          <w:color w:val="auto"/>
        </w:rPr>
        <w:t>items (i)</w:t>
      </w:r>
      <w:r>
        <w:rPr>
          <w:rFonts w:ascii="Arial" w:cs="Arial" w:eastAsia="Arial" w:hAnsi="Arial"/>
          <w:sz w:val="17"/>
          <w:szCs w:val="17"/>
          <w:color w:val="auto"/>
        </w:rPr>
        <w:t>-</w:t>
      </w:r>
      <w:r>
        <w:rPr>
          <w:rFonts w:ascii="Arial" w:cs="Arial" w:eastAsia="Arial" w:hAnsi="Arial"/>
          <w:sz w:val="17"/>
          <w:szCs w:val="17"/>
          <w:u w:val="single" w:color="auto"/>
          <w:color w:val="auto"/>
        </w:rPr>
        <w:t>(iii)</w:t>
      </w:r>
      <w:r>
        <w:rPr>
          <w:rFonts w:ascii="Arial" w:cs="Arial" w:eastAsia="Arial" w:hAnsi="Arial"/>
          <w:sz w:val="17"/>
          <w:szCs w:val="17"/>
          <w:color w:val="auto"/>
        </w:rPr>
        <w:t>, collectively, the “</w:t>
      </w:r>
      <w:r>
        <w:rPr>
          <w:rFonts w:ascii="Arial" w:cs="Arial" w:eastAsia="Arial" w:hAnsi="Arial"/>
          <w:sz w:val="17"/>
          <w:szCs w:val="17"/>
          <w:u w:val="single" w:color="auto"/>
          <w:color w:val="auto"/>
        </w:rPr>
        <w:t>Historical Financial Statements</w:t>
      </w:r>
      <w:r>
        <w:rPr>
          <w:rFonts w:ascii="Arial" w:cs="Arial" w:eastAsia="Arial" w:hAnsi="Arial"/>
          <w:sz w:val="17"/>
          <w:szCs w:val="17"/>
          <w:color w:val="auto"/>
        </w:rPr>
        <w:t xml:space="preserve">”). Such financial statements fairly present the consolidated financial condition of (A)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Holdings and its Subsidiaries as of such dates and the consolidated results of operations for such periods in conformity with GAAP consistently applied, subject to year-end audit adjustments and the absence of footnotes in the case of the statements referred to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and (B) in the case of </w:t>
      </w:r>
      <w:r>
        <w:rPr>
          <w:rFonts w:ascii="Arial" w:cs="Arial" w:eastAsia="Arial" w:hAnsi="Arial"/>
          <w:sz w:val="17"/>
          <w:szCs w:val="17"/>
          <w:u w:val="single" w:color="auto"/>
          <w:color w:val="auto"/>
        </w:rPr>
        <w:t>clause (iii)</w:t>
      </w:r>
      <w:r>
        <w:rPr>
          <w:rFonts w:ascii="Arial" w:cs="Arial" w:eastAsia="Arial" w:hAnsi="Arial"/>
          <w:sz w:val="17"/>
          <w:szCs w:val="17"/>
          <w:color w:val="auto"/>
        </w:rPr>
        <w:t>, RIC and the consolidated results of operations for such periods in conformity with SAP consistently applied. Since December 31, 2020, there have been no changes with respect to Holdings and its Subsidiaries which have had or would reasonably be expected to have, either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0060"/>
          </w:cols>
          <w:pgMar w:left="1380" w:top="1375" w:right="459" w:bottom="1440" w:gutter="0" w:footer="0" w:header="0"/>
        </w:sectPr>
      </w:pPr>
    </w:p>
    <w:bookmarkStart w:id="114" w:name="page115"/>
    <w:bookmarkEnd w:id="114"/>
    <w:p>
      <w:pPr>
        <w:ind w:left="640"/>
        <w:spacing w:after="0"/>
        <w:tabs>
          <w:tab w:leader="none" w:pos="1740" w:val="left"/>
        </w:tabs>
        <w:rPr>
          <w:sz w:val="20"/>
          <w:szCs w:val="20"/>
          <w:color w:val="auto"/>
        </w:rPr>
      </w:pPr>
      <w:r>
        <w:rPr>
          <w:rFonts w:ascii="Arial" w:cs="Arial" w:eastAsia="Arial" w:hAnsi="Arial"/>
          <w:sz w:val="19"/>
          <w:szCs w:val="19"/>
          <w:color w:val="auto"/>
        </w:rPr>
        <w:t>Section 4.5.</w:t>
      </w:r>
      <w:r>
        <w:rPr>
          <w:sz w:val="20"/>
          <w:szCs w:val="20"/>
          <w:color w:val="auto"/>
        </w:rPr>
        <w:tab/>
      </w:r>
      <w:r>
        <w:rPr>
          <w:rFonts w:ascii="Arial" w:cs="Arial" w:eastAsia="Arial" w:hAnsi="Arial"/>
          <w:sz w:val="18"/>
          <w:szCs w:val="18"/>
          <w:b w:val="1"/>
          <w:bCs w:val="1"/>
          <w:u w:val="single" w:color="auto"/>
          <w:color w:val="auto"/>
        </w:rPr>
        <w:t>Litigation and Environmental Matters</w:t>
      </w:r>
      <w:r>
        <w:rPr>
          <w:rFonts w:ascii="Arial" w:cs="Arial" w:eastAsia="Arial" w:hAnsi="Arial"/>
          <w:sz w:val="18"/>
          <w:szCs w:val="18"/>
          <w:color w:val="auto"/>
        </w:rPr>
        <w:t>.</w:t>
      </w:r>
    </w:p>
    <w:p>
      <w:pPr>
        <w:spacing w:after="0" w:line="304" w:lineRule="exact"/>
        <w:rPr>
          <w:sz w:val="20"/>
          <w:szCs w:val="20"/>
          <w:color w:val="auto"/>
        </w:rPr>
      </w:pPr>
    </w:p>
    <w:p>
      <w:pPr>
        <w:jc w:val="both"/>
        <w:ind w:firstLine="1277"/>
        <w:spacing w:after="0" w:line="229" w:lineRule="auto"/>
        <w:tabs>
          <w:tab w:leader="none" w:pos="21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litigation, investigation or proceeding of or before any arbitrators or Governmental Authorities is pending against or, to the knowledge of Holdings or the Borrower, threatened against or affecting Holdings, the Borrower or any of their respective Subsidiaries (i) as to which there is a reasonable possibility of an adverse determination that would reasonably be expected to have, either individually or in the aggregate, a Material Adverse Effect or (ii) which in any manner draws into question the validity or enforceability of this Agreement or any other Loan Document.</w:t>
      </w:r>
    </w:p>
    <w:p>
      <w:pPr>
        <w:spacing w:after="0" w:line="178" w:lineRule="exact"/>
        <w:rPr>
          <w:rFonts w:ascii="Arial" w:cs="Arial" w:eastAsia="Arial" w:hAnsi="Arial"/>
          <w:sz w:val="18"/>
          <w:szCs w:val="18"/>
          <w:color w:val="auto"/>
        </w:rPr>
      </w:pPr>
    </w:p>
    <w:p>
      <w:pPr>
        <w:jc w:val="both"/>
        <w:ind w:firstLine="1277"/>
        <w:spacing w:after="0" w:line="215" w:lineRule="auto"/>
        <w:tabs>
          <w:tab w:leader="none" w:pos="210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Except for the matters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attached hereto, and matters that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become subject to any Environmental Liability, (iii) has received written notice of any claim against it with respect to any Environmental Liability or (iv) has actual knowledge of any facts or circumstances that would reasonably be expected to give rise to an Environmental Liability.</w:t>
      </w:r>
    </w:p>
    <w:p>
      <w:pPr>
        <w:spacing w:after="0" w:line="18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b w:val="1"/>
          <w:bCs w:val="1"/>
          <w:u w:val="single" w:color="auto"/>
          <w:color w:val="auto"/>
        </w:rPr>
        <w:t>Compliance with Laws and Agreements</w:t>
      </w:r>
      <w:r>
        <w:rPr>
          <w:rFonts w:ascii="Arial" w:cs="Arial" w:eastAsia="Arial" w:hAnsi="Arial"/>
          <w:sz w:val="19"/>
          <w:szCs w:val="19"/>
          <w:color w:val="auto"/>
        </w:rPr>
        <w:t>. Holdings and each of its Subsidiaries is in compliance with (a) all Requirements of Law and all judgments, decrees and orders of any Governmental Authority and (b) all indentures, agreements or other instruments binding upon it or its properties, except where non-compliance, either individually or in the aggregate, would not reasonably be expected to result in a Material Adverse Effect.</w:t>
      </w:r>
    </w:p>
    <w:p>
      <w:pPr>
        <w:spacing w:after="0" w:line="172"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b w:val="1"/>
          <w:bCs w:val="1"/>
          <w:u w:val="single" w:color="auto"/>
          <w:color w:val="auto"/>
        </w:rPr>
        <w:t>Investment Company Act</w:t>
      </w:r>
      <w:r>
        <w:rPr>
          <w:rFonts w:ascii="Arial" w:cs="Arial" w:eastAsia="Arial" w:hAnsi="Arial"/>
          <w:sz w:val="19"/>
          <w:szCs w:val="19"/>
          <w:color w:val="auto"/>
        </w:rPr>
        <w:t>. Neither Holdings nor any of its Subsidiaries is (a) an “investment company” or is “controlled” by an “investment company”, as such terms are defined in, or subject to regulation under, the Investment Company Act of 1940, as amended and in effect from time to time or (b) otherwise subject to any other regulatory scheme limiting its ability to incur its Obligations under the Loan Documents or requiring any approval or consent from, or registration or filing with, any Governmental Authority in connection therewith.</w:t>
      </w:r>
    </w:p>
    <w:p>
      <w:pPr>
        <w:spacing w:after="0" w:line="187"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Holdings and its Subsidiaries have timely filed or caused to be filed all federal income tax returns and all other material tax returns that are required to be filed by them, and have paid all material taxes due and payable (whether or not shown on such returns) or on any assessments made against it or its property and all other material taxes, fees or other charges imposed on it or any of its property by any Governmental Authority, except where the same are currently being contested in good faith by appropriate proceedings and for which Holdings or such Subsidiary, as the case may be, has set aside on its books adequate reserves in accordance with GAAP. The charges, accruals and reserves on the books of Holdings and its Subsidiaries in respect of such taxes are adequate, and no tax liabilities that would be materially in excess of the amount so provided are anticipated.</w:t>
      </w:r>
    </w:p>
    <w:p>
      <w:pPr>
        <w:spacing w:after="0" w:line="171"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b w:val="1"/>
          <w:bCs w:val="1"/>
          <w:u w:val="single" w:color="auto"/>
          <w:color w:val="auto"/>
        </w:rPr>
        <w:t>Margin Regulations</w:t>
      </w:r>
      <w:r>
        <w:rPr>
          <w:rFonts w:ascii="Arial" w:cs="Arial" w:eastAsia="Arial" w:hAnsi="Arial"/>
          <w:sz w:val="19"/>
          <w:szCs w:val="19"/>
          <w:color w:val="auto"/>
        </w:rPr>
        <w:t>. None of the proceeds of any of the Loans shall be used, directly or indirectly, for “purchasing” or “carrying” any “margin stock” within the respective meanings of each of such terms under Regulation U or for any purpose that violates the provisions of Regulation T, Regulation U or Regulation X. Neither Holdings nor any of its Subsidiaries is engaged principally, or as one of its important activities, in the business of extending credit for the purpose of purchasing or carrying “margin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0060"/>
          </w:cols>
          <w:pgMar w:left="1380" w:top="1296" w:right="459" w:bottom="1440" w:gutter="0" w:footer="0" w:header="0"/>
        </w:sectPr>
      </w:pPr>
    </w:p>
    <w:bookmarkStart w:id="115" w:name="page116"/>
    <w:bookmarkEnd w:id="115"/>
    <w:p>
      <w:pPr>
        <w:spacing w:after="0" w:line="174" w:lineRule="exact"/>
        <w:rPr>
          <w:sz w:val="20"/>
          <w:szCs w:val="20"/>
          <w:color w:val="auto"/>
        </w:rPr>
      </w:pPr>
    </w:p>
    <w:p>
      <w:pPr>
        <w:ind w:left="635"/>
        <w:spacing w:after="0"/>
        <w:tabs>
          <w:tab w:leader="none" w:pos="1834" w:val="left"/>
        </w:tabs>
        <w:rPr>
          <w:sz w:val="20"/>
          <w:szCs w:val="20"/>
          <w:color w:val="auto"/>
        </w:rPr>
      </w:pPr>
      <w:r>
        <w:rPr>
          <w:rFonts w:ascii="Arial" w:cs="Arial" w:eastAsia="Arial" w:hAnsi="Arial"/>
          <w:sz w:val="19"/>
          <w:szCs w:val="19"/>
          <w:color w:val="auto"/>
        </w:rPr>
        <w:t>Section 4.10.</w:t>
      </w:r>
      <w:r>
        <w:rPr>
          <w:sz w:val="20"/>
          <w:szCs w:val="20"/>
          <w:color w:val="auto"/>
        </w:rPr>
        <w:tab/>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w:t>
      </w:r>
    </w:p>
    <w:p>
      <w:pPr>
        <w:spacing w:after="0" w:line="291" w:lineRule="exact"/>
        <w:rPr>
          <w:sz w:val="20"/>
          <w:szCs w:val="20"/>
          <w:color w:val="auto"/>
        </w:rPr>
      </w:pPr>
    </w:p>
    <w:p>
      <w:pPr>
        <w:jc w:val="both"/>
        <w:ind w:left="-5" w:firstLine="1277"/>
        <w:spacing w:after="0" w:line="232" w:lineRule="auto"/>
        <w:tabs>
          <w:tab w:leader="none" w:pos="2105" w:val="left"/>
        </w:tabs>
        <w:numPr>
          <w:ilvl w:val="1"/>
          <w:numId w:val="92"/>
        </w:numPr>
        <w:rPr>
          <w:rFonts w:ascii="Arial" w:cs="Arial" w:eastAsia="Arial" w:hAnsi="Arial"/>
          <w:sz w:val="17"/>
          <w:szCs w:val="17"/>
          <w:color w:val="auto"/>
        </w:rPr>
      </w:pPr>
      <w:r>
        <w:rPr>
          <w:rFonts w:ascii="Arial" w:cs="Arial" w:eastAsia="Arial" w:hAnsi="Arial"/>
          <w:sz w:val="17"/>
          <w:szCs w:val="17"/>
          <w:color w:val="auto"/>
        </w:rPr>
        <w:t>Each Plan which is intended to be qualified under Section 401(a) of the Code has received a favorable determination letter from the IRS to the effect that it meets the requirements of Section 401(a) of the Code, or is comprised of a master or prototype plan that has received a favorable opinion letter from the IRS and, to the knowledge of Holdings or the Borrower, nothing has occurred since the date of such determination or opinion letter that would adversely affect such qualification. Except as would not reasonably be expected to result in Material Adverse Effect, (i) each Plan is in compliance in form and operation with its terms and with ERISA and the Code (including, without limitation, the Code provisions compliance with which is necessary for any intended favorable tax treatment) and all other applicable laws and regulations, (ii) no ERISA Event has occurred or, to the knowledge of Holdings or the Borrower, is reasonably expected to occur; (iii) there exists no Unfunded Pension Liability with respect to any Plan; (iv) there are no actions, suits or claims pending against or involving a Plan (other than routine claims for benefits) or, to the knowledge of Holdings, the Borrower, any of their respective Subsidiaries or any ERISA Affiliate, threatened; and (v) none of Holdings, any of its Subsidiaries or any ERISA Affiliate has, within the past five (5) calendar years,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None of Holdings, any of its Subsidiaries or any ERISA Affiliate is, has or had, within any of the five (5) calendar years immediately preceding the date this assurance is given or deemed given, made or been required to make contributions to any Multiemployer Plan.</w:t>
      </w:r>
    </w:p>
    <w:p>
      <w:pPr>
        <w:spacing w:after="0" w:line="192" w:lineRule="exact"/>
        <w:rPr>
          <w:rFonts w:ascii="Arial" w:cs="Arial" w:eastAsia="Arial" w:hAnsi="Arial"/>
          <w:sz w:val="17"/>
          <w:szCs w:val="17"/>
          <w:color w:val="auto"/>
        </w:rPr>
      </w:pPr>
    </w:p>
    <w:p>
      <w:pPr>
        <w:ind w:left="1895" w:hanging="623"/>
        <w:spacing w:after="0"/>
        <w:tabs>
          <w:tab w:leader="none" w:pos="1895" w:val="left"/>
        </w:tabs>
        <w:numPr>
          <w:ilvl w:val="1"/>
          <w:numId w:val="92"/>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a Material Adverse Effect,</w:t>
      </w:r>
    </w:p>
    <w:p>
      <w:pPr>
        <w:jc w:val="both"/>
        <w:ind w:left="-5" w:firstLine="5"/>
        <w:spacing w:after="0" w:line="237" w:lineRule="auto"/>
        <w:tabs>
          <w:tab w:leader="none" w:pos="244" w:val="left"/>
        </w:tabs>
        <w:numPr>
          <w:ilvl w:val="0"/>
          <w:numId w:val="93"/>
        </w:numPr>
        <w:rPr>
          <w:rFonts w:ascii="Arial" w:cs="Arial" w:eastAsia="Arial" w:hAnsi="Arial"/>
          <w:sz w:val="17"/>
          <w:szCs w:val="17"/>
          <w:color w:val="auto"/>
        </w:rPr>
      </w:pPr>
      <w:r>
        <w:rPr>
          <w:rFonts w:ascii="Arial" w:cs="Arial" w:eastAsia="Arial" w:hAnsi="Arial"/>
          <w:sz w:val="17"/>
          <w:szCs w:val="17"/>
          <w:color w:val="auto"/>
        </w:rPr>
        <w:t>each Non-U.S. Plan has been maintained in compliance with its terms and with the requirements of any and all applicable laws, statutes, rules, regulations and orders and has been maintained, where required, in good standing with applicable regulatory authorities; (ii) neither Holdings nor any of its Subsidiaries has incurred any obligation in connection with the termination of, or withdrawal from, any Non-U.S. Plan; and (iii) the present value of the accrued benefit liabilities (whether or not vested) under each Non-U.S. Plan, determined as of the end of Holdings’ most recently ended fiscal year on the basis of reasonable actuarial assumptions, did not exceed the current value of the assets of such Non-U.S. Plan allocable to such benefit liabilities.</w:t>
      </w:r>
    </w:p>
    <w:p>
      <w:pPr>
        <w:spacing w:after="0" w:line="171" w:lineRule="exact"/>
        <w:rPr>
          <w:sz w:val="20"/>
          <w:szCs w:val="20"/>
          <w:color w:val="auto"/>
        </w:rPr>
      </w:pPr>
    </w:p>
    <w:p>
      <w:pPr>
        <w:ind w:left="615"/>
        <w:spacing w:after="0"/>
        <w:tabs>
          <w:tab w:leader="none" w:pos="1794" w:val="left"/>
        </w:tabs>
        <w:rPr>
          <w:sz w:val="20"/>
          <w:szCs w:val="20"/>
          <w:color w:val="auto"/>
        </w:rPr>
      </w:pPr>
      <w:r>
        <w:rPr>
          <w:rFonts w:ascii="Arial" w:cs="Arial" w:eastAsia="Arial" w:hAnsi="Arial"/>
          <w:sz w:val="19"/>
          <w:szCs w:val="19"/>
          <w:color w:val="auto"/>
        </w:rPr>
        <w:t>Section 4.11.</w:t>
      </w:r>
      <w:r>
        <w:rPr>
          <w:sz w:val="20"/>
          <w:szCs w:val="20"/>
          <w:color w:val="auto"/>
        </w:rPr>
        <w:tab/>
      </w:r>
      <w:r>
        <w:rPr>
          <w:rFonts w:ascii="Arial" w:cs="Arial" w:eastAsia="Arial" w:hAnsi="Arial"/>
          <w:sz w:val="17"/>
          <w:szCs w:val="17"/>
          <w:b w:val="1"/>
          <w:bCs w:val="1"/>
          <w:u w:val="single" w:color="auto"/>
          <w:color w:val="auto"/>
        </w:rPr>
        <w:t>Ownership of Property; Intellectual Property; and Insurance</w:t>
      </w:r>
      <w:r>
        <w:rPr>
          <w:rFonts w:ascii="Arial" w:cs="Arial" w:eastAsia="Arial" w:hAnsi="Arial"/>
          <w:sz w:val="17"/>
          <w:szCs w:val="17"/>
          <w:color w:val="auto"/>
        </w:rPr>
        <w:t>.</w:t>
      </w:r>
    </w:p>
    <w:p>
      <w:pPr>
        <w:spacing w:after="0" w:line="304" w:lineRule="exact"/>
        <w:rPr>
          <w:sz w:val="20"/>
          <w:szCs w:val="20"/>
          <w:color w:val="auto"/>
        </w:rPr>
      </w:pPr>
    </w:p>
    <w:p>
      <w:pPr>
        <w:jc w:val="both"/>
        <w:ind w:left="-5" w:firstLine="1277"/>
        <w:spacing w:after="0" w:line="213" w:lineRule="auto"/>
        <w:tabs>
          <w:tab w:leader="none" w:pos="2105"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Each of the Borrower and its Subsidiaries has good title to, or valid leasehold interests in, all of its real and personal property material to the operation of its business, including all such properties reflected in the most recent audited consolidated balance sheet of Holdings referred to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or purported to have been acquired by the Borrower or any of its Subsidiaries after said date (except as sold or otherwise disposed of in the ordinary course of business or otherwise as permitted under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of this Agreement), in each case, free and clear of Liens prohibited by this Agreement. All leases that individually or in the aggregate are material to the business or operations of Holdings and its Subsidiaries are valid and subsisting and are in full force.</w:t>
      </w:r>
    </w:p>
    <w:p>
      <w:pPr>
        <w:spacing w:after="0" w:line="192" w:lineRule="exact"/>
        <w:rPr>
          <w:rFonts w:ascii="Arial" w:cs="Arial" w:eastAsia="Arial" w:hAnsi="Arial"/>
          <w:sz w:val="19"/>
          <w:szCs w:val="19"/>
          <w:color w:val="auto"/>
        </w:rPr>
      </w:pPr>
    </w:p>
    <w:p>
      <w:pPr>
        <w:jc w:val="both"/>
        <w:ind w:left="-5" w:firstLine="1277"/>
        <w:spacing w:after="0" w:line="225" w:lineRule="auto"/>
        <w:tabs>
          <w:tab w:leader="none" w:pos="21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Holdings and its Subsidiaries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the Borrower, (i) the conduct and operations of the businesses of Holdings and its Subsidiaries does not infringe, misappropriate, dilute or violate any Intellectual Property owned by any other Person and (ii) no other Person has contested any right, title or interest of Holdings or its Subsidiaries in, or relating to, any Intellectual Property, other than, in each case, as would not,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55"/>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0055"/>
          </w:cols>
          <w:pgMar w:left="1385" w:top="1440" w:right="459" w:bottom="1440" w:gutter="0" w:footer="0" w:header="0"/>
        </w:sectPr>
      </w:pPr>
    </w:p>
    <w:bookmarkStart w:id="116" w:name="page117"/>
    <w:bookmarkEnd w:id="116"/>
    <w:p>
      <w:pPr>
        <w:jc w:val="both"/>
        <w:ind w:firstLine="1277"/>
        <w:spacing w:after="0" w:line="220" w:lineRule="auto"/>
        <w:tabs>
          <w:tab w:leader="none" w:pos="211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properties of Holdings and its Subsidiaries are insured with financially sound and reputable insurance companies which are not Affiliates of Holdings, in such amounts with such deductibles and covering such risks as are customarily carried by companies engaged in similar businesses and owning similar properties in localities where Holdings or any applicable Subsidiary operates.</w:t>
      </w:r>
    </w:p>
    <w:p>
      <w:pPr>
        <w:spacing w:after="0" w:line="205" w:lineRule="exact"/>
        <w:rPr>
          <w:rFonts w:ascii="Arial" w:cs="Arial" w:eastAsia="Arial" w:hAnsi="Arial"/>
          <w:sz w:val="19"/>
          <w:szCs w:val="19"/>
          <w:color w:val="auto"/>
        </w:rPr>
      </w:pPr>
    </w:p>
    <w:p>
      <w:pPr>
        <w:ind w:left="2120" w:hanging="843"/>
        <w:spacing w:after="0"/>
        <w:tabs>
          <w:tab w:leader="none" w:pos="2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of the Closing Date, neither the Borrower nor any of its Subsidiaries owns a fee interest in any</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Real Estate.</w:t>
      </w:r>
    </w:p>
    <w:p>
      <w:pPr>
        <w:spacing w:after="0" w:line="210"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xml:space="preserve">. Holdings and the Borrower have disclosed to the Lenders all agreements, instruments and corporate or other restrictions to which Holdings, the Borrower or any of their respective Subsidiaries is subject, and all other matters known to any of them, that, either individually or in the aggregate, would reasonably be expected to result in a Material Adverse Effect. None of the reports (including, without limitation, all reports that an Insurance Subsidiary is required to file with any regulatory agency), financial statements, certificates or other written information furnished by or on behalf of the Borrower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Holdings and the Borrower represent only that such information was prepared in good faith based upon assumptions believed to be reasonable at the time furnished (it being acknowledged and understood that such information is subject to contingencies and assumptions, many of which are beyond the Borrower’s control, and that actual results may differ materially from such information and that such projections are not a guarantee of financial performance).</w:t>
      </w:r>
    </w:p>
    <w:p>
      <w:pPr>
        <w:spacing w:after="0" w:line="185"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b w:val="1"/>
          <w:bCs w:val="1"/>
          <w:u w:val="single" w:color="auto"/>
          <w:color w:val="auto"/>
        </w:rPr>
        <w:t>Labor Relations</w:t>
      </w:r>
      <w:r>
        <w:rPr>
          <w:rFonts w:ascii="Arial" w:cs="Arial" w:eastAsia="Arial" w:hAnsi="Arial"/>
          <w:sz w:val="18"/>
          <w:szCs w:val="18"/>
          <w:color w:val="auto"/>
        </w:rPr>
        <w:t>. Except as would not reasonably be expected to result in a Material Adverse Effect, (i) there are no strikes, lockouts or other material labor disputes against Holdings or any of its Subsidiaries or, to Holdings’ or the Borrower’s knowledge, threatened against or affecting Holdings or the Borrower or any of their respective Subsidiaries; (ii) significant unfair labor practice charges or grievances are pending against the Borrower or any of its Subsidiaries or, to Holdings’ or the Borrower’s knowledge, threatened against any of them before any Governmental Authority; and (iii) all payments due from Holdings or any of its Subsidiaries pursuant to the provisions of any collective bargaining agreement have been paid or accrued as a liability on the books of Holdings or any such Subsidiary.</w:t>
      </w:r>
    </w:p>
    <w:p>
      <w:pPr>
        <w:spacing w:after="0" w:line="173"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sets forth the name of, the ownership interest of the applicable Loan Party in, the jurisdiction of incorporation or organization of, and the type of each Subsidiary of Holdings and the other Loan Parties and identifies each Subsidiary that is a Subsidiary Loan Party, in each case, as of the Closing Date. As of the Closing Date, all of the issued and outstanding Capital Stock of the Subsidiaries owned by any Loan Party have been (to the extent such concepts are relevant with respect to such ownership interests) duly authorized and issued and are fully paid and non-assessable free and clear of all Liens (other than Permitted Prior Liens). As of the Closing Date, there are no outstanding purchase options, warrants, subscription rights, agreements to issue or sell or convertible interests by Holdings or any Subsidiary of Holdings relating to the Capital Stock of Holdings or any Subsidiary of Holdings, other than (i) the Warrants, (ii) the Carvana Warrants, (iii) the conversion of Class B Common Stock to Class A Common Stock, or the conversion of Preferred Stock to Class A Common Stock and (iv) equity awards issued pursuant to an equity incentive plan of Holdings or any Subsidiary of Holdings or other compensation arrangements with employees of Holdings or any Subsidiary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0060"/>
          </w:cols>
          <w:pgMar w:left="1380" w:top="1302" w:right="459" w:bottom="1440" w:gutter="0" w:footer="0" w:header="0"/>
        </w:sectPr>
      </w:pPr>
    </w:p>
    <w:bookmarkStart w:id="117" w:name="page118"/>
    <w:bookmarkEnd w:id="117"/>
    <w:p>
      <w:pPr>
        <w:spacing w:after="0" w:line="161"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b w:val="1"/>
          <w:bCs w:val="1"/>
          <w:u w:val="single" w:color="auto"/>
          <w:color w:val="auto"/>
        </w:rPr>
        <w:t>Solvency</w:t>
      </w:r>
      <w:r>
        <w:rPr>
          <w:rFonts w:ascii="Arial" w:cs="Arial" w:eastAsia="Arial" w:hAnsi="Arial"/>
          <w:sz w:val="17"/>
          <w:szCs w:val="17"/>
          <w:color w:val="auto"/>
        </w:rPr>
        <w:t>. After giving effect to the execution and delivery of the Loan Documents, the consummation of the transactions contemplated herein, including the issuance of the Loans on the Funding Date, and the use of proceeds of the Loans in connection therewith on the Funding Date, the Loan Parties and their Subsidiaries, taken as a whole, are Solvent.</w:t>
      </w:r>
    </w:p>
    <w:p>
      <w:pPr>
        <w:spacing w:after="0" w:line="15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b w:val="1"/>
          <w:bCs w:val="1"/>
          <w:u w:val="single" w:color="auto"/>
          <w:color w:val="auto"/>
        </w:rPr>
        <w:t>Deposit and Disbursement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4.16</w:t>
      </w:r>
      <w:r>
        <w:rPr>
          <w:rFonts w:ascii="Arial" w:cs="Arial" w:eastAsia="Arial" w:hAnsi="Arial"/>
          <w:sz w:val="17"/>
          <w:szCs w:val="17"/>
          <w:color w:val="auto"/>
        </w:rPr>
        <w:t xml:space="preserve"> lists all banks and other financial institutions at which any Loan Party maintains deposit accounts, lockbox accounts, disbursement accounts, investment accounts or other similar accounts as of the Closing Date, and such Schedule correctly identifies the name, address and telephone number of each financial institution, the name in which the account is held, the type of the account and the complete account number therefor.</w:t>
      </w:r>
    </w:p>
    <w:p>
      <w:pPr>
        <w:spacing w:after="0" w:line="16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4.17.</w:t>
      </w:r>
      <w:r>
        <w:rPr>
          <w:sz w:val="20"/>
          <w:szCs w:val="20"/>
          <w:color w:val="auto"/>
        </w:rPr>
        <w:tab/>
      </w:r>
      <w:r>
        <w:rPr>
          <w:rFonts w:ascii="Arial" w:cs="Arial" w:eastAsia="Arial" w:hAnsi="Arial"/>
          <w:sz w:val="17"/>
          <w:szCs w:val="17"/>
          <w:b w:val="1"/>
          <w:bCs w:val="1"/>
          <w:u w:val="single" w:color="auto"/>
          <w:color w:val="auto"/>
        </w:rPr>
        <w:t>Collateral Documents</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23" w:lineRule="auto"/>
        <w:tabs>
          <w:tab w:leader="none" w:pos="21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Guaranty and Security Agreement is effective to create in favor of the Administrative Agent, for the ratable benefit of the Secured Parties, a legal, valid and enforceable security interest in the Collateral (as defined therein), and the Liens created under the Guaranty and Security Agreement constitute fully perfected Liens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Permitted Prior Liens. When the certificates evidencing Capital Stock that constitutes “certificated securities” pledged pursuant to the Guaranty and Security Agreement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190" w:lineRule="exact"/>
        <w:rPr>
          <w:rFonts w:ascii="Arial" w:cs="Arial" w:eastAsia="Arial" w:hAnsi="Arial"/>
          <w:sz w:val="18"/>
          <w:szCs w:val="18"/>
          <w:color w:val="auto"/>
        </w:rPr>
      </w:pPr>
    </w:p>
    <w:p>
      <w:pPr>
        <w:jc w:val="both"/>
        <w:ind w:firstLine="1278"/>
        <w:spacing w:after="0" w:line="213" w:lineRule="auto"/>
        <w:tabs>
          <w:tab w:leader="none" w:pos="2108" w:val="left"/>
        </w:tabs>
        <w:numPr>
          <w:ilvl w:val="0"/>
          <w:numId w:val="96"/>
        </w:numPr>
        <w:rPr>
          <w:rFonts w:ascii="Arial" w:cs="Arial" w:eastAsia="Arial" w:hAnsi="Arial"/>
          <w:sz w:val="19"/>
          <w:szCs w:val="19"/>
          <w:color w:val="auto"/>
        </w:rPr>
      </w:pPr>
      <w:r>
        <w:rPr>
          <w:rFonts w:ascii="Arial" w:cs="Arial" w:eastAsia="Arial" w:hAnsi="Arial"/>
          <w:sz w:val="19"/>
          <w:szCs w:val="19"/>
          <w:color w:val="auto"/>
        </w:rPr>
        <w:t>When, if applicable, the Patent Security Agreement(s) and the Trademark Security Agreement(s) are filed with the USPTO, and the Copyright Security Agreement(s) are filed with the USCRO, the Liens created by the Guaranty and Security Agreement shall constitute a fully perfected Lien on, and security interest in, all right, title and interest of the applicable Loan Parties in such Patents, Trademarks and Copyrights, if any, in which a security interest may be perfected by filing, recording or registering a security agreement, financing statement or analogous document with the USPTO or the USCRO, as applicable, in each case, prior and superior in right to any other Person other than with respect to Permitted Prior Liens.</w:t>
      </w:r>
    </w:p>
    <w:p>
      <w:pPr>
        <w:spacing w:after="0" w:line="179" w:lineRule="exact"/>
        <w:rPr>
          <w:rFonts w:ascii="Arial" w:cs="Arial" w:eastAsia="Arial" w:hAnsi="Arial"/>
          <w:sz w:val="19"/>
          <w:szCs w:val="19"/>
          <w:color w:val="auto"/>
        </w:rPr>
      </w:pPr>
    </w:p>
    <w:p>
      <w:pPr>
        <w:jc w:val="both"/>
        <w:ind w:firstLine="1278"/>
        <w:spacing w:after="0" w:line="213" w:lineRule="auto"/>
        <w:tabs>
          <w:tab w:leader="none" w:pos="211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Mortgage, if any, when duly executed and delivered by the relevant Loan Party, shall be effective to create in favor of the Administrative Agent, for the ratable benefit of the Secured Parties, a legal, valid and enforceable Lien on all of such applicable Loan Party’s right, title and interest in and to the Real Estate of such Loan Party covered thereby and the proceeds thereof, and when such Mortgage is filed in the real estate records where the respective Mortgaged Property is located, such Mortgage shall constitute a fully perfected Lien on, and security interest in, all right, title and interest of such Loan Party in such Real Estate and the proceeds thereof, in each case, prior and superior in right to any other Person, other than with respect to Permitted Prior Liens.</w:t>
      </w:r>
    </w:p>
    <w:p>
      <w:pPr>
        <w:spacing w:after="0" w:line="192" w:lineRule="exact"/>
        <w:rPr>
          <w:rFonts w:ascii="Arial" w:cs="Arial" w:eastAsia="Arial" w:hAnsi="Arial"/>
          <w:sz w:val="19"/>
          <w:szCs w:val="19"/>
          <w:color w:val="auto"/>
        </w:rPr>
      </w:pPr>
    </w:p>
    <w:p>
      <w:pPr>
        <w:jc w:val="both"/>
        <w:ind w:firstLine="1278"/>
        <w:spacing w:after="0" w:line="232" w:lineRule="auto"/>
        <w:tabs>
          <w:tab w:leader="none" w:pos="2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 Mortgage encumbers improved real property that is located in an area that has been identified by the Secretary of Housing and Urban Development as an area having special flood hazards, and in which flood insurance has been made available under the National Flood Insurance Act of 1968, except to the extent that the applicable Loan Party maintains flood insurance with respect to such improved real property in compliance with the requirements of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0060"/>
          </w:cols>
          <w:pgMar w:left="1380" w:top="1440" w:right="459" w:bottom="1440" w:gutter="0" w:footer="0" w:header="0"/>
        </w:sectPr>
      </w:pPr>
    </w:p>
    <w:bookmarkStart w:id="118" w:name="page119"/>
    <w:bookmarkEnd w:id="118"/>
    <w:p>
      <w:pPr>
        <w:jc w:val="both"/>
        <w:ind w:right="40" w:firstLine="636"/>
        <w:spacing w:after="0" w:line="214"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b w:val="1"/>
          <w:bCs w:val="1"/>
          <w:u w:val="single" w:color="auto"/>
          <w:color w:val="auto"/>
        </w:rPr>
        <w:t>Material Agreements</w:t>
      </w:r>
      <w:r>
        <w:rPr>
          <w:rFonts w:ascii="Arial" w:cs="Arial" w:eastAsia="Arial" w:hAnsi="Arial"/>
          <w:sz w:val="19"/>
          <w:szCs w:val="19"/>
          <w:color w:val="auto"/>
        </w:rPr>
        <w:t xml:space="preserve">. As of the Closing Date, all Material Agreements of the Borrower and its Subsidiaries are set forth on </w:t>
      </w:r>
      <w:r>
        <w:rPr>
          <w:rFonts w:ascii="Arial" w:cs="Arial" w:eastAsia="Arial" w:hAnsi="Arial"/>
          <w:sz w:val="19"/>
          <w:szCs w:val="19"/>
          <w:u w:val="single" w:color="auto"/>
          <w:color w:val="auto"/>
        </w:rPr>
        <w:t>Schedule 4.18</w:t>
      </w:r>
      <w:r>
        <w:rPr>
          <w:rFonts w:ascii="Arial" w:cs="Arial" w:eastAsia="Arial" w:hAnsi="Arial"/>
          <w:sz w:val="19"/>
          <w:szCs w:val="19"/>
          <w:color w:val="auto"/>
        </w:rPr>
        <w:t xml:space="preserve"> attached hereto, and each such Material Agreement is in full force and effect. As of the Closing Date, the Borrower does not have any knowledge of any pending material amendments or threatened termination of any of the Material Agreements. As of the Closing Date, the Borrower has electronically delivered to the Administrative Agent a true, complete and correct copy of each Material Agreement (including all material schedules, exhibits, amendments, supplements, modifications, assignments and all other material documents delivered pursuant thereto or in connection therewith) listed on </w:t>
      </w:r>
      <w:r>
        <w:rPr>
          <w:rFonts w:ascii="Arial" w:cs="Arial" w:eastAsia="Arial" w:hAnsi="Arial"/>
          <w:sz w:val="19"/>
          <w:szCs w:val="19"/>
          <w:u w:val="single" w:color="auto"/>
          <w:color w:val="auto"/>
        </w:rPr>
        <w:t>Schedule 4.18</w:t>
      </w:r>
      <w:r>
        <w:rPr>
          <w:rFonts w:ascii="Arial" w:cs="Arial" w:eastAsia="Arial" w:hAnsi="Arial"/>
          <w:sz w:val="19"/>
          <w:szCs w:val="19"/>
          <w:color w:val="auto"/>
        </w:rPr>
        <w:t>.</w:t>
      </w:r>
    </w:p>
    <w:p>
      <w:pPr>
        <w:spacing w:after="0" w:line="266" w:lineRule="exact"/>
        <w:rPr>
          <w:sz w:val="20"/>
          <w:szCs w:val="20"/>
          <w:color w:val="auto"/>
        </w:rPr>
      </w:pPr>
    </w:p>
    <w:p>
      <w:pPr>
        <w:jc w:val="both"/>
        <w:ind w:right="40" w:firstLine="636"/>
        <w:spacing w:after="0" w:line="228"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b w:val="1"/>
          <w:bCs w:val="1"/>
          <w:u w:val="single" w:color="auto"/>
          <w:color w:val="auto"/>
        </w:rPr>
        <w:t>Insurance Licenses</w:t>
      </w:r>
      <w:r>
        <w:rPr>
          <w:rFonts w:ascii="Arial" w:cs="Arial" w:eastAsia="Arial" w:hAnsi="Arial"/>
          <w:sz w:val="18"/>
          <w:szCs w:val="18"/>
          <w:color w:val="auto"/>
        </w:rPr>
        <w:t>. No Insurance License of any Insurance Subsidiary, the loss of which individually or in the aggregate would reasonably be expected to have a Material Adverse Effect, is the subject of a proceeding for suspension or revocation. To the best of the Borrower’s knowledge, there is no sustainable basis for a suspension or revocation of any Insurance License of any Insurance Subsidiary, which individually or in the aggregate, would reasonably be expected to have a Material Adverse Effect, and no such suspension or revocation has been threatened by any Governmental Authority which individually or in the aggregate would reasonably be expected to have a Material Adverse Effect.</w:t>
      </w:r>
    </w:p>
    <w:p>
      <w:pPr>
        <w:spacing w:after="0" w:line="17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4.20.</w:t>
      </w:r>
      <w:r>
        <w:rPr>
          <w:sz w:val="20"/>
          <w:szCs w:val="20"/>
          <w:color w:val="auto"/>
        </w:rPr>
        <w:tab/>
      </w:r>
      <w:r>
        <w:rPr>
          <w:rFonts w:ascii="Arial" w:cs="Arial" w:eastAsia="Arial" w:hAnsi="Arial"/>
          <w:sz w:val="17"/>
          <w:szCs w:val="17"/>
          <w:b w:val="1"/>
          <w:bCs w:val="1"/>
          <w:u w:val="single" w:color="auto"/>
          <w:color w:val="auto"/>
        </w:rPr>
        <w:t>Sanctions and Anti-Corruption Laws</w:t>
      </w:r>
      <w:r>
        <w:rPr>
          <w:rFonts w:ascii="Arial" w:cs="Arial" w:eastAsia="Arial" w:hAnsi="Arial"/>
          <w:sz w:val="17"/>
          <w:szCs w:val="17"/>
          <w:color w:val="auto"/>
        </w:rPr>
        <w:t>.</w:t>
      </w:r>
    </w:p>
    <w:p>
      <w:pPr>
        <w:spacing w:after="0" w:line="304" w:lineRule="exact"/>
        <w:rPr>
          <w:sz w:val="20"/>
          <w:szCs w:val="20"/>
          <w:color w:val="auto"/>
        </w:rPr>
      </w:pPr>
    </w:p>
    <w:p>
      <w:pPr>
        <w:jc w:val="both"/>
        <w:ind w:right="40" w:firstLine="1277"/>
        <w:spacing w:after="0" w:line="220" w:lineRule="auto"/>
        <w:tabs>
          <w:tab w:leader="none" w:pos="2110"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None of Holdings or any of its Subsidiaries or any of their respective directors, officers, employees or, to the knowledge of Holdings and the Borrower or agents, is a Sanctioned Person. No Loans, use of proceeds or other transaction by Holdings or any of its Subsidiaries contemplated by this Agreement or the other Loan Documents will violate Anti-Corruption Laws, the PATRIOT Act or Sanctions.</w:t>
      </w:r>
    </w:p>
    <w:p>
      <w:pPr>
        <w:spacing w:after="0" w:line="192" w:lineRule="exact"/>
        <w:rPr>
          <w:rFonts w:ascii="Arial" w:cs="Arial" w:eastAsia="Arial" w:hAnsi="Arial"/>
          <w:sz w:val="19"/>
          <w:szCs w:val="19"/>
          <w:color w:val="auto"/>
        </w:rPr>
      </w:pPr>
    </w:p>
    <w:p>
      <w:pPr>
        <w:jc w:val="both"/>
        <w:ind w:right="40" w:firstLine="1277"/>
        <w:spacing w:after="0" w:line="220" w:lineRule="auto"/>
        <w:tabs>
          <w:tab w:leader="none" w:pos="2108" w:val="left"/>
        </w:tabs>
        <w:numPr>
          <w:ilvl w:val="0"/>
          <w:numId w:val="97"/>
        </w:numPr>
        <w:rPr>
          <w:rFonts w:ascii="Arial" w:cs="Arial" w:eastAsia="Arial" w:hAnsi="Arial"/>
          <w:sz w:val="19"/>
          <w:szCs w:val="19"/>
          <w:color w:val="auto"/>
        </w:rPr>
      </w:pPr>
      <w:r>
        <w:rPr>
          <w:rFonts w:ascii="Arial" w:cs="Arial" w:eastAsia="Arial" w:hAnsi="Arial"/>
          <w:sz w:val="19"/>
          <w:szCs w:val="19"/>
          <w:color w:val="auto"/>
        </w:rPr>
        <w:t>Holdings, its Subsidiaries and their respective directors, officers and employees and, to the knowledge of Holdings and the Borrower, the agents of Holdings and its Subsidiaries, are in compliance with applicable Anti-Corruption Laws, the PATRIOT Act and applicable Sanctions. The Borrower and its Subsidiaries have instituted and maintain policies and procedures designed to promote continued compliance with Anti-Corruption Laws.</w:t>
      </w:r>
    </w:p>
    <w:p>
      <w:pPr>
        <w:spacing w:after="0" w:line="173" w:lineRule="exact"/>
        <w:rPr>
          <w:sz w:val="20"/>
          <w:szCs w:val="20"/>
          <w:color w:val="auto"/>
        </w:rPr>
      </w:pPr>
    </w:p>
    <w:p>
      <w:pPr>
        <w:jc w:val="center"/>
        <w:ind w:right="900"/>
        <w:spacing w:after="0"/>
        <w:tabs>
          <w:tab w:leader="none" w:pos="180" w:val="left"/>
          <w:tab w:leader="none" w:pos="180" w:val="left"/>
        </w:tabs>
        <w:rPr>
          <w:sz w:val="20"/>
          <w:szCs w:val="20"/>
          <w:color w:val="auto"/>
        </w:rPr>
      </w:pPr>
      <w:r>
        <w:rPr>
          <w:rFonts w:ascii="Arial" w:cs="Arial" w:eastAsia="Arial" w:hAnsi="Arial"/>
          <w:sz w:val="19"/>
          <w:szCs w:val="19"/>
          <w:color w:val="auto"/>
        </w:rPr>
        <w:t>Section 4.21.</w:t>
      </w:r>
      <w:r>
        <w:rPr>
          <w:sz w:val="20"/>
          <w:szCs w:val="20"/>
          <w:color w:val="auto"/>
        </w:rPr>
        <w:tab/>
      </w:r>
      <w:r>
        <w:rPr>
          <w:rFonts w:ascii="Arial" w:cs="Arial" w:eastAsia="Arial" w:hAnsi="Arial"/>
          <w:sz w:val="19"/>
          <w:szCs w:val="19"/>
          <w:b w:val="1"/>
          <w:bCs w:val="1"/>
          <w:u w:val="single" w:color="auto"/>
          <w:color w:val="auto"/>
        </w:rPr>
        <w:t>Affected Financial Institutions</w:t>
      </w:r>
      <w:r>
        <w:rPr>
          <w:rFonts w:ascii="Arial" w:cs="Arial" w:eastAsia="Arial" w:hAnsi="Arial"/>
          <w:sz w:val="19"/>
          <w:szCs w:val="19"/>
          <w:b w:val="1"/>
          <w:bCs w:val="1"/>
          <w:color w:val="auto"/>
        </w:rPr>
        <w:t>.</w:t>
      </w:r>
      <w:r>
        <w:rPr>
          <w:sz w:val="20"/>
          <w:szCs w:val="20"/>
          <w:color w:val="auto"/>
        </w:rPr>
        <w:tab/>
      </w:r>
      <w:r>
        <w:rPr>
          <w:rFonts w:ascii="Arial" w:cs="Arial" w:eastAsia="Arial" w:hAnsi="Arial"/>
          <w:sz w:val="18"/>
          <w:szCs w:val="18"/>
          <w:color w:val="auto"/>
        </w:rPr>
        <w:t>No Loan Party is an Affected Financial Institution.</w:t>
      </w:r>
    </w:p>
    <w:p>
      <w:pPr>
        <w:spacing w:after="0" w:line="219" w:lineRule="exact"/>
        <w:rPr>
          <w:sz w:val="20"/>
          <w:szCs w:val="20"/>
          <w:color w:val="auto"/>
        </w:rPr>
      </w:pPr>
    </w:p>
    <w:p>
      <w:pPr>
        <w:ind w:left="4040"/>
        <w:spacing w:after="0"/>
        <w:rPr>
          <w:sz w:val="20"/>
          <w:szCs w:val="20"/>
          <w:color w:val="auto"/>
        </w:rPr>
      </w:pPr>
      <w:r>
        <w:rPr>
          <w:rFonts w:ascii="Arial" w:cs="Arial" w:eastAsia="Arial" w:hAnsi="Arial"/>
          <w:sz w:val="19"/>
          <w:szCs w:val="19"/>
          <w:b w:val="1"/>
          <w:bCs w:val="1"/>
          <w:u w:val="single" w:color="auto"/>
          <w:color w:val="auto"/>
        </w:rPr>
        <w:t>ARTICLE V</w:t>
      </w:r>
    </w:p>
    <w:p>
      <w:pPr>
        <w:spacing w:after="0" w:line="285" w:lineRule="exact"/>
        <w:rPr>
          <w:sz w:val="20"/>
          <w:szCs w:val="20"/>
          <w:color w:val="auto"/>
        </w:rPr>
      </w:pPr>
    </w:p>
    <w:p>
      <w:pPr>
        <w:ind w:left="2800"/>
        <w:spacing w:after="0"/>
        <w:rPr>
          <w:sz w:val="20"/>
          <w:szCs w:val="20"/>
          <w:color w:val="auto"/>
        </w:rPr>
      </w:pPr>
      <w:r>
        <w:rPr>
          <w:rFonts w:ascii="Arial" w:cs="Arial" w:eastAsia="Arial" w:hAnsi="Arial"/>
          <w:sz w:val="19"/>
          <w:szCs w:val="19"/>
          <w:b w:val="1"/>
          <w:bCs w:val="1"/>
          <w:u w:val="single" w:color="auto"/>
          <w:color w:val="auto"/>
        </w:rPr>
        <w:t>AFFIRMATIVE COVENANTS</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Until the Termination Date, Holdings and the Borrower hereby covenant and agree with the Administrative Agent and the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Lenders that:</w:t>
      </w:r>
    </w:p>
    <w:p>
      <w:pPr>
        <w:spacing w:after="0" w:line="167"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b w:val="1"/>
          <w:bCs w:val="1"/>
          <w:u w:val="single" w:color="auto"/>
          <w:color w:val="auto"/>
        </w:rPr>
        <w:t>Financial Statements and Other Information</w:t>
      </w:r>
      <w:r>
        <w:rPr>
          <w:rFonts w:ascii="Arial" w:cs="Arial" w:eastAsia="Arial" w:hAnsi="Arial"/>
          <w:sz w:val="17"/>
          <w:szCs w:val="17"/>
          <w:color w:val="auto"/>
        </w:rPr>
        <w:t>. Holdings shall deliver (or cause to be delivered) to the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for delivery to each Lender:</w:t>
      </w:r>
    </w:p>
    <w:p>
      <w:pPr>
        <w:spacing w:after="0" w:line="203" w:lineRule="exact"/>
        <w:rPr>
          <w:sz w:val="20"/>
          <w:szCs w:val="20"/>
          <w:color w:val="auto"/>
        </w:rPr>
      </w:pPr>
    </w:p>
    <w:p>
      <w:pPr>
        <w:jc w:val="both"/>
        <w:ind w:right="40" w:firstLine="1277"/>
        <w:spacing w:after="0" w:line="222" w:lineRule="auto"/>
        <w:tabs>
          <w:tab w:leader="none" w:pos="211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of Holdings, a copy of the annual audited report for such Fiscal Year for Holdings and its Subsidiaries (commencing with the Fiscal Year ended December 31, 2021), containing a consolidated balance sheet of Holdings and its Subsidiaries as of the end of such Fiscal Year, and the related consolidated statements of income, stockholders’ equity and cash flows (together with all footnotes thereto) of Holdings and its Subsidiaries for such Fiscal Year, setting forth, in each case, in comparative form, the figures for the previous Fiscal Year, all in reasonable detail and reported on by Deloitte or another independent public accountant of nationally recognized standing (which may have a “going concern” or like qualification, exception or explanation solely as a result of the impending Maturity Date but without any other qualification as to the scope of such audit) to the effect that such financial statements present fairly in all material respects the financial condition and the results of operations of Holdings and its Subsidiaries for such Fiscal Year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0100"/>
          </w:cols>
          <w:pgMar w:left="1380" w:top="1375" w:right="419" w:bottom="1440" w:gutter="0" w:footer="0" w:header="0"/>
        </w:sectPr>
      </w:pPr>
    </w:p>
    <w:bookmarkStart w:id="119" w:name="page120"/>
    <w:bookmarkEnd w:id="119"/>
    <w:p>
      <w:pPr>
        <w:jc w:val="both"/>
        <w:ind w:firstLine="1278"/>
        <w:spacing w:after="0" w:line="212" w:lineRule="auto"/>
        <w:tabs>
          <w:tab w:leader="none" w:pos="2108"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60 days (or in the case of any audited statements and risk-based capital reports required to be delivered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180 days) after the end of each Fiscal Year of each Insurance Subsidiary (commencing, in the case of any audited statements and risk-based capital reports required to be delivered, with the Fiscal Year ended December 31, 2021), the annual statement of such Insurance Subsidiary (prepared in accordance with SAP) for such Fiscal Year and as filed with the Insurance Regulatory Authorities of the state in which such Insurance Subsidiary is domiciled (together with any certifications or statements of such Insurance Subsidiary relating to such annual statement and any audited statements and risk-based capital reports, in each case, which are required by such Insurance Regulatory Authorities);</w:t>
      </w:r>
    </w:p>
    <w:p>
      <w:pPr>
        <w:spacing w:after="0" w:line="191" w:lineRule="exact"/>
        <w:rPr>
          <w:rFonts w:ascii="Arial" w:cs="Arial" w:eastAsia="Arial" w:hAnsi="Arial"/>
          <w:sz w:val="19"/>
          <w:szCs w:val="19"/>
          <w:color w:val="auto"/>
        </w:rPr>
      </w:pPr>
    </w:p>
    <w:p>
      <w:pPr>
        <w:jc w:val="both"/>
        <w:ind w:firstLine="1277"/>
        <w:spacing w:after="0" w:line="210" w:lineRule="auto"/>
        <w:tabs>
          <w:tab w:leader="none" w:pos="2110" w:val="left"/>
        </w:tabs>
        <w:numPr>
          <w:ilvl w:val="1"/>
          <w:numId w:val="99"/>
        </w:numPr>
        <w:rPr>
          <w:rFonts w:ascii="Arial" w:cs="Arial" w:eastAsia="Arial" w:hAnsi="Arial"/>
          <w:sz w:val="19"/>
          <w:szCs w:val="19"/>
          <w:color w:val="auto"/>
        </w:rPr>
      </w:pPr>
      <w:r>
        <w:rPr>
          <w:rFonts w:ascii="Arial" w:cs="Arial" w:eastAsia="Arial" w:hAnsi="Arial"/>
          <w:sz w:val="19"/>
          <w:szCs w:val="19"/>
          <w:color w:val="auto"/>
        </w:rPr>
        <w:t>as soon as available, and in any event: (i) within 45 days after the end of each of the first three Fiscal Quarters of Holdings (commencing with the Fiscal Quarter ending March 31, 2022), an unaudited consolidated balance sheet of Holdings and its Subsidiaries as of the end of such Fiscal Quarter, and the related unaudited consolidated statements of income and cash flows of Holdings and its Subsidiaries for such Fiscal Quarter and the then elapsed portion of such Fiscal Year, setting forth, in each case, in comparative form the figures for the corresponding Fiscal Quarter and the corresponding portion of Holdings’ previous Fiscal Year; and (ii) within 45 days after the end of each Fiscal Quarter (or 60 days after the end of each Fiscal Quarter ending December 31), quarterly financial statements of each Insurance Subsidiary (prepared in accordance with SAP) as filed with the Insurance Regulatory Authority of the state in which such Insurance Subsidiary is domiciled (together with any certifications or statements of such Insurance Subsidiary relating to such financial statements as required by such Insurance Regulatory Authority);</w:t>
      </w:r>
    </w:p>
    <w:p>
      <w:pPr>
        <w:spacing w:after="0" w:line="194" w:lineRule="exact"/>
        <w:rPr>
          <w:rFonts w:ascii="Arial" w:cs="Arial" w:eastAsia="Arial" w:hAnsi="Arial"/>
          <w:sz w:val="19"/>
          <w:szCs w:val="19"/>
          <w:color w:val="auto"/>
        </w:rPr>
      </w:pPr>
    </w:p>
    <w:p>
      <w:pPr>
        <w:jc w:val="both"/>
        <w:ind w:firstLine="1276"/>
        <w:spacing w:after="0" w:line="218" w:lineRule="auto"/>
        <w:tabs>
          <w:tab w:leader="none" w:pos="21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(x) upon the election of the Borrower, and following any Minimum Liquidity Step- Down Date (and for so long as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is and remains satisfied, and from time to time thereafter (at the Borrower’s re-election) and following any subsequent Minimum Liquidity Step- Down Date), as soon as available, and in any event: (i) within 45 days after the end of each Fiscal Quarter of Holdings, the information required pursuant to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and (ii) within 15 days after the end of each Fiscal Month, a report setting forth the Cumulative Cash Burn and such other information required pursuant to </w:t>
      </w:r>
      <w:r>
        <w:rPr>
          <w:rFonts w:ascii="Arial" w:cs="Arial" w:eastAsia="Arial" w:hAnsi="Arial"/>
          <w:sz w:val="18"/>
          <w:szCs w:val="18"/>
          <w:u w:val="single" w:color="auto"/>
          <w:color w:val="auto"/>
        </w:rPr>
        <w:t>Section 6.4(b)</w:t>
      </w:r>
      <w:r>
        <w:rPr>
          <w:rFonts w:ascii="Arial" w:cs="Arial" w:eastAsia="Arial" w:hAnsi="Arial"/>
          <w:sz w:val="18"/>
          <w:szCs w:val="18"/>
          <w:color w:val="auto"/>
        </w:rPr>
        <w:t>, in each case, in reasonable detail and consistent with the Liquidity Report and</w:t>
      </w:r>
    </w:p>
    <w:p>
      <w:pPr>
        <w:ind w:left="280" w:hanging="275"/>
        <w:spacing w:after="0"/>
        <w:tabs>
          <w:tab w:leader="none" w:pos="2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within 15 days after the end of each Fiscal Month, a Liquidity Report;</w:t>
      </w:r>
    </w:p>
    <w:p>
      <w:pPr>
        <w:spacing w:after="0" w:line="189" w:lineRule="exact"/>
        <w:rPr>
          <w:rFonts w:ascii="Arial" w:cs="Arial" w:eastAsia="Arial" w:hAnsi="Arial"/>
          <w:sz w:val="19"/>
          <w:szCs w:val="19"/>
          <w:color w:val="auto"/>
        </w:rPr>
      </w:pPr>
    </w:p>
    <w:p>
      <w:pPr>
        <w:ind w:firstLine="1277"/>
        <w:spacing w:after="0" w:line="237" w:lineRule="auto"/>
        <w:tabs>
          <w:tab w:leader="none" w:pos="211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the financial statements, reports and other information referred to in </w:t>
      </w:r>
      <w:r>
        <w:rPr>
          <w:rFonts w:ascii="Arial" w:cs="Arial" w:eastAsia="Arial" w:hAnsi="Arial"/>
          <w:sz w:val="19"/>
          <w:szCs w:val="19"/>
          <w:u w:val="single" w:color="auto"/>
          <w:color w:val="auto"/>
        </w:rPr>
        <w:t>subsections (a) and (c)(i)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5.1</w:t>
      </w:r>
      <w:r>
        <w:rPr>
          <w:rFonts w:ascii="Arial" w:cs="Arial" w:eastAsia="Arial" w:hAnsi="Arial"/>
          <w:sz w:val="19"/>
          <w:szCs w:val="19"/>
          <w:color w:val="auto"/>
        </w:rPr>
        <w:t>, a Compliance Certificate;</w:t>
      </w:r>
    </w:p>
    <w:p>
      <w:pPr>
        <w:spacing w:after="0" w:line="284"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(f)as soon as available, and in any event within 90 days after the end of the calendar year, forecasts and a pro forma budget for the succeeding Fiscal Year, containing an income statement, balance sheet, statement of cash flow and projected dividend capacity;</w:t>
      </w:r>
    </w:p>
    <w:p>
      <w:pPr>
        <w:spacing w:after="0" w:line="196" w:lineRule="exact"/>
        <w:rPr>
          <w:sz w:val="20"/>
          <w:szCs w:val="20"/>
          <w:color w:val="auto"/>
        </w:rPr>
      </w:pPr>
    </w:p>
    <w:p>
      <w:pPr>
        <w:jc w:val="both"/>
        <w:ind w:firstLine="1277"/>
        <w:spacing w:after="0" w:line="263" w:lineRule="auto"/>
        <w:tabs>
          <w:tab w:leader="none" w:pos="210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other materials filed with any Insurance Regulatory Authority or the SEC, or distributed by Holdings to its shareholders, as the case may be;</w:t>
      </w:r>
    </w:p>
    <w:p>
      <w:pPr>
        <w:spacing w:after="0" w:line="182" w:lineRule="exact"/>
        <w:rPr>
          <w:rFonts w:ascii="Arial" w:cs="Arial" w:eastAsia="Arial" w:hAnsi="Arial"/>
          <w:sz w:val="19"/>
          <w:szCs w:val="19"/>
          <w:color w:val="auto"/>
        </w:rPr>
      </w:pPr>
    </w:p>
    <w:p>
      <w:pPr>
        <w:jc w:val="both"/>
        <w:ind w:firstLine="1276"/>
        <w:spacing w:after="0" w:line="220" w:lineRule="auto"/>
        <w:tabs>
          <w:tab w:leader="none" w:pos="21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promptly following the delivery to, or receipt by Holdings, the Borrower or any of their respective Subsidiaries thereof, (i) a copy of any regular or periodic final examination report or result(s) of any market conduct examination or examination by the applicable Insurance Regulatory Authority or the NAIC of the financial condition and operations of, or any notice of any finding as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0060"/>
          </w:cols>
          <w:pgMar w:left="1380" w:top="1302" w:right="459" w:bottom="1440" w:gutter="0" w:footer="0" w:header="0"/>
        </w:sectPr>
      </w:pPr>
    </w:p>
    <w:bookmarkStart w:id="120" w:name="page121"/>
    <w:bookmarkEnd w:id="120"/>
    <w:p>
      <w:pPr>
        <w:spacing w:after="0" w:line="167"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violation of any Requirement of Law from any Insurance Regulatory Authority or (ii) any other report with respect to any Insurance Subsidiary (including any summary report from the NAIC with respect to the performance of such Insurance Subsidiary as measured against the ratios and other financial measurements developed by the NAIC under its Insurance Regulatory Information System as in effect from time to time) that would reasonably be expected to result in a Material Adverse Effect;</w:t>
      </w:r>
    </w:p>
    <w:p>
      <w:pPr>
        <w:spacing w:after="0" w:line="192" w:lineRule="exact"/>
        <w:rPr>
          <w:sz w:val="20"/>
          <w:szCs w:val="20"/>
          <w:color w:val="auto"/>
        </w:rPr>
      </w:pPr>
    </w:p>
    <w:p>
      <w:pPr>
        <w:jc w:val="both"/>
        <w:ind w:firstLine="1277"/>
        <w:spacing w:after="0" w:line="215" w:lineRule="auto"/>
        <w:tabs>
          <w:tab w:leader="none" w:pos="148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promptly following receipt thereof, (i) a copy of the “Statement of Actuarial Opinion” and “Management Discussion and Analysis” for each Insurance Subsidiary that is provided to the applicable Insurance Regulatory Authority or other applicable Governmental Authority (or equivalent information should such Governmental Authority no longer require such a statement) as to the adequacy of reserves of such Insurance Subsidiary, such opinion to be in the format prescribed by the insurance code of the applicable Insurance Regulatory Authority and (ii) each audit of any Insurance Subsidiary from the applicable Insurance Regulatory Authorities;</w:t>
      </w:r>
    </w:p>
    <w:p>
      <w:pPr>
        <w:spacing w:after="0" w:line="190" w:lineRule="exact"/>
        <w:rPr>
          <w:rFonts w:ascii="Arial" w:cs="Arial" w:eastAsia="Arial" w:hAnsi="Arial"/>
          <w:sz w:val="19"/>
          <w:szCs w:val="19"/>
          <w:color w:val="auto"/>
        </w:rPr>
      </w:pPr>
    </w:p>
    <w:p>
      <w:pPr>
        <w:ind w:firstLine="1277"/>
        <w:spacing w:after="0" w:line="237" w:lineRule="auto"/>
        <w:tabs>
          <w:tab w:leader="none" w:pos="148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as soon as available, and in any event within 45 days after the end of each Fiscal Year of Holdings, a completed BlackRock ESG Questionnaire; and</w:t>
      </w:r>
    </w:p>
    <w:p>
      <w:pPr>
        <w:spacing w:after="0" w:line="177" w:lineRule="exact"/>
        <w:rPr>
          <w:rFonts w:ascii="Arial" w:cs="Arial" w:eastAsia="Arial" w:hAnsi="Arial"/>
          <w:sz w:val="19"/>
          <w:szCs w:val="19"/>
          <w:color w:val="auto"/>
        </w:rPr>
      </w:pPr>
    </w:p>
    <w:p>
      <w:pPr>
        <w:jc w:val="both"/>
        <w:ind w:firstLine="1276"/>
        <w:spacing w:after="0" w:line="217" w:lineRule="auto"/>
        <w:tabs>
          <w:tab w:leader="none" w:pos="21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promptly following any request therefor, (i) such other information regarding the results of operations, business affairs and financial condition of Holdings or any of its Subsidiaries as the Administrative Agent or any Lender may reasonably request and (ii) information and documentation reasonably requested by the Administrative Agent or any Lender for purposes of compliance with applicable “know your customer” requirements under the Patriot Act or other applicable anti-money laundering laws;</w:t>
      </w:r>
    </w:p>
    <w:p>
      <w:pPr>
        <w:spacing w:after="0" w:line="192" w:lineRule="exact"/>
        <w:rPr>
          <w:sz w:val="20"/>
          <w:szCs w:val="20"/>
          <w:color w:val="auto"/>
        </w:rPr>
      </w:pPr>
    </w:p>
    <w:p>
      <w:pPr>
        <w:jc w:val="both"/>
        <w:spacing w:after="0" w:line="2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documents required to be delivered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5.2(a)(vi)</w:t>
      </w:r>
      <w:r>
        <w:rPr>
          <w:rFonts w:ascii="Arial" w:cs="Arial" w:eastAsia="Arial" w:hAnsi="Arial"/>
          <w:sz w:val="19"/>
          <w:szCs w:val="19"/>
          <w:color w:val="auto"/>
        </w:rPr>
        <w:t xml:space="preserve">, may be delivered, to the extent that such documents are publicly available on EDGAR or the Ohio Department of Insurance website, by Holdings advising the Administrative Agent of the filing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upon the written request by the Administrative Agent, Holdings shall deliver paper copies of such documents to the Administrative Agent for further distribution to each Lender until a written request to cease delivering such paper copies is given by the Administrative Agent and (ii) Holdings shall notify (which may be by facsimile or electronic mail) the Administrative Agent of the posting of any such documents and provide to the Administrative Agent by electronic mail electronic versions (i.e., soft copies) of such documents for distribution to each Lender.</w:t>
      </w:r>
    </w:p>
    <w:p>
      <w:pPr>
        <w:spacing w:after="0" w:line="192"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 xml:space="preserve">Notwithstanding the foregoing or anything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the contrary, Holdings and its Subsidiaries shall not be required to disclose any information or deliver any document to the extent it would violate any confidentiality agreement or any Requirement of Law or result in a loss of attorney-client privilege or claim of attorney work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any such restriction or obligation is removed or no longer valid, the Borrower shall promptly share any such information that was withheld.</w:t>
      </w:r>
    </w:p>
    <w:p>
      <w:pPr>
        <w:spacing w:after="0" w:line="179"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8"/>
          <w:szCs w:val="18"/>
          <w:color w:val="auto"/>
        </w:rPr>
        <w:t>Holdings and the Borrower hereby acknowledge that (a) the Administrative Agent shall make available to the Lenders materials and/or information provided by or on behalf of the Borrower hereunder (collectively, the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the Platform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0060"/>
          </w:cols>
          <w:pgMar w:left="1380" w:top="1440" w:right="459" w:bottom="1440" w:gutter="0" w:footer="0" w:header="0"/>
        </w:sectPr>
      </w:pPr>
    </w:p>
    <w:bookmarkStart w:id="121" w:name="page122"/>
    <w:bookmarkEnd w:id="121"/>
    <w:p>
      <w:pPr>
        <w:spacing w:after="0" w:line="16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such Persons’ securities. The Borrower hereby agrees that it shall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the Borrower Materials “PUBLIC”, the 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confidential information, they shall be treated as set forth in </w:t>
      </w:r>
      <w:r>
        <w:rPr>
          <w:rFonts w:ascii="Arial" w:cs="Arial" w:eastAsia="Arial" w:hAnsi="Arial"/>
          <w:sz w:val="18"/>
          <w:szCs w:val="18"/>
          <w:u w:val="single" w:color="auto"/>
          <w:color w:val="auto"/>
        </w:rPr>
        <w:t>Section 10.12</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w:t>
      </w:r>
    </w:p>
    <w:p>
      <w:pPr>
        <w:spacing w:after="0" w:line="176"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b w:val="1"/>
          <w:bCs w:val="1"/>
          <w:u w:val="single" w:color="auto"/>
          <w:color w:val="auto"/>
        </w:rPr>
        <w:t>Notices of Material Events</w:t>
      </w:r>
      <w:r>
        <w:rPr>
          <w:rFonts w:ascii="Arial" w:cs="Arial" w:eastAsia="Arial" w:hAnsi="Arial"/>
          <w:sz w:val="17"/>
          <w:szCs w:val="17"/>
          <w:color w:val="auto"/>
        </w:rPr>
        <w:t>.</w:t>
      </w:r>
    </w:p>
    <w:p>
      <w:pPr>
        <w:spacing w:after="0" w:line="318" w:lineRule="exact"/>
        <w:rPr>
          <w:sz w:val="20"/>
          <w:szCs w:val="20"/>
          <w:color w:val="auto"/>
        </w:rPr>
      </w:pPr>
    </w:p>
    <w:p>
      <w:pPr>
        <w:jc w:val="both"/>
        <w:ind w:firstLine="1277"/>
        <w:spacing w:after="0" w:line="263" w:lineRule="auto"/>
        <w:tabs>
          <w:tab w:leader="none" w:pos="211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Borrower shall promptly (and, in any event, not later than three (3) Business Days after a Responsible Officer becomes aware thereof) furnish to the Administrative Agent, for delivery to each Lender, written notice of the following:</w:t>
      </w:r>
    </w:p>
    <w:p>
      <w:pPr>
        <w:spacing w:after="0" w:line="182" w:lineRule="exact"/>
        <w:rPr>
          <w:rFonts w:ascii="Arial" w:cs="Arial" w:eastAsia="Arial" w:hAnsi="Arial"/>
          <w:sz w:val="19"/>
          <w:szCs w:val="19"/>
          <w:color w:val="auto"/>
        </w:rPr>
      </w:pPr>
    </w:p>
    <w:p>
      <w:pPr>
        <w:ind w:left="2540" w:hanging="627"/>
        <w:spacing w:after="0"/>
        <w:tabs>
          <w:tab w:leader="none" w:pos="2540"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occurrence of any Default or Event of Default;</w:t>
      </w:r>
    </w:p>
    <w:p>
      <w:pPr>
        <w:spacing w:after="0" w:line="232" w:lineRule="exact"/>
        <w:rPr>
          <w:rFonts w:ascii="Arial" w:cs="Arial" w:eastAsia="Arial" w:hAnsi="Arial"/>
          <w:sz w:val="19"/>
          <w:szCs w:val="19"/>
          <w:color w:val="auto"/>
        </w:rPr>
      </w:pPr>
    </w:p>
    <w:p>
      <w:pPr>
        <w:jc w:val="both"/>
        <w:ind w:left="640" w:firstLine="1273"/>
        <w:spacing w:after="0" w:line="257" w:lineRule="auto"/>
        <w:tabs>
          <w:tab w:leader="none" w:pos="2759"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filing or commencement of, or any material development in, any action, suit or proceeding by or before any arbitrator or Governmental Authority against or, to the knowledge of Holdings or the Borrower, affecting Holdings, the Borrower or any of their respective Subsidiaries which would reasonably be expected to result in a Material Adverse Effect;</w:t>
      </w:r>
    </w:p>
    <w:p>
      <w:pPr>
        <w:spacing w:after="0" w:line="190" w:lineRule="exact"/>
        <w:rPr>
          <w:rFonts w:ascii="Arial" w:cs="Arial" w:eastAsia="Arial" w:hAnsi="Arial"/>
          <w:sz w:val="19"/>
          <w:szCs w:val="19"/>
          <w:color w:val="auto"/>
        </w:rPr>
      </w:pPr>
    </w:p>
    <w:p>
      <w:pPr>
        <w:jc w:val="both"/>
        <w:ind w:left="640" w:firstLine="1273"/>
        <w:spacing w:after="0" w:line="209" w:lineRule="auto"/>
        <w:tabs>
          <w:tab w:leader="none" w:pos="2760"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occurrence of any event or any other development by which Holdings or any of its Subsidiaries (A) fails to comply with any Environmental Law or to obtain, maintain or comply with any permit, license or other approval required under any Environmental Law,</w:t>
      </w:r>
    </w:p>
    <w:p>
      <w:pPr>
        <w:spacing w:after="0" w:line="1" w:lineRule="exact"/>
        <w:rPr>
          <w:rFonts w:ascii="Arial" w:cs="Arial" w:eastAsia="Arial" w:hAnsi="Arial"/>
          <w:sz w:val="19"/>
          <w:szCs w:val="19"/>
          <w:color w:val="auto"/>
        </w:rPr>
      </w:pPr>
    </w:p>
    <w:p>
      <w:pPr>
        <w:jc w:val="both"/>
        <w:ind w:left="640" w:firstLine="1"/>
        <w:spacing w:after="0" w:line="220" w:lineRule="auto"/>
        <w:tabs>
          <w:tab w:leader="none" w:pos="148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becomes subject to any Environmental Liability, (C) receives notice of any claim with respect to any Environmental Liability or (D) becomes aware of any basis for any Environmental Liability, in each case, which, either individually or in the aggregate, would reasonably be expected to result in a Material Adverse Effect;</w:t>
      </w:r>
    </w:p>
    <w:p>
      <w:pPr>
        <w:spacing w:after="0" w:line="191" w:lineRule="exact"/>
        <w:rPr>
          <w:rFonts w:ascii="Arial" w:cs="Arial" w:eastAsia="Arial" w:hAnsi="Arial"/>
          <w:sz w:val="19"/>
          <w:szCs w:val="19"/>
          <w:color w:val="auto"/>
        </w:rPr>
      </w:pPr>
    </w:p>
    <w:p>
      <w:pPr>
        <w:jc w:val="both"/>
        <w:ind w:left="640" w:firstLine="1273"/>
        <w:spacing w:after="0" w:line="221" w:lineRule="auto"/>
        <w:tabs>
          <w:tab w:leader="none" w:pos="274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promptly, and in any event within 15 days after (A) Holdings, any of its Subsidiaries or any ERISA Affiliate knows or has reason to know that any ERISA Event has occurred, a certificate of a Responsible Officer of the Borrower describing such ERISA Event and the action, if any, proposed to be taken with respect to such ERISA Event and a copy of any notice filed with the PBGC or the IRS pertaining to such ERISA Event and any notices received by Holdings, such Subsidiary or such ERISA Affiliate from the PBGC or any other governmental agency with respect thereto and (B)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Holdings, any of its Subsidiaries or any ERISA Affiliate or (4) of the adoption of any amendment to a Plan subject to Section 412 of the Code which results in a material increase in contribution obligations of Holdings, any of its Subsidiaries or any ERISA Affiliate, a detailed written description thereof from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0060"/>
          </w:cols>
          <w:pgMar w:left="1380" w:top="1440" w:right="459" w:bottom="1440" w:gutter="0" w:footer="0" w:header="0"/>
        </w:sectPr>
      </w:pPr>
    </w:p>
    <w:bookmarkStart w:id="122" w:name="page123"/>
    <w:bookmarkEnd w:id="122"/>
    <w:p>
      <w:pPr>
        <w:spacing w:after="0" w:line="180" w:lineRule="exact"/>
        <w:rPr>
          <w:sz w:val="20"/>
          <w:szCs w:val="20"/>
          <w:color w:val="auto"/>
        </w:rPr>
      </w:pPr>
    </w:p>
    <w:p>
      <w:pPr>
        <w:jc w:val="both"/>
        <w:ind w:left="640" w:firstLine="1273"/>
        <w:spacing w:after="0" w:line="263" w:lineRule="auto"/>
        <w:tabs>
          <w:tab w:leader="none" w:pos="274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the occurrence of any default or event of default, or the receipt by Holdings or any of its Subsidiaries of any written notice of an alleged default or event of default, with respect to any Material Indebtedness of Holdings or any of its Subsidiaries;</w:t>
      </w:r>
    </w:p>
    <w:p>
      <w:pPr>
        <w:spacing w:after="0" w:line="195" w:lineRule="exact"/>
        <w:rPr>
          <w:rFonts w:ascii="Arial" w:cs="Arial" w:eastAsia="Arial" w:hAnsi="Arial"/>
          <w:sz w:val="19"/>
          <w:szCs w:val="19"/>
          <w:color w:val="auto"/>
        </w:rPr>
      </w:pPr>
    </w:p>
    <w:p>
      <w:pPr>
        <w:jc w:val="both"/>
        <w:ind w:left="640" w:firstLine="1273"/>
        <w:spacing w:after="0" w:line="220" w:lineRule="auto"/>
        <w:tabs>
          <w:tab w:leader="none" w:pos="2749"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any material amendment or modification to any Material Agreement (together with a copy thereof), and prompt notice of any termination, expiration or loss of any Material Agreement that, individually or in the aggregate, would reasonably be expected to result in a reduction in revenue of the Loan Parties of ten (10%) or more on a consolidated basis from the prior Fiscal Year;</w:t>
      </w:r>
    </w:p>
    <w:p>
      <w:pPr>
        <w:spacing w:after="0" w:line="179" w:lineRule="exact"/>
        <w:rPr>
          <w:rFonts w:ascii="Arial" w:cs="Arial" w:eastAsia="Arial" w:hAnsi="Arial"/>
          <w:sz w:val="19"/>
          <w:szCs w:val="19"/>
          <w:color w:val="auto"/>
        </w:rPr>
      </w:pPr>
    </w:p>
    <w:p>
      <w:pPr>
        <w:ind w:left="2540" w:hanging="627"/>
        <w:spacing w:after="0"/>
        <w:tabs>
          <w:tab w:leader="none" w:pos="254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640" w:firstLine="1273"/>
        <w:spacing w:after="0" w:line="237" w:lineRule="auto"/>
        <w:tabs>
          <w:tab w:leader="none" w:pos="275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any amendment, waiver, supplement, or other modification of any Subordinated Debt Document or Pari Lien Debt Document; and</w:t>
      </w:r>
    </w:p>
    <w:p>
      <w:pPr>
        <w:spacing w:after="0" w:line="204" w:lineRule="exact"/>
        <w:rPr>
          <w:rFonts w:ascii="Arial" w:cs="Arial" w:eastAsia="Arial" w:hAnsi="Arial"/>
          <w:sz w:val="19"/>
          <w:szCs w:val="19"/>
          <w:color w:val="auto"/>
        </w:rPr>
      </w:pPr>
    </w:p>
    <w:p>
      <w:pPr>
        <w:ind w:left="2740" w:hanging="827"/>
        <w:spacing w:after="0"/>
        <w:tabs>
          <w:tab w:leader="none" w:pos="274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other development that results in, or would reasonably be expected to result in, a Material</w:t>
      </w:r>
    </w:p>
    <w:p>
      <w:pPr>
        <w:spacing w:after="0" w:line="4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9"/>
          <w:szCs w:val="19"/>
          <w:color w:val="auto"/>
        </w:rPr>
        <w:t>Adverse Effect.</w:t>
      </w:r>
    </w:p>
    <w:p>
      <w:pPr>
        <w:spacing w:after="0" w:line="229" w:lineRule="exact"/>
        <w:rPr>
          <w:rFonts w:ascii="Arial" w:cs="Arial" w:eastAsia="Arial" w:hAnsi="Arial"/>
          <w:sz w:val="17"/>
          <w:szCs w:val="17"/>
          <w:color w:val="auto"/>
        </w:rPr>
      </w:pPr>
    </w:p>
    <w:p>
      <w:pPr>
        <w:ind w:left="2120" w:hanging="843"/>
        <w:spacing w:after="0"/>
        <w:tabs>
          <w:tab w:leader="none" w:pos="2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furnish to the Administrative Agent, for delivery to each Lender, the following:</w:t>
      </w:r>
    </w:p>
    <w:p>
      <w:pPr>
        <w:spacing w:after="0" w:line="243" w:lineRule="exact"/>
        <w:rPr>
          <w:rFonts w:ascii="Arial" w:cs="Arial" w:eastAsia="Arial" w:hAnsi="Arial"/>
          <w:sz w:val="18"/>
          <w:szCs w:val="18"/>
          <w:color w:val="auto"/>
        </w:rPr>
      </w:pPr>
    </w:p>
    <w:p>
      <w:pPr>
        <w:jc w:val="both"/>
        <w:ind w:left="640" w:firstLine="1273"/>
        <w:spacing w:after="0" w:line="220" w:lineRule="auto"/>
        <w:tabs>
          <w:tab w:leader="none" w:pos="212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promptly, and in any event at least 30 days prior thereto (or such later date as agreed to in writing by the Administrative Agent and the Required Lenders), notice of any change (i) in any Loan Party’s legal name, (ii) in any Loan Party’s chief executive office, (iii) in any Loan Party’s identity or legal structure or (iv) in any Loan Party’s jurisdiction of organization;</w:t>
      </w:r>
    </w:p>
    <w:p>
      <w:pPr>
        <w:spacing w:after="0" w:line="192" w:lineRule="exact"/>
        <w:rPr>
          <w:rFonts w:ascii="Arial" w:cs="Arial" w:eastAsia="Arial" w:hAnsi="Arial"/>
          <w:sz w:val="19"/>
          <w:szCs w:val="19"/>
          <w:color w:val="auto"/>
        </w:rPr>
      </w:pPr>
    </w:p>
    <w:p>
      <w:pPr>
        <w:jc w:val="both"/>
        <w:ind w:left="640" w:firstLine="1273"/>
        <w:spacing w:after="0" w:line="263" w:lineRule="auto"/>
        <w:tabs>
          <w:tab w:leader="none" w:pos="275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promptly, and in any event within 30 days after receipt thereof: (x) each actuarial report for each Insurance Subsidiary; and (y) each audit of an Insurance Subsidiary from the applicable Insurance Regulatory Authorities; and</w:t>
      </w:r>
    </w:p>
    <w:p>
      <w:pPr>
        <w:spacing w:after="0" w:line="209" w:lineRule="exact"/>
        <w:rPr>
          <w:rFonts w:ascii="Arial" w:cs="Arial" w:eastAsia="Arial" w:hAnsi="Arial"/>
          <w:sz w:val="19"/>
          <w:szCs w:val="19"/>
          <w:color w:val="auto"/>
        </w:rPr>
      </w:pPr>
    </w:p>
    <w:p>
      <w:pPr>
        <w:jc w:val="both"/>
        <w:ind w:left="640" w:firstLine="1273"/>
        <w:spacing w:after="0" w:line="263" w:lineRule="auto"/>
        <w:tabs>
          <w:tab w:leader="none" w:pos="27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as soon as available, and in any event within 30 days after receipt thereof, a copy of any environmental report or site assessment prepared for Holdings or any of its Subsidiaries after the Closing Date on any Real Estate.</w:t>
      </w:r>
    </w:p>
    <w:p>
      <w:pPr>
        <w:spacing w:after="0" w:line="182" w:lineRule="exact"/>
        <w:rPr>
          <w:rFonts w:ascii="Arial" w:cs="Arial" w:eastAsia="Arial" w:hAnsi="Arial"/>
          <w:sz w:val="19"/>
          <w:szCs w:val="19"/>
          <w:color w:val="auto"/>
        </w:rPr>
      </w:pPr>
    </w:p>
    <w:p>
      <w:pPr>
        <w:jc w:val="both"/>
        <w:ind w:firstLine="1277"/>
        <w:spacing w:after="0" w:line="220" w:lineRule="auto"/>
        <w:tabs>
          <w:tab w:leader="none" w:pos="211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Borrower shall promptly (and in any event within 7 days) notify the Administrative Agent of the formation or acquisition of any Insurance Subsidiary or Subsidiary of an Insurance Subsidiary or if any Subsidiary of the Borrower has applied for an Insurance License and will become an Insurance Subsidiary or Subsidiary of an Insurance Subsidiary upon the approval of such Insurance License.</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Each notice or other document delivered under this Section shall be accompanied by a written statement of a Responsible Officer setting forth the reasonable details of the event or development requiring such notice or other document and any action taken or proposed to be taken with respect thereto.</w:t>
      </w:r>
    </w:p>
    <w:p>
      <w:pPr>
        <w:spacing w:after="0" w:line="185"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Existence; Conduct of Business</w:t>
      </w:r>
      <w:r>
        <w:rPr>
          <w:rFonts w:ascii="Arial" w:cs="Arial" w:eastAsia="Arial" w:hAnsi="Arial"/>
          <w:sz w:val="18"/>
          <w:szCs w:val="18"/>
          <w:color w:val="auto"/>
        </w:rPr>
        <w:t xml:space="preserve">. Holdings shall, and shall cause each of its Subsidiaries to, do or cause to be done all things necessary to preserve, renew and maintain in full force and effect its legal existence and the Intellectual Property that is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prohibit any merger, consolidation, liquidation or dissolution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any disposition permitted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0060"/>
          </w:cols>
          <w:pgMar w:left="1380" w:top="1440" w:right="459" w:bottom="1440" w:gutter="0" w:footer="0" w:header="0"/>
        </w:sectPr>
      </w:pPr>
    </w:p>
    <w:bookmarkStart w:id="123" w:name="page124"/>
    <w:bookmarkEnd w:id="123"/>
    <w:p>
      <w:pPr>
        <w:spacing w:after="0" w:line="161"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Holdings shall, and shall cause each of its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 Holdings shall maintain in effect and enforce policies and procedures designed to promote and achieve compliance by Holdings, its Subsidiaries and their respective directors, officers, employees and agents with applicable Anti-Corruption Laws and, within one hundred twenty (120) days of the Closing Date, the PATRIOT Act and applicable Sanctions.</w:t>
      </w:r>
    </w:p>
    <w:p>
      <w:pPr>
        <w:spacing w:after="0" w:line="187"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b w:val="1"/>
          <w:bCs w:val="1"/>
          <w:u w:val="single" w:color="auto"/>
          <w:color w:val="auto"/>
        </w:rPr>
        <w:t>Payment of Obligations</w:t>
      </w:r>
      <w:r>
        <w:rPr>
          <w:rFonts w:ascii="Arial" w:cs="Arial" w:eastAsia="Arial" w:hAnsi="Arial"/>
          <w:sz w:val="17"/>
          <w:szCs w:val="17"/>
          <w:color w:val="auto"/>
        </w:rPr>
        <w:t>. Holdings shall, and shall cause each of its Subsidiaries to, pay and discharge at or before maturity all of its obligations and liabilities (including, without limitation, all taxes, assessments and other governmental charges, levies and all other claims that would result in a statutory Lien) before the same shall become delinquent or in default, except where (a) the validity or amount thereof is being contested in good faith by appropriate proceedings and Holdings or such Subsidiary has set aside on its books adequate reserves with respect thereto in accordance with GAAP or (b) the failure to make such payment would not reasonably be expected to result in a Material Adverse Effect.</w:t>
      </w:r>
    </w:p>
    <w:p>
      <w:pPr>
        <w:spacing w:after="0" w:line="187"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b w:val="1"/>
          <w:bCs w:val="1"/>
          <w:u w:val="single" w:color="auto"/>
          <w:color w:val="auto"/>
        </w:rPr>
        <w:t>Books and Records</w:t>
      </w:r>
      <w:r>
        <w:rPr>
          <w:rFonts w:ascii="Arial" w:cs="Arial" w:eastAsia="Arial" w:hAnsi="Arial"/>
          <w:sz w:val="19"/>
          <w:szCs w:val="19"/>
          <w:color w:val="auto"/>
        </w:rPr>
        <w:t>. Holdings shall, and shall cause each of its Subsidiaries to, keep proper books of record and account in which full, true and correct entries in all material respects shall be made of all dealings and transactions in relation to its business and activities to the extent necessary to prepare the consolidated financial statements of Holdings and its Subsidiaries in conformity with GAAP or SAP, as applicable.</w:t>
      </w:r>
    </w:p>
    <w:p>
      <w:pPr>
        <w:spacing w:after="0" w:line="172"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Visitation and Inspection</w:t>
      </w:r>
      <w:r>
        <w:rPr>
          <w:rFonts w:ascii="Arial" w:cs="Arial" w:eastAsia="Arial" w:hAnsi="Arial"/>
          <w:sz w:val="18"/>
          <w:szCs w:val="18"/>
          <w:color w:val="auto"/>
        </w:rPr>
        <w:t>. Holdings and the Borrower shall, and shall cause each of their respective Subsidiaries to, 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representatives of the Borrower shall be permitted to be present at any discussion with such accountants), all at such reasonable times and as often as the Administrative Agent or any Lender may reasonably request after reasonable prior notice to Holdings or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so long as no Event of Default shall have occurred and be continuing, the Administrative Agent and the Lenders shall not make more than one (1) such visit and inspection at the reasonable expense of the Borrower in any Fiscal Year, (b) if an Event of Default has occurred and is continuing, no prior notice shall be required and (c) Holdings and its Subsidiaries shall not be required to disclose any information or deliver any document to the extent it would violate confidentiality agreements or any Requirement of Law or result in a loss of attorney-client privilege or claim of attorney work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Holdings and its Subsidiaries do not disclose any such information or deliver any document pursuant to such restrictions or obligations, the Borrower shall provide written notice to the Administrative Agent that such information or document is being withheld and the Borrower shall use commercially reasonable efforts to communicate the applicable information in a way that would not violate the applicable obligation or risk waiver of such privilege;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any such restriction or obligation is removed or no longer valid, the Borrower shall promptly share any such information that was withheld.</w:t>
      </w:r>
    </w:p>
    <w:p>
      <w:pPr>
        <w:spacing w:after="0" w:line="194"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b w:val="1"/>
          <w:bCs w:val="1"/>
          <w:u w:val="single" w:color="auto"/>
          <w:color w:val="auto"/>
        </w:rPr>
        <w:t>Maintenance of Properties; Insurance</w:t>
      </w:r>
      <w:r>
        <w:rPr>
          <w:rFonts w:ascii="Arial" w:cs="Arial" w:eastAsia="Arial" w:hAnsi="Arial"/>
          <w:sz w:val="17"/>
          <w:szCs w:val="17"/>
          <w:color w:val="auto"/>
        </w:rPr>
        <w:t>. Holdings shall, and shall cause each of its Subsidiaries to, (a) keep and maintain all property material to the conduct of its business in good working order and condition, ordinary wear and tear and casualty and condemnation excepted, (b) maintain with financially sound and reputable insurance companies which are not Affiliates of Holdings (i) insurance with respect to its properties and business, and the properties and business of its Subsidiaries, against loss or damage of the kinds customarily insured against by companies in the same or similar businesses operating in the same or similar locations (including, in any event, flood insurance as described in the definition of Real Estate Documents) and</w:t>
      </w:r>
    </w:p>
    <w:p>
      <w:pPr>
        <w:spacing w:after="0" w:line="1" w:lineRule="exact"/>
        <w:rPr>
          <w:sz w:val="20"/>
          <w:szCs w:val="20"/>
          <w:color w:val="auto"/>
        </w:rPr>
      </w:pPr>
    </w:p>
    <w:p>
      <w:pPr>
        <w:ind w:left="300" w:hanging="295"/>
        <w:spacing w:after="0"/>
        <w:tabs>
          <w:tab w:leader="none" w:pos="3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 all insurance required to be maintained pursuant to the Collateral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56" w:lineRule="exact"/>
        <w:rPr>
          <w:rFonts w:ascii="Arial" w:cs="Arial" w:eastAsia="Arial" w:hAnsi="Arial"/>
          <w:sz w:val="19"/>
          <w:szCs w:val="19"/>
          <w:color w:val="auto"/>
        </w:rPr>
      </w:pPr>
    </w:p>
    <w:p>
      <w:pPr>
        <w:ind w:left="4460"/>
        <w:spacing w:after="0"/>
        <w:rPr>
          <w:rFonts w:ascii="Arial" w:cs="Arial" w:eastAsia="Arial" w:hAnsi="Arial"/>
          <w:sz w:val="19"/>
          <w:szCs w:val="19"/>
          <w:color w:val="auto"/>
        </w:rPr>
      </w:pPr>
      <w:r>
        <w:rPr>
          <w:rFonts w:ascii="Arial" w:cs="Arial" w:eastAsia="Arial" w:hAnsi="Arial"/>
          <w:sz w:val="19"/>
          <w:szCs w:val="19"/>
          <w:color w:val="auto"/>
        </w:rPr>
        <w:t>68</w:t>
      </w:r>
    </w:p>
    <w:p>
      <w:pPr>
        <w:sectPr>
          <w:pgSz w:w="11900" w:h="16838" w:orient="portrait"/>
          <w:cols w:equalWidth="0" w:num="1">
            <w:col w:w="10060"/>
          </w:cols>
          <w:pgMar w:left="1380" w:top="1440" w:right="459" w:bottom="1440" w:gutter="0" w:footer="0" w:header="0"/>
        </w:sectPr>
      </w:pPr>
    </w:p>
    <w:bookmarkStart w:id="124" w:name="page125"/>
    <w:bookmarkEnd w:id="124"/>
    <w:p>
      <w:pPr>
        <w:spacing w:after="0" w:line="167"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 xml:space="preserve">Documents, and shall, upon the request of the Administrative Agent, furnish to the Administrative Agent, at reasonable intervals (but in no event more than once per Fiscal Year) a certificate of a Responsible Officer setting forth the nature and extent of all insurance maintained by the Borrower and its Subsidiaries in accordance with this Section (and if requested by the Administrative Agent or any Lender, a copy of any policy referenced therein if not already delivered) and (B) reinsurance of the types and in amounts no less than as required pursuant to </w:t>
      </w:r>
      <w:r>
        <w:rPr>
          <w:rFonts w:ascii="Arial" w:cs="Arial" w:eastAsia="Arial" w:hAnsi="Arial"/>
          <w:sz w:val="19"/>
          <w:szCs w:val="19"/>
          <w:u w:val="single" w:color="auto"/>
          <w:color w:val="auto"/>
        </w:rPr>
        <w:t>Section 7.15(d)</w:t>
      </w:r>
      <w:r>
        <w:rPr>
          <w:rFonts w:ascii="Arial" w:cs="Arial" w:eastAsia="Arial" w:hAnsi="Arial"/>
          <w:sz w:val="19"/>
          <w:szCs w:val="19"/>
          <w:color w:val="auto"/>
        </w:rPr>
        <w:t>, and comply with all requirements and covenants set forth in the applicable reinsurance agreements in all material respects and (c) at all times shall name the Administrative Agent as additional insured on all liability policies of the Borrower and its Subsidiaries and as loss payee (pursuant to a loss payee endorsement approved by the Administrative Agent in its reasonable discretion) on all casualty and property insurance policies of the Borrower and its Subsidiaries.</w:t>
      </w:r>
    </w:p>
    <w:p>
      <w:pPr>
        <w:spacing w:after="0" w:line="186"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b w:val="1"/>
          <w:bCs w:val="1"/>
          <w:u w:val="single" w:color="auto"/>
          <w:color w:val="auto"/>
        </w:rPr>
        <w:t>Use of Proceeds; Margin Regulations</w:t>
      </w:r>
      <w:r>
        <w:rPr>
          <w:rFonts w:ascii="Arial" w:cs="Arial" w:eastAsia="Arial" w:hAnsi="Arial"/>
          <w:sz w:val="19"/>
          <w:szCs w:val="19"/>
          <w:color w:val="auto"/>
        </w:rPr>
        <w:t>. The Borrower shall use the proceeds of all Loans to fund capital expenditures of the Borrower and its Subsidiaries, for other general corporate purposes of the Borrower and its Subsidiaries and to pay fees and expenses related to the Loans. No part of the proceeds of any Loan shall be used, whether directly or indirectly, for any purpose that would violate any rule or regulation of the Board of Governors of the Federal Reserve System, including Regulation T, Regulation U or Regulation X.</w:t>
      </w:r>
    </w:p>
    <w:p>
      <w:pPr>
        <w:spacing w:after="0" w:line="174"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b w:val="1"/>
          <w:bCs w:val="1"/>
          <w:u w:val="single" w:color="auto"/>
          <w:color w:val="auto"/>
        </w:rPr>
        <w:t>Casualty and Condemnation</w:t>
      </w:r>
      <w:r>
        <w:rPr>
          <w:rFonts w:ascii="Arial" w:cs="Arial" w:eastAsia="Arial" w:hAnsi="Arial"/>
          <w:sz w:val="19"/>
          <w:szCs w:val="19"/>
          <w:color w:val="auto"/>
        </w:rPr>
        <w:t>. The Borrower (a) shall furnish to the Administrative Agent prompt written notice of any casualty or other insured damage to any material portion of any Collateral or the commencement of any action or proceeding for the taking of any material portion of any Collateral or any part thereof or interest therein under power of eminent domain or by condemnation or similar proceeding and (b) shall ensure that the Net Cash Proceeds of any such event (whether in the form of insurance proceeds, condemnation awards or otherwise) are collected and applied in accordance with the applicable provisions of this Agreement and the Collateral Documents.</w:t>
      </w:r>
    </w:p>
    <w:p>
      <w:pPr>
        <w:spacing w:after="0" w:line="198"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b w:val="1"/>
          <w:bCs w:val="1"/>
          <w:u w:val="single" w:color="auto"/>
          <w:color w:val="auto"/>
        </w:rPr>
        <w:t>Cash Management</w:t>
      </w:r>
      <w:r>
        <w:rPr>
          <w:rFonts w:ascii="Arial" w:cs="Arial" w:eastAsia="Arial" w:hAnsi="Arial"/>
          <w:sz w:val="19"/>
          <w:szCs w:val="19"/>
          <w:color w:val="auto"/>
        </w:rPr>
        <w:t>. Holdings and the Borrower shall, and shall cause each of its respective Subsidiaries that are Loan Parties to:</w:t>
      </w:r>
    </w:p>
    <w:p>
      <w:pPr>
        <w:spacing w:after="0" w:line="163" w:lineRule="exact"/>
        <w:rPr>
          <w:sz w:val="20"/>
          <w:szCs w:val="20"/>
          <w:color w:val="auto"/>
        </w:rPr>
      </w:pPr>
    </w:p>
    <w:p>
      <w:pPr>
        <w:jc w:val="both"/>
        <w:ind w:firstLine="1277"/>
        <w:spacing w:after="0" w:line="210" w:lineRule="auto"/>
        <w:tabs>
          <w:tab w:leader="none" w:pos="211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maintain all cash management and treasury business with a Permitted Third Party Bank, including, without limitation, all deposit accounts, disbursement accounts, investment accounts and lockbox accounts (other than Excluded Accounts, which the Loan Parties may maintain without restriction) (each such non-excluded deposit account, disbursement account, investment account and lockbox account, a “</w:t>
      </w:r>
      <w:r>
        <w:rPr>
          <w:rFonts w:ascii="Arial" w:cs="Arial" w:eastAsia="Arial" w:hAnsi="Arial"/>
          <w:sz w:val="19"/>
          <w:szCs w:val="19"/>
          <w:u w:val="single" w:color="auto"/>
          <w:color w:val="auto"/>
        </w:rPr>
        <w:t>Controlled Account</w:t>
      </w:r>
      <w:r>
        <w:rPr>
          <w:rFonts w:ascii="Arial" w:cs="Arial" w:eastAsia="Arial" w:hAnsi="Arial"/>
          <w:sz w:val="19"/>
          <w:szCs w:val="19"/>
          <w:color w:val="auto"/>
        </w:rPr>
        <w:t xml:space="preserve">”); each Controlled Account shall be a cash collateral account, with all cash, checks and other similar items of payment in such account securing payment of the Obligations, and in which the Borrower and each of the other Loan Parties shall have granted a first priority Lien to the Administrative Agent, on behalf of the Secured Parties, perfected and subject to Control Account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shall have 60 days (or such later date as may be agreed to in writing by the Administrative Agent) after the acquisition of a new Controlled Account (pursuant to any Investment permitted by </w:t>
      </w:r>
      <w:r>
        <w:rPr>
          <w:rFonts w:ascii="Arial" w:cs="Arial" w:eastAsia="Arial" w:hAnsi="Arial"/>
          <w:sz w:val="19"/>
          <w:szCs w:val="19"/>
          <w:u w:val="single" w:color="auto"/>
          <w:color w:val="auto"/>
        </w:rPr>
        <w:t>Section 7.4</w:t>
      </w:r>
      <w:r>
        <w:rPr>
          <w:rFonts w:ascii="Arial" w:cs="Arial" w:eastAsia="Arial" w:hAnsi="Arial"/>
          <w:sz w:val="19"/>
          <w:szCs w:val="19"/>
          <w:color w:val="auto"/>
        </w:rPr>
        <w:t>) to obtain a Control Account Agreement over such acquired Controlled Accounts.</w:t>
      </w:r>
    </w:p>
    <w:p>
      <w:pPr>
        <w:spacing w:after="0" w:line="261" w:lineRule="exact"/>
        <w:rPr>
          <w:rFonts w:ascii="Arial" w:cs="Arial" w:eastAsia="Arial" w:hAnsi="Arial"/>
          <w:sz w:val="19"/>
          <w:szCs w:val="19"/>
          <w:color w:val="auto"/>
        </w:rPr>
      </w:pPr>
    </w:p>
    <w:p>
      <w:pPr>
        <w:jc w:val="both"/>
        <w:ind w:firstLine="1277"/>
        <w:spacing w:after="0" w:line="220" w:lineRule="auto"/>
        <w:tabs>
          <w:tab w:leader="none" w:pos="210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deposit promptly, and in any event no later than ten (10) days after the date of receipt thereof, all cash, checks, drafts or other similar items of payment relating to or constituting payments made in respect of any and all accounts and other Collateral into Controlled Accounts, in each case, except for cash and Permitted Investments the aggregate value of which does not exceed $2,500,000 at any time; and</w:t>
      </w:r>
    </w:p>
    <w:p>
      <w:pPr>
        <w:spacing w:after="0" w:line="179" w:lineRule="exact"/>
        <w:rPr>
          <w:rFonts w:ascii="Arial" w:cs="Arial" w:eastAsia="Arial" w:hAnsi="Arial"/>
          <w:sz w:val="19"/>
          <w:szCs w:val="19"/>
          <w:color w:val="auto"/>
        </w:rPr>
      </w:pPr>
    </w:p>
    <w:p>
      <w:pPr>
        <w:jc w:val="both"/>
        <w:ind w:firstLine="1277"/>
        <w:spacing w:after="0" w:line="220" w:lineRule="auto"/>
        <w:tabs>
          <w:tab w:leader="none" w:pos="211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at any time after the occurrence and during the continuance of an Event of Default, at the request of the Required Lenders, Holdings and the Borrower shall, and shall cause each other Loan Party to, cause all payments constituting proceeds of accounts or other Collateral to be directed into lockbox accounts under agreements,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0060"/>
          </w:cols>
          <w:pgMar w:left="1380" w:top="1440" w:right="459" w:bottom="1440" w:gutter="0" w:footer="0" w:header="0"/>
        </w:sectPr>
      </w:pPr>
    </w:p>
    <w:bookmarkStart w:id="125" w:name="page126"/>
    <w:bookmarkEnd w:id="125"/>
    <w:p>
      <w:pPr>
        <w:spacing w:after="0" w:line="174"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5.12.</w:t>
      </w:r>
      <w:r>
        <w:rPr>
          <w:sz w:val="20"/>
          <w:szCs w:val="20"/>
          <w:color w:val="auto"/>
        </w:rPr>
        <w:tab/>
      </w:r>
      <w:r>
        <w:rPr>
          <w:rFonts w:ascii="Arial" w:cs="Arial" w:eastAsia="Arial" w:hAnsi="Arial"/>
          <w:sz w:val="17"/>
          <w:szCs w:val="17"/>
          <w:b w:val="1"/>
          <w:bCs w:val="1"/>
          <w:u w:val="single" w:color="auto"/>
          <w:color w:val="auto"/>
        </w:rPr>
        <w:t>Additional Subsidiaries and Collateral</w:t>
      </w:r>
      <w:r>
        <w:rPr>
          <w:rFonts w:ascii="Arial" w:cs="Arial" w:eastAsia="Arial" w:hAnsi="Arial"/>
          <w:sz w:val="17"/>
          <w:szCs w:val="17"/>
          <w:color w:val="auto"/>
        </w:rPr>
        <w:t>.</w:t>
      </w:r>
    </w:p>
    <w:p>
      <w:pPr>
        <w:spacing w:after="0" w:line="291" w:lineRule="exact"/>
        <w:rPr>
          <w:sz w:val="20"/>
          <w:szCs w:val="20"/>
          <w:color w:val="auto"/>
        </w:rPr>
      </w:pPr>
    </w:p>
    <w:p>
      <w:pPr>
        <w:jc w:val="both"/>
        <w:ind w:left="-60" w:firstLine="1277"/>
        <w:spacing w:after="0" w:line="235" w:lineRule="auto"/>
        <w:tabs>
          <w:tab w:leader="none" w:pos="148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In the event that, subsequent to the Closing Date, any Person becomes a Subsidiary, whether pursuant to formation, acquisition or otherwise, (x) the Borrower shall promptly notify the Administrative Agent thereof and (y) within 30 days after such Person becomes a Subsidiary (other than (a) any Insurance Subsidiary, (b) any Subsidiary of an Insurance Subsidiary, (c) any other Subsidiary of the Borrower that has applied for an Insurance License and will become an Insurance Subsidiary or Subsidiary of an Insurance Subsidiary upon the approval of such Insurance License (or such later date as agreed to in writing by the Administrative Agent and the Required Lenders in their sole discretion) or (d) a Subsidiary with respect to which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the Borrower shall cause such Subsidiary (i) to become a new Guarantor and to grant Liens in favor of the Administrative Agent in all of its personal property (other than Excluded Property) by executing and delivering to the Administrative Agent a supplement to the Guaranty and Security Agreement, in substantially the form of Annex I attached to the Guaranty and Security Agreement, executing and delivering a Copyright Security Agreement, Patent Security Agreement and Trademark Security Agreement, as applicable, and authorizing and delivering, at the reasonable request of the Administrative Agent, such UCC financing statements or similar instruments required by the Administrative Agent to perfect the Liens in favor of the Administrative Agent and granted under any of the Loan Documents (it being understood and agreed that, with respect to any Subsidiary that is not organized under the laws of the United States, any state thereof or the District of Columbia,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shall include the granting of Liens and taking of all perfection actions under the local laws of such Subsidiary’s jurisdiction of formation as may be reasonably required by the Administrative Agent and the Required Lenders), (ii) to grant Liens in favor of the Administrative Agent in all interests in Real Estate (other than Excluded Property) to the extent required by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by executing and delivering to the Administrative Agent such Real Estate Documents as the Administrative Agent and the Required Lenders shall reasonably require and (iii) to deliver all such other documentation (including, without limitation, certified organizational documents, resolutions, lien searches, title insurance policies, surveys, environmental reports and legal opinions) and to take all such other actions as such Subsidiary would have been required to deliver and take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if such Subsidiary had been a Loan Party on the Closing Date or that such Subsidiary would be required to deliver pursuant to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with respect to any Real Estate. In addition, within 30 days after the date any Person becomes a direct Subsidiary of a Loan Party (or such later date as agreed to in writing by the Administrative Agent and the Required Lenders in their sole discretion), the Borrower shall, or shall cause the applicable Loan Party to (i) pledge all of the Capital Stock of such Subsidiary directly owned by a Loan Party (other than Excluded Property) to the Administrative Agent as security for the Obligations, by executing and delivering a supplement to the Guaranty and Security Agreement, substantially in the form of Annex III attached to the Guaranty and Security Agreement, to the Administrative Agent and (ii) deliver the original certificates evidencing such pledged Capital Stock (other than Excluded Property) to the Administrative Agent, together with appropriate powers executed in blank;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if such Person that becomes a Subsidiary is an Insurance Subsidiary, a Subsidiary of an Insurance Subsidiary or any other Subsidiary of the Borrower that has applied for an Insurance License and will become an Insurance Subsidiary or Subsidiary of an Insurance Subsidiary upon the approval of such Insurance License, this requirement to pledge all of the Capital Stock of such Person shall not apply only to the extent the pledge thereof is (or would be) deemed a change of control of such Person or is (or would be) otherwise prohibited by applicable law or regulations, (2) in the case of any Subsidiary of the Borrower that has applied for an Insurance License and will become an Insurance Subsidiary or Subsidiary of an Insurance Subsidiary upon the approval of such Insurance License, it is understood and agreed that until such approval is obtained, such Subsidiary shall not transact business or hold any material assets and (3) to the extent and for so long as such Person that becomes a Subsidiary is a Subsidiary with respect to which a guarantee by it would result in an adverse tax consequence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0000"/>
          </w:cols>
          <w:pgMar w:left="1440" w:top="1440" w:right="459" w:bottom="1440" w:gutter="0" w:footer="0" w:header="0"/>
        </w:sectPr>
      </w:pPr>
    </w:p>
    <w:bookmarkStart w:id="126" w:name="page127"/>
    <w:bookmarkEnd w:id="126"/>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this requirement to pledge all of the Capital Stock of such Person shall not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pledge of such Capital Stock (or the pledge of any portion of such Capital Stock) would no longer result in an adverse Tax liability (which is not de minimis), such pledge (or the pledge of any portion of such Capital Stock, as applicable) shall be promptly given. For the avoidance of doubt, (x) in no event shall any Insurance Company, Subsidiary of an Insurance Company, any other Subsidiary of the Borrower that has applied for an Insurance License and will become an Insurance Subsidiary or Subsidiary of an Insurance Subsidiary upon the approval of such Insurance License or any Subsidiary with respect to which a guarantee by it would result in an adverse tax consequence (which is not de minimis) (including, without limitation, as a result of any law or regulation in any applicable jurisdiction similar to Section 956 of the Code) to Holdings or the Borrower or any of their respective Subsidiaries, as reasonably determined by the Borrower and the Required Lenders, be required to become a Subsidiary Loan Party, a Loan Party or a Guarantor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for the avoidance of doubt and notwithstanding anything to the contrary herein, in the case of the Persons described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w:t>
      </w:r>
      <w:r>
        <w:rPr>
          <w:rFonts w:ascii="Arial" w:cs="Arial" w:eastAsia="Arial" w:hAnsi="Arial"/>
          <w:sz w:val="17"/>
          <w:szCs w:val="17"/>
          <w:color w:val="auto"/>
        </w:rPr>
        <w:t xml:space="preserve"> immediately above, each such Person shall be subject to the applicable covenants contained herein and (y) as of the Closing Date and thereafter, the Capital Stock of RRC shall be pledged and perfected under the laws of the Cayman Islands and the Capital Stock of each other Insurance Subsidiary shall be pledged and perfected under the applicable laws of the United States.</w:t>
      </w:r>
    </w:p>
    <w:p>
      <w:pPr>
        <w:spacing w:after="0" w:line="196" w:lineRule="exact"/>
        <w:rPr>
          <w:sz w:val="20"/>
          <w:szCs w:val="20"/>
          <w:color w:val="auto"/>
        </w:rPr>
      </w:pPr>
    </w:p>
    <w:p>
      <w:pPr>
        <w:jc w:val="both"/>
        <w:ind w:firstLine="1277"/>
        <w:spacing w:after="0" w:line="213" w:lineRule="auto"/>
        <w:tabs>
          <w:tab w:leader="none" w:pos="211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Borrower hereby agrees that, following the delivery of any Collateral Documents required to be executed and delivered by this Section, the Administrative Agent shall have a valid and enforceable, first priority perfected Lien on the property required to be pledged pursuant to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of this Section (to the extent that such Lien can be perfected by the execution, delivery and/or recording of the Collateral Documents or UCC financing statements, or possession of such Collateral), free and clear of all Liens (other than Liens expressly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All actions to be taken pursuant to this Section shall be at the expense of the Borrower or the applicable Loan Party, and shall be taken to the reasonable satisfaction of the Administrative Agent.</w:t>
      </w:r>
    </w:p>
    <w:p>
      <w:pPr>
        <w:spacing w:after="0" w:line="174"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5.13.</w:t>
      </w:r>
      <w:r>
        <w:rPr>
          <w:sz w:val="20"/>
          <w:szCs w:val="20"/>
          <w:color w:val="auto"/>
        </w:rPr>
        <w:tab/>
      </w:r>
      <w:r>
        <w:rPr>
          <w:rFonts w:ascii="Arial" w:cs="Arial" w:eastAsia="Arial" w:hAnsi="Arial"/>
          <w:sz w:val="17"/>
          <w:szCs w:val="17"/>
          <w:b w:val="1"/>
          <w:bCs w:val="1"/>
          <w:u w:val="single" w:color="auto"/>
          <w:color w:val="auto"/>
        </w:rPr>
        <w:t>Additional Real Estate; Leased Locations</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26" w:lineRule="auto"/>
        <w:tabs>
          <w:tab w:leader="none" w:pos="211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the extent otherwise permitted hereunder, if any Loan Party proposes to acquire a fee ownership interest in Real Estate with a fair market value in excess of $5,000,000 after the Closing Date, it shall at the time of such acquisition, provide to the Administrative Agent Real Estate Documents in regard to such Real Estate.</w:t>
      </w:r>
    </w:p>
    <w:p>
      <w:pPr>
        <w:spacing w:after="0" w:line="177" w:lineRule="exact"/>
        <w:rPr>
          <w:rFonts w:ascii="Arial" w:cs="Arial" w:eastAsia="Arial" w:hAnsi="Arial"/>
          <w:sz w:val="19"/>
          <w:szCs w:val="19"/>
          <w:color w:val="auto"/>
        </w:rPr>
      </w:pPr>
    </w:p>
    <w:p>
      <w:pPr>
        <w:jc w:val="both"/>
        <w:ind w:firstLine="1277"/>
        <w:spacing w:after="0"/>
        <w:tabs>
          <w:tab w:leader="none" w:pos="21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To the extent otherwise permitted hereunder, if any Loan Party enters into any lease with respect to any Real Estate, it shall promptly deliver to the Administrative Agent a copy of such lease and, to the extent such leased property constitutes the chief executive office of the Loan Parties, the Borrower shall deliver to the Administrative Agent a Collateral Access Agreement from the landlord of such leased property in form and substance reasonably acceptable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Loan Party is unable to deliver any such Collateral Access Agreement after using its commercially reasonable efforts to do so, the Administrative Agent may waive the foregoing requirement in its reasonable discretion.</w:t>
      </w:r>
    </w:p>
    <w:p>
      <w:pPr>
        <w:spacing w:after="0" w:line="173"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b w:val="1"/>
          <w:bCs w:val="1"/>
          <w:u w:val="single" w:color="auto"/>
          <w:color w:val="auto"/>
        </w:rPr>
        <w:t>Further Assurances</w:t>
      </w:r>
      <w:r>
        <w:rPr>
          <w:rFonts w:ascii="Arial" w:cs="Arial" w:eastAsia="Arial" w:hAnsi="Arial"/>
          <w:sz w:val="19"/>
          <w:szCs w:val="19"/>
          <w:color w:val="auto"/>
        </w:rPr>
        <w:t>. Holdings shall, and shall cause each other Loan Party to, execute any and all further documents, financing statements, agreements and instruments, and take all such further actions (including the filing and recording of financing statements, fixture filings, Mortgages and other documents), which may be required under any applicable law, or which the Administrative Agent or the Required Lenders may reasonably request, to effectuate the transactions contemplated by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0060"/>
          </w:cols>
          <w:pgMar w:left="1380" w:top="1440" w:right="459" w:bottom="1440" w:gutter="0" w:footer="0" w:header="0"/>
        </w:sectPr>
      </w:pPr>
    </w:p>
    <w:bookmarkStart w:id="127" w:name="page128"/>
    <w:bookmarkEnd w:id="127"/>
    <w:p>
      <w:pPr>
        <w:spacing w:after="0" w:line="167"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Documents or to grant, preserve, protect or perfect the Liens created by the Collateral Documents or the validity or priority of any such Lien, all at the expense of the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Loan Parties be required to grant any Lien to secure the Obligations over any Excluded Property. The Borrower also agrees to provide to the Administrative Agent, from time to time upon request, evidence reasonably satisfactory to the Administrative Agent as to the perfection and priority of the Liens created or intended to be created by the Collateral Documents.</w:t>
      </w:r>
    </w:p>
    <w:p>
      <w:pPr>
        <w:spacing w:after="0" w:line="17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5.15.</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98"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b w:val="1"/>
          <w:bCs w:val="1"/>
          <w:u w:val="single" w:color="auto"/>
          <w:color w:val="auto"/>
        </w:rPr>
        <w:t>Maintenance of Reinsurance Coverage</w:t>
      </w:r>
      <w:r>
        <w:rPr>
          <w:rFonts w:ascii="Arial" w:cs="Arial" w:eastAsia="Arial" w:hAnsi="Arial"/>
          <w:sz w:val="19"/>
          <w:szCs w:val="19"/>
          <w:color w:val="auto"/>
        </w:rPr>
        <w:t>. For so long as the Term Loans are outstanding, each Insurance Subsidiary shall purchase reinsurance only from reinsurers with a minimum financial strength rating (as of the effective date of the relevant reinsurance agreement) of “A-” by A.M. Best Company or a minimum credit rating of “A-” by S&amp;P, unless such reinsurance liabilities have been fully collateralized by such reinsurers.</w:t>
      </w:r>
    </w:p>
    <w:p>
      <w:pPr>
        <w:spacing w:after="0" w:line="185"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b w:val="1"/>
          <w:bCs w:val="1"/>
          <w:u w:val="single" w:color="auto"/>
          <w:color w:val="auto"/>
        </w:rPr>
        <w:t>Board Observation Rights</w:t>
      </w:r>
      <w:r>
        <w:rPr>
          <w:rFonts w:ascii="Arial" w:cs="Arial" w:eastAsia="Arial" w:hAnsi="Arial"/>
          <w:sz w:val="18"/>
          <w:szCs w:val="18"/>
          <w:color w:val="auto"/>
        </w:rPr>
        <w:t>. The BlackRock GCO Lender shall have the right to designate and appoint two (2) representatives (each, an “</w:t>
      </w:r>
      <w:r>
        <w:rPr>
          <w:rFonts w:ascii="Arial" w:cs="Arial" w:eastAsia="Arial" w:hAnsi="Arial"/>
          <w:sz w:val="18"/>
          <w:szCs w:val="18"/>
          <w:u w:val="single" w:color="auto"/>
          <w:color w:val="auto"/>
        </w:rPr>
        <w:t>Observer</w:t>
      </w:r>
      <w:r>
        <w:rPr>
          <w:rFonts w:ascii="Arial" w:cs="Arial" w:eastAsia="Arial" w:hAnsi="Arial"/>
          <w:sz w:val="18"/>
          <w:szCs w:val="18"/>
          <w:color w:val="auto"/>
        </w:rPr>
        <w:t xml:space="preserve">”), and any one (1) Observer may attend special and regular meetings of the Board of Directors of Holdings, subject to the terms and provisions of the Board Observation Side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or in any other Loan Document to the contrary, (x) in no event shall the rights, powers or privileges granted pursuant to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or the Board Observation Side Letter, as applicable, inure to the benefit of any successors or assigns of (or, for the avoidance of doubt, Participants in), the BlackRock GCO Lender or any of its rights and/or obligations under this Agreement or any other Loan Document (including, without limitation all or a portion of its applicable Term Loan Commitment and/or the Term Loan(s) owing to it), as applicable (in each case, other than any Affiliate or Approved Funds of the BlackRock GCO Lender, but excluding, for the avoidance of doubt, the AIMCo Lender), and (y) if the BlackRock GCO Lender (together with its Affiliates and Approved Funds, but excluding, for the avoidance of doubt, the AIMCo Lender), holds less than fifty percent (50%) of the aggregate principal amount of the Term Loans outstanding at any time, the rights, powers and privileges granted pursuant to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and the Board Observation Side Letter, as applicable, shall be automatically and immediately terminated and shall be of no further force and effect.</w:t>
      </w:r>
    </w:p>
    <w:p>
      <w:pPr>
        <w:spacing w:after="0" w:line="172"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b w:val="1"/>
          <w:bCs w:val="1"/>
          <w:u w:val="single" w:color="auto"/>
          <w:color w:val="auto"/>
        </w:rPr>
        <w:t>Tranche 2 Warrant Issuance</w:t>
      </w:r>
      <w:r>
        <w:rPr>
          <w:rFonts w:ascii="Arial" w:cs="Arial" w:eastAsia="Arial" w:hAnsi="Arial"/>
          <w:sz w:val="17"/>
          <w:szCs w:val="17"/>
          <w:color w:val="auto"/>
        </w:rPr>
        <w:t xml:space="preserve">. On the initial Minimum Liquidity Step-Down Date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6.4(b)</w:t>
      </w:r>
      <w:r>
        <w:rPr>
          <w:rFonts w:ascii="Arial" w:cs="Arial" w:eastAsia="Arial" w:hAnsi="Arial"/>
          <w:sz w:val="17"/>
          <w:szCs w:val="17"/>
          <w:color w:val="auto"/>
        </w:rPr>
        <w:t xml:space="preserve">, (solely to the extent that the Borrower elects to reduce the Liquidity threshold as set forth in Section 6.4) Holdings shall issue and deliver the Tranche 2 Warrants to the Lenders, or one or more of such Lenders’ respective affiliates or designees designated thereby, in the form attached hereto as </w:t>
      </w:r>
      <w:r>
        <w:rPr>
          <w:rFonts w:ascii="Arial" w:cs="Arial" w:eastAsia="Arial" w:hAnsi="Arial"/>
          <w:sz w:val="17"/>
          <w:szCs w:val="17"/>
          <w:u w:val="single" w:color="auto"/>
          <w:color w:val="auto"/>
        </w:rPr>
        <w:t>Exhibit 5.18</w:t>
      </w:r>
      <w:r>
        <w:rPr>
          <w:rFonts w:ascii="Arial" w:cs="Arial" w:eastAsia="Arial" w:hAnsi="Arial"/>
          <w:sz w:val="17"/>
          <w:szCs w:val="17"/>
          <w:color w:val="auto"/>
        </w:rPr>
        <w:t>, with an aggregate number of initial Warrant Shares (as defined in the Tranche 2 Warrants) equal to 1.0% of all issued and outstanding shares of Common Stock (as defined in the Tranche 2 Warrant) on a Fully Diluted (as defined in the Tranche 2 Warrants) basis as of the Minimum Liquidity Step-Down Date.</w:t>
      </w:r>
    </w:p>
    <w:p>
      <w:pPr>
        <w:spacing w:after="0" w:line="174"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5.19.</w:t>
      </w:r>
      <w:r>
        <w:rPr>
          <w:sz w:val="20"/>
          <w:szCs w:val="20"/>
          <w:color w:val="auto"/>
        </w:rPr>
        <w:tab/>
      </w:r>
      <w:r>
        <w:rPr>
          <w:rFonts w:ascii="Arial" w:cs="Arial" w:eastAsia="Arial" w:hAnsi="Arial"/>
          <w:sz w:val="17"/>
          <w:szCs w:val="17"/>
          <w:b w:val="1"/>
          <w:bCs w:val="1"/>
          <w:u w:val="single" w:color="auto"/>
          <w:color w:val="auto"/>
        </w:rPr>
        <w:t>Post-Closing Covenants</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32" w:lineRule="auto"/>
        <w:tabs>
          <w:tab w:leader="none" w:pos="210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shall, within forty-five (45) days following the Closing Date (or such longer time period as agreed to by the Required Lenders in their sole discretion), deliver, or cause to be delivered, to the Administrative Agent, the insurance endorsements required under this Agreement, naming the Administrative Agent as lender’s loss payee or additional insured, as applicable, in form and substance reasonably acceptable to the Administrative Agent.</w:t>
      </w:r>
    </w:p>
    <w:p>
      <w:pPr>
        <w:spacing w:after="0" w:line="193" w:lineRule="exact"/>
        <w:rPr>
          <w:rFonts w:ascii="Arial" w:cs="Arial" w:eastAsia="Arial" w:hAnsi="Arial"/>
          <w:sz w:val="18"/>
          <w:szCs w:val="18"/>
          <w:color w:val="auto"/>
        </w:rPr>
      </w:pPr>
    </w:p>
    <w:p>
      <w:pPr>
        <w:jc w:val="both"/>
        <w:ind w:firstLine="1277"/>
        <w:spacing w:after="0" w:line="220" w:lineRule="auto"/>
        <w:tabs>
          <w:tab w:leader="none" w:pos="210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Borrower shall, within forty-five (45) days following the Closing Date (or such longer time period as agreed to by the Required Lenders in their sole discretion), deliver, or cause to be delivered, to the Administrative Agent, all certificates representing the Capital Stock of each of (a) the Borrower and (b) RIC, in each case, accompanied by undated stock powers, duly indorsed in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0060"/>
          </w:cols>
          <w:pgMar w:left="1380" w:top="1440" w:right="459" w:bottom="1440" w:gutter="0" w:footer="0" w:header="0"/>
        </w:sectPr>
      </w:pPr>
    </w:p>
    <w:bookmarkStart w:id="128" w:name="page129"/>
    <w:bookmarkEnd w:id="128"/>
    <w:p>
      <w:pPr>
        <w:jc w:val="both"/>
        <w:ind w:right="120" w:firstLine="1277"/>
        <w:spacing w:after="0" w:line="226" w:lineRule="auto"/>
        <w:tabs>
          <w:tab w:leader="none" w:pos="21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shall, within fifteen (15) Business Days following the Closing Date (or such longer time period as agreed to by the Required Lenders in their sole discretion), deliver, or cause to be delivered, to the Administrative Agent, one or more Control Account Agreements with respect to the Borrower's Controlled Accounts numbered 104796895019 and 104796894988, in each case held with U.S. Bank National Association as of the Closing Date, or, for the avoidance doubt, Control Account Agreement(s) covering the funds or deposits therein (other than Excluded Accounts), in each case, in form and substance reasonably satisfactory to the Administrative Agent and the Required Lenders.</w:t>
      </w:r>
    </w:p>
    <w:p>
      <w:pPr>
        <w:spacing w:after="0" w:line="195" w:lineRule="exact"/>
        <w:rPr>
          <w:sz w:val="20"/>
          <w:szCs w:val="20"/>
          <w:color w:val="auto"/>
        </w:rPr>
      </w:pPr>
    </w:p>
    <w:p>
      <w:pPr>
        <w:jc w:val="both"/>
        <w:ind w:right="120" w:firstLine="1277"/>
        <w:spacing w:after="0" w:line="220" w:lineRule="auto"/>
        <w:tabs>
          <w:tab w:leader="none" w:pos="153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Borrower shall, within ten (10) Business Days following the Closing Date (or such longer time period as agreed to by the Required Lenders in their sole discretion), deliver, or cause to be delivered, to the Administrative Agent, a copy of the signed and dated shareholder resolutions of RRC adopting the changes to the articles of association of RRC agreed with the Required Lenders in connection with the Cayman Law Share Pledge..</w:t>
      </w:r>
    </w:p>
    <w:p>
      <w:pPr>
        <w:spacing w:after="0" w:line="187" w:lineRule="exact"/>
        <w:rPr>
          <w:sz w:val="20"/>
          <w:szCs w:val="20"/>
          <w:color w:val="auto"/>
        </w:rPr>
      </w:pPr>
    </w:p>
    <w:p>
      <w:pPr>
        <w:ind w:left="4000"/>
        <w:spacing w:after="0"/>
        <w:rPr>
          <w:sz w:val="20"/>
          <w:szCs w:val="20"/>
          <w:color w:val="auto"/>
        </w:rPr>
      </w:pPr>
      <w:r>
        <w:rPr>
          <w:rFonts w:ascii="Arial" w:cs="Arial" w:eastAsia="Arial" w:hAnsi="Arial"/>
          <w:sz w:val="19"/>
          <w:szCs w:val="19"/>
          <w:b w:val="1"/>
          <w:bCs w:val="1"/>
          <w:u w:val="single" w:color="auto"/>
          <w:color w:val="auto"/>
        </w:rPr>
        <w:t>ARTICLE VI</w:t>
      </w:r>
    </w:p>
    <w:p>
      <w:pPr>
        <w:spacing w:after="0" w:line="285" w:lineRule="exact"/>
        <w:rPr>
          <w:sz w:val="20"/>
          <w:szCs w:val="20"/>
          <w:color w:val="auto"/>
        </w:rPr>
      </w:pPr>
    </w:p>
    <w:p>
      <w:pPr>
        <w:ind w:left="2960"/>
        <w:spacing w:after="0"/>
        <w:rPr>
          <w:sz w:val="20"/>
          <w:szCs w:val="20"/>
          <w:color w:val="auto"/>
        </w:rPr>
      </w:pPr>
      <w:r>
        <w:rPr>
          <w:rFonts w:ascii="Arial" w:cs="Arial" w:eastAsia="Arial" w:hAnsi="Arial"/>
          <w:sz w:val="19"/>
          <w:szCs w:val="19"/>
          <w:b w:val="1"/>
          <w:bCs w:val="1"/>
          <w:u w:val="single" w:color="auto"/>
          <w:color w:val="auto"/>
        </w:rPr>
        <w:t>FINANCIAL COVENANTS</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Until the Termination Date, Holdings and the Borrower hereby covenant and agree with the Administrative Agent and the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Lenders to:</w:t>
      </w:r>
    </w:p>
    <w:p>
      <w:pPr>
        <w:spacing w:after="0" w:line="18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8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9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b w:val="1"/>
          <w:bCs w:val="1"/>
          <w:u w:val="single" w:color="auto"/>
          <w:color w:val="auto"/>
        </w:rPr>
        <w:t>Minimum Liquidity</w:t>
      </w:r>
      <w:r>
        <w:rPr>
          <w:rFonts w:ascii="Arial" w:cs="Arial" w:eastAsia="Arial" w:hAnsi="Arial"/>
          <w:sz w:val="19"/>
          <w:szCs w:val="19"/>
          <w:color w:val="auto"/>
        </w:rPr>
        <w:t>. Not permit Liquidity at any time to be less than</w:t>
      </w:r>
    </w:p>
    <w:p>
      <w:pPr>
        <w:spacing w:after="0" w:line="2" w:lineRule="exact"/>
        <w:rPr>
          <w:sz w:val="20"/>
          <w:szCs w:val="20"/>
          <w:color w:val="auto"/>
        </w:rPr>
      </w:pPr>
    </w:p>
    <w:p>
      <w:pPr>
        <w:jc w:val="both"/>
        <w:ind w:right="120"/>
        <w:spacing w:after="0" w:line="232" w:lineRule="auto"/>
        <w:rPr>
          <w:sz w:val="20"/>
          <w:szCs w:val="20"/>
          <w:color w:val="auto"/>
        </w:rPr>
      </w:pPr>
      <w:r>
        <w:rPr>
          <w:rFonts w:ascii="Arial" w:cs="Arial" w:eastAsia="Arial" w:hAnsi="Arial"/>
          <w:sz w:val="18"/>
          <w:szCs w:val="18"/>
          <w:color w:val="auto"/>
        </w:rPr>
        <w:t xml:space="preserve">$200,000,000;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to the extent that, and for so long as, either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is and remains satisfied (as evidenced in a Compliance Certificate or Liquidity Report, as applicable), Holdings and the Borrower shall not permit Liquidity during such period commencing on the Minimum Liquidity Step-Down Date to be less than $150,000,000:</w:t>
      </w:r>
    </w:p>
    <w:p>
      <w:pPr>
        <w:spacing w:after="0" w:line="192" w:lineRule="exact"/>
        <w:rPr>
          <w:sz w:val="20"/>
          <w:szCs w:val="20"/>
          <w:color w:val="auto"/>
        </w:rPr>
      </w:pPr>
    </w:p>
    <w:p>
      <w:pPr>
        <w:jc w:val="both"/>
        <w:ind w:right="120" w:firstLine="1277"/>
        <w:spacing w:after="0" w:line="226" w:lineRule="auto"/>
        <w:tabs>
          <w:tab w:leader="none" w:pos="211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 The Borrower and its Subsidiaries shall have issued, in the aggregate, at least 62,500 insurance policies utilizing the Embedded Insurance Platform (as defined in the Carvana Agreements) and (ii) the Direct Contribution to Gross Earned Premium Ratio, as of the end of each Fiscal Quarter, is greater than or equal to 12%; or</w:t>
      </w:r>
    </w:p>
    <w:p>
      <w:pPr>
        <w:spacing w:after="0" w:line="177" w:lineRule="exact"/>
        <w:rPr>
          <w:rFonts w:ascii="Arial" w:cs="Arial" w:eastAsia="Arial" w:hAnsi="Arial"/>
          <w:sz w:val="19"/>
          <w:szCs w:val="19"/>
          <w:color w:val="auto"/>
        </w:rPr>
      </w:pPr>
    </w:p>
    <w:p>
      <w:pPr>
        <w:jc w:val="both"/>
        <w:ind w:right="120" w:firstLine="1277"/>
        <w:spacing w:after="0" w:line="226" w:lineRule="auto"/>
        <w:tabs>
          <w:tab w:leader="none" w:pos="210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 Holdings and its Subsidiaries shall have incurred no Acquisition Costs other than Acquisition Costs incurred in connection with the Carvana Agreements and (ii) as of the end of each Fiscal Month, the Cumulative Cash Burn shall be no greater than $12,000,000.</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the avoidance of doubt, if, as of the end of any Fiscal Month or Fiscal Quarter, as applicable,(1)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w:t>
      </w:r>
    </w:p>
    <w:p>
      <w:pPr>
        <w:jc w:val="both"/>
        <w:ind w:left="640" w:firstLine="1"/>
        <w:spacing w:after="0" w:line="209" w:lineRule="auto"/>
        <w:tabs>
          <w:tab w:leader="none" w:pos="955" w:val="left"/>
        </w:tabs>
        <w:numPr>
          <w:ilvl w:val="0"/>
          <w:numId w:val="116"/>
        </w:numPr>
        <w:rPr>
          <w:rFonts w:ascii="Arial" w:cs="Arial" w:eastAsia="Arial" w:hAnsi="Arial"/>
          <w:sz w:val="19"/>
          <w:szCs w:val="19"/>
          <w:u w:val="single" w:color="auto"/>
          <w:color w:val="auto"/>
        </w:rPr>
      </w:pPr>
      <w:r>
        <w:rPr>
          <w:rFonts w:ascii="Arial" w:cs="Arial" w:eastAsia="Arial" w:hAnsi="Arial"/>
          <w:sz w:val="19"/>
          <w:szCs w:val="19"/>
          <w:color w:val="auto"/>
        </w:rPr>
        <w:t xml:space="preserve">above is satisfied, as evidenced in a Compliance Certificate or Liquidity Report, as applicable, delivered to the Administrative Agent, the minimum Liquidity threshold shall be reduced to $150,000,000 (i)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at the end of the then-current Fiscal Quarter and (ii)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at the end of the subsequent Fiscal Month (such applicable date, the “</w:t>
      </w:r>
      <w:r>
        <w:rPr>
          <w:rFonts w:ascii="Arial" w:cs="Arial" w:eastAsia="Arial" w:hAnsi="Arial"/>
          <w:sz w:val="19"/>
          <w:szCs w:val="19"/>
          <w:u w:val="single" w:color="auto"/>
          <w:color w:val="auto"/>
        </w:rPr>
        <w:t>Minimum Liquidity Step-Down Date</w:t>
      </w:r>
      <w:r>
        <w:rPr>
          <w:rFonts w:ascii="Arial" w:cs="Arial" w:eastAsia="Arial" w:hAnsi="Arial"/>
          <w:sz w:val="19"/>
          <w:szCs w:val="19"/>
          <w:color w:val="auto"/>
        </w:rPr>
        <w:t xml:space="preserve">”) and (2) following any Minimum Liquidity Step-Down Date,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is not satisfied, as evidenced in a Compliance Certificate or Liquidity Report, as applicable, delivered to the Administrative Agent, or the Borrower fails to deliver such Compliance Certificate or Liquidity Report, as applicable, the minimum Liquidity threshold shall be deemed increased to $200,000,000 (i) in the case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as of the end of the most recently ended Fiscal Quarter and (ii)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as of the end of the most recently ended Fiscal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0180"/>
          </w:cols>
          <w:pgMar w:left="1380" w:top="1302" w:right="339" w:bottom="1440" w:gutter="0" w:footer="0" w:header="0"/>
        </w:sectPr>
      </w:pPr>
    </w:p>
    <w:bookmarkStart w:id="129" w:name="page130"/>
    <w:bookmarkEnd w:id="129"/>
    <w:p>
      <w:pPr>
        <w:ind w:right="200" w:firstLine="636"/>
        <w:spacing w:after="0" w:line="241"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b w:val="1"/>
          <w:bCs w:val="1"/>
          <w:u w:val="single" w:color="auto"/>
          <w:color w:val="auto"/>
        </w:rPr>
        <w:t>Minimum Regulated Subsidiary Equity</w:t>
      </w:r>
      <w:r>
        <w:rPr>
          <w:rFonts w:ascii="Arial" w:cs="Arial" w:eastAsia="Arial" w:hAnsi="Arial"/>
          <w:sz w:val="19"/>
          <w:szCs w:val="19"/>
          <w:color w:val="auto"/>
        </w:rPr>
        <w:t>. Not permit the Regulated Subsidiary Equity as of the last day of each Fiscal Quarter to be less than $100,000,000.</w:t>
      </w:r>
    </w:p>
    <w:p>
      <w:pPr>
        <w:spacing w:after="0" w:line="18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8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6.7.</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b w:val="1"/>
          <w:bCs w:val="1"/>
          <w:color w:val="auto"/>
        </w:rPr>
        <w:t>.</w:t>
      </w:r>
    </w:p>
    <w:p>
      <w:pPr>
        <w:spacing w:after="0" w:line="298" w:lineRule="exact"/>
        <w:rPr>
          <w:sz w:val="20"/>
          <w:szCs w:val="20"/>
          <w:color w:val="auto"/>
        </w:rPr>
      </w:pPr>
    </w:p>
    <w:p>
      <w:pPr>
        <w:ind w:left="3960"/>
        <w:spacing w:after="0"/>
        <w:rPr>
          <w:sz w:val="20"/>
          <w:szCs w:val="20"/>
          <w:color w:val="auto"/>
        </w:rPr>
      </w:pPr>
      <w:r>
        <w:rPr>
          <w:rFonts w:ascii="Arial" w:cs="Arial" w:eastAsia="Arial" w:hAnsi="Arial"/>
          <w:sz w:val="19"/>
          <w:szCs w:val="19"/>
          <w:b w:val="1"/>
          <w:bCs w:val="1"/>
          <w:u w:val="single" w:color="auto"/>
          <w:color w:val="auto"/>
        </w:rPr>
        <w:t>ARTICLE VII</w:t>
      </w:r>
    </w:p>
    <w:p>
      <w:pPr>
        <w:spacing w:after="0" w:line="285" w:lineRule="exact"/>
        <w:rPr>
          <w:sz w:val="20"/>
          <w:szCs w:val="20"/>
          <w:color w:val="auto"/>
        </w:rPr>
      </w:pPr>
    </w:p>
    <w:p>
      <w:pPr>
        <w:ind w:left="2980"/>
        <w:spacing w:after="0"/>
        <w:rPr>
          <w:sz w:val="20"/>
          <w:szCs w:val="20"/>
          <w:color w:val="auto"/>
        </w:rPr>
      </w:pPr>
      <w:r>
        <w:rPr>
          <w:rFonts w:ascii="Arial" w:cs="Arial" w:eastAsia="Arial" w:hAnsi="Arial"/>
          <w:sz w:val="19"/>
          <w:szCs w:val="19"/>
          <w:b w:val="1"/>
          <w:bCs w:val="1"/>
          <w:u w:val="single" w:color="auto"/>
          <w:color w:val="auto"/>
        </w:rPr>
        <w:t>NEGATIVE COVENANTS</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Until the Termination Date, Holdings and the Borrower hereby covenant and agree with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Lenders that:</w:t>
      </w:r>
    </w:p>
    <w:p>
      <w:pPr>
        <w:spacing w:after="0" w:line="22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Holdings and the Borrower shall not, and shall not permit any of their respective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Subsidiaries to, create, incur, assume or suffer to exist any Indebtedness, except:</w:t>
      </w:r>
    </w:p>
    <w:p>
      <w:pPr>
        <w:spacing w:after="0" w:line="216" w:lineRule="exact"/>
        <w:rPr>
          <w:sz w:val="20"/>
          <w:szCs w:val="20"/>
          <w:color w:val="auto"/>
        </w:rPr>
      </w:pPr>
    </w:p>
    <w:p>
      <w:pPr>
        <w:ind w:left="1900" w:hanging="623"/>
        <w:spacing w:after="0"/>
        <w:tabs>
          <w:tab w:leader="none" w:pos="19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Indebtedness created pursuant to the Loan Documents;</w:t>
      </w:r>
    </w:p>
    <w:p>
      <w:pPr>
        <w:spacing w:after="0" w:line="205" w:lineRule="exact"/>
        <w:rPr>
          <w:rFonts w:ascii="Arial" w:cs="Arial" w:eastAsia="Arial" w:hAnsi="Arial"/>
          <w:sz w:val="19"/>
          <w:szCs w:val="19"/>
          <w:color w:val="auto"/>
        </w:rPr>
      </w:pPr>
    </w:p>
    <w:p>
      <w:pPr>
        <w:ind w:right="600" w:firstLine="1277"/>
        <w:spacing w:after="0" w:line="237" w:lineRule="auto"/>
        <w:tabs>
          <w:tab w:leader="none" w:pos="210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Indebtedness of the Borrower and its Subsidiaries existing on the Closing Date and set forth on </w:t>
      </w:r>
      <w:r>
        <w:rPr>
          <w:rFonts w:ascii="Arial" w:cs="Arial" w:eastAsia="Arial" w:hAnsi="Arial"/>
          <w:sz w:val="19"/>
          <w:szCs w:val="19"/>
          <w:u w:val="single" w:color="auto"/>
          <w:color w:val="auto"/>
        </w:rPr>
        <w:t>Schedule 7.1(b)</w:t>
      </w:r>
      <w:r>
        <w:rPr>
          <w:rFonts w:ascii="Arial" w:cs="Arial" w:eastAsia="Arial" w:hAnsi="Arial"/>
          <w:sz w:val="19"/>
          <w:szCs w:val="19"/>
          <w:color w:val="auto"/>
        </w:rPr>
        <w:t xml:space="preserve"> attached hereto and Permitted Refinancings thereof;</w:t>
      </w:r>
    </w:p>
    <w:p>
      <w:pPr>
        <w:spacing w:after="0" w:line="270" w:lineRule="exact"/>
        <w:rPr>
          <w:rFonts w:ascii="Arial" w:cs="Arial" w:eastAsia="Arial" w:hAnsi="Arial"/>
          <w:sz w:val="19"/>
          <w:szCs w:val="19"/>
          <w:color w:val="auto"/>
        </w:rPr>
      </w:pPr>
    </w:p>
    <w:p>
      <w:pPr>
        <w:jc w:val="both"/>
        <w:ind w:right="40" w:firstLine="1277"/>
        <w:spacing w:after="0" w:line="222" w:lineRule="auto"/>
        <w:tabs>
          <w:tab w:leader="none" w:pos="21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Indebtedness of the Borrower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prior to or within ninety (90) days after such acquisition or the completion of such construction or improvements), and extensions, renewals or replacements of any such Indebtedness that do not increase the outstanding principal amount thereof (immediately prior to giving effect to such extension, renewal or replacement) or shorten the maturity or the weighted average life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Indebtedness does not exceed $10,000,000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such Indebtedness incurred by any Insurance Subsidiary or Subsidiary of any Insurance Subsidiary shall not exceed $5,000,000 at any time outstanding and (ii) Permitted Refinancings thereof;</w:t>
      </w:r>
    </w:p>
    <w:p>
      <w:pPr>
        <w:spacing w:after="0" w:line="192" w:lineRule="exact"/>
        <w:rPr>
          <w:rFonts w:ascii="Arial" w:cs="Arial" w:eastAsia="Arial" w:hAnsi="Arial"/>
          <w:sz w:val="18"/>
          <w:szCs w:val="18"/>
          <w:color w:val="auto"/>
        </w:rPr>
      </w:pPr>
    </w:p>
    <w:p>
      <w:pPr>
        <w:jc w:val="both"/>
        <w:ind w:right="40" w:firstLine="1277"/>
        <w:spacing w:after="0" w:line="226" w:lineRule="auto"/>
        <w:tabs>
          <w:tab w:leader="none" w:pos="210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Indebtedness of the Borrower owing to Holdings or any Subsidiary and of any Subsidiary owing to Holdings,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Indebtedness that is owed by or to a Subsidiary that is not a Subsidiary Loan Party shall only be permitted to be incurred in accordance with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70" w:lineRule="exact"/>
        <w:rPr>
          <w:rFonts w:ascii="Arial" w:cs="Arial" w:eastAsia="Arial" w:hAnsi="Arial"/>
          <w:sz w:val="19"/>
          <w:szCs w:val="19"/>
          <w:color w:val="auto"/>
        </w:rPr>
      </w:pPr>
    </w:p>
    <w:p>
      <w:pPr>
        <w:jc w:val="both"/>
        <w:ind w:right="40" w:firstLine="1277"/>
        <w:spacing w:after="0" w:line="220" w:lineRule="auto"/>
        <w:tabs>
          <w:tab w:leader="none" w:pos="21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Guarantees by Holdings, the Borrower or any Subsidiary of Indebtedness of Holdings, the Borrower or any other Subsidiary, in each case,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Guarantees by any Loan Party of Indebtedness of any Subsidiary that is not a Subsidiary Loan Party shall only be permitted to be incurred in accordance with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0100"/>
          </w:cols>
          <w:pgMar w:left="1380" w:top="1375" w:right="419" w:bottom="1440" w:gutter="0" w:footer="0" w:header="0"/>
        </w:sectPr>
      </w:pPr>
    </w:p>
    <w:bookmarkStart w:id="130" w:name="page131"/>
    <w:bookmarkEnd w:id="130"/>
    <w:p>
      <w:pPr>
        <w:spacing w:after="0" w:line="167" w:lineRule="exact"/>
        <w:rPr>
          <w:sz w:val="20"/>
          <w:szCs w:val="20"/>
          <w:color w:val="auto"/>
        </w:rPr>
      </w:pPr>
    </w:p>
    <w:p>
      <w:pPr>
        <w:jc w:val="both"/>
        <w:ind w:firstLine="1272"/>
        <w:spacing w:after="0" w:line="221" w:lineRule="auto"/>
        <w:rPr>
          <w:sz w:val="20"/>
          <w:szCs w:val="20"/>
          <w:color w:val="auto"/>
        </w:rPr>
      </w:pPr>
      <w:r>
        <w:rPr>
          <w:rFonts w:ascii="Arial" w:cs="Arial" w:eastAsia="Arial" w:hAnsi="Arial"/>
          <w:sz w:val="18"/>
          <w:szCs w:val="18"/>
          <w:color w:val="auto"/>
        </w:rPr>
        <w:t xml:space="preserve">(f)Subject to the consent of the Required Lenders, Indebtedness that constitutes Pari Lien Debt and any Permitted Refinancing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not be permitted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unless (i) the Required Additional Debt Terms are satisfied and (ii) the Borrower shall give the existing Lenders, on a pro rata basis, the first opportunity to provide any requested additional Pari Lien Debt prior to offering such opportunity to any other Person and, if the existing Lenders have not agreed within fifteen (15) Business Days after receiving such offer in writing to provide such additional Pari Lien Debt, after being offered a bona fide opportunity to do so (or if, after such fifteen (15) Business Day-period, the Borrower declines to accept an offer from the existing Lenders (it being understood that the Borrower may not decline an offer from the existing Lenders if it is on substantially similar terms offered by any other Person)), so long as no Default or Event of Default has occurred or is continuing, the Borrower shall have the sole right to offer such opportunity to any other Person (on terms no less favorable to the Borrower, including, without limitation, the terms of such Pari Lien Debt may not provide such Person with an interest rate or effective yield greater than the existing Loan(s) and such Pari Lien Debt must otherwise satisfy the Required Additional Debt Terms);</w:t>
      </w:r>
    </w:p>
    <w:p>
      <w:pPr>
        <w:spacing w:after="0" w:line="191" w:lineRule="exact"/>
        <w:rPr>
          <w:sz w:val="20"/>
          <w:szCs w:val="20"/>
          <w:color w:val="auto"/>
        </w:rPr>
      </w:pPr>
    </w:p>
    <w:p>
      <w:pPr>
        <w:ind w:left="1900" w:hanging="623"/>
        <w:spacing w:after="0"/>
        <w:tabs>
          <w:tab w:leader="none" w:pos="19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Hedging Obligations permitted by </w:t>
      </w:r>
      <w:r>
        <w:rPr>
          <w:rFonts w:ascii="Arial" w:cs="Arial" w:eastAsia="Arial" w:hAnsi="Arial"/>
          <w:sz w:val="19"/>
          <w:szCs w:val="19"/>
          <w:u w:val="single" w:color="auto"/>
          <w:color w:val="auto"/>
        </w:rPr>
        <w:t>Section 7.10</w:t>
      </w:r>
      <w:r>
        <w:rPr>
          <w:rFonts w:ascii="Arial" w:cs="Arial" w:eastAsia="Arial" w:hAnsi="Arial"/>
          <w:sz w:val="19"/>
          <w:szCs w:val="19"/>
          <w:color w:val="auto"/>
        </w:rPr>
        <w:t>;</w:t>
      </w:r>
    </w:p>
    <w:p>
      <w:pPr>
        <w:spacing w:after="0" w:line="285" w:lineRule="exact"/>
        <w:rPr>
          <w:rFonts w:ascii="Arial" w:cs="Arial" w:eastAsia="Arial" w:hAnsi="Arial"/>
          <w:sz w:val="19"/>
          <w:szCs w:val="19"/>
          <w:color w:val="auto"/>
        </w:rPr>
      </w:pPr>
    </w:p>
    <w:p>
      <w:pPr>
        <w:ind w:left="1900" w:hanging="623"/>
        <w:spacing w:after="0"/>
        <w:tabs>
          <w:tab w:leader="none" w:pos="190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7"/>
        <w:spacing w:after="0" w:line="220" w:lineRule="auto"/>
        <w:tabs>
          <w:tab w:leader="none" w:pos="148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Indebtedness in respect of netting services, automatic clearinghouse arrangements, overdraft protections, treasury, depository, cash management, purchasing card, deposit, lock box, commercial credit card, stored value card, employee credit card program, controlled disbursement, ACH transactions, return items, cash pooling and similar arrangements, in each case, incurred in the ordinary course;</w:t>
      </w:r>
    </w:p>
    <w:p>
      <w:pPr>
        <w:spacing w:after="0" w:line="205" w:lineRule="exact"/>
        <w:rPr>
          <w:rFonts w:ascii="Arial" w:cs="Arial" w:eastAsia="Arial" w:hAnsi="Arial"/>
          <w:sz w:val="19"/>
          <w:szCs w:val="19"/>
          <w:color w:val="auto"/>
        </w:rPr>
      </w:pPr>
    </w:p>
    <w:p>
      <w:pPr>
        <w:ind w:left="1480" w:hanging="203"/>
        <w:spacing w:after="0"/>
        <w:tabs>
          <w:tab w:leader="none" w:pos="14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to the extent constituting Indebtedness, obligations owed by any Subsidiary of Holdings to a Loan Party under</w:t>
      </w:r>
    </w:p>
    <w:p>
      <w:pPr>
        <w:spacing w:after="0" w:line="45" w:lineRule="exact"/>
        <w:rPr>
          <w:rFonts w:ascii="Arial" w:cs="Arial" w:eastAsia="Arial" w:hAnsi="Arial"/>
          <w:sz w:val="17"/>
          <w:szCs w:val="17"/>
          <w:color w:val="auto"/>
        </w:rPr>
      </w:pPr>
    </w:p>
    <w:p>
      <w:pPr>
        <w:jc w:val="both"/>
        <w:ind w:firstLine="5"/>
        <w:spacing w:after="0" w:line="268" w:lineRule="auto"/>
        <w:tabs>
          <w:tab w:leader="none" w:pos="2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RIC Authorized Producer Agreement, (b) the RPC Authorized Producer Agreement, (c) the RLSA Authorized Producer Agreement, (d) the RPC Administrative Services Agreement, (e) the RIC Administrative Services Agreement, (f) the RLSA Administrative Services Agreement, (g) the RRC Services Agreement, (h) the RIC Guaranty, (i) the RLSA Guaranty, (j) the Reinsurance Pooling Agreement, (k) the Multiple Line Quota Share Reinsurance Contract, (l) the Redpoint Automobile Quota Share Reinsurance Contract, (m) the Automobile Quota Share Reinsurance Contract or (n) the Tax Sharing Agreement;</w:t>
      </w:r>
    </w:p>
    <w:p>
      <w:pPr>
        <w:spacing w:after="0" w:line="179" w:lineRule="exact"/>
        <w:rPr>
          <w:rFonts w:ascii="Arial" w:cs="Arial" w:eastAsia="Arial" w:hAnsi="Arial"/>
          <w:sz w:val="18"/>
          <w:szCs w:val="18"/>
          <w:color w:val="auto"/>
        </w:rPr>
      </w:pPr>
    </w:p>
    <w:p>
      <w:pPr>
        <w:jc w:val="both"/>
        <w:ind w:firstLine="1277"/>
        <w:spacing w:after="0" w:line="224" w:lineRule="auto"/>
        <w:tabs>
          <w:tab w:leader="none" w:pos="21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 unsecured Indebtedness of the Loan Parties in an aggregate principal amount not to exceed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unsecured Indebtedness shall not be permitted hereunder unless such Indebtedness (A) is subordinated to the Obligations and all of the terms, conditions and provisions (including, without limitation, the subordination and intercreditor provisions) of the Subordinated Debt Documents are consented and agreed to in writing by each of the Borrower, the Administrative Agent and the Required Lenders (it being understood and agreed that such consent on the part of the Administrative Agent may be conditioned upon, among other things, amendments or other modifications to the terms and provisions of this Agreement and the other Loan Documents) and (B) does not have a scheduled maturity date earlier than one hundred eighty (180) days after the Stated Maturity Date and (ii) Permitted Refinancings thereof;</w:t>
      </w:r>
    </w:p>
    <w:p>
      <w:pPr>
        <w:spacing w:after="0" w:line="190" w:lineRule="exact"/>
        <w:rPr>
          <w:rFonts w:ascii="Arial" w:cs="Arial" w:eastAsia="Arial" w:hAnsi="Arial"/>
          <w:sz w:val="18"/>
          <w:szCs w:val="18"/>
          <w:color w:val="auto"/>
        </w:rPr>
      </w:pPr>
    </w:p>
    <w:p>
      <w:pPr>
        <w:jc w:val="both"/>
        <w:ind w:firstLine="1277"/>
        <w:spacing w:after="0" w:line="226" w:lineRule="auto"/>
        <w:tabs>
          <w:tab w:leader="none" w:pos="148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Indebtedness arising in connection with endorsement of instruments for deposit in the ordinary course of business or arising from the honoring by a bank or other financial institution of a check, draft or other similar instrument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0060"/>
          </w:cols>
          <w:pgMar w:left="1380" w:top="1440" w:right="459" w:bottom="1440" w:gutter="0" w:footer="0" w:header="0"/>
        </w:sectPr>
      </w:pPr>
    </w:p>
    <w:bookmarkStart w:id="131" w:name="page132"/>
    <w:bookmarkEnd w:id="131"/>
    <w:p>
      <w:pPr>
        <w:spacing w:after="0" w:line="180" w:lineRule="exact"/>
        <w:rPr>
          <w:sz w:val="20"/>
          <w:szCs w:val="20"/>
          <w:color w:val="auto"/>
        </w:rPr>
      </w:pPr>
    </w:p>
    <w:p>
      <w:pPr>
        <w:jc w:val="both"/>
        <w:ind w:firstLine="1277"/>
        <w:spacing w:after="0" w:line="263" w:lineRule="auto"/>
        <w:tabs>
          <w:tab w:leader="none" w:pos="21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Indebtedness under performance bonds, surety bonds, release, appeal and similar bonds, statutory obligations or with respect to workers’ compensation claims, in each case, incurred in the ordinary course of business, and reimbursement obligations in respect of any of the foregoing;</w:t>
      </w:r>
    </w:p>
    <w:p>
      <w:pPr>
        <w:spacing w:after="0" w:line="258" w:lineRule="exact"/>
        <w:rPr>
          <w:rFonts w:ascii="Arial" w:cs="Arial" w:eastAsia="Arial" w:hAnsi="Arial"/>
          <w:sz w:val="19"/>
          <w:szCs w:val="19"/>
          <w:color w:val="auto"/>
        </w:rPr>
      </w:pPr>
    </w:p>
    <w:p>
      <w:pPr>
        <w:ind w:left="1900" w:hanging="623"/>
        <w:spacing w:after="0"/>
        <w:tabs>
          <w:tab w:leader="none" w:pos="19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Indebtedness consisting of financing of insurance premiums in the ordinary course</w:t>
      </w:r>
    </w:p>
    <w:p>
      <w:pPr>
        <w:spacing w:after="0"/>
        <w:rPr>
          <w:sz w:val="20"/>
          <w:szCs w:val="20"/>
          <w:color w:val="auto"/>
        </w:rPr>
      </w:pPr>
      <w:r>
        <w:rPr>
          <w:rFonts w:ascii="Arial" w:cs="Arial" w:eastAsia="Arial" w:hAnsi="Arial"/>
          <w:sz w:val="19"/>
          <w:szCs w:val="19"/>
          <w:color w:val="auto"/>
        </w:rPr>
        <w:t>of business;</w:t>
      </w:r>
    </w:p>
    <w:p>
      <w:pPr>
        <w:spacing w:after="0" w:line="282" w:lineRule="exact"/>
        <w:rPr>
          <w:sz w:val="20"/>
          <w:szCs w:val="20"/>
          <w:color w:val="auto"/>
        </w:rPr>
      </w:pPr>
    </w:p>
    <w:p>
      <w:pPr>
        <w:ind w:left="1900" w:hanging="624"/>
        <w:spacing w:after="0"/>
        <w:tabs>
          <w:tab w:leader="none" w:pos="19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customer advances or deposits received in the ordinary course of business;</w:t>
      </w:r>
    </w:p>
    <w:p>
      <w:pPr>
        <w:spacing w:after="0" w:line="205" w:lineRule="exact"/>
        <w:rPr>
          <w:rFonts w:ascii="Arial" w:cs="Arial" w:eastAsia="Arial" w:hAnsi="Arial"/>
          <w:sz w:val="19"/>
          <w:szCs w:val="19"/>
          <w:color w:val="auto"/>
        </w:rPr>
      </w:pPr>
    </w:p>
    <w:p>
      <w:pPr>
        <w:jc w:val="both"/>
        <w:ind w:firstLine="1277"/>
        <w:spacing w:after="0" w:line="215" w:lineRule="auto"/>
        <w:tabs>
          <w:tab w:leader="none" w:pos="210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so long as no Default or Event of Default has occurred or is continuing or would result from the incurrence thereof, other unsecured Indebtedness of the Borrower or its Subsidiaries (excluding each Insurance Subsidiary and each Subsidiary of an Insurance Subsidiary) in an aggregate principal amount not to exceed $25,000,000 at any time outstanding (which may include, for the avoidance of doubt, unsecured Indebtedness consisting of contingent obligations, earnouts, seller notes and other deferred payment obligations incurred in connection with any acquisition or otherwise) and (ii) Permitted Refinancings thereof;</w:t>
      </w:r>
    </w:p>
    <w:p>
      <w:pPr>
        <w:spacing w:after="0" w:line="177" w:lineRule="exact"/>
        <w:rPr>
          <w:rFonts w:ascii="Arial" w:cs="Arial" w:eastAsia="Arial" w:hAnsi="Arial"/>
          <w:sz w:val="19"/>
          <w:szCs w:val="19"/>
          <w:color w:val="auto"/>
        </w:rPr>
      </w:pPr>
    </w:p>
    <w:p>
      <w:pPr>
        <w:ind w:left="1900" w:hanging="624"/>
        <w:spacing w:after="0"/>
        <w:tabs>
          <w:tab w:leader="none" w:pos="19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[reserved]; and</w:t>
      </w:r>
    </w:p>
    <w:p>
      <w:pPr>
        <w:spacing w:after="0" w:line="219" w:lineRule="exact"/>
        <w:rPr>
          <w:sz w:val="20"/>
          <w:szCs w:val="20"/>
          <w:color w:val="auto"/>
        </w:rPr>
      </w:pPr>
    </w:p>
    <w:p>
      <w:pPr>
        <w:jc w:val="both"/>
        <w:ind w:firstLine="1272"/>
        <w:spacing w:after="0" w:line="230" w:lineRule="auto"/>
        <w:rPr>
          <w:sz w:val="20"/>
          <w:szCs w:val="20"/>
          <w:color w:val="auto"/>
        </w:rPr>
      </w:pPr>
      <w:r>
        <w:rPr>
          <w:rFonts w:ascii="Arial" w:cs="Arial" w:eastAsia="Arial" w:hAnsi="Arial"/>
          <w:sz w:val="17"/>
          <w:szCs w:val="17"/>
          <w:color w:val="auto"/>
        </w:rPr>
        <w:t xml:space="preserve">(r)(i) PIK Debt of any Loan Party, (ii) Indebtedness of any Loan Party consisting of a Contingent Line of Credit and (iii) Permitted Convertible Indebtedness of any Loan Party, in a maximum principal amount not to exceed, in the aggregate for all Indebtedness incurred under this </w:t>
      </w:r>
      <w:r>
        <w:rPr>
          <w:rFonts w:ascii="Arial" w:cs="Arial" w:eastAsia="Arial" w:hAnsi="Arial"/>
          <w:sz w:val="17"/>
          <w:szCs w:val="17"/>
          <w:u w:val="single" w:color="auto"/>
          <w:color w:val="auto"/>
        </w:rPr>
        <w:t>Section 7.1(r)</w:t>
      </w:r>
      <w:r>
        <w:rPr>
          <w:rFonts w:ascii="Arial" w:cs="Arial" w:eastAsia="Arial" w:hAnsi="Arial"/>
          <w:sz w:val="17"/>
          <w:szCs w:val="17"/>
          <w:color w:val="auto"/>
        </w:rPr>
        <w:t>, $200,000,000, so long as (A) no Event of Default has occurred and is continuing or would immediately result therefrom and (B) such Indebtedness shall (a) not require any scheduled amortization or otherwise require payment of principal prior to, or have a scheduled maturity date earlier than, one hundred eighty (180) days after the Stated Maturity Date, (b) be unsecured, (c) not be mandatorily prepayable, repurchaseable or redeemable (except for customary asset sale, fundamental change or change of control provisions, provisions requiring Holdings to repurchase or convert all or any portion of such Indebtedness and acceleration rights after an event of default) prior to one hundred eighty</w:t>
      </w:r>
    </w:p>
    <w:p>
      <w:pPr>
        <w:spacing w:after="0" w:line="1" w:lineRule="exact"/>
        <w:rPr>
          <w:sz w:val="20"/>
          <w:szCs w:val="20"/>
          <w:color w:val="auto"/>
        </w:rPr>
      </w:pPr>
    </w:p>
    <w:p>
      <w:pPr>
        <w:ind w:firstLine="5"/>
        <w:spacing w:after="0" w:line="228" w:lineRule="auto"/>
        <w:tabs>
          <w:tab w:leader="none" w:pos="50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days after the Stated Maturity Date and (d) be on terms and conditions customary for Indebtedness of such type, as determined in good faith by the Board of Directors of Holdings or a committee thereof.</w:t>
      </w:r>
    </w:p>
    <w:p>
      <w:pPr>
        <w:spacing w:after="0" w:line="172" w:lineRule="exact"/>
        <w:rPr>
          <w:sz w:val="20"/>
          <w:szCs w:val="20"/>
          <w:color w:val="auto"/>
        </w:rPr>
      </w:pPr>
    </w:p>
    <w:p>
      <w:pPr>
        <w:ind w:firstLine="636"/>
        <w:spacing w:after="0" w:line="268"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Holdings and the Borrower shall not, and shall not permit any of their respective Subsidiaries to, create, incur, assume or suffer to exist any Lien on any of its assets or property now owned or hereafter acquired, except:</w:t>
      </w:r>
    </w:p>
    <w:p>
      <w:pPr>
        <w:spacing w:after="0" w:line="153" w:lineRule="exact"/>
        <w:rPr>
          <w:sz w:val="20"/>
          <w:szCs w:val="20"/>
          <w:color w:val="auto"/>
        </w:rPr>
      </w:pPr>
    </w:p>
    <w:p>
      <w:pPr>
        <w:ind w:left="1900" w:hanging="623"/>
        <w:spacing w:after="0"/>
        <w:tabs>
          <w:tab w:leader="none" w:pos="190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Liens securing the Obligations;</w:t>
      </w:r>
    </w:p>
    <w:p>
      <w:pPr>
        <w:spacing w:after="0" w:line="205" w:lineRule="exact"/>
        <w:rPr>
          <w:rFonts w:ascii="Arial" w:cs="Arial" w:eastAsia="Arial" w:hAnsi="Arial"/>
          <w:sz w:val="19"/>
          <w:szCs w:val="19"/>
          <w:color w:val="auto"/>
        </w:rPr>
      </w:pPr>
    </w:p>
    <w:p>
      <w:pPr>
        <w:ind w:left="1900" w:hanging="623"/>
        <w:spacing w:after="0"/>
        <w:tabs>
          <w:tab w:leader="none" w:pos="190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Permitted Encumbrances and licenses permitted under this Agreement;</w:t>
      </w:r>
    </w:p>
    <w:p>
      <w:pPr>
        <w:spacing w:after="0" w:line="218" w:lineRule="exact"/>
        <w:rPr>
          <w:rFonts w:ascii="Arial" w:cs="Arial" w:eastAsia="Arial" w:hAnsi="Arial"/>
          <w:sz w:val="19"/>
          <w:szCs w:val="19"/>
          <w:color w:val="auto"/>
        </w:rPr>
      </w:pPr>
    </w:p>
    <w:p>
      <w:pPr>
        <w:jc w:val="both"/>
        <w:ind w:firstLine="1277"/>
        <w:spacing w:after="0" w:line="226" w:lineRule="auto"/>
        <w:tabs>
          <w:tab w:leader="none" w:pos="211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Liens on any property or asset of the Borrower or any of its Subsidiaries existing on the Closing Date and set forth on </w:t>
      </w:r>
      <w:r>
        <w:rPr>
          <w:rFonts w:ascii="Arial" w:cs="Arial" w:eastAsia="Arial" w:hAnsi="Arial"/>
          <w:sz w:val="19"/>
          <w:szCs w:val="19"/>
          <w:u w:val="single" w:color="auto"/>
          <w:color w:val="auto"/>
        </w:rPr>
        <w:t>Schedule 7.2(c)</w:t>
      </w:r>
      <w:r>
        <w:rPr>
          <w:rFonts w:ascii="Arial" w:cs="Arial" w:eastAsia="Arial" w:hAnsi="Arial"/>
          <w:sz w:val="19"/>
          <w:szCs w:val="19"/>
          <w:color w:val="auto"/>
        </w:rPr>
        <w:t xml:space="preserve"> attached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shall not apply to any other property or asset of Holdings or any Subsidiary;</w:t>
      </w:r>
    </w:p>
    <w:p>
      <w:pPr>
        <w:spacing w:after="0" w:line="191" w:lineRule="exact"/>
        <w:rPr>
          <w:rFonts w:ascii="Arial" w:cs="Arial" w:eastAsia="Arial" w:hAnsi="Arial"/>
          <w:sz w:val="19"/>
          <w:szCs w:val="19"/>
          <w:color w:val="auto"/>
        </w:rPr>
      </w:pPr>
    </w:p>
    <w:p>
      <w:pPr>
        <w:jc w:val="both"/>
        <w:ind w:firstLine="1277"/>
        <w:spacing w:after="0" w:line="231" w:lineRule="auto"/>
        <w:tabs>
          <w:tab w:leader="none" w:pos="210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secures Indebtedness permitted by </w:t>
      </w:r>
      <w:r>
        <w:rPr>
          <w:rFonts w:ascii="Arial" w:cs="Arial" w:eastAsia="Arial" w:hAnsi="Arial"/>
          <w:sz w:val="17"/>
          <w:szCs w:val="17"/>
          <w:u w:val="single" w:color="auto"/>
          <w:color w:val="auto"/>
        </w:rPr>
        <w:t>Section 7.1(c)</w:t>
      </w:r>
      <w:r>
        <w:rPr>
          <w:rFonts w:ascii="Arial" w:cs="Arial" w:eastAsia="Arial" w:hAnsi="Arial"/>
          <w:sz w:val="17"/>
          <w:szCs w:val="17"/>
          <w:color w:val="auto"/>
        </w:rPr>
        <w:t>, (ii) such Lien attaches to such asset concurrently or within ninety (90) days after the acquisition or the completion of the construction or improvements thereof,</w:t>
      </w:r>
    </w:p>
    <w:p>
      <w:pPr>
        <w:spacing w:after="0" w:line="2" w:lineRule="exact"/>
        <w:rPr>
          <w:rFonts w:ascii="Arial" w:cs="Arial" w:eastAsia="Arial" w:hAnsi="Arial"/>
          <w:sz w:val="17"/>
          <w:szCs w:val="17"/>
          <w:color w:val="auto"/>
        </w:rPr>
      </w:pPr>
    </w:p>
    <w:p>
      <w:pPr>
        <w:jc w:val="both"/>
        <w:ind w:firstLine="5"/>
        <w:spacing w:after="0" w:line="232" w:lineRule="auto"/>
        <w:tabs>
          <w:tab w:leader="none" w:pos="34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Lien does not extend to any other asset other than accessions to such asset and reasonable extensions of such asset (and provided that such obligations owed to a single lender may be cross-collateralized) and (iv) the Indebtedness secured thereby does not exceed the cost of acquiring, constructing or improving such fixed or capital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0060"/>
          </w:cols>
          <w:pgMar w:left="1380" w:top="1440" w:right="459" w:bottom="1440" w:gutter="0" w:footer="0" w:header="0"/>
        </w:sectPr>
      </w:pPr>
    </w:p>
    <w:bookmarkStart w:id="132" w:name="page133"/>
    <w:bookmarkEnd w:id="132"/>
    <w:p>
      <w:pPr>
        <w:jc w:val="both"/>
        <w:ind w:firstLine="1277"/>
        <w:spacing w:after="0" w:line="234" w:lineRule="auto"/>
        <w:tabs>
          <w:tab w:leader="none" w:pos="211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any Lien (x) existing on any asset of any Person at the time such Person becomes a Subsidiary of the Borrower, (y) existing on any asset of any Person at the time such Person is merged with or into the Borrower or any of its Subsidiaries or (z) existing on any asset prior to the acquisition thereof by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jc w:val="both"/>
        <w:ind w:firstLine="5"/>
        <w:spacing w:after="0" w:line="227" w:lineRule="auto"/>
        <w:tabs>
          <w:tab w:leader="none" w:pos="2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such Lien was not created in the contemplation of any of the foregoing, (ii) any such Lien secures only those obligations which it secures on the date that such Person becomes a Subsidiary or the date of such merger or the date of such acquisition, and</w:t>
      </w:r>
    </w:p>
    <w:p>
      <w:pPr>
        <w:spacing w:after="0" w:line="1" w:lineRule="exact"/>
        <w:rPr>
          <w:rFonts w:ascii="Arial" w:cs="Arial" w:eastAsia="Arial" w:hAnsi="Arial"/>
          <w:sz w:val="17"/>
          <w:szCs w:val="17"/>
          <w:color w:val="auto"/>
        </w:rPr>
      </w:pPr>
    </w:p>
    <w:p>
      <w:pPr>
        <w:ind w:left="340" w:hanging="335"/>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such Lien shall secure any Indebtedness of the type described in clauses (i), (ii) or (v) of the definition of Indebtedness;</w:t>
      </w:r>
    </w:p>
    <w:p>
      <w:pPr>
        <w:spacing w:after="0" w:line="214" w:lineRule="exact"/>
        <w:rPr>
          <w:sz w:val="20"/>
          <w:szCs w:val="20"/>
          <w:color w:val="auto"/>
        </w:rPr>
      </w:pPr>
    </w:p>
    <w:p>
      <w:pPr>
        <w:ind w:firstLine="1272"/>
        <w:spacing w:after="0" w:line="261" w:lineRule="auto"/>
        <w:rPr>
          <w:sz w:val="20"/>
          <w:szCs w:val="20"/>
          <w:color w:val="auto"/>
        </w:rPr>
      </w:pPr>
      <w:r>
        <w:rPr>
          <w:rFonts w:ascii="Arial" w:cs="Arial" w:eastAsia="Arial" w:hAnsi="Arial"/>
          <w:sz w:val="18"/>
          <w:szCs w:val="18"/>
          <w:color w:val="auto"/>
        </w:rPr>
        <w:t>(f)Liens on assets of any Insurance Subsidiary securing obligations under transactions entered into in connection with Investments permitted by the terms hereof in an aggregate amount not to exceed, at any time, $20,000,000;</w:t>
      </w:r>
    </w:p>
    <w:p>
      <w:pPr>
        <w:spacing w:after="0" w:line="159" w:lineRule="exact"/>
        <w:rPr>
          <w:sz w:val="20"/>
          <w:szCs w:val="20"/>
          <w:color w:val="auto"/>
        </w:rPr>
      </w:pPr>
    </w:p>
    <w:p>
      <w:pPr>
        <w:ind w:firstLine="1277"/>
        <w:spacing w:after="0" w:line="237" w:lineRule="auto"/>
        <w:tabs>
          <w:tab w:leader="none" w:pos="210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Liens consisting of deposit of cash or other assets of any Insurance Subsidiary and any Subsidiary of an Insurance Subsidiary as required by any Governmental Authority;</w:t>
      </w:r>
    </w:p>
    <w:p>
      <w:pPr>
        <w:spacing w:after="0" w:line="174" w:lineRule="exact"/>
        <w:rPr>
          <w:rFonts w:ascii="Arial" w:cs="Arial" w:eastAsia="Arial" w:hAnsi="Arial"/>
          <w:sz w:val="19"/>
          <w:szCs w:val="19"/>
          <w:color w:val="auto"/>
        </w:rPr>
      </w:pPr>
    </w:p>
    <w:p>
      <w:pPr>
        <w:ind w:left="2120" w:hanging="843"/>
        <w:spacing w:after="0"/>
        <w:tabs>
          <w:tab w:leader="none" w:pos="21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Liens securing other obligations in an aggregate amount not to exceed $8,000,000 at any time</w:t>
      </w:r>
    </w:p>
    <w:p>
      <w:pPr>
        <w:spacing w:after="0"/>
        <w:rPr>
          <w:rFonts w:ascii="Arial" w:cs="Arial" w:eastAsia="Arial" w:hAnsi="Arial"/>
          <w:sz w:val="19"/>
          <w:szCs w:val="19"/>
          <w:color w:val="auto"/>
        </w:rPr>
      </w:pPr>
      <w:r>
        <w:rPr>
          <w:rFonts w:ascii="Arial" w:cs="Arial" w:eastAsia="Arial" w:hAnsi="Arial"/>
          <w:sz w:val="19"/>
          <w:szCs w:val="19"/>
          <w:color w:val="auto"/>
        </w:rPr>
        <w:t>outstanding;</w:t>
      </w:r>
    </w:p>
    <w:p>
      <w:pPr>
        <w:spacing w:after="0" w:line="202" w:lineRule="exact"/>
        <w:rPr>
          <w:rFonts w:ascii="Arial" w:cs="Arial" w:eastAsia="Arial" w:hAnsi="Arial"/>
          <w:sz w:val="19"/>
          <w:szCs w:val="19"/>
          <w:color w:val="auto"/>
        </w:rPr>
      </w:pPr>
    </w:p>
    <w:p>
      <w:pPr>
        <w:ind w:left="1480" w:hanging="203"/>
        <w:spacing w:after="0"/>
        <w:tabs>
          <w:tab w:leader="none" w:pos="14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Liens securing any Pari Lien Debt so long as such Liens are governed by, and subject to, the Pari Lien Debt</w:t>
      </w:r>
    </w:p>
    <w:p>
      <w:pPr>
        <w:spacing w:after="0" w:line="4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Documents; and</w:t>
      </w:r>
    </w:p>
    <w:p>
      <w:pPr>
        <w:spacing w:after="0" w:line="216" w:lineRule="exact"/>
        <w:rPr>
          <w:rFonts w:ascii="Arial" w:cs="Arial" w:eastAsia="Arial" w:hAnsi="Arial"/>
          <w:sz w:val="17"/>
          <w:szCs w:val="17"/>
          <w:color w:val="auto"/>
        </w:rPr>
      </w:pPr>
    </w:p>
    <w:p>
      <w:pPr>
        <w:jc w:val="both"/>
        <w:ind w:firstLine="1277"/>
        <w:spacing w:after="0" w:line="226" w:lineRule="auto"/>
        <w:tabs>
          <w:tab w:leader="none" w:pos="148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extensions, renewals, or replacements of any Lien referred to in </w:t>
      </w:r>
      <w:r>
        <w:rPr>
          <w:rFonts w:ascii="Arial" w:cs="Arial" w:eastAsia="Arial" w:hAnsi="Arial"/>
          <w:sz w:val="19"/>
          <w:szCs w:val="19"/>
          <w:u w:val="single" w:color="auto"/>
          <w:color w:val="auto"/>
        </w:rPr>
        <w:t>subsections (b)</w:t>
      </w:r>
      <w:r>
        <w:rPr>
          <w:rFonts w:ascii="Arial" w:cs="Arial" w:eastAsia="Arial" w:hAnsi="Arial"/>
          <w:sz w:val="19"/>
          <w:szCs w:val="19"/>
          <w:color w:val="auto"/>
        </w:rPr>
        <w:t xml:space="preserve"> through (i)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principal amount of the Indebtedness secured thereby is not increased and that any such extension, renewal or replacement is limited to the assets originally encumbered thereby.</w:t>
      </w:r>
    </w:p>
    <w:p>
      <w:pPr>
        <w:spacing w:after="0" w:line="172"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7.3.</w:t>
      </w:r>
      <w:r>
        <w:rPr>
          <w:sz w:val="20"/>
          <w:szCs w:val="20"/>
          <w:color w:val="auto"/>
        </w:rPr>
        <w:tab/>
      </w:r>
      <w:r>
        <w:rPr>
          <w:rFonts w:ascii="Arial" w:cs="Arial" w:eastAsia="Arial" w:hAnsi="Arial"/>
          <w:sz w:val="17"/>
          <w:szCs w:val="17"/>
          <w:b w:val="1"/>
          <w:bCs w:val="1"/>
          <w:u w:val="single" w:color="auto"/>
          <w:color w:val="auto"/>
        </w:rPr>
        <w:t>Fundamental Changes</w:t>
      </w:r>
      <w:r>
        <w:rPr>
          <w:rFonts w:ascii="Arial" w:cs="Arial" w:eastAsia="Arial" w:hAnsi="Arial"/>
          <w:sz w:val="17"/>
          <w:szCs w:val="17"/>
          <w:color w:val="auto"/>
        </w:rPr>
        <w:t>.</w:t>
      </w:r>
    </w:p>
    <w:p>
      <w:pPr>
        <w:spacing w:after="0" w:line="304" w:lineRule="exact"/>
        <w:rPr>
          <w:sz w:val="20"/>
          <w:szCs w:val="20"/>
          <w:color w:val="auto"/>
        </w:rPr>
      </w:pPr>
    </w:p>
    <w:p>
      <w:pPr>
        <w:jc w:val="both"/>
        <w:ind w:firstLine="1278"/>
        <w:spacing w:after="0" w:line="219" w:lineRule="auto"/>
        <w:tabs>
          <w:tab w:leader="none" w:pos="21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Holdings and the Borrower shall not, and shall not permit any of their respective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Capital Stock of any of its Subsidiaries (in each case, whether now owned or hereafter acquired) or liquidate or dissolve;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thereof, and immediately after giving effect thereto, no Default or Event of Default shall have occurred and be continuing, (i) the Borrower or any Subsidiary may merge with a Person if the Borrower (or such Subsidiary if the Borrower is not a party to such merger) is the surviving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Subsidiary Loan Party shall be the surviving Person in a merger between a Subsidiary Loan Party and a Subsidiary that is not a Subsidiary Loan Party, (ii) any Subsidiary may merge into another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party to such merger is a Subsidiary Loan Party, the Subsidiary Loan Party shall be the surviving Person, (iii) any Subsidiary may sell, transfer, lease, dissolve into or otherwise dispose of all or substantially all of its assets to the Borrower or to a Subsidiary Loan Party and (iv) any Subsidiary (other than a Subsidiary Loan Party) may liquidate or dissolve if the Borrower determines in good faith that such liquidation or dissolution is in the best interests of the Borrower and is not materially disadvantageous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merger involving a Person that is not a wholly owned Subsidiary immediately prior to such merger shall not be permitted unless also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0060"/>
          </w:cols>
          <w:pgMar w:left="1380" w:top="1302" w:right="459" w:bottom="1440" w:gutter="0" w:footer="0" w:header="0"/>
        </w:sectPr>
      </w:pPr>
    </w:p>
    <w:bookmarkStart w:id="133" w:name="page134"/>
    <w:bookmarkEnd w:id="133"/>
    <w:p>
      <w:pPr>
        <w:spacing w:after="0" w:line="180" w:lineRule="exact"/>
        <w:rPr>
          <w:sz w:val="20"/>
          <w:szCs w:val="20"/>
          <w:color w:val="auto"/>
        </w:rPr>
      </w:pPr>
    </w:p>
    <w:p>
      <w:pPr>
        <w:jc w:val="both"/>
        <w:ind w:firstLine="1277"/>
        <w:spacing w:after="0" w:line="263" w:lineRule="auto"/>
        <w:tabs>
          <w:tab w:leader="none" w:pos="2108"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Borrower shall not, and shall not permit any of its Subsidiaries to, engage in any business other than businesses of the type conducted by the Borrower and its Subsidiaries on the Closing Date and businesses reasonably related or ancillary thereto and reasonable extensions thereof.</w:t>
      </w:r>
    </w:p>
    <w:p>
      <w:pPr>
        <w:spacing w:after="0" w:line="190"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b w:val="1"/>
          <w:bCs w:val="1"/>
          <w:u w:val="single" w:color="auto"/>
          <w:color w:val="auto"/>
        </w:rPr>
        <w:t>Investments, Loans</w:t>
      </w:r>
      <w:r>
        <w:rPr>
          <w:rFonts w:ascii="Arial" w:cs="Arial" w:eastAsia="Arial" w:hAnsi="Arial"/>
          <w:sz w:val="18"/>
          <w:szCs w:val="18"/>
          <w:color w:val="auto"/>
        </w:rPr>
        <w:t>. Holdings and the Borrower shall not, and shall not permit any of their respective Subsidiaries to, directly or indirectly, purchase or acquire (including pursuant to any merger with any Person or entity) any Capital Stock, loan or other securities (including any option, warrant, or other right to acquire any of the foregoing) of, make or permit to exist any loans or advances to, Guarantee any obligations of, or make or permit to exist any investment or any other interest in or make any other investment in (including capital contributions in or to), any other Person, or purchase or otherwise acquire (in one transaction or a series of transactions) all or substantially all of the assets of a Person, or any assets of any other Person that constitute a business unit or division of any other Person, or create or form any Subsidiary, or enter into any other arrangement pursuant to which any Loan Party conveys, sells, leases, assigns, transfers or otherwise disposes of any of its assets, business or property to any Subsidiary that is not a Loan Party (all of the foregoing being collectively called “</w:t>
      </w:r>
      <w:r>
        <w:rPr>
          <w:rFonts w:ascii="Arial" w:cs="Arial" w:eastAsia="Arial" w:hAnsi="Arial"/>
          <w:sz w:val="18"/>
          <w:szCs w:val="18"/>
          <w:u w:val="single" w:color="auto"/>
          <w:color w:val="auto"/>
        </w:rPr>
        <w:t>Investments</w:t>
      </w:r>
      <w:r>
        <w:rPr>
          <w:rFonts w:ascii="Arial" w:cs="Arial" w:eastAsia="Arial" w:hAnsi="Arial"/>
          <w:sz w:val="18"/>
          <w:szCs w:val="18"/>
          <w:color w:val="auto"/>
        </w:rPr>
        <w:t>”) (provided that, for the avoidance of doubt, in no event shall guarantees of risk based capital that are customary in the insurance business be deemed to be “Investments”), except:</w:t>
      </w:r>
    </w:p>
    <w:p>
      <w:pPr>
        <w:spacing w:after="0" w:line="179" w:lineRule="exact"/>
        <w:rPr>
          <w:sz w:val="20"/>
          <w:szCs w:val="20"/>
          <w:color w:val="auto"/>
        </w:rPr>
      </w:pPr>
    </w:p>
    <w:p>
      <w:pPr>
        <w:ind w:firstLine="1277"/>
        <w:spacing w:after="0" w:line="237" w:lineRule="auto"/>
        <w:tabs>
          <w:tab w:leader="none" w:pos="211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Investments (other than Permitted Investments) existing on the Closing Date and set forth on </w:t>
      </w:r>
      <w:r>
        <w:rPr>
          <w:rFonts w:ascii="Arial" w:cs="Arial" w:eastAsia="Arial" w:hAnsi="Arial"/>
          <w:sz w:val="19"/>
          <w:szCs w:val="19"/>
          <w:u w:val="single" w:color="auto"/>
          <w:color w:val="auto"/>
        </w:rPr>
        <w:t>Schedule 7.4(a)</w:t>
      </w:r>
      <w:r>
        <w:rPr>
          <w:rFonts w:ascii="Arial" w:cs="Arial" w:eastAsia="Arial" w:hAnsi="Arial"/>
          <w:sz w:val="19"/>
          <w:szCs w:val="19"/>
          <w:color w:val="auto"/>
        </w:rPr>
        <w:t xml:space="preserve"> attached hereto (including, without limitation, Investments in Subsidiaries);</w:t>
      </w:r>
    </w:p>
    <w:p>
      <w:pPr>
        <w:spacing w:after="0" w:line="257" w:lineRule="exact"/>
        <w:rPr>
          <w:rFonts w:ascii="Arial" w:cs="Arial" w:eastAsia="Arial" w:hAnsi="Arial"/>
          <w:sz w:val="19"/>
          <w:szCs w:val="19"/>
          <w:color w:val="auto"/>
        </w:rPr>
      </w:pPr>
    </w:p>
    <w:p>
      <w:pPr>
        <w:ind w:left="1900" w:hanging="623"/>
        <w:spacing w:after="0"/>
        <w:tabs>
          <w:tab w:leader="none" w:pos="19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Permitted Investments;</w:t>
      </w:r>
    </w:p>
    <w:p>
      <w:pPr>
        <w:spacing w:after="0" w:line="218" w:lineRule="exact"/>
        <w:rPr>
          <w:rFonts w:ascii="Arial" w:cs="Arial" w:eastAsia="Arial" w:hAnsi="Arial"/>
          <w:sz w:val="19"/>
          <w:szCs w:val="19"/>
          <w:color w:val="auto"/>
        </w:rPr>
      </w:pPr>
    </w:p>
    <w:p>
      <w:pPr>
        <w:jc w:val="both"/>
        <w:ind w:firstLine="1277"/>
        <w:spacing w:after="0" w:line="263" w:lineRule="auto"/>
        <w:tabs>
          <w:tab w:leader="none" w:pos="2109" w:val="left"/>
        </w:tabs>
        <w:numPr>
          <w:ilvl w:val="1"/>
          <w:numId w:val="131"/>
        </w:numPr>
        <w:rPr>
          <w:rFonts w:ascii="Arial" w:cs="Arial" w:eastAsia="Arial" w:hAnsi="Arial"/>
          <w:sz w:val="19"/>
          <w:szCs w:val="19"/>
          <w:color w:val="auto"/>
        </w:rPr>
      </w:pPr>
      <w:r>
        <w:rPr>
          <w:rFonts w:ascii="Arial" w:cs="Arial" w:eastAsia="Arial" w:hAnsi="Arial"/>
          <w:sz w:val="19"/>
          <w:szCs w:val="19"/>
          <w:color w:val="auto"/>
        </w:rPr>
        <w:t>Guarantees by Holdings of any Indebtedness of the Borrower or guarantees by Holdings or the Borrower of any Indebtedness of any Subsidiary Loan Party or guarantees by any Subsidiary Loan Party of any Indebtedness of the Borrower or any other Subsidiary Loan Party;</w:t>
      </w:r>
    </w:p>
    <w:p>
      <w:pPr>
        <w:spacing w:after="0" w:line="195" w:lineRule="exact"/>
        <w:rPr>
          <w:rFonts w:ascii="Arial" w:cs="Arial" w:eastAsia="Arial" w:hAnsi="Arial"/>
          <w:sz w:val="19"/>
          <w:szCs w:val="19"/>
          <w:color w:val="auto"/>
        </w:rPr>
      </w:pPr>
    </w:p>
    <w:p>
      <w:pPr>
        <w:ind w:firstLine="1277"/>
        <w:spacing w:after="0" w:line="307" w:lineRule="auto"/>
        <w:tabs>
          <w:tab w:leader="none" w:pos="21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Investments made by Holdings in or to the Borrower or by Holdings or the Borrower in or to any Subsidiary Loan Party and by any Subsidiary Loan Party in or to the Borrower or in or to another Subsidiary Loan Party;</w:t>
      </w:r>
    </w:p>
    <w:p>
      <w:pPr>
        <w:spacing w:after="0" w:line="159" w:lineRule="exact"/>
        <w:rPr>
          <w:rFonts w:ascii="Arial" w:cs="Arial" w:eastAsia="Arial" w:hAnsi="Arial"/>
          <w:sz w:val="18"/>
          <w:szCs w:val="18"/>
          <w:color w:val="auto"/>
        </w:rPr>
      </w:pPr>
    </w:p>
    <w:p>
      <w:pPr>
        <w:ind w:left="1900" w:hanging="623"/>
        <w:spacing w:after="0"/>
        <w:tabs>
          <w:tab w:leader="none" w:pos="19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[reserved];</w:t>
      </w:r>
    </w:p>
    <w:p>
      <w:pPr>
        <w:spacing w:after="0" w:line="205" w:lineRule="exact"/>
        <w:rPr>
          <w:rFonts w:ascii="Arial" w:cs="Arial" w:eastAsia="Arial" w:hAnsi="Arial"/>
          <w:sz w:val="19"/>
          <w:szCs w:val="19"/>
          <w:color w:val="auto"/>
        </w:rPr>
      </w:pPr>
    </w:p>
    <w:p>
      <w:pPr>
        <w:ind w:left="1900" w:hanging="623"/>
        <w:spacing w:after="0"/>
        <w:tabs>
          <w:tab w:leader="none" w:pos="19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Hedging Transactions permitted by </w:t>
      </w:r>
      <w:r>
        <w:rPr>
          <w:rFonts w:ascii="Arial" w:cs="Arial" w:eastAsia="Arial" w:hAnsi="Arial"/>
          <w:sz w:val="19"/>
          <w:szCs w:val="19"/>
          <w:u w:val="single" w:color="auto"/>
          <w:color w:val="auto"/>
        </w:rPr>
        <w:t>Section 7.10</w:t>
      </w:r>
      <w:r>
        <w:rPr>
          <w:rFonts w:ascii="Arial" w:cs="Arial" w:eastAsia="Arial" w:hAnsi="Arial"/>
          <w:sz w:val="19"/>
          <w:szCs w:val="19"/>
          <w:color w:val="auto"/>
        </w:rPr>
        <w:t>;</w:t>
      </w:r>
    </w:p>
    <w:p>
      <w:pPr>
        <w:spacing w:after="0" w:line="294" w:lineRule="exact"/>
        <w:rPr>
          <w:rFonts w:ascii="Arial" w:cs="Arial" w:eastAsia="Arial" w:hAnsi="Arial"/>
          <w:sz w:val="19"/>
          <w:szCs w:val="19"/>
          <w:color w:val="auto"/>
        </w:rPr>
      </w:pPr>
    </w:p>
    <w:p>
      <w:pPr>
        <w:ind w:left="1900" w:hanging="623"/>
        <w:spacing w:after="0"/>
        <w:tabs>
          <w:tab w:leader="none" w:pos="19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Investments made by any Loan Party in any U.S. Insurance Subsidiary so long as</w:t>
      </w:r>
    </w:p>
    <w:p>
      <w:pPr>
        <w:jc w:val="both"/>
        <w:ind w:firstLine="5"/>
        <w:spacing w:after="0" w:line="216" w:lineRule="auto"/>
        <w:tabs>
          <w:tab w:leader="none" w:pos="23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no Default or Event of Default has occurred and is continuing or would result therefrom and (ii) the Borrower is in pro forma compliance with each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at the time of, and immediately after giving effect to, such Investment, in each case, calculated on a pro forma basis as of the most recently ended Fiscal Month-end, in the case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6.4</w:t>
      </w:r>
      <w:r>
        <w:rPr>
          <w:rFonts w:ascii="Arial" w:cs="Arial" w:eastAsia="Arial" w:hAnsi="Arial"/>
          <w:sz w:val="19"/>
          <w:szCs w:val="19"/>
          <w:color w:val="auto"/>
        </w:rPr>
        <w:t xml:space="preserve">, and Fiscal Quarter-end, in the case of </w:t>
      </w:r>
      <w:r>
        <w:rPr>
          <w:rFonts w:ascii="Arial" w:cs="Arial" w:eastAsia="Arial" w:hAnsi="Arial"/>
          <w:sz w:val="19"/>
          <w:szCs w:val="19"/>
          <w:u w:val="single" w:color="auto"/>
          <w:color w:val="auto"/>
        </w:rPr>
        <w:t>Section 6.5</w:t>
      </w:r>
      <w:r>
        <w:rPr>
          <w:rFonts w:ascii="Arial" w:cs="Arial" w:eastAsia="Arial" w:hAnsi="Arial"/>
          <w:sz w:val="19"/>
          <w:szCs w:val="19"/>
          <w:color w:val="auto"/>
        </w:rPr>
        <w:t>, as applicable;</w:t>
      </w:r>
    </w:p>
    <w:p>
      <w:pPr>
        <w:spacing w:after="0" w:line="257" w:lineRule="exact"/>
        <w:rPr>
          <w:rFonts w:ascii="Arial" w:cs="Arial" w:eastAsia="Arial" w:hAnsi="Arial"/>
          <w:sz w:val="19"/>
          <w:szCs w:val="19"/>
          <w:color w:val="auto"/>
        </w:rPr>
      </w:pPr>
    </w:p>
    <w:p>
      <w:pPr>
        <w:ind w:left="1900" w:hanging="623"/>
        <w:spacing w:after="0"/>
        <w:tabs>
          <w:tab w:leader="none" w:pos="19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7"/>
        <w:spacing w:after="0" w:line="234" w:lineRule="auto"/>
        <w:tabs>
          <w:tab w:leader="none" w:pos="148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Investments consisting of (i) pledges, advance deposits and prepaid expenses or royalties and (ii) extensions of credit to the customers of the Borrower or of any of its Subsidiaries in the nature of accounts receivable, prepaid royalties or notes receivable, arising from the grant of trade credit or business of the Borrower or such Subsidiary, in each case, in this </w:t>
      </w:r>
      <w:r>
        <w:rPr>
          <w:rFonts w:ascii="Arial" w:cs="Arial" w:eastAsia="Arial" w:hAnsi="Arial"/>
          <w:sz w:val="17"/>
          <w:szCs w:val="17"/>
          <w:u w:val="single" w:color="auto"/>
          <w:color w:val="auto"/>
        </w:rPr>
        <w:t>clause</w:t>
      </w:r>
    </w:p>
    <w:p>
      <w:pPr>
        <w:spacing w:after="0"/>
        <w:rPr>
          <w:rFonts w:ascii="Arial" w:cs="Arial" w:eastAsia="Arial" w:hAnsi="Arial"/>
          <w:sz w:val="17"/>
          <w:szCs w:val="17"/>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78</w:t>
      </w:r>
    </w:p>
    <w:p>
      <w:pPr>
        <w:sectPr>
          <w:pgSz w:w="11900" w:h="16838" w:orient="portrait"/>
          <w:cols w:equalWidth="0" w:num="1">
            <w:col w:w="10060"/>
          </w:cols>
          <w:pgMar w:left="1380" w:top="1440" w:right="459" w:bottom="1440" w:gutter="0" w:footer="0" w:header="0"/>
        </w:sectPr>
      </w:pPr>
    </w:p>
    <w:bookmarkStart w:id="134" w:name="page135"/>
    <w:bookmarkEnd w:id="134"/>
    <w:p>
      <w:pPr>
        <w:spacing w:after="0" w:line="180" w:lineRule="exact"/>
        <w:rPr>
          <w:sz w:val="20"/>
          <w:szCs w:val="20"/>
          <w:color w:val="auto"/>
        </w:rPr>
      </w:pPr>
    </w:p>
    <w:p>
      <w:pPr>
        <w:jc w:val="both"/>
        <w:ind w:firstLine="1277"/>
        <w:spacing w:after="0" w:line="263" w:lineRule="auto"/>
        <w:tabs>
          <w:tab w:leader="none" w:pos="148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Investments consisting of the endorsement of negotiable instruments for deposit or collection or similar transactions (including, without limitation, lease, utility, workers’ compensation and other similar deposits) in the ordinary course of business;</w:t>
      </w:r>
    </w:p>
    <w:p>
      <w:pPr>
        <w:spacing w:after="0" w:line="195" w:lineRule="exact"/>
        <w:rPr>
          <w:rFonts w:ascii="Arial" w:cs="Arial" w:eastAsia="Arial" w:hAnsi="Arial"/>
          <w:sz w:val="19"/>
          <w:szCs w:val="19"/>
          <w:color w:val="auto"/>
        </w:rPr>
      </w:pPr>
    </w:p>
    <w:p>
      <w:pPr>
        <w:jc w:val="both"/>
        <w:ind w:firstLine="1278"/>
        <w:spacing w:after="0" w:line="226" w:lineRule="auto"/>
        <w:tabs>
          <w:tab w:leader="none" w:pos="210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91" w:lineRule="exact"/>
        <w:rPr>
          <w:rFonts w:ascii="Arial" w:cs="Arial" w:eastAsia="Arial" w:hAnsi="Arial"/>
          <w:sz w:val="19"/>
          <w:szCs w:val="19"/>
          <w:color w:val="auto"/>
        </w:rPr>
      </w:pPr>
    </w:p>
    <w:p>
      <w:pPr>
        <w:ind w:firstLine="1278"/>
        <w:spacing w:after="0" w:line="278" w:lineRule="auto"/>
        <w:tabs>
          <w:tab w:leader="none" w:pos="148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Advances, or indebtedness arising from cash management, tax and/or accounting operations made in the ordinary course of business;</w:t>
      </w:r>
    </w:p>
    <w:p>
      <w:pPr>
        <w:spacing w:after="0" w:line="169" w:lineRule="exact"/>
        <w:rPr>
          <w:rFonts w:ascii="Arial" w:cs="Arial" w:eastAsia="Arial" w:hAnsi="Arial"/>
          <w:sz w:val="19"/>
          <w:szCs w:val="19"/>
          <w:color w:val="auto"/>
        </w:rPr>
      </w:pPr>
    </w:p>
    <w:p>
      <w:pPr>
        <w:ind w:left="1900" w:hanging="623"/>
        <w:spacing w:after="0"/>
        <w:tabs>
          <w:tab w:leader="none" w:pos="19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7"/>
        <w:spacing w:after="0" w:line="215" w:lineRule="auto"/>
        <w:tabs>
          <w:tab w:leader="none" w:pos="210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other Investments made by a Loan Party to RRC so long as (i) no Default or Event of Default has occurred and is continuing or would result therefrom and (ii) the Borrower is in pro forma compliance with each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at the time of, and immediately after giving effect to, such Investment, in each case, calculated on a pro forma basis as of the most recently ended Fiscal Month-end, in the case of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Fiscal Quarter-end, in the case of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that the aggregate amount of all such Investments shall not exceed $150,000,000 at any time outstanding;</w:t>
      </w:r>
    </w:p>
    <w:p>
      <w:pPr>
        <w:spacing w:after="0" w:line="177" w:lineRule="exact"/>
        <w:rPr>
          <w:rFonts w:ascii="Arial" w:cs="Arial" w:eastAsia="Arial" w:hAnsi="Arial"/>
          <w:sz w:val="19"/>
          <w:szCs w:val="19"/>
          <w:color w:val="auto"/>
        </w:rPr>
      </w:pPr>
    </w:p>
    <w:p>
      <w:pPr>
        <w:ind w:left="1900" w:hanging="623"/>
        <w:spacing w:after="0"/>
        <w:tabs>
          <w:tab w:leader="none" w:pos="19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ind w:firstLine="1277"/>
        <w:spacing w:after="0" w:line="307" w:lineRule="auto"/>
        <w:tabs>
          <w:tab w:leader="none" w:pos="210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or is continuing or would result from the making thereof, other Investments which in the aggregate do not exceed $50,000,000 during the term of this Agreement;</w:t>
      </w:r>
    </w:p>
    <w:p>
      <w:pPr>
        <w:spacing w:after="0" w:line="159" w:lineRule="exact"/>
        <w:rPr>
          <w:rFonts w:ascii="Arial" w:cs="Arial" w:eastAsia="Arial" w:hAnsi="Arial"/>
          <w:sz w:val="18"/>
          <w:szCs w:val="18"/>
          <w:color w:val="auto"/>
        </w:rPr>
      </w:pPr>
    </w:p>
    <w:p>
      <w:pPr>
        <w:jc w:val="both"/>
        <w:ind w:firstLine="1277"/>
        <w:spacing w:after="0" w:line="235" w:lineRule="auto"/>
        <w:tabs>
          <w:tab w:leader="none" w:pos="210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other Investments to purchase or acquire the Capital Stock of any Insurance Subsidiary, in each case, solely to the extent made substantially concurrently with, and from, the net proceeds actually received by Holdings from any capital contributions to, or the sale or issuance of Qualified Capital Stock of Holdings (other than (A) Disqualified Capital Stock and (B) Capital Stock issued or sold to a Subsidiary or an employee stock ownership plan or similar trust to the extent such sale to an employee stock ownership plan or similar trust is financed by loans from, or Guaranteed by, the Borrower or any Subsidiary, unless such loans have been repaid with cash on or prior to the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Investment shall only be permitted to the extent that (i) no Default or Event of Default has occurred and is continuing or would result therefrom and (ii) the Borrower is in pro forma compliance with each of the financial covenants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at the time of and immediately after giving effect to such Investment, in each case, calculated on a pro forma basis as of the most recently ended Fiscal Month-end, in the case of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Fiscal Quarter-end, in the case of </w:t>
      </w:r>
      <w:r>
        <w:rPr>
          <w:rFonts w:ascii="Arial" w:cs="Arial" w:eastAsia="Arial" w:hAnsi="Arial"/>
          <w:sz w:val="17"/>
          <w:szCs w:val="17"/>
          <w:u w:val="single" w:color="auto"/>
          <w:color w:val="auto"/>
        </w:rPr>
        <w:t>Section 6.5</w:t>
      </w:r>
      <w:r>
        <w:rPr>
          <w:rFonts w:ascii="Arial" w:cs="Arial" w:eastAsia="Arial" w:hAnsi="Arial"/>
          <w:sz w:val="17"/>
          <w:szCs w:val="17"/>
          <w:color w:val="auto"/>
        </w:rPr>
        <w:t>, as applicable; and</w:t>
      </w:r>
    </w:p>
    <w:p>
      <w:pPr>
        <w:spacing w:after="0" w:line="193" w:lineRule="exact"/>
        <w:rPr>
          <w:sz w:val="20"/>
          <w:szCs w:val="20"/>
          <w:color w:val="auto"/>
        </w:rPr>
      </w:pPr>
    </w:p>
    <w:p>
      <w:pPr>
        <w:jc w:val="both"/>
        <w:ind w:firstLine="1272"/>
        <w:spacing w:after="0" w:line="278" w:lineRule="auto"/>
        <w:rPr>
          <w:sz w:val="20"/>
          <w:szCs w:val="20"/>
          <w:color w:val="auto"/>
        </w:rPr>
      </w:pPr>
      <w:r>
        <w:rPr>
          <w:rFonts w:ascii="Arial" w:cs="Arial" w:eastAsia="Arial" w:hAnsi="Arial"/>
          <w:sz w:val="19"/>
          <w:szCs w:val="19"/>
          <w:color w:val="auto"/>
        </w:rPr>
        <w:t>(r)Investments by any Insurance Subsidiary in connection with Permitted Reinsurance Activities that are customary in the industry; and</w:t>
      </w:r>
    </w:p>
    <w:p>
      <w:pPr>
        <w:spacing w:after="0" w:line="183" w:lineRule="exact"/>
        <w:rPr>
          <w:sz w:val="20"/>
          <w:szCs w:val="20"/>
          <w:color w:val="auto"/>
        </w:rPr>
      </w:pPr>
    </w:p>
    <w:p>
      <w:pPr>
        <w:jc w:val="both"/>
        <w:ind w:firstLine="1272"/>
        <w:spacing w:after="0" w:line="251" w:lineRule="auto"/>
        <w:rPr>
          <w:sz w:val="20"/>
          <w:szCs w:val="20"/>
          <w:color w:val="auto"/>
        </w:rPr>
      </w:pPr>
      <w:r>
        <w:rPr>
          <w:rFonts w:ascii="Arial" w:cs="Arial" w:eastAsia="Arial" w:hAnsi="Arial"/>
          <w:sz w:val="19"/>
          <w:szCs w:val="19"/>
          <w:color w:val="auto"/>
        </w:rPr>
        <w:t xml:space="preserve">(s)so long as (i) no Default or Event of Default has occurred and is continuing or would result therefrom and (ii) the Borrower is in pro forma compliance with each of the financial covenants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at the time of, and immediately after giving effect to, such Investment, in each case, calculated on a pro forma basis as of the most recently ended Fiscal Month-end, in the case of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Fiscal Quarter-end, in the case of </w:t>
      </w:r>
      <w:r>
        <w:rPr>
          <w:rFonts w:ascii="Arial" w:cs="Arial" w:eastAsia="Arial" w:hAnsi="Arial"/>
          <w:sz w:val="19"/>
          <w:szCs w:val="19"/>
          <w:u w:val="single" w:color="auto"/>
          <w:color w:val="auto"/>
        </w:rPr>
        <w:t>Section 6.5</w:t>
      </w:r>
      <w:r>
        <w:rPr>
          <w:rFonts w:ascii="Arial" w:cs="Arial" w:eastAsia="Arial" w:hAnsi="Arial"/>
          <w:sz w:val="19"/>
          <w:szCs w:val="19"/>
          <w:color w:val="auto"/>
        </w:rPr>
        <w:t>, as applicable, Investments in, or in connection with, any structured tax credit equity and/or opportunity zone fund(s) (or similar tax investment vehicle) (including, for the avoidance of doubt, Investments under the Cabretta Agreement on and after the Closing Date and the purchase or acquisition of any net operating loss), which Investments under this clause (s) in the aggregate do not exceed $10,000,000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0060"/>
          </w:cols>
          <w:pgMar w:left="1380" w:top="1440" w:right="459" w:bottom="1440" w:gutter="0" w:footer="0" w:header="0"/>
        </w:sectPr>
      </w:pPr>
    </w:p>
    <w:bookmarkStart w:id="135" w:name="page136"/>
    <w:bookmarkEnd w:id="135"/>
    <w:p>
      <w:pPr>
        <w:jc w:val="both"/>
        <w:spacing w:after="0" w:line="226" w:lineRule="auto"/>
        <w:rPr>
          <w:sz w:val="20"/>
          <w:szCs w:val="20"/>
          <w:color w:val="auto"/>
        </w:rPr>
      </w:pPr>
      <w:r>
        <w:rPr>
          <w:rFonts w:ascii="Arial" w:cs="Arial" w:eastAsia="Arial" w:hAnsi="Arial"/>
          <w:sz w:val="19"/>
          <w:szCs w:val="19"/>
          <w:color w:val="auto"/>
        </w:rPr>
        <w:t xml:space="preserve">For purposes of determining the amount of any Investment outstanding for purposes of this </w:t>
      </w:r>
      <w:r>
        <w:rPr>
          <w:rFonts w:ascii="Arial" w:cs="Arial" w:eastAsia="Arial" w:hAnsi="Arial"/>
          <w:sz w:val="19"/>
          <w:szCs w:val="19"/>
          <w:u w:val="single" w:color="auto"/>
          <w:color w:val="auto"/>
        </w:rPr>
        <w:t>Section 7.4</w:t>
      </w:r>
      <w:r>
        <w:rPr>
          <w:rFonts w:ascii="Arial" w:cs="Arial" w:eastAsia="Arial" w:hAnsi="Arial"/>
          <w:sz w:val="19"/>
          <w:szCs w:val="19"/>
          <w:color w:val="auto"/>
        </w:rPr>
        <w:t>, such amount shall be deemed to be the amount of such Investment when made, purchased or acquired less any amount realized in respect of such Investment upon the sale, collection or return of capital (not to exceed the original amount invested).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individually or in the aggregate.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b w:val="1"/>
          <w:bCs w:val="1"/>
          <w:u w:val="single" w:color="auto"/>
          <w:color w:val="auto"/>
        </w:rPr>
        <w:t>Restricted Payments</w:t>
      </w:r>
      <w:r>
        <w:rPr>
          <w:rFonts w:ascii="Arial" w:cs="Arial" w:eastAsia="Arial" w:hAnsi="Arial"/>
          <w:sz w:val="18"/>
          <w:szCs w:val="18"/>
          <w:color w:val="auto"/>
        </w:rPr>
        <w:t>. Holdings and the Borrower shall not, and shall not permit any of their respective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Subsidiaries to, declare or make, directly or indirectly, any Restricted Payment, except:</w:t>
      </w:r>
    </w:p>
    <w:p>
      <w:pPr>
        <w:spacing w:after="0" w:line="229" w:lineRule="exact"/>
        <w:rPr>
          <w:sz w:val="20"/>
          <w:szCs w:val="20"/>
          <w:color w:val="auto"/>
        </w:rPr>
      </w:pPr>
    </w:p>
    <w:p>
      <w:pPr>
        <w:ind w:firstLine="1277"/>
        <w:spacing w:after="0" w:line="278" w:lineRule="auto"/>
        <w:tabs>
          <w:tab w:leader="none" w:pos="211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Restricted Payments made by any Subsidiary to the Borrower or to any other Subsidiary (including, for the avoidance of doubt, from any Insurance Subsidiary to the Borrower);</w:t>
      </w:r>
    </w:p>
    <w:p>
      <w:pPr>
        <w:spacing w:after="0" w:line="187" w:lineRule="exact"/>
        <w:rPr>
          <w:rFonts w:ascii="Arial" w:cs="Arial" w:eastAsia="Arial" w:hAnsi="Arial"/>
          <w:sz w:val="19"/>
          <w:szCs w:val="19"/>
          <w:color w:val="auto"/>
        </w:rPr>
      </w:pPr>
    </w:p>
    <w:p>
      <w:pPr>
        <w:jc w:val="both"/>
        <w:ind w:firstLine="1277"/>
        <w:spacing w:after="0" w:line="217" w:lineRule="auto"/>
        <w:tabs>
          <w:tab w:leader="none" w:pos="2107" w:val="left"/>
        </w:tabs>
        <w:numPr>
          <w:ilvl w:val="0"/>
          <w:numId w:val="134"/>
        </w:numPr>
        <w:rPr>
          <w:rFonts w:ascii="Arial" w:cs="Arial" w:eastAsia="Arial" w:hAnsi="Arial"/>
          <w:sz w:val="18"/>
          <w:szCs w:val="18"/>
          <w:color w:val="auto"/>
        </w:rPr>
      </w:pPr>
      <w:r>
        <w:rPr>
          <w:rFonts w:ascii="Arial" w:cs="Arial" w:eastAsia="Arial" w:hAnsi="Arial"/>
          <w:sz w:val="17"/>
          <w:szCs w:val="17"/>
          <w:color w:val="auto"/>
        </w:rPr>
        <w:t>Restricted Payments made by the Borrower and its Subsidiaries to Holdings, and by Holdings to its direct or indirect parents, in an aggregate amount not to exceed $10,000,000 in any Fiscal Year, in each case, to the extent necessary to permit Holdings and/or its direct or indirect parents to pay general administrative costs and expenses (including, without limitation, administrative, legal, accounting and similar costs and expenses provided by third parties, customary salary, commissions, bonus and other benefits payable to officers and employees of Holdings (or any direct or indirect parent of Holdings) and directors’ fees and director and officer indemnification obligations) incurred in the ordinary course of business and then due and payable (solely as such costs and expenses relate to the business of the Borrower and its Subsidiaries or Holdings’ ownership thereof). For the avoidance of doubt, the Borrower and its Subsidiaries may also pay any such amounts directly (in lieu of a Restricted Payment);</w:t>
      </w:r>
    </w:p>
    <w:p>
      <w:pPr>
        <w:spacing w:after="0" w:line="187" w:lineRule="exact"/>
        <w:rPr>
          <w:rFonts w:ascii="Arial" w:cs="Arial" w:eastAsia="Arial" w:hAnsi="Arial"/>
          <w:sz w:val="18"/>
          <w:szCs w:val="18"/>
          <w:color w:val="auto"/>
        </w:rPr>
      </w:pPr>
    </w:p>
    <w:p>
      <w:pPr>
        <w:jc w:val="both"/>
        <w:ind w:firstLine="1277"/>
        <w:spacing w:after="0" w:line="217" w:lineRule="auto"/>
        <w:tabs>
          <w:tab w:leader="none" w:pos="211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Holdings and the Borrower may repurchase the stock of former employees, directors, officers or consultants pursuant to stock repurchase agreements in the ordinary course of business and in accordance with Holdings’ stock purchase plan, so long as (A) no Default or Event of Default exists at the time of such repurchase and would not exist after giving effect to such repurchase and (B) the aggregate amount repurchased during the term of this Agreement does not exceed $5,000,000;</w:t>
      </w:r>
    </w:p>
    <w:p>
      <w:pPr>
        <w:spacing w:after="0" w:line="178" w:lineRule="exact"/>
        <w:rPr>
          <w:rFonts w:ascii="Arial" w:cs="Arial" w:eastAsia="Arial" w:hAnsi="Arial"/>
          <w:sz w:val="19"/>
          <w:szCs w:val="19"/>
          <w:color w:val="auto"/>
        </w:rPr>
      </w:pPr>
    </w:p>
    <w:p>
      <w:pPr>
        <w:ind w:left="1900" w:hanging="624"/>
        <w:spacing w:after="0"/>
        <w:tabs>
          <w:tab w:leader="none" w:pos="19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Restricted Payments made under or in connection with the Warrants;</w:t>
      </w:r>
    </w:p>
    <w:p>
      <w:pPr>
        <w:spacing w:after="0" w:line="218" w:lineRule="exact"/>
        <w:rPr>
          <w:rFonts w:ascii="Arial" w:cs="Arial" w:eastAsia="Arial" w:hAnsi="Arial"/>
          <w:sz w:val="19"/>
          <w:szCs w:val="19"/>
          <w:color w:val="auto"/>
        </w:rPr>
      </w:pPr>
    </w:p>
    <w:p>
      <w:pPr>
        <w:jc w:val="both"/>
        <w:ind w:firstLine="1277"/>
        <w:spacing w:after="0" w:line="220" w:lineRule="auto"/>
        <w:tabs>
          <w:tab w:leader="none" w:pos="211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for any taxable period, the Borrower is a member of a group filing a consolidated, unitary or combined tax return of which Holdings is the common parent (a “</w:t>
      </w:r>
      <w:r>
        <w:rPr>
          <w:rFonts w:ascii="Arial" w:cs="Arial" w:eastAsia="Arial" w:hAnsi="Arial"/>
          <w:sz w:val="18"/>
          <w:szCs w:val="18"/>
          <w:u w:val="single" w:color="auto"/>
          <w:color w:val="auto"/>
        </w:rPr>
        <w:t>Tax Group</w:t>
      </w:r>
      <w:r>
        <w:rPr>
          <w:rFonts w:ascii="Arial" w:cs="Arial" w:eastAsia="Arial" w:hAnsi="Arial"/>
          <w:sz w:val="18"/>
          <w:szCs w:val="18"/>
          <w:color w:val="auto"/>
        </w:rPr>
        <w:t>”), an amount equal to income Taxes for such taxable period then due and payable pursuant to such returns and attributable to the taxable income of the Borrower and the Subsidiary Loan Parties that are members of such group and, to the extent of the cash amount actually received by the Borrower or any Subsidiary Loan Party from any Subsidiary that is not a Subsidiary Loan Party (a “</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xml:space="preserve">”) for the payment of income taxes, an amount equal to the income Taxes for such taxable period then due and payable and attributable to the taxable income of such Non-Guarantor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taxable period, payment for such amounts shall not exceed the lesser of (A) the amount of any such Taxes that the Borrower and the Subsidiary Loan Parties (and, subject to the limitation described above, any applicable Non-Guarantor Subsidiaries) that are members of such group would have been required to pay for such taxable period on a separate group basis if the Borrower and the Subsidiary Loan Parties (and, subject to the limitation described above, any applicable Non-Guarantor Subsidiaries) had paid Tax on a consolidated, combined group, affiliated or unitary basis on behalf of an affiliated group consisting only of the Borrower and the Subsidiary Loan Parties (and, subject to the limitation described above, any applicable Non-Guarantor Subsidiaries) or (B) the actual tax liability of the Tax Group for such taxable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80</w:t>
      </w:r>
    </w:p>
    <w:p>
      <w:pPr>
        <w:sectPr>
          <w:pgSz w:w="11900" w:h="16838" w:orient="portrait"/>
          <w:cols w:equalWidth="0" w:num="1">
            <w:col w:w="10060"/>
          </w:cols>
          <w:pgMar w:left="1380" w:top="1302" w:right="459" w:bottom="1440" w:gutter="0" w:footer="0" w:header="0"/>
        </w:sectPr>
      </w:pPr>
    </w:p>
    <w:bookmarkStart w:id="136" w:name="page137"/>
    <w:bookmarkEnd w:id="136"/>
    <w:p>
      <w:pPr>
        <w:ind w:firstLine="1277"/>
        <w:spacing w:after="0" w:line="307" w:lineRule="auto"/>
        <w:tabs>
          <w:tab w:leader="none" w:pos="15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or is continuing or would result from the making thereof, Restricted Payments to Carvana to the extent required to be made pursuant to the terms of the Carvana Agreements;</w:t>
      </w:r>
    </w:p>
    <w:p>
      <w:pPr>
        <w:spacing w:after="0" w:line="159" w:lineRule="exact"/>
        <w:rPr>
          <w:rFonts w:ascii="Arial" w:cs="Arial" w:eastAsia="Arial" w:hAnsi="Arial"/>
          <w:sz w:val="18"/>
          <w:szCs w:val="18"/>
          <w:color w:val="auto"/>
        </w:rPr>
      </w:pPr>
    </w:p>
    <w:p>
      <w:pPr>
        <w:ind w:firstLine="1277"/>
        <w:spacing w:after="0" w:line="339" w:lineRule="auto"/>
        <w:tabs>
          <w:tab w:leader="none" w:pos="210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or is continuing or would result from the making thereof, other Restricted Payments which in the aggregate do not exceed $5,000,000 during the term of this Agreement;</w:t>
      </w:r>
    </w:p>
    <w:p>
      <w:pPr>
        <w:spacing w:after="0" w:line="123" w:lineRule="exact"/>
        <w:rPr>
          <w:rFonts w:ascii="Arial" w:cs="Arial" w:eastAsia="Arial" w:hAnsi="Arial"/>
          <w:sz w:val="17"/>
          <w:szCs w:val="17"/>
          <w:color w:val="auto"/>
        </w:rPr>
      </w:pPr>
    </w:p>
    <w:p>
      <w:pPr>
        <w:ind w:firstLine="1277"/>
        <w:spacing w:after="0" w:line="261" w:lineRule="auto"/>
        <w:tabs>
          <w:tab w:leader="none" w:pos="210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cash payment, in lieu of issuance of fractional shares in connection with the exercise of warrants, options or other securities convertible into, or exchangeable for, the Capital Stock of Holdings and its Subsidiaries;</w:t>
      </w:r>
    </w:p>
    <w:p>
      <w:pPr>
        <w:spacing w:after="0" w:line="172" w:lineRule="exact"/>
        <w:rPr>
          <w:rFonts w:ascii="Arial" w:cs="Arial" w:eastAsia="Arial" w:hAnsi="Arial"/>
          <w:sz w:val="18"/>
          <w:szCs w:val="18"/>
          <w:color w:val="auto"/>
        </w:rPr>
      </w:pPr>
    </w:p>
    <w:p>
      <w:pPr>
        <w:jc w:val="both"/>
        <w:ind w:firstLine="1276"/>
        <w:spacing w:after="0" w:line="217" w:lineRule="auto"/>
        <w:tabs>
          <w:tab w:leader="none" w:pos="148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non-cash repurchase of Capital Stock deemed to occur upon the exercise of stock options, warrants or other convertible or exchangeable securities if such Capital Stock represents a portion of the exercise, conversion or exchange price thereof and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191" w:lineRule="exact"/>
        <w:rPr>
          <w:rFonts w:ascii="Arial" w:cs="Arial" w:eastAsia="Arial" w:hAnsi="Arial"/>
          <w:sz w:val="19"/>
          <w:szCs w:val="19"/>
          <w:color w:val="auto"/>
        </w:rPr>
      </w:pPr>
    </w:p>
    <w:p>
      <w:pPr>
        <w:jc w:val="both"/>
        <w:ind w:firstLine="1277"/>
        <w:spacing w:after="0" w:line="263" w:lineRule="auto"/>
        <w:tabs>
          <w:tab w:leader="none" w:pos="148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Holdings may repurchase, retire or otherwise acquire the Capital Stock of Holdings solely, (i) with respect to Class B Common Stock in exchange for Class A Common Stock or (ii) with respect to Class A Common Stock in exchange for Preferred Stock; and</w:t>
      </w:r>
    </w:p>
    <w:p>
      <w:pPr>
        <w:spacing w:after="0" w:line="182" w:lineRule="exact"/>
        <w:rPr>
          <w:rFonts w:ascii="Arial" w:cs="Arial" w:eastAsia="Arial" w:hAnsi="Arial"/>
          <w:sz w:val="19"/>
          <w:szCs w:val="19"/>
          <w:color w:val="auto"/>
        </w:rPr>
      </w:pPr>
    </w:p>
    <w:p>
      <w:pPr>
        <w:jc w:val="both"/>
        <w:ind w:firstLine="1277"/>
        <w:spacing w:after="0" w:line="220" w:lineRule="auto"/>
        <w:tabs>
          <w:tab w:leader="none" w:pos="210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Restricted Payments from the Borrower or any Subsidiary to Holdings in connection with allocated costs or any stock option or other equity-based compensation plan in the ordinary course of business, in each case, to the extent that such Restricted Payment is off-set by intercompany settlement and/or contribution(s) from Holdings to the Borrower in the Fiscal Year in which such Restricted Payment was made.</w:t>
      </w:r>
    </w:p>
    <w:p>
      <w:pPr>
        <w:spacing w:after="0" w:line="187"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b w:val="1"/>
          <w:bCs w:val="1"/>
          <w:u w:val="single" w:color="auto"/>
          <w:color w:val="auto"/>
        </w:rPr>
        <w:t>Sale of Assets</w:t>
      </w:r>
      <w:r>
        <w:rPr>
          <w:rFonts w:ascii="Arial" w:cs="Arial" w:eastAsia="Arial" w:hAnsi="Arial"/>
          <w:sz w:val="19"/>
          <w:szCs w:val="19"/>
          <w:color w:val="auto"/>
        </w:rPr>
        <w:t>. Holdings and the Borrower shall not, and shall not permit any of their respective Subsidiaries to, directly or indirectly, convey, sell, lease, assign, transfer or otherwise dispose of any of its assets, business or property or, in the case of any Subsidiary, any shares of such Subsidiary’s Capital Stock, in each case, whether now owned or hereafter acquired, to any Person other than the Borrower or a Subsidiary Loan Party (or to qualify directors if required by applicable law), except:</w:t>
      </w:r>
    </w:p>
    <w:p>
      <w:pPr>
        <w:spacing w:after="0" w:line="206" w:lineRule="exact"/>
        <w:rPr>
          <w:sz w:val="20"/>
          <w:szCs w:val="20"/>
          <w:color w:val="auto"/>
        </w:rPr>
      </w:pPr>
    </w:p>
    <w:p>
      <w:pPr>
        <w:ind w:firstLine="1277"/>
        <w:spacing w:after="0" w:line="278" w:lineRule="auto"/>
        <w:tabs>
          <w:tab w:leader="none" w:pos="211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sale or other disposition of obsolete or worn out property or other property not necessary for operations disposed of in the ordinary course of business;</w:t>
      </w:r>
    </w:p>
    <w:p>
      <w:pPr>
        <w:spacing w:after="0" w:line="169" w:lineRule="exact"/>
        <w:rPr>
          <w:rFonts w:ascii="Arial" w:cs="Arial" w:eastAsia="Arial" w:hAnsi="Arial"/>
          <w:sz w:val="19"/>
          <w:szCs w:val="19"/>
          <w:color w:val="auto"/>
        </w:rPr>
      </w:pPr>
    </w:p>
    <w:p>
      <w:pPr>
        <w:ind w:left="1900" w:hanging="624"/>
        <w:spacing w:after="0"/>
        <w:tabs>
          <w:tab w:leader="none" w:pos="19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sale of inventory and Permitted Investments in the ordinary course of business;</w:t>
      </w:r>
    </w:p>
    <w:p>
      <w:pPr>
        <w:spacing w:after="0" w:line="205" w:lineRule="exact"/>
        <w:rPr>
          <w:rFonts w:ascii="Arial" w:cs="Arial" w:eastAsia="Arial" w:hAnsi="Arial"/>
          <w:sz w:val="19"/>
          <w:szCs w:val="19"/>
          <w:color w:val="auto"/>
        </w:rPr>
      </w:pPr>
    </w:p>
    <w:p>
      <w:pPr>
        <w:jc w:val="both"/>
        <w:ind w:firstLine="1278"/>
        <w:spacing w:after="0" w:line="215" w:lineRule="auto"/>
        <w:tabs>
          <w:tab w:leader="none" w:pos="211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sale or other disposition of Investments (i) by Insurance Subsidiaries and their Subsidiaries (other than the Capital Stock of Insurance Subsidiaries and their Subsidiaries) and (ii) by the Borrower and its Subsidiaries (other than the Capital Stock of Subsidiaries of Holdings) permitted under this Agreement (in each case, excluding Investments permitted by </w:t>
      </w:r>
      <w:r>
        <w:rPr>
          <w:rFonts w:ascii="Arial" w:cs="Arial" w:eastAsia="Arial" w:hAnsi="Arial"/>
          <w:sz w:val="19"/>
          <w:szCs w:val="19"/>
          <w:u w:val="single" w:color="auto"/>
          <w:color w:val="auto"/>
        </w:rPr>
        <w:t>Section 7.4(s))</w:t>
      </w:r>
      <w:r>
        <w:rPr>
          <w:rFonts w:ascii="Arial" w:cs="Arial" w:eastAsia="Arial" w:hAnsi="Arial"/>
          <w:sz w:val="19"/>
          <w:szCs w:val="19"/>
          <w:color w:val="auto"/>
        </w:rPr>
        <w:t>, in each case, (A) in the ordinary course of business and consistent with the investment policy approved by the Board of Directors of Holdings, the Borrower or such Subsidiary, as the case may be, or (B) required by Insurance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0060"/>
          </w:cols>
          <w:pgMar w:left="1380" w:top="1315" w:right="459" w:bottom="1440" w:gutter="0" w:footer="0" w:header="0"/>
        </w:sectPr>
      </w:pPr>
    </w:p>
    <w:bookmarkStart w:id="137" w:name="page138"/>
    <w:bookmarkEnd w:id="137"/>
    <w:p>
      <w:pPr>
        <w:spacing w:after="0" w:line="167" w:lineRule="exact"/>
        <w:rPr>
          <w:sz w:val="20"/>
          <w:szCs w:val="20"/>
          <w:color w:val="auto"/>
        </w:rPr>
      </w:pPr>
    </w:p>
    <w:p>
      <w:pPr>
        <w:jc w:val="both"/>
        <w:ind w:firstLine="1277"/>
        <w:spacing w:after="0" w:line="220" w:lineRule="auto"/>
        <w:tabs>
          <w:tab w:leader="none" w:pos="210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any sale or other disposition pursuant to (x) a reinsurance agreement so long as such disposition or other disposition is entered into in the ordinary course of business for the purpose of managing insurance risk consistent with industry practice and (y) Permitted Reinsurance Activities in the ordinary course of business and consistent with industry practice (including the “InsureTech” industry);</w:t>
      </w:r>
    </w:p>
    <w:p>
      <w:pPr>
        <w:spacing w:after="0" w:line="192" w:lineRule="exact"/>
        <w:rPr>
          <w:rFonts w:ascii="Arial" w:cs="Arial" w:eastAsia="Arial" w:hAnsi="Arial"/>
          <w:sz w:val="19"/>
          <w:szCs w:val="19"/>
          <w:color w:val="auto"/>
        </w:rPr>
      </w:pPr>
    </w:p>
    <w:p>
      <w:pPr>
        <w:jc w:val="both"/>
        <w:ind w:firstLine="1277"/>
        <w:spacing w:after="0" w:line="217" w:lineRule="auto"/>
        <w:tabs>
          <w:tab w:leader="none" w:pos="211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non-exclusive licenses and sub-licenses of Intellectual Property in the ordinary course of business consistent with past practices, including, without limitation, any licenses that could not result in legal transfer of title that may be exclusive in respects other than territory and that may be exclusive as to territory only as to discreet geographical areas outside of the U.S. not interfering, individually or in the aggregate, in any material respect with the business of Holdings or any of its Subsidiaries;</w:t>
      </w:r>
    </w:p>
    <w:p>
      <w:pPr>
        <w:spacing w:after="0" w:line="192" w:lineRule="exact"/>
        <w:rPr>
          <w:sz w:val="20"/>
          <w:szCs w:val="20"/>
          <w:color w:val="auto"/>
        </w:rPr>
      </w:pPr>
    </w:p>
    <w:p>
      <w:pPr>
        <w:jc w:val="both"/>
        <w:ind w:firstLine="1272"/>
        <w:spacing w:after="0" w:line="238" w:lineRule="auto"/>
        <w:rPr>
          <w:sz w:val="20"/>
          <w:szCs w:val="20"/>
          <w:color w:val="auto"/>
        </w:rPr>
      </w:pPr>
      <w:r>
        <w:rPr>
          <w:rFonts w:ascii="Arial" w:cs="Arial" w:eastAsia="Arial" w:hAnsi="Arial"/>
          <w:sz w:val="18"/>
          <w:szCs w:val="18"/>
          <w:color w:val="auto"/>
        </w:rPr>
        <w:t>(f)leases, subleases, licenses or sublicenses of real or personal property (other than Intellectual Property) granted by the Borrower or any of its Subsidiaries to others, in each case, in the ordinary course of business not interfering, individually or in the aggregate, in any material respect with the business of Holdings or any of its Subsidiaries;</w:t>
      </w:r>
    </w:p>
    <w:p>
      <w:pPr>
        <w:spacing w:after="0" w:line="179" w:lineRule="exact"/>
        <w:rPr>
          <w:sz w:val="20"/>
          <w:szCs w:val="20"/>
          <w:color w:val="auto"/>
        </w:rPr>
      </w:pPr>
    </w:p>
    <w:p>
      <w:pPr>
        <w:jc w:val="both"/>
        <w:ind w:firstLine="1278"/>
        <w:spacing w:after="0" w:line="215" w:lineRule="auto"/>
        <w:tabs>
          <w:tab w:leader="none" w:pos="210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(i) surrender or waiver of contractual rights or the settlement or waiver of contractual or litigation claims in the ordinary course of business, in each case, as may be approved by the Board of Directors of Holdings or the Borrower or the applicable Subsidiary in good faith; and (ii) the sale, license or other transfer of Intellectual Property in connection with the settlement or waiver of contractual or litigation claims in respect of the Intellectual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sale, license or transfer does not materially interfere with the business of the Borrower and its Subsidiaries, taken as a whole;</w:t>
      </w:r>
    </w:p>
    <w:p>
      <w:pPr>
        <w:spacing w:after="0" w:line="203" w:lineRule="exact"/>
        <w:rPr>
          <w:rFonts w:ascii="Arial" w:cs="Arial" w:eastAsia="Arial" w:hAnsi="Arial"/>
          <w:sz w:val="19"/>
          <w:szCs w:val="19"/>
          <w:color w:val="auto"/>
        </w:rPr>
      </w:pPr>
    </w:p>
    <w:p>
      <w:pPr>
        <w:jc w:val="both"/>
        <w:ind w:firstLine="1277"/>
        <w:spacing w:after="0" w:line="263" w:lineRule="auto"/>
        <w:tabs>
          <w:tab w:leader="none" w:pos="210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termination of licenses, leases and other contractual rights in the ordinary course of business, which does not materially interfere with the conduct of business of the Borrower and its Subsidiaries and is not disadvantageous to the rights or remedies of the Lenders;</w:t>
      </w:r>
    </w:p>
    <w:p>
      <w:pPr>
        <w:spacing w:after="0" w:line="195" w:lineRule="exact"/>
        <w:rPr>
          <w:rFonts w:ascii="Arial" w:cs="Arial" w:eastAsia="Arial" w:hAnsi="Arial"/>
          <w:sz w:val="19"/>
          <w:szCs w:val="19"/>
          <w:color w:val="auto"/>
        </w:rPr>
      </w:pPr>
    </w:p>
    <w:p>
      <w:pPr>
        <w:ind w:firstLine="1277"/>
        <w:spacing w:after="0" w:line="278" w:lineRule="auto"/>
        <w:tabs>
          <w:tab w:leader="none" w:pos="148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sales, leases, assignments, dispositions and transfers constituting Liens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Investments permitted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or Restricted Payments permitted under </w:t>
      </w:r>
      <w:r>
        <w:rPr>
          <w:rFonts w:ascii="Arial" w:cs="Arial" w:eastAsia="Arial" w:hAnsi="Arial"/>
          <w:sz w:val="19"/>
          <w:szCs w:val="19"/>
          <w:u w:val="single" w:color="auto"/>
          <w:color w:val="auto"/>
        </w:rPr>
        <w:t>Section 7.5</w:t>
      </w:r>
      <w:r>
        <w:rPr>
          <w:rFonts w:ascii="Arial" w:cs="Arial" w:eastAsia="Arial" w:hAnsi="Arial"/>
          <w:sz w:val="19"/>
          <w:szCs w:val="19"/>
          <w:color w:val="auto"/>
        </w:rPr>
        <w:t>;</w:t>
      </w:r>
    </w:p>
    <w:p>
      <w:pPr>
        <w:spacing w:after="0" w:line="262" w:lineRule="exact"/>
        <w:rPr>
          <w:rFonts w:ascii="Arial" w:cs="Arial" w:eastAsia="Arial" w:hAnsi="Arial"/>
          <w:sz w:val="19"/>
          <w:szCs w:val="19"/>
          <w:color w:val="auto"/>
        </w:rPr>
      </w:pPr>
    </w:p>
    <w:p>
      <w:pPr>
        <w:ind w:left="1920" w:hanging="643"/>
        <w:spacing w:after="0"/>
        <w:tabs>
          <w:tab w:leader="none" w:pos="192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Warrants;</w:t>
      </w:r>
    </w:p>
    <w:p>
      <w:pPr>
        <w:spacing w:after="0" w:line="205" w:lineRule="exact"/>
        <w:rPr>
          <w:rFonts w:ascii="Arial" w:cs="Arial" w:eastAsia="Arial" w:hAnsi="Arial"/>
          <w:sz w:val="19"/>
          <w:szCs w:val="19"/>
          <w:color w:val="auto"/>
        </w:rPr>
      </w:pPr>
    </w:p>
    <w:p>
      <w:pPr>
        <w:jc w:val="both"/>
        <w:ind w:firstLine="1277"/>
        <w:spacing w:after="0" w:line="226" w:lineRule="auto"/>
        <w:tabs>
          <w:tab w:leader="none" w:pos="210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sale or other disposition of such assets in an aggregate amount (based on the fair market value of such assets) not to exceed $2,000,000 in any Fiscal Year (but excluding the sale of any Capital Stock of any Subsidiary of Holdings); and</w:t>
      </w:r>
    </w:p>
    <w:p>
      <w:pPr>
        <w:spacing w:after="0" w:line="191" w:lineRule="exact"/>
        <w:rPr>
          <w:rFonts w:ascii="Arial" w:cs="Arial" w:eastAsia="Arial" w:hAnsi="Arial"/>
          <w:sz w:val="19"/>
          <w:szCs w:val="19"/>
          <w:color w:val="auto"/>
        </w:rPr>
      </w:pPr>
    </w:p>
    <w:p>
      <w:pPr>
        <w:ind w:firstLine="1277"/>
        <w:spacing w:after="0" w:line="212" w:lineRule="auto"/>
        <w:tabs>
          <w:tab w:leader="none" w:pos="148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sale or other disposition of any minority-owned Investments existing on the Closing Date and set forth on </w:t>
      </w:r>
      <w:r>
        <w:rPr>
          <w:rFonts w:ascii="Arial" w:cs="Arial" w:eastAsia="Arial" w:hAnsi="Arial"/>
          <w:sz w:val="19"/>
          <w:szCs w:val="19"/>
          <w:u w:val="single" w:color="auto"/>
          <w:color w:val="auto"/>
        </w:rPr>
        <w:t>Schedule 7.6(l)</w:t>
      </w:r>
      <w:r>
        <w:rPr>
          <w:rFonts w:ascii="Arial" w:cs="Arial" w:eastAsia="Arial" w:hAnsi="Arial"/>
          <w:sz w:val="19"/>
          <w:szCs w:val="19"/>
          <w:color w:val="auto"/>
        </w:rPr>
        <w:t xml:space="preserve"> attached hereto in an aggregate amount not to exceed</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$5,000,000 during the term of this Agreement.</w:t>
      </w:r>
    </w:p>
    <w:p>
      <w:pPr>
        <w:spacing w:after="0" w:line="190"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Notwithstanding anything to the contrary in the foregoing, no Loan Party shall, directly or indirectly, sell, assign, lease, convey, transfer or otherwise dispose of (whether in one or a series of transactions) to any Subsidiary that is not a Loan Party any Intellectual Property that is material to the business of the Loan Parties,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82</w:t>
      </w:r>
    </w:p>
    <w:p>
      <w:pPr>
        <w:sectPr>
          <w:pgSz w:w="11900" w:h="16838" w:orient="portrait"/>
          <w:cols w:equalWidth="0" w:num="1">
            <w:col w:w="10060"/>
          </w:cols>
          <w:pgMar w:left="1380" w:top="1440" w:right="459" w:bottom="1440" w:gutter="0" w:footer="0" w:header="0"/>
        </w:sectPr>
      </w:pPr>
    </w:p>
    <w:bookmarkStart w:id="138" w:name="page139"/>
    <w:bookmarkEnd w:id="138"/>
    <w:p>
      <w:pPr>
        <w:jc w:val="both"/>
        <w:ind w:firstLine="636"/>
        <w:spacing w:after="0" w:line="263"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color w:val="auto"/>
        </w:rPr>
        <w:t>. Holdings and the Borrower shall not, and shall not permit any of their respective Subsidiaries to, directly or indirectly, sell, lease or otherwise transfer any property or assets to, or purchase, lease or otherwise acquire any property or assets from, or otherwise engage in any other transaction with, any of its Affiliates, except:</w:t>
      </w:r>
    </w:p>
    <w:p>
      <w:pPr>
        <w:spacing w:after="0" w:line="172" w:lineRule="exact"/>
        <w:rPr>
          <w:sz w:val="20"/>
          <w:szCs w:val="20"/>
          <w:color w:val="auto"/>
        </w:rPr>
      </w:pPr>
    </w:p>
    <w:p>
      <w:pPr>
        <w:ind w:firstLine="1278"/>
        <w:spacing w:after="0" w:line="237" w:lineRule="auto"/>
        <w:tabs>
          <w:tab w:leader="none" w:pos="211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at prices and on terms and conditions, taken as a whole, not less favorable to Holdings or such Subsidiary than would be obtained on an arm’s-length basis from unrelated third parties;</w:t>
      </w:r>
    </w:p>
    <w:p>
      <w:pPr>
        <w:spacing w:after="0" w:line="191" w:lineRule="exact"/>
        <w:rPr>
          <w:rFonts w:ascii="Arial" w:cs="Arial" w:eastAsia="Arial" w:hAnsi="Arial"/>
          <w:sz w:val="19"/>
          <w:szCs w:val="19"/>
          <w:color w:val="auto"/>
        </w:rPr>
      </w:pPr>
    </w:p>
    <w:p>
      <w:pPr>
        <w:jc w:val="both"/>
        <w:ind w:firstLine="1277"/>
        <w:spacing w:after="0" w:line="220" w:lineRule="auto"/>
        <w:tabs>
          <w:tab w:leader="none" w:pos="210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employment and severance arrangements between Holdings or any of its Subsidiaries and their respective officers, directors and employees in the ordinary course of business and transactions pursuant to equity incentive plans and employee benefit plans and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be deemed to permit any Restricted Payments of the type set forth in </w:t>
      </w:r>
      <w:r>
        <w:rPr>
          <w:rFonts w:ascii="Arial" w:cs="Arial" w:eastAsia="Arial" w:hAnsi="Arial"/>
          <w:sz w:val="19"/>
          <w:szCs w:val="19"/>
          <w:u w:val="single" w:color="auto"/>
          <w:color w:val="auto"/>
        </w:rPr>
        <w:t>Section 7.5(c)</w:t>
      </w:r>
      <w:r>
        <w:rPr>
          <w:rFonts w:ascii="Arial" w:cs="Arial" w:eastAsia="Arial" w:hAnsi="Arial"/>
          <w:sz w:val="19"/>
          <w:szCs w:val="19"/>
          <w:color w:val="auto"/>
        </w:rPr>
        <w:t xml:space="preserve"> to the extent not permitted thereunder);</w:t>
      </w:r>
    </w:p>
    <w:p>
      <w:pPr>
        <w:spacing w:after="0" w:line="179" w:lineRule="exact"/>
        <w:rPr>
          <w:rFonts w:ascii="Arial" w:cs="Arial" w:eastAsia="Arial" w:hAnsi="Arial"/>
          <w:sz w:val="19"/>
          <w:szCs w:val="19"/>
          <w:color w:val="auto"/>
        </w:rPr>
      </w:pPr>
    </w:p>
    <w:p>
      <w:pPr>
        <w:ind w:firstLine="1277"/>
        <w:spacing w:after="0" w:line="237" w:lineRule="auto"/>
        <w:tabs>
          <w:tab w:leader="none" w:pos="211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transactions solely between or among the Loan Parties (and between the Loan Parties and other Subsidiaries of Holdings to the extent permitted by the Administrative Agent in writing in its reasonable discretion);</w:t>
      </w:r>
    </w:p>
    <w:p>
      <w:pPr>
        <w:spacing w:after="0" w:line="253" w:lineRule="exact"/>
        <w:rPr>
          <w:rFonts w:ascii="Arial" w:cs="Arial" w:eastAsia="Arial" w:hAnsi="Arial"/>
          <w:sz w:val="19"/>
          <w:szCs w:val="19"/>
          <w:color w:val="auto"/>
        </w:rPr>
      </w:pPr>
    </w:p>
    <w:p>
      <w:pPr>
        <w:ind w:left="1900" w:hanging="623"/>
        <w:spacing w:after="0"/>
        <w:tabs>
          <w:tab w:leader="none" w:pos="190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any Restricted Payment permitted by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and any Investment permitted by</w:t>
      </w:r>
    </w:p>
    <w:p>
      <w:pPr>
        <w:spacing w:after="0"/>
        <w:rPr>
          <w:sz w:val="20"/>
          <w:szCs w:val="20"/>
          <w:color w:val="auto"/>
        </w:rPr>
      </w:pP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82" w:lineRule="exact"/>
        <w:rPr>
          <w:sz w:val="20"/>
          <w:szCs w:val="20"/>
          <w:color w:val="auto"/>
        </w:rPr>
      </w:pPr>
    </w:p>
    <w:p>
      <w:pPr>
        <w:jc w:val="both"/>
        <w:ind w:firstLine="1277"/>
        <w:spacing w:after="0" w:line="253" w:lineRule="auto"/>
        <w:tabs>
          <w:tab w:leader="none" w:pos="211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performing under (a) the RIC Authorized Producer Agreement, (b) the RPC Authorized Producer Agreement, (c) the RLSA Authorized Producer Agreement, (d) the RPC Administrative Services Agreement, (e) the RIC Administrative Services Agreement, (f) the RLSA Administrative Services Agreement, (g) the RRC Services Agreement, (h) the RIC Guaranty, (i) the RLSA Guaranty, (j) the Reinsurance Pooling Agreement, (k) the Multiple Line Quota Share Reinsurance Contract, (l) the Redpoint Automobile Quota Share Reinsurance Contract, (m) the Automobile Quota Share Reinsurance Contract or (n) the Tax Sharing Agreement, as applicable; and</w:t>
      </w:r>
    </w:p>
    <w:p>
      <w:pPr>
        <w:spacing w:after="0" w:line="208" w:lineRule="exact"/>
        <w:rPr>
          <w:rFonts w:ascii="Arial" w:cs="Arial" w:eastAsia="Arial" w:hAnsi="Arial"/>
          <w:sz w:val="19"/>
          <w:szCs w:val="19"/>
          <w:color w:val="auto"/>
        </w:rPr>
      </w:pPr>
    </w:p>
    <w:p>
      <w:pPr>
        <w:ind w:left="1660" w:hanging="382"/>
        <w:spacing w:after="0"/>
        <w:tabs>
          <w:tab w:leader="none" w:pos="166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Guarantees of risk-based capital that are customary in the insurance industry.</w:t>
      </w:r>
    </w:p>
    <w:p>
      <w:pPr>
        <w:spacing w:after="0" w:line="200"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b w:val="1"/>
          <w:bCs w:val="1"/>
          <w:u w:val="single" w:color="auto"/>
          <w:color w:val="auto"/>
        </w:rPr>
        <w:t>Restrictive Agreements</w:t>
      </w:r>
      <w:r>
        <w:rPr>
          <w:rFonts w:ascii="Arial" w:cs="Arial" w:eastAsia="Arial" w:hAnsi="Arial"/>
          <w:sz w:val="18"/>
          <w:szCs w:val="18"/>
          <w:color w:val="auto"/>
        </w:rPr>
        <w:t xml:space="preserve">. Holdings and the Borrower shall not, and shall not permit any of their respective Subsidiaries to, directly or indirectly, enter into, incur or permit to exist any agreement that prohibits, restricts or imposes any condition upon (a) the ability of Holdings or any of its Subsidiaries to create, incur or permit any Lien to secure the Obligations upon any of its assets or properties, whether now owned or hereafter acquired or (b) the ability of any Subsidiary of the Borrower to pay dividends or other distributions with respect to its Capital Stock, to make or repay loans or advances to the Borrower, to Guarantee the Obligations or to transfer any of its property or assets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restrictions or conditions imposed by law, this Agreement or any other Loan Document, (ii)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restrictions or conditions imposed by any Subordinated Debt Document or Pari Lien Debt Document (or any document governing any Permitted Refinancing thereof), (iii)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restrictions and conditions contained in agreements relating to the sale of a Subsidiary (or any assets thereof)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the Subsidiary (or any assets thereof) that is sold and such sale is permitted hereunder, (iv)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(but, with respect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to the extent that any imposed transfer restrictions or conditions apply only to property or assets that are subject to Capital Lease Obligations or obligations incurred in connection with purchase money Indebtedness) shall not apply to restrictions or conditions imposed by any agreement relating to secured Indebtedness permitted by this Agreement if such restrictions and conditions apply only to the property or assets securing such Indebtedness and the obligors of such Indebtedness, (v)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not apply to customary provisions in leases, licenses and contracts restricting the assignment of any such lease, license and/or contract and (vi)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to customary restrictions on transfers of Capital Stock in a joint venture to the extent expressly permitted by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of the definition of “Permitted Encumbrance” (but, for the avoidance of doubt, there shall be no restriction on the ability of Holdings or any of its Subsidiary Loan Parties to pledge Capital Stock in a joint venture to secure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83</w:t>
      </w:r>
    </w:p>
    <w:p>
      <w:pPr>
        <w:sectPr>
          <w:pgSz w:w="11900" w:h="16838" w:orient="portrait"/>
          <w:cols w:equalWidth="0" w:num="1">
            <w:col w:w="10060"/>
          </w:cols>
          <w:pgMar w:left="1380" w:top="1296" w:right="459" w:bottom="1440" w:gutter="0" w:footer="0" w:header="0"/>
        </w:sectPr>
      </w:pPr>
    </w:p>
    <w:bookmarkStart w:id="139" w:name="page140"/>
    <w:bookmarkEnd w:id="139"/>
    <w:p>
      <w:pPr>
        <w:jc w:val="both"/>
        <w:ind w:firstLine="636"/>
        <w:spacing w:after="0" w:line="218"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b w:val="1"/>
          <w:bCs w:val="1"/>
          <w:u w:val="single" w:color="auto"/>
          <w:color w:val="auto"/>
        </w:rPr>
        <w:t>Sale and Leaseback Transactions</w:t>
      </w:r>
      <w:r>
        <w:rPr>
          <w:rFonts w:ascii="Arial" w:cs="Arial" w:eastAsia="Arial" w:hAnsi="Arial"/>
          <w:sz w:val="19"/>
          <w:szCs w:val="19"/>
          <w:color w:val="auto"/>
        </w:rPr>
        <w:t>. Holdings and the Borrower shall not, and shall not permit any of their respective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(each, a “</w:t>
      </w:r>
      <w:r>
        <w:rPr>
          <w:rFonts w:ascii="Arial" w:cs="Arial" w:eastAsia="Arial" w:hAnsi="Arial"/>
          <w:sz w:val="19"/>
          <w:szCs w:val="19"/>
          <w:u w:val="single" w:color="auto"/>
          <w:color w:val="auto"/>
        </w:rPr>
        <w:t>Sale/Leaseback Transaction</w:t>
      </w:r>
      <w:r>
        <w:rPr>
          <w:rFonts w:ascii="Arial" w:cs="Arial" w:eastAsia="Arial" w:hAnsi="Arial"/>
          <w:sz w:val="19"/>
          <w:szCs w:val="19"/>
          <w:color w:val="auto"/>
        </w:rPr>
        <w:t>”).</w:t>
      </w:r>
    </w:p>
    <w:p>
      <w:pPr>
        <w:spacing w:after="0" w:line="25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b w:val="1"/>
          <w:bCs w:val="1"/>
          <w:u w:val="single" w:color="auto"/>
          <w:color w:val="auto"/>
        </w:rPr>
        <w:t>Hedging Transactions</w:t>
      </w:r>
      <w:r>
        <w:rPr>
          <w:rFonts w:ascii="Arial" w:cs="Arial" w:eastAsia="Arial" w:hAnsi="Arial"/>
          <w:sz w:val="18"/>
          <w:szCs w:val="18"/>
          <w:color w:val="auto"/>
        </w:rPr>
        <w:t>. Holdings and the Borrower shall not, and shall not permit any of their respective Subsidiaries to, enter into any Hedging Transaction, other than Hedging Transactions entered into in the ordinary course of business to hedge or mitigate risks to which Holdings, the Borrower or any of their respective Subsidiaries is exposed in the conduct of its business or the management of its liabilities. Solely for the avoidance of doubt, Holdings and the Borrower hereby acknowledge that a Hedging Transaction entered into for speculative purposes or of a speculative nature (which shall be deemed to include any Hedging Transaction under which Holdings, the Borrower or any of their respective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190"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b w:val="1"/>
          <w:bCs w:val="1"/>
          <w:u w:val="single" w:color="auto"/>
          <w:color w:val="auto"/>
        </w:rPr>
        <w:t>Amendment to Material Documents</w:t>
      </w:r>
      <w:r>
        <w:rPr>
          <w:rFonts w:ascii="Arial" w:cs="Arial" w:eastAsia="Arial" w:hAnsi="Arial"/>
          <w:sz w:val="19"/>
          <w:szCs w:val="19"/>
          <w:color w:val="auto"/>
        </w:rPr>
        <w:t>. Other than to the extent expressly required by any Insurance Regulatory Authority with respect to any Insurance Subsidiary or Subsidiary thereof, Holdings and the Borrower shall not, and shall not permit any of their respective Subsidiaries to, amend, modify or waive any of its rights under (a) its certificate of incorporation, bylaws or other organizational documents or (b) any Material Agreements, except in any manner that would not have an adverse effect on the Lenders or the Administrative Agent in any material respect (or, in the case of any Pari Lien Debt Document (or any document governing any Permitted Refinancing thereof), as permitted by any Market Intercreditor Agreement).</w:t>
      </w:r>
    </w:p>
    <w:p>
      <w:pPr>
        <w:spacing w:after="0" w:line="187"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b w:val="1"/>
          <w:bCs w:val="1"/>
          <w:u w:val="single" w:color="auto"/>
          <w:color w:val="auto"/>
        </w:rPr>
        <w:t>Activities of Holdings</w:t>
      </w:r>
      <w:r>
        <w:rPr>
          <w:rFonts w:ascii="Arial" w:cs="Arial" w:eastAsia="Arial" w:hAnsi="Arial"/>
          <w:sz w:val="18"/>
          <w:szCs w:val="18"/>
          <w:color w:val="auto"/>
        </w:rPr>
        <w:t>. Notwithstanding anything to the contrary contained herein, Holdings shall not engage in any business or other activity other than (a) maintaining its existence, including, without limitation, (i) participating in tax, accounting and other administrative matters, (ii) filing Tax returns and reports and paying Taxes and other customary obligations related thereto in the ordinary course (and contesting any Taxes in good faith, if applicable), (iii) holding director and member meetings, preparing organizational records and other organizational activities required to maintain its separate organizational structure and (iv) complying with any applicable law, and activities incidental to the foregoing, (b) holding and maintaining its interest in the Capital Stock of, and making Investments in, the Borrower, (c) performing its Obligations under this Agreement and the other Loan Documents and other Affiliate transactions, Indebtedness and Guarantees permitted hereunder (including, without limitation, Guarantees of the Subordinated Debt and obligations under any Pari Lien Debt Document (if any) and any Permitted Refinancing thereof and any actions in connection with the issuance of Permitted Convertible Indebtedness), and actions incidental thereto, including, without limitation, the granting of Liens permitted hereby,</w:t>
      </w:r>
    </w:p>
    <w:p>
      <w:pPr>
        <w:spacing w:after="0" w:line="4" w:lineRule="exact"/>
        <w:rPr>
          <w:sz w:val="20"/>
          <w:szCs w:val="20"/>
          <w:color w:val="auto"/>
        </w:rPr>
      </w:pPr>
    </w:p>
    <w:p>
      <w:pPr>
        <w:jc w:val="both"/>
        <w:ind w:firstLine="5"/>
        <w:spacing w:after="0" w:line="238" w:lineRule="auto"/>
        <w:tabs>
          <w:tab w:leader="none" w:pos="34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issuing, selling, purchasing, re-purchasing or registering its own Qualified Capital Stock, (e) preparing reports to Governmental Authorities and/or to its shareholders, (f) holding cash and Permitted Investments and other assets received in connection with Restricted Payments received from, or Investments made by, the Borrower, in each case, to the extent permitted hereby, (g) providing indemnification for its current or former officers, directors, members of management, managers, employees and advisors or consultants, (h) performing its obligations under the transactions with respect to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0060"/>
          </w:cols>
          <w:pgMar w:left="1380" w:top="1296" w:right="459" w:bottom="1440" w:gutter="0" w:footer="0" w:header="0"/>
        </w:sectPr>
      </w:pPr>
    </w:p>
    <w:bookmarkStart w:id="140" w:name="page141"/>
    <w:bookmarkEnd w:id="140"/>
    <w:p>
      <w:pPr>
        <w:spacing w:after="0" w:line="167" w:lineRule="exact"/>
        <w:rPr>
          <w:sz w:val="20"/>
          <w:szCs w:val="20"/>
          <w:color w:val="auto"/>
        </w:rPr>
      </w:pPr>
    </w:p>
    <w:p>
      <w:pPr>
        <w:jc w:val="both"/>
        <w:spacing w:after="0" w:line="213" w:lineRule="auto"/>
        <w:rPr>
          <w:sz w:val="20"/>
          <w:szCs w:val="20"/>
          <w:color w:val="auto"/>
        </w:rPr>
      </w:pPr>
      <w:r>
        <w:rPr>
          <w:rFonts w:ascii="Arial" w:cs="Arial" w:eastAsia="Arial" w:hAnsi="Arial"/>
          <w:sz w:val="19"/>
          <w:szCs w:val="19"/>
          <w:color w:val="auto"/>
        </w:rPr>
        <w:t xml:space="preserve">that are otherwise specifically permitted or expressly contemplated by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 the maintenance and administration of equity option and equity ownership plans and activities incidental thereto, (j) making any payments, dividends, distributions, issuances or other activities permitted pursuant to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7.19</w:t>
      </w:r>
      <w:r>
        <w:rPr>
          <w:rFonts w:ascii="Arial" w:cs="Arial" w:eastAsia="Arial" w:hAnsi="Arial"/>
          <w:sz w:val="19"/>
          <w:szCs w:val="19"/>
          <w:color w:val="auto"/>
        </w:rPr>
        <w:t>, as applicable, (k) any activities incidental to, required by or deemed appropriate under applicable state and federal securities laws, stock exchange rules and/or other regulations or otherwise in connection with being a publicly traded company required to file reports with the SEC under the Exchange Act, including, without limitation, investor and shareholder relations activities and (l) performing activities incidental to any of the foregoing.</w:t>
      </w:r>
    </w:p>
    <w:p>
      <w:pPr>
        <w:spacing w:after="0" w:line="187"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b w:val="1"/>
          <w:bCs w:val="1"/>
          <w:u w:val="single" w:color="auto"/>
          <w:color w:val="auto"/>
        </w:rPr>
        <w:t>Accounting Changes</w:t>
      </w:r>
      <w:r>
        <w:rPr>
          <w:rFonts w:ascii="Arial" w:cs="Arial" w:eastAsia="Arial" w:hAnsi="Arial"/>
          <w:sz w:val="19"/>
          <w:szCs w:val="19"/>
          <w:color w:val="auto"/>
        </w:rPr>
        <w:t>. Holdings and the Borrower shall not, and shall not permit any of their respective Subsidiaries to, make any significant change in accounting treatment or reporting practices, except as required by GAAP (or SAP), or change the Fiscal Year of Holdings or the fiscal year of any of its Subsidiaries, except to change the fiscal year of a Subsidiary to conform its fiscal year to that of Holdings.</w:t>
      </w:r>
    </w:p>
    <w:p>
      <w:pPr>
        <w:spacing w:after="0" w:line="185"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b w:val="1"/>
          <w:bCs w:val="1"/>
          <w:u w:val="single" w:color="auto"/>
          <w:color w:val="auto"/>
        </w:rPr>
        <w:t>Underwriting Risks</w:t>
      </w:r>
      <w:r>
        <w:rPr>
          <w:rFonts w:ascii="Arial" w:cs="Arial" w:eastAsia="Arial" w:hAnsi="Arial"/>
          <w:sz w:val="19"/>
          <w:szCs w:val="19"/>
          <w:color w:val="auto"/>
        </w:rPr>
        <w:t xml:space="preserve">. Holdings and the Borrower shall not, and shall not permit any of their respective Subsidiaries to, undertake any underwriting risk inconsistent with their historical and customary practices in the ordinary course of business (it being understood and agreed that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shall not prohibit Holdings and its Subsidiaries from entering into additional lines of property and casualty insurance business).</w:t>
      </w:r>
    </w:p>
    <w:p>
      <w:pPr>
        <w:spacing w:after="0" w:line="172"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b w:val="1"/>
          <w:bCs w:val="1"/>
          <w:u w:val="single" w:color="auto"/>
          <w:color w:val="auto"/>
        </w:rPr>
        <w:t>Insurance Subsidiaries</w:t>
      </w:r>
      <w:r>
        <w:rPr>
          <w:rFonts w:ascii="Arial" w:cs="Arial" w:eastAsia="Arial" w:hAnsi="Arial"/>
          <w:sz w:val="18"/>
          <w:szCs w:val="18"/>
          <w:color w:val="auto"/>
        </w:rPr>
        <w:t xml:space="preserve">. Notwithstanding anything herein to the contrary, without the prior written consent of the Required Lenders, Holdings and the Borrower shall not, and shall not permit any of their respective Subsidiaries (including, for the avoidance of doubt, Insurance Subsidiaries) to permit: (a) a material change in the nature of the businesses that RIC conducts or is otherwise engaged in as of the Closing Date; (b) the discounting (except for prompt payment discounts) or sale by any of the Insurance Subsidiaries of any of their notes or accounts receivable, other than in connection with the collection, settlement or compromise thereof in the ordinary course of business; (c) any one or more material Insurance Licenses of any of the Insurance Subsidiaries to be suspended, limited or terminated or not be renewed; and (d) the Borrower or its Subsidiaries (including, for the avoidance of doubt, all Insurance Subsidiaries and any reinsurance Subsidiaries) to fail to maintain, (i) excess of loss reinsurance with a maximum limit in an amount no less than $500,000 per policy (or per occurrence) and (ii) catastrophe reinsurance that permits the ability to cede losses in excess of a retention no greater than 1.65% of trailing twelve months Gross Earned Premium as of the most recent Fiscal Month-end, in the case of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and Fiscal Quarter-end, in the case of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as applicable (but at no time shall such amount exceed $40,000,000);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reinsurance company Subsidiary, such reinsurance company Subsidiary shall be permitted to maintain its own reinsurance arrangements or otherwise limit such exposure by virtue of its relationship with other Insurance Subsidiaries’ other reinsurance contracts, in each case, so long as such reinsurance arrangements or other limitation on exposure is in form and substance reasonably acceptable to the Administrative Agent.</w:t>
      </w:r>
    </w:p>
    <w:p>
      <w:pPr>
        <w:spacing w:after="0" w:line="198"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b w:val="1"/>
          <w:bCs w:val="1"/>
          <w:u w:val="single" w:color="auto"/>
          <w:color w:val="auto"/>
        </w:rPr>
        <w:t>Sanctions and Anti-Corruption Laws</w:t>
      </w:r>
      <w:r>
        <w:rPr>
          <w:rFonts w:ascii="Arial" w:cs="Arial" w:eastAsia="Arial" w:hAnsi="Arial"/>
          <w:sz w:val="19"/>
          <w:szCs w:val="19"/>
          <w:color w:val="auto"/>
        </w:rPr>
        <w:t>. Holdings and the Borrower shall not, and shall not permit any Subsidiary to, request any Loan, directly or indirectly, (x) use the proceeds of any Loan or (y) knowingly lend, contribute or otherwise make available such proceeds to any subsidiary, joint venture partner or other Person (i) to fund any activities or business of, or with, any Sanctioned Country or Sanctioned Person, (ii) in any other manner that would result in a violation of Sanctions by any Person (including any Person participating in the Loans) or (iii) in furtherance of an offer, payment, promise to pay or authorization of the payment or giving of money or anything else of value to any Person in violation of applicable 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85</w:t>
      </w:r>
    </w:p>
    <w:p>
      <w:pPr>
        <w:sectPr>
          <w:pgSz w:w="11900" w:h="16838" w:orient="portrait"/>
          <w:cols w:equalWidth="0" w:num="1">
            <w:col w:w="10060"/>
          </w:cols>
          <w:pgMar w:left="1380" w:top="1440" w:right="459" w:bottom="1440" w:gutter="0" w:footer="0" w:header="0"/>
        </w:sectPr>
      </w:pPr>
    </w:p>
    <w:bookmarkStart w:id="141" w:name="page142"/>
    <w:bookmarkEnd w:id="141"/>
    <w:p>
      <w:pPr>
        <w:spacing w:after="0" w:line="161"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b w:val="1"/>
          <w:bCs w:val="1"/>
          <w:u w:val="single" w:color="auto"/>
          <w:color w:val="auto"/>
        </w:rPr>
        <w:t>Reinsurance Companies</w:t>
      </w:r>
      <w:r>
        <w:rPr>
          <w:rFonts w:ascii="Arial" w:cs="Arial" w:eastAsia="Arial" w:hAnsi="Arial"/>
          <w:sz w:val="19"/>
          <w:szCs w:val="19"/>
          <w:color w:val="auto"/>
        </w:rPr>
        <w:t xml:space="preserve">. Holdings and the Borrower shall not, and shall not permit any Subsidiary to, own or hold any Investment in, nor create or acquire any reinsurance company, in each case, excluding RRC and any Investments in RRC expressly permitted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of this Agreement.</w:t>
      </w:r>
    </w:p>
    <w:p>
      <w:pPr>
        <w:spacing w:after="0" w:line="172"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7"/>
          <w:szCs w:val="17"/>
          <w:color w:val="auto"/>
        </w:rPr>
        <w:t xml:space="preserve">Section 7.18. </w:t>
      </w:r>
      <w:r>
        <w:rPr>
          <w:rFonts w:ascii="Arial" w:cs="Arial" w:eastAsia="Arial" w:hAnsi="Arial"/>
          <w:sz w:val="17"/>
          <w:szCs w:val="17"/>
          <w:b w:val="1"/>
          <w:bCs w:val="1"/>
          <w:u w:val="single" w:color="auto"/>
          <w:color w:val="auto"/>
        </w:rPr>
        <w:t>Other Liens and Guarantees</w:t>
      </w:r>
      <w:r>
        <w:rPr>
          <w:rFonts w:ascii="Arial" w:cs="Arial" w:eastAsia="Arial" w:hAnsi="Arial"/>
          <w:sz w:val="17"/>
          <w:szCs w:val="17"/>
          <w:color w:val="auto"/>
        </w:rPr>
        <w:t>. Notwithstanding anything to the contrary in this Agreement or any other Loan Document, Holdings and the Borrower shall not, and shall not permit any of their respective Subsidiaries to, (i) create, incur, assume or suffer to exist any Lien on any of its assets or property now owned or hereafter acquired, in each case, securing any Pari Lien Debt, unless the Loans are secured by a valid and enforceable, first priority perfected Lien on such assets or property or (ii) Guarantee any Pari Lien Debt unless the Loans are Guaranteed on a pari passu basis with such Guarantee.</w:t>
      </w:r>
    </w:p>
    <w:p>
      <w:pPr>
        <w:spacing w:after="0" w:line="182"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b w:val="1"/>
          <w:bCs w:val="1"/>
          <w:u w:val="single" w:color="auto"/>
          <w:color w:val="auto"/>
        </w:rPr>
        <w:t>Restricted Debt Payments</w:t>
      </w:r>
      <w:r>
        <w:rPr>
          <w:rFonts w:ascii="Arial" w:cs="Arial" w:eastAsia="Arial" w:hAnsi="Arial"/>
          <w:sz w:val="19"/>
          <w:szCs w:val="19"/>
          <w:color w:val="auto"/>
        </w:rPr>
        <w:t xml:space="preserve">. Holdings and the Borrower shall not, and shall not permit any of their respective Subsidiaries to, make any payment or prepayment in cash, securities or other property on, or in respect of, principal of, or interest on, any (i) Subordinated Debt, (ii) Indebtedness permitted pursuant to </w:t>
      </w:r>
      <w:r>
        <w:rPr>
          <w:rFonts w:ascii="Arial" w:cs="Arial" w:eastAsia="Arial" w:hAnsi="Arial"/>
          <w:sz w:val="19"/>
          <w:szCs w:val="19"/>
          <w:u w:val="single" w:color="auto"/>
          <w:color w:val="auto"/>
        </w:rPr>
        <w:t>Section 7.1(p)</w:t>
      </w:r>
      <w:r>
        <w:rPr>
          <w:rFonts w:ascii="Arial" w:cs="Arial" w:eastAsia="Arial" w:hAnsi="Arial"/>
          <w:sz w:val="19"/>
          <w:szCs w:val="19"/>
          <w:color w:val="auto"/>
        </w:rPr>
        <w:t xml:space="preserve">, (iii) Indebtedness permitted pursuant to </w:t>
      </w:r>
      <w:r>
        <w:rPr>
          <w:rFonts w:ascii="Arial" w:cs="Arial" w:eastAsia="Arial" w:hAnsi="Arial"/>
          <w:sz w:val="19"/>
          <w:szCs w:val="19"/>
          <w:u w:val="single" w:color="auto"/>
          <w:color w:val="auto"/>
        </w:rPr>
        <w:t>Section 7.1(r)</w:t>
      </w:r>
      <w:r>
        <w:rPr>
          <w:rFonts w:ascii="Arial" w:cs="Arial" w:eastAsia="Arial" w:hAnsi="Arial"/>
          <w:sz w:val="19"/>
          <w:szCs w:val="19"/>
          <w:color w:val="auto"/>
        </w:rPr>
        <w:t xml:space="preserve"> (including, for the avoidance of doubt, PIK Debt) and (iv) Pari Lien Debt (all such Indebtedness, collectively, the “</w:t>
      </w:r>
      <w:r>
        <w:rPr>
          <w:rFonts w:ascii="Arial" w:cs="Arial" w:eastAsia="Arial" w:hAnsi="Arial"/>
          <w:sz w:val="19"/>
          <w:szCs w:val="19"/>
          <w:u w:val="single" w:color="auto"/>
          <w:color w:val="auto"/>
        </w:rPr>
        <w:t>Restricted Debt</w:t>
      </w:r>
      <w:r>
        <w:rPr>
          <w:rFonts w:ascii="Arial" w:cs="Arial" w:eastAsia="Arial" w:hAnsi="Arial"/>
          <w:sz w:val="19"/>
          <w:szCs w:val="19"/>
          <w:color w:val="auto"/>
        </w:rPr>
        <w:t>”), including any sinking fund or similar deposit, on account of the purchase, redemption, retirement, defeasance, acquisition, cancellation or termination of any Restricted Debt (collectively, “</w:t>
      </w:r>
      <w:r>
        <w:rPr>
          <w:rFonts w:ascii="Arial" w:cs="Arial" w:eastAsia="Arial" w:hAnsi="Arial"/>
          <w:sz w:val="19"/>
          <w:szCs w:val="19"/>
          <w:u w:val="single" w:color="auto"/>
          <w:color w:val="auto"/>
        </w:rPr>
        <w:t>Restricted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except:</w:t>
      </w:r>
    </w:p>
    <w:p>
      <w:pPr>
        <w:spacing w:after="0" w:line="272" w:lineRule="exact"/>
        <w:rPr>
          <w:sz w:val="20"/>
          <w:szCs w:val="20"/>
          <w:color w:val="auto"/>
        </w:rPr>
      </w:pPr>
    </w:p>
    <w:p>
      <w:pPr>
        <w:jc w:val="both"/>
        <w:ind w:firstLine="1277"/>
        <w:spacing w:after="0" w:line="215" w:lineRule="auto"/>
        <w:tabs>
          <w:tab w:leader="none" w:pos="211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Restricted Debt Payments (other than payments with respect to (x) the Contingent Line of Credit, (y) any Subordinated Debt to the extent prohibited by the subordination provisions thereof and (z) any Pari Lien Debt to the extent prohibited by the applicable Market Intercreditor Agreement) consisting of (i) regularly scheduled interest payments as and when due in respect of any Restricted Debt and (ii) dividends in respect of Permitted Convertible Indebtedness permitted pursuant to </w:t>
      </w:r>
      <w:r>
        <w:rPr>
          <w:rFonts w:ascii="Arial" w:cs="Arial" w:eastAsia="Arial" w:hAnsi="Arial"/>
          <w:sz w:val="19"/>
          <w:szCs w:val="19"/>
          <w:u w:val="single" w:color="auto"/>
          <w:color w:val="auto"/>
        </w:rPr>
        <w:t>Sections 7.1(r)</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7.1(p)</w:t>
      </w:r>
      <w:r>
        <w:rPr>
          <w:rFonts w:ascii="Arial" w:cs="Arial" w:eastAsia="Arial" w:hAnsi="Arial"/>
          <w:sz w:val="19"/>
          <w:szCs w:val="19"/>
          <w:color w:val="auto"/>
        </w:rPr>
        <w:t>, in each case, solely to the extent such dividends are regularly scheduled and in a fixed amount (or fixed percentage);</w:t>
      </w:r>
    </w:p>
    <w:p>
      <w:pPr>
        <w:spacing w:after="0" w:line="177" w:lineRule="exact"/>
        <w:rPr>
          <w:rFonts w:ascii="Arial" w:cs="Arial" w:eastAsia="Arial" w:hAnsi="Arial"/>
          <w:sz w:val="19"/>
          <w:szCs w:val="19"/>
          <w:color w:val="auto"/>
        </w:rPr>
      </w:pPr>
    </w:p>
    <w:p>
      <w:pPr>
        <w:jc w:val="both"/>
        <w:ind w:firstLine="1277"/>
        <w:spacing w:after="0" w:line="226" w:lineRule="auto"/>
        <w:tabs>
          <w:tab w:leader="none" w:pos="210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Restricted Debt Payments (x) as a result of the conversion or exchange of all or any portion of Permitted Convertible Indebtedness into or for Qualified Capital Stock of Holdings as well as cash payment, in lieu of issuance of fractional shares, in connection therewith or (y) in the form of payment in kind;</w:t>
      </w:r>
    </w:p>
    <w:p>
      <w:pPr>
        <w:spacing w:after="0" w:line="191" w:lineRule="exact"/>
        <w:rPr>
          <w:rFonts w:ascii="Arial" w:cs="Arial" w:eastAsia="Arial" w:hAnsi="Arial"/>
          <w:sz w:val="19"/>
          <w:szCs w:val="19"/>
          <w:color w:val="auto"/>
        </w:rPr>
      </w:pPr>
    </w:p>
    <w:p>
      <w:pPr>
        <w:jc w:val="both"/>
        <w:ind w:firstLine="1278"/>
        <w:spacing w:after="0" w:line="220" w:lineRule="auto"/>
        <w:tabs>
          <w:tab w:leader="none" w:pos="211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except to the extent prohibited by the intercreditor or subordination provisions applicable to the relevant Restricted Debt, repayments of principal and interest of any Indebtedness permitted hereunder with the proceeds of a Permitted Refinancing thereof or by exchange or conversion to Qualified Capital Stock of Holdings as well as cash payment, in lieu of issuance of fractional shares in connection therewith;</w:t>
      </w:r>
    </w:p>
    <w:p>
      <w:pPr>
        <w:spacing w:after="0" w:line="205" w:lineRule="exact"/>
        <w:rPr>
          <w:rFonts w:ascii="Arial" w:cs="Arial" w:eastAsia="Arial" w:hAnsi="Arial"/>
          <w:sz w:val="19"/>
          <w:szCs w:val="19"/>
          <w:color w:val="auto"/>
        </w:rPr>
      </w:pPr>
    </w:p>
    <w:p>
      <w:pPr>
        <w:ind w:firstLine="1278"/>
        <w:spacing w:after="0" w:line="278" w:lineRule="auto"/>
        <w:tabs>
          <w:tab w:leader="none" w:pos="210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so long as no Default or Event of Default exists or would result therefrom, payments under any Pari Lien Debt to the extent permitted under the applicable Market Intercreditor Agreement; and</w:t>
      </w:r>
    </w:p>
    <w:p>
      <w:pPr>
        <w:spacing w:after="0" w:line="164" w:lineRule="exact"/>
        <w:rPr>
          <w:rFonts w:ascii="Arial" w:cs="Arial" w:eastAsia="Arial" w:hAnsi="Arial"/>
          <w:sz w:val="19"/>
          <w:szCs w:val="19"/>
          <w:color w:val="auto"/>
        </w:rPr>
      </w:pPr>
    </w:p>
    <w:p>
      <w:pPr>
        <w:ind w:left="2120" w:hanging="843"/>
        <w:spacing w:after="0"/>
        <w:tabs>
          <w:tab w:leader="none" w:pos="21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Restricted Debt Payments (to the extent applicable) with respect to any Indebtedness under the</w:t>
      </w:r>
    </w:p>
    <w:p>
      <w:pPr>
        <w:spacing w:after="0"/>
        <w:rPr>
          <w:rFonts w:ascii="Arial" w:cs="Arial" w:eastAsia="Arial" w:hAnsi="Arial"/>
          <w:sz w:val="18"/>
          <w:szCs w:val="18"/>
          <w:color w:val="auto"/>
        </w:rPr>
      </w:pPr>
      <w:r>
        <w:rPr>
          <w:rFonts w:ascii="Arial" w:cs="Arial" w:eastAsia="Arial" w:hAnsi="Arial"/>
          <w:sz w:val="19"/>
          <w:szCs w:val="19"/>
          <w:color w:val="auto"/>
        </w:rPr>
        <w:t>Carvana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86</w:t>
      </w:r>
    </w:p>
    <w:p>
      <w:pPr>
        <w:sectPr>
          <w:pgSz w:w="11900" w:h="16838" w:orient="portrait"/>
          <w:cols w:equalWidth="0" w:num="1">
            <w:col w:w="10060"/>
          </w:cols>
          <w:pgMar w:left="1380" w:top="1440" w:right="459" w:bottom="1440" w:gutter="0" w:footer="0" w:header="0"/>
        </w:sectPr>
      </w:pPr>
    </w:p>
    <w:bookmarkStart w:id="142" w:name="page143"/>
    <w:bookmarkEnd w:id="142"/>
    <w:p>
      <w:pPr>
        <w:spacing w:after="0" w:line="161" w:lineRule="exact"/>
        <w:rPr>
          <w:sz w:val="20"/>
          <w:szCs w:val="20"/>
          <w:color w:val="auto"/>
        </w:rPr>
      </w:pPr>
    </w:p>
    <w:p>
      <w:pPr>
        <w:jc w:val="center"/>
        <w:ind w:right="940"/>
        <w:spacing w:after="0"/>
        <w:rPr>
          <w:sz w:val="20"/>
          <w:szCs w:val="20"/>
          <w:color w:val="auto"/>
        </w:rPr>
      </w:pPr>
      <w:r>
        <w:rPr>
          <w:rFonts w:ascii="Arial" w:cs="Arial" w:eastAsia="Arial" w:hAnsi="Arial"/>
          <w:sz w:val="19"/>
          <w:szCs w:val="19"/>
          <w:b w:val="1"/>
          <w:bCs w:val="1"/>
          <w:u w:val="single" w:color="auto"/>
          <w:color w:val="auto"/>
        </w:rPr>
        <w:t>ARTICLE VIII</w:t>
      </w:r>
    </w:p>
    <w:p>
      <w:pPr>
        <w:spacing w:after="0" w:line="298" w:lineRule="exact"/>
        <w:rPr>
          <w:sz w:val="20"/>
          <w:szCs w:val="20"/>
          <w:color w:val="auto"/>
        </w:rPr>
      </w:pPr>
    </w:p>
    <w:p>
      <w:pPr>
        <w:ind w:left="3540"/>
        <w:spacing w:after="0"/>
        <w:rPr>
          <w:sz w:val="20"/>
          <w:szCs w:val="20"/>
          <w:color w:val="auto"/>
        </w:rPr>
      </w:pPr>
      <w:r>
        <w:rPr>
          <w:rFonts w:ascii="Arial" w:cs="Arial" w:eastAsia="Arial" w:hAnsi="Arial"/>
          <w:sz w:val="19"/>
          <w:szCs w:val="19"/>
          <w:b w:val="1"/>
          <w:bCs w:val="1"/>
          <w:u w:val="single" w:color="auto"/>
          <w:color w:val="auto"/>
        </w:rPr>
        <w:t>EVENTS OF DEFAULT</w:t>
      </w:r>
    </w:p>
    <w:p>
      <w:pPr>
        <w:spacing w:after="0" w:line="29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51" w:lineRule="exact"/>
        <w:rPr>
          <w:sz w:val="20"/>
          <w:szCs w:val="20"/>
          <w:color w:val="auto"/>
        </w:rPr>
      </w:pPr>
    </w:p>
    <w:p>
      <w:pPr>
        <w:ind w:firstLine="1277"/>
        <w:spacing w:after="0" w:line="278" w:lineRule="auto"/>
        <w:tabs>
          <w:tab w:leader="none" w:pos="211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Borrower shall fail to pay any principal of any Loan, when and as the same shall become due and payable, whether at the due date thereof or at a date fixed for prepayment or otherwise; or</w:t>
      </w:r>
    </w:p>
    <w:p>
      <w:pPr>
        <w:spacing w:after="0" w:line="169" w:lineRule="exact"/>
        <w:rPr>
          <w:rFonts w:ascii="Arial" w:cs="Arial" w:eastAsia="Arial" w:hAnsi="Arial"/>
          <w:sz w:val="19"/>
          <w:szCs w:val="19"/>
          <w:color w:val="auto"/>
        </w:rPr>
      </w:pPr>
    </w:p>
    <w:p>
      <w:pPr>
        <w:jc w:val="both"/>
        <w:ind w:firstLine="1277"/>
        <w:spacing w:after="0" w:line="220" w:lineRule="auto"/>
        <w:tabs>
          <w:tab w:leader="none" w:pos="210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the Borrower shall fail to pay any interest on any Loan or any fee or any other amount (other than an amount payable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of this Section) payable under this Agreement or any other Loan Document, when and as the same shall become due and payable, and such failure shall continue unremedied for a period of three (3) continuous Business Days; or</w:t>
      </w:r>
    </w:p>
    <w:p>
      <w:pPr>
        <w:spacing w:after="0" w:line="192" w:lineRule="exact"/>
        <w:rPr>
          <w:rFonts w:ascii="Arial" w:cs="Arial" w:eastAsia="Arial" w:hAnsi="Arial"/>
          <w:sz w:val="19"/>
          <w:szCs w:val="19"/>
          <w:color w:val="auto"/>
        </w:rPr>
      </w:pPr>
    </w:p>
    <w:p>
      <w:pPr>
        <w:jc w:val="both"/>
        <w:ind w:firstLine="1277"/>
        <w:spacing w:after="0" w:line="212" w:lineRule="auto"/>
        <w:tabs>
          <w:tab w:leader="none" w:pos="211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Holdings, the Borrower or any of their Subsidiaries in, or in connection with, this Agreement or any other Loan Document (including the Schedules attached hereto and thereto), or in any amendment or modification hereof or waiver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191" w:lineRule="exact"/>
        <w:rPr>
          <w:rFonts w:ascii="Arial" w:cs="Arial" w:eastAsia="Arial" w:hAnsi="Arial"/>
          <w:sz w:val="19"/>
          <w:szCs w:val="19"/>
          <w:color w:val="auto"/>
        </w:rPr>
      </w:pPr>
    </w:p>
    <w:p>
      <w:pPr>
        <w:jc w:val="both"/>
        <w:ind w:firstLine="1277"/>
        <w:spacing w:after="0" w:line="218" w:lineRule="auto"/>
        <w:tabs>
          <w:tab w:leader="none" w:pos="210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(i) Holdings or the Borrower shall fail to observe or perform any covenant or agreement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5.2(a)(i)</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(with respect to legal existence), </w:t>
      </w:r>
      <w:r>
        <w:rPr>
          <w:rFonts w:ascii="Arial" w:cs="Arial" w:eastAsia="Arial" w:hAnsi="Arial"/>
          <w:sz w:val="18"/>
          <w:szCs w:val="18"/>
          <w:u w:val="single" w:color="auto"/>
          <w:color w:val="auto"/>
        </w:rPr>
        <w:t>5.8(b)(iii)(B)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(ii) Holdings or the Borrower shall fail to observe or perform the covenant contained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5.2(a)(v)</w:t>
      </w:r>
      <w:r>
        <w:rPr>
          <w:rFonts w:ascii="Arial" w:cs="Arial" w:eastAsia="Arial" w:hAnsi="Arial"/>
          <w:sz w:val="18"/>
          <w:szCs w:val="18"/>
          <w:color w:val="auto"/>
        </w:rPr>
        <w:t xml:space="preserve">, and such failure shall remain unremedied for ten (10) continuous Business Days after any officer of the Borrower becomes aware of such failure or (iii) Holdings or the Borrower shall fail to satisfy the covenant contained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for ten</w:t>
      </w:r>
    </w:p>
    <w:p>
      <w:pPr>
        <w:spacing w:after="0" w:line="3" w:lineRule="exact"/>
        <w:rPr>
          <w:rFonts w:ascii="Arial" w:cs="Arial" w:eastAsia="Arial" w:hAnsi="Arial"/>
          <w:sz w:val="18"/>
          <w:szCs w:val="18"/>
          <w:color w:val="auto"/>
        </w:rPr>
      </w:pPr>
    </w:p>
    <w:p>
      <w:pPr>
        <w:ind w:left="380" w:hanging="375"/>
        <w:spacing w:after="0"/>
        <w:tabs>
          <w:tab w:leader="none" w:pos="3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consecutive Business Days; or</w:t>
      </w:r>
    </w:p>
    <w:p>
      <w:pPr>
        <w:spacing w:after="0" w:line="189" w:lineRule="exact"/>
        <w:rPr>
          <w:rFonts w:ascii="Arial" w:cs="Arial" w:eastAsia="Arial" w:hAnsi="Arial"/>
          <w:sz w:val="19"/>
          <w:szCs w:val="19"/>
          <w:color w:val="auto"/>
        </w:rPr>
      </w:pPr>
    </w:p>
    <w:p>
      <w:pPr>
        <w:jc w:val="both"/>
        <w:ind w:firstLine="1277"/>
        <w:spacing w:after="0" w:line="214" w:lineRule="auto"/>
        <w:tabs>
          <w:tab w:leader="none" w:pos="211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any Loan Party shall fail to observe or perform any covenant or agreement contained in this Agreement (other than those referred to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or any other Loan Document, and such failure shall remain unremedied for thirty (30) days after the earlier of</w:t>
      </w:r>
    </w:p>
    <w:p>
      <w:pPr>
        <w:spacing w:after="0" w:line="1" w:lineRule="exact"/>
        <w:rPr>
          <w:rFonts w:ascii="Arial" w:cs="Arial" w:eastAsia="Arial" w:hAnsi="Arial"/>
          <w:sz w:val="19"/>
          <w:szCs w:val="19"/>
          <w:color w:val="auto"/>
        </w:rPr>
      </w:pPr>
    </w:p>
    <w:p>
      <w:pPr>
        <w:ind w:hanging="1"/>
        <w:spacing w:after="0" w:line="228" w:lineRule="auto"/>
        <w:rPr>
          <w:rFonts w:ascii="Arial" w:cs="Arial" w:eastAsia="Arial" w:hAnsi="Arial"/>
          <w:sz w:val="19"/>
          <w:szCs w:val="19"/>
          <w:color w:val="auto"/>
        </w:rPr>
      </w:pPr>
      <w:r>
        <w:rPr>
          <w:rFonts w:ascii="Arial" w:cs="Arial" w:eastAsia="Arial" w:hAnsi="Arial"/>
          <w:sz w:val="19"/>
          <w:szCs w:val="19"/>
          <w:color w:val="auto"/>
        </w:rPr>
        <w:t>(i) any officer of the Borrower becoming aware of such failure or (ii) notice thereof shall have been given to the Borrower by the Administrative Agent or any Lender; or</w:t>
      </w:r>
    </w:p>
    <w:p>
      <w:pPr>
        <w:spacing w:after="0" w:line="178" w:lineRule="exact"/>
        <w:rPr>
          <w:sz w:val="20"/>
          <w:szCs w:val="20"/>
          <w:color w:val="auto"/>
        </w:rPr>
      </w:pPr>
    </w:p>
    <w:p>
      <w:pPr>
        <w:jc w:val="both"/>
        <w:ind w:firstLine="1272"/>
        <w:spacing w:after="0" w:line="210" w:lineRule="auto"/>
        <w:rPr>
          <w:sz w:val="20"/>
          <w:szCs w:val="20"/>
          <w:color w:val="auto"/>
        </w:rPr>
      </w:pPr>
      <w:r>
        <w:rPr>
          <w:rFonts w:ascii="Arial" w:cs="Arial" w:eastAsia="Arial" w:hAnsi="Arial"/>
          <w:sz w:val="19"/>
          <w:szCs w:val="19"/>
          <w:color w:val="auto"/>
        </w:rPr>
        <w:t>(f)(i)(A) Holdings, the Borrower or any of their respective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(B) any other event shall occur or condition shall exist under the Pari Lien Debt Documents (if any), if the effect of such event or condition is to accelerate, or permit the acceleration of, the maturity of the Indebtedness thereunder; or (C)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0060"/>
          </w:cols>
          <w:pgMar w:left="1380" w:top="1440" w:right="459" w:bottom="1440" w:gutter="0" w:footer="0" w:header="0"/>
        </w:sectPr>
      </w:pPr>
    </w:p>
    <w:bookmarkStart w:id="143" w:name="page144"/>
    <w:bookmarkEnd w:id="143"/>
    <w:p>
      <w:pPr>
        <w:spacing w:after="0" w:line="16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 xml:space="preserve">of such Indebtedness; or (D)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in each case, excluding any prepayment or redemption requirements in connection with an asset sale or disposition permitted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of assets that secure Material Indebtedness (to the extent that the Material Indebtedness being required to be prepaid or redeemed secures only the assets that were sold); </w:t>
      </w:r>
      <w:r>
        <w:rPr>
          <w:rFonts w:ascii="Arial" w:cs="Arial" w:eastAsia="Arial" w:hAnsi="Arial"/>
          <w:sz w:val="18"/>
          <w:szCs w:val="18"/>
          <w:u w:val="single" w:color="auto"/>
          <w:color w:val="auto"/>
        </w:rPr>
        <w:t>provide</w:t>
      </w:r>
      <w:r>
        <w:rPr>
          <w:rFonts w:ascii="Arial" w:cs="Arial" w:eastAsia="Arial" w:hAnsi="Arial"/>
          <w:sz w:val="18"/>
          <w:szCs w:val="18"/>
          <w:color w:val="auto"/>
        </w:rPr>
        <w:t xml:space="preserve">d that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apply to any conversion or exchange of any Permitted Convertible Indebtedness or satisfaction of any condition giving rise to or permitting a conversion or exchange of any Permitted Convertible Indebtedness, in either case, into cash, Qualified Capital Stock of Holdings (and nominal cash payments in respect of fractional shares) or any combination thereof in accordance with the express terms or conditions thereof or (ii) there occurs under any Hedging Transaction an Early Termination Date (as defined in such Hedging Transaction) resulting from (x) any event of default under such Hedging Transaction as to which Holdings or any of its Subsidiaries is the Defaulting Party (as defined in such Hedging Transaction) and the Hedge Termination Value owed by Holdings or such Subsidiary as a result thereof is greater than the Threshold Amount or (y) any Termination Event (as so defined) under such Hedging Transaction as to which Holdings or any Subsidiary is an Affected Party (as so defined) and the Hedge Termination Value owed by Holdings or such Subsidiary as a result thereof is greater than the Threshold Amount and is not paid; or</w:t>
      </w:r>
    </w:p>
    <w:p>
      <w:pPr>
        <w:spacing w:after="0" w:line="198" w:lineRule="exact"/>
        <w:rPr>
          <w:sz w:val="20"/>
          <w:szCs w:val="20"/>
          <w:color w:val="auto"/>
        </w:rPr>
      </w:pPr>
    </w:p>
    <w:p>
      <w:pPr>
        <w:jc w:val="both"/>
        <w:ind w:firstLine="1277"/>
        <w:spacing w:after="0" w:line="211" w:lineRule="auto"/>
        <w:tabs>
          <w:tab w:leader="none" w:pos="210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Holdings, the Borrower or any of their respective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w:t>
      </w:r>
      <w:r>
        <w:rPr>
          <w:rFonts w:ascii="Arial" w:cs="Arial" w:eastAsia="Arial" w:hAnsi="Arial"/>
          <w:sz w:val="19"/>
          <w:szCs w:val="19"/>
          <w:u w:val="single" w:color="auto"/>
          <w:color w:val="auto"/>
        </w:rPr>
        <w:t>subsection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(g)</w:t>
      </w:r>
      <w:r>
        <w:rPr>
          <w:rFonts w:ascii="Arial" w:cs="Arial" w:eastAsia="Arial" w:hAnsi="Arial"/>
          <w:sz w:val="19"/>
          <w:szCs w:val="19"/>
          <w:color w:val="auto"/>
        </w:rPr>
        <w:t>, (iii) apply for, or consent to, the appointment of a custodian, trustee, receiver, liquidator or other similar official for Holdings or any such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92" w:lineRule="exact"/>
        <w:rPr>
          <w:rFonts w:ascii="Arial" w:cs="Arial" w:eastAsia="Arial" w:hAnsi="Arial"/>
          <w:sz w:val="19"/>
          <w:szCs w:val="19"/>
          <w:color w:val="auto"/>
        </w:rPr>
      </w:pPr>
    </w:p>
    <w:p>
      <w:pPr>
        <w:jc w:val="both"/>
        <w:ind w:firstLine="1277"/>
        <w:spacing w:after="0" w:line="226" w:lineRule="auto"/>
        <w:tabs>
          <w:tab w:leader="none" w:pos="210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Holdings or any of its Subsidiaries or its debts, or any substantial part of its assets, under any federal, state or foreign bankruptcy, insolvency or other similar law now or hereafter in effect or (ii) the appointment of a custodian, trustee, receiver, liquidator or other similar official for Holdings or any of its Subsidiaries or for a substantial part of its assets and, in any such case, such proceeding or petition shall remain undismissed for a period of sixty (60) days or an order or decree approving or ordering any of the foregoing shall be entered; or</w:t>
      </w:r>
    </w:p>
    <w:p>
      <w:pPr>
        <w:spacing w:after="0" w:line="182" w:lineRule="exact"/>
        <w:rPr>
          <w:rFonts w:ascii="Arial" w:cs="Arial" w:eastAsia="Arial" w:hAnsi="Arial"/>
          <w:sz w:val="18"/>
          <w:szCs w:val="18"/>
          <w:color w:val="auto"/>
        </w:rPr>
      </w:pPr>
    </w:p>
    <w:p>
      <w:pPr>
        <w:jc w:val="both"/>
        <w:ind w:firstLine="1277"/>
        <w:spacing w:after="0" w:line="238" w:lineRule="auto"/>
        <w:tabs>
          <w:tab w:leader="none" w:pos="148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after the effectiveness thereof, the provisions of any Market Intercreditor Agreement or any subordination agreement between the Administrative Agent and the agent for the Subordinated Debt ceases to be effective or ceases to be legally valid, binding and enforceable against the Persons party thereto, except in accordance with its terms; or</w:t>
      </w:r>
    </w:p>
    <w:p>
      <w:pPr>
        <w:spacing w:after="0" w:line="192" w:lineRule="exact"/>
        <w:rPr>
          <w:rFonts w:ascii="Arial" w:cs="Arial" w:eastAsia="Arial" w:hAnsi="Arial"/>
          <w:sz w:val="18"/>
          <w:szCs w:val="18"/>
          <w:color w:val="auto"/>
        </w:rPr>
      </w:pPr>
    </w:p>
    <w:p>
      <w:pPr>
        <w:ind w:firstLine="1277"/>
        <w:spacing w:after="0" w:line="237" w:lineRule="auto"/>
        <w:tabs>
          <w:tab w:leader="none" w:pos="148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Holdings, the Borrower or any of their respective Subsidiaries shall become unable to pay, shall admit in writing its inability to pay, or shall fail to pay, its debts as they become due; or</w:t>
      </w:r>
    </w:p>
    <w:p>
      <w:pPr>
        <w:spacing w:after="0" w:line="191" w:lineRule="exact"/>
        <w:rPr>
          <w:rFonts w:ascii="Arial" w:cs="Arial" w:eastAsia="Arial" w:hAnsi="Arial"/>
          <w:sz w:val="19"/>
          <w:szCs w:val="19"/>
          <w:color w:val="auto"/>
        </w:rPr>
      </w:pPr>
    </w:p>
    <w:p>
      <w:pPr>
        <w:jc w:val="both"/>
        <w:ind w:firstLine="1277"/>
        <w:spacing w:after="0" w:line="217" w:lineRule="auto"/>
        <w:tabs>
          <w:tab w:leader="none" w:pos="210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 an ERISA Event shall have occurred that, when taken together with other ERISA Events that have occurred, would reasonably be expected to result in liability to Holdings, the Borrower or any of their respective Subsidiaries in an aggregate amount exceeding $10,000,000, (ii) the aggregate amount of Unfunded Pension Liabilities (not taking into account Plans with negative Unfunded Pension Liability) exceeds $10,000,000, or (iii) there is or arises any incurred Withdrawal Liability in an aggregate amount exceeding $10,000,000;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88</w:t>
      </w:r>
    </w:p>
    <w:p>
      <w:pPr>
        <w:sectPr>
          <w:pgSz w:w="11900" w:h="16838" w:orient="portrait"/>
          <w:cols w:equalWidth="0" w:num="1">
            <w:col w:w="10060"/>
          </w:cols>
          <w:pgMar w:left="1380" w:top="1440" w:right="459" w:bottom="1440" w:gutter="0" w:footer="0" w:header="0"/>
        </w:sectPr>
      </w:pPr>
    </w:p>
    <w:bookmarkStart w:id="144" w:name="page145"/>
    <w:bookmarkEnd w:id="144"/>
    <w:p>
      <w:pPr>
        <w:jc w:val="both"/>
        <w:ind w:firstLine="1277"/>
        <w:spacing w:after="0" w:line="215" w:lineRule="auto"/>
        <w:tabs>
          <w:tab w:leader="none" w:pos="148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judgment, order for the payment of money, writ, warrant of attachment or similar process involving an amount (to the extent not paid or covered by insurance as to which the relevant insurance company has not denied coverage) in excess of $10,000,000 in the aggregate shall be rendered against Holdings or any of its Subsidiaries and, either (i) enforcement proceedings shall have been commenced by any creditor upon such judgment or order or (ii) there shall be a period of thirty (30) consecutive days during which a stay of enforcement of such judgment or order, by reason of a pending appeal or otherwise, shall not be in effect; or</w:t>
      </w:r>
    </w:p>
    <w:p>
      <w:pPr>
        <w:spacing w:after="0" w:line="184" w:lineRule="exact"/>
        <w:rPr>
          <w:rFonts w:ascii="Arial" w:cs="Arial" w:eastAsia="Arial" w:hAnsi="Arial"/>
          <w:sz w:val="19"/>
          <w:szCs w:val="19"/>
          <w:color w:val="auto"/>
        </w:rPr>
      </w:pPr>
    </w:p>
    <w:p>
      <w:pPr>
        <w:jc w:val="both"/>
        <w:ind w:firstLine="1276"/>
        <w:spacing w:after="0" w:line="222" w:lineRule="auto"/>
        <w:tabs>
          <w:tab w:leader="none" w:pos="210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non</w:t>
      </w:r>
      <w:r>
        <w:rPr>
          <w:rFonts w:ascii="Arial" w:cs="Arial" w:eastAsia="Arial" w:hAnsi="Arial"/>
          <w:sz w:val="19"/>
          <w:szCs w:val="19"/>
          <w:b w:val="1"/>
          <w:bCs w:val="1"/>
          <w:color w:val="auto"/>
        </w:rPr>
        <w:t>-</w:t>
      </w:r>
      <w:r>
        <w:rPr>
          <w:rFonts w:ascii="Arial" w:cs="Arial" w:eastAsia="Arial" w:hAnsi="Arial"/>
          <w:sz w:val="19"/>
          <w:szCs w:val="19"/>
          <w:color w:val="auto"/>
        </w:rPr>
        <w:t>monetary judgment or order shall be rendered against Holdings or any of its Subsidiaries that would reasonably be expected, either individually or in the aggregate, to have a Material Adverse Effect, and there shall be a period of thirty (30) consecutive days during which a stay of enforcement of such judgment or order, by reason of a pending appeal or otherwise, shall not be in effect; or</w:t>
      </w:r>
    </w:p>
    <w:p>
      <w:pPr>
        <w:spacing w:after="0" w:line="191" w:lineRule="exact"/>
        <w:rPr>
          <w:rFonts w:ascii="Arial" w:cs="Arial" w:eastAsia="Arial" w:hAnsi="Arial"/>
          <w:sz w:val="19"/>
          <w:szCs w:val="19"/>
          <w:color w:val="auto"/>
        </w:rPr>
      </w:pPr>
    </w:p>
    <w:p>
      <w:pPr>
        <w:jc w:val="both"/>
        <w:ind w:firstLine="1277"/>
        <w:spacing w:after="0" w:line="213" w:lineRule="auto"/>
        <w:tabs>
          <w:tab w:leader="none" w:pos="210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 the termination (without a substantially similar replacement as reasonably determined by the Required Lenders) of the RIC Authorized Producer Agreement or the RPC Authorized Producer Agreement, (ii) a decrease in rates charged under the RIC Authorized Producer Agreement of more than 5.0% in any Fiscal Quarter or more than 7.5% in the aggregate during the term of this Agreement, a decrease in rates charged under the RPC Authorized Producer Agreement of more than 5.0% in any Fiscal Quarter or more than 7.5% in the aggregate during the term of this Agreement or (iv) any other change to the RIC Authorized Producer Agreement or the RPC Authorized Producer Agreement that is adverse to the interests of the Lenders;</w:t>
      </w:r>
    </w:p>
    <w:p>
      <w:pPr>
        <w:spacing w:after="0" w:line="179" w:lineRule="exact"/>
        <w:rPr>
          <w:rFonts w:ascii="Arial" w:cs="Arial" w:eastAsia="Arial" w:hAnsi="Arial"/>
          <w:sz w:val="19"/>
          <w:szCs w:val="19"/>
          <w:color w:val="auto"/>
        </w:rPr>
      </w:pPr>
    </w:p>
    <w:p>
      <w:pPr>
        <w:jc w:val="both"/>
        <w:ind w:firstLine="1277"/>
        <w:spacing w:after="0" w:line="225" w:lineRule="auto"/>
        <w:tabs>
          <w:tab w:leader="none" w:pos="21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any court, Governmental Authority, including any Insurance Regulatory Authority, shall condemn, seize or otherwise appropriate, or take custody or control of, all or any portion of the property of Holdings, the Borrower or any of their respective Subsidiaries which, when taken together with all other property of Holdings, the Borrower and their respective Subsidiaries so condemned, seized, appropriated or taken custody or control of, during the twelve-month period ending with the month in which any such action occurs, exceeds $10,000,000, in each case, except to the extent Holdings, the Borrower or any of their respective Subsidiaries receive fair compensation in respect of such condemnation, seizure or appropriation and the net cash proceeds thereof are applied in accordance with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or</w:t>
      </w:r>
    </w:p>
    <w:p>
      <w:pPr>
        <w:spacing w:after="0" w:line="271" w:lineRule="exact"/>
        <w:rPr>
          <w:rFonts w:ascii="Arial" w:cs="Arial" w:eastAsia="Arial" w:hAnsi="Arial"/>
          <w:sz w:val="18"/>
          <w:szCs w:val="18"/>
          <w:color w:val="auto"/>
        </w:rPr>
      </w:pPr>
    </w:p>
    <w:p>
      <w:pPr>
        <w:jc w:val="both"/>
        <w:ind w:firstLine="1277"/>
        <w:spacing w:after="0" w:line="213" w:lineRule="auto"/>
        <w:tabs>
          <w:tab w:leader="none" w:pos="210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one or more licenses, permits, accreditations or authorizations of Holdings, the Borrower or any of their respective Subsidiaries, including any Insurance License with respect to any Insurance Subsidiary, shall be suspended, limited, modified or terminated or shall not be renewed, and such suspension, limitation, modification, termination or non-renewal would reasonably be expected to result in a Material Adverse Effect, or any other action shall be taken, by any Governmental Authority in response to any alleged failure by Holdings, the Borrower or any of their respective Subsidiaries to be in compliance with applicable law, and such action, individually or in the aggregate, has or would reasonably be expected to have a Material Adverse Effect;</w:t>
      </w:r>
    </w:p>
    <w:p>
      <w:pPr>
        <w:spacing w:after="0" w:line="179" w:lineRule="exact"/>
        <w:rPr>
          <w:rFonts w:ascii="Arial" w:cs="Arial" w:eastAsia="Arial" w:hAnsi="Arial"/>
          <w:sz w:val="19"/>
          <w:szCs w:val="19"/>
          <w:color w:val="auto"/>
        </w:rPr>
      </w:pPr>
    </w:p>
    <w:p>
      <w:pPr>
        <w:ind w:left="1900" w:hanging="623"/>
        <w:spacing w:after="0"/>
        <w:tabs>
          <w:tab w:leader="none" w:pos="19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 Change of Control shall occur or exist; or</w:t>
      </w:r>
    </w:p>
    <w:p>
      <w:pPr>
        <w:spacing w:after="0" w:line="219" w:lineRule="exact"/>
        <w:rPr>
          <w:sz w:val="20"/>
          <w:szCs w:val="20"/>
          <w:color w:val="auto"/>
        </w:rPr>
      </w:pPr>
    </w:p>
    <w:p>
      <w:pPr>
        <w:jc w:val="both"/>
        <w:ind w:firstLine="1272"/>
        <w:spacing w:after="0" w:line="232" w:lineRule="auto"/>
        <w:rPr>
          <w:sz w:val="20"/>
          <w:szCs w:val="20"/>
          <w:color w:val="auto"/>
        </w:rPr>
      </w:pPr>
      <w:r>
        <w:rPr>
          <w:rFonts w:ascii="Arial" w:cs="Arial" w:eastAsia="Arial" w:hAnsi="Arial"/>
          <w:sz w:val="18"/>
          <w:szCs w:val="18"/>
          <w:color w:val="auto"/>
        </w:rPr>
        <w:t xml:space="preserve">(r)any provision of the Guaranty and Security Agreement or any other Collateral Document shall for any reason cease to be valid and binding on, or enforceable against, any Loan Party, or any Loan Party shall so state in writing, or any Loan Party shall seek to terminate its obligations under the Guaranty and Security Agreement or any other Collateral Document (other than the release of any guaranty or collateral to the extent permitted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89</w:t>
      </w:r>
    </w:p>
    <w:p>
      <w:pPr>
        <w:sectPr>
          <w:pgSz w:w="11900" w:h="16838" w:orient="portrait"/>
          <w:cols w:equalWidth="0" w:num="1">
            <w:col w:w="10060"/>
          </w:cols>
          <w:pgMar w:left="1380" w:top="1302" w:right="459" w:bottom="1440" w:gutter="0" w:footer="0" w:header="0"/>
        </w:sectPr>
      </w:pPr>
    </w:p>
    <w:bookmarkStart w:id="145" w:name="page146"/>
    <w:bookmarkEnd w:id="145"/>
    <w:p>
      <w:pPr>
        <w:spacing w:after="0" w:line="180" w:lineRule="exact"/>
        <w:rPr>
          <w:sz w:val="20"/>
          <w:szCs w:val="20"/>
          <w:color w:val="auto"/>
        </w:rPr>
      </w:pPr>
    </w:p>
    <w:p>
      <w:pPr>
        <w:jc w:val="both"/>
        <w:ind w:firstLine="1272"/>
        <w:spacing w:after="0" w:line="263" w:lineRule="auto"/>
        <w:rPr>
          <w:sz w:val="20"/>
          <w:szCs w:val="20"/>
          <w:color w:val="auto"/>
        </w:rPr>
      </w:pPr>
      <w:r>
        <w:rPr>
          <w:rFonts w:ascii="Arial" w:cs="Arial" w:eastAsia="Arial" w:hAnsi="Arial"/>
          <w:sz w:val="19"/>
          <w:szCs w:val="19"/>
          <w:color w:val="auto"/>
        </w:rPr>
        <w:t>(s)any Lien purported to be created under any Collateral Document shall fail or cease to be, or shall be asserted by any Loan Party not to be, a valid and perfected Lien on any Collateral, with the priority required by the applicable Collateral Documents;</w:t>
      </w:r>
    </w:p>
    <w:p>
      <w:pPr>
        <w:spacing w:after="0" w:line="19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then, and in every such event (other than an event described in </w:t>
      </w:r>
      <w:r>
        <w:rPr>
          <w:rFonts w:ascii="Arial" w:cs="Arial" w:eastAsia="Arial" w:hAnsi="Arial"/>
          <w:sz w:val="18"/>
          <w:szCs w:val="18"/>
          <w:u w:val="single" w:color="auto"/>
          <w:color w:val="auto"/>
        </w:rPr>
        <w:t>subsection (g)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and Prepayment Premium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specified in either </w:t>
      </w:r>
      <w:r>
        <w:rPr>
          <w:rFonts w:ascii="Arial" w:cs="Arial" w:eastAsia="Arial" w:hAnsi="Arial"/>
          <w:sz w:val="18"/>
          <w:szCs w:val="18"/>
          <w:u w:val="single" w:color="auto"/>
          <w:color w:val="auto"/>
        </w:rPr>
        <w:t>subsection (g)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shall occur,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the Loan Parties.</w:t>
      </w:r>
    </w:p>
    <w:p>
      <w:pPr>
        <w:spacing w:after="0" w:line="176"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b w:val="1"/>
          <w:bCs w:val="1"/>
          <w:u w:val="single" w:color="auto"/>
          <w:color w:val="auto"/>
        </w:rPr>
        <w:t>Application of Proceeds</w:t>
      </w:r>
      <w:r>
        <w:rPr>
          <w:rFonts w:ascii="Arial" w:cs="Arial" w:eastAsia="Arial" w:hAnsi="Arial"/>
          <w:sz w:val="18"/>
          <w:szCs w:val="18"/>
          <w:color w:val="auto"/>
        </w:rPr>
        <w:t>. All payments received by the Administrative Agent under any Loan Document, including all proceeds from each sale of, or other realization upon, all or any part of the Collateral by any Secured Party after an Event of Default arises shall, subject to the terms of any Market Intercreditor Agreement, be applied as follows:</w:t>
      </w:r>
    </w:p>
    <w:p>
      <w:pPr>
        <w:spacing w:after="0" w:line="177" w:lineRule="exact"/>
        <w:rPr>
          <w:sz w:val="20"/>
          <w:szCs w:val="20"/>
          <w:color w:val="auto"/>
        </w:rPr>
      </w:pPr>
    </w:p>
    <w:p>
      <w:pPr>
        <w:ind w:firstLine="1278"/>
        <w:spacing w:after="0" w:line="237" w:lineRule="auto"/>
        <w:tabs>
          <w:tab w:leader="none" w:pos="211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to the reimbursable expenses of the Administrative Agent and the Lenders incurred in connection with such sale or other realization upon the Collateral, until the same shall have been paid in full;</w:t>
      </w:r>
    </w:p>
    <w:p>
      <w:pPr>
        <w:spacing w:after="0" w:line="191" w:lineRule="exact"/>
        <w:rPr>
          <w:rFonts w:ascii="Arial" w:cs="Arial" w:eastAsia="Arial" w:hAnsi="Arial"/>
          <w:sz w:val="19"/>
          <w:szCs w:val="19"/>
          <w:color w:val="auto"/>
        </w:rPr>
      </w:pPr>
    </w:p>
    <w:p>
      <w:pPr>
        <w:ind w:firstLine="1278"/>
        <w:spacing w:after="0" w:line="261" w:lineRule="auto"/>
        <w:tabs>
          <w:tab w:leader="none" w:pos="210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fees, indemnitees and other reimbursable expenses of the Administrative Agent and the Lenders then due and payable pursuant to any of the Loan Documents, until the same shall have been paid in full;</w:t>
      </w:r>
    </w:p>
    <w:p>
      <w:pPr>
        <w:spacing w:after="0" w:line="159" w:lineRule="exact"/>
        <w:rPr>
          <w:rFonts w:ascii="Arial" w:cs="Arial" w:eastAsia="Arial" w:hAnsi="Arial"/>
          <w:sz w:val="18"/>
          <w:szCs w:val="18"/>
          <w:color w:val="auto"/>
        </w:rPr>
      </w:pPr>
    </w:p>
    <w:p>
      <w:pPr>
        <w:ind w:firstLine="1278"/>
        <w:spacing w:after="0" w:line="237" w:lineRule="auto"/>
        <w:tabs>
          <w:tab w:leader="none" w:pos="211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the fees, interest and premium (including any Prepayment Premium) then due and payable under the terms of this Agreement, until the same shall have been paid in full;</w:t>
      </w:r>
    </w:p>
    <w:p>
      <w:pPr>
        <w:spacing w:after="0" w:line="177" w:lineRule="exact"/>
        <w:rPr>
          <w:rFonts w:ascii="Arial" w:cs="Arial" w:eastAsia="Arial" w:hAnsi="Arial"/>
          <w:sz w:val="19"/>
          <w:szCs w:val="19"/>
          <w:color w:val="auto"/>
        </w:rPr>
      </w:pPr>
    </w:p>
    <w:p>
      <w:pPr>
        <w:jc w:val="both"/>
        <w:ind w:firstLine="1278"/>
        <w:spacing w:after="0" w:line="226" w:lineRule="auto"/>
        <w:tabs>
          <w:tab w:leader="none" w:pos="210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aggregate outstanding principal amount of the Term Loans until the same shall have been paid in full,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the Secured Parties based on their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the aggregate amount of such Term Loans; and</w:t>
      </w:r>
    </w:p>
    <w:p>
      <w:pPr>
        <w:spacing w:after="0" w:line="160" w:lineRule="exact"/>
        <w:rPr>
          <w:rFonts w:ascii="Arial" w:cs="Arial" w:eastAsia="Arial" w:hAnsi="Arial"/>
          <w:sz w:val="19"/>
          <w:szCs w:val="19"/>
          <w:color w:val="auto"/>
        </w:rPr>
      </w:pPr>
    </w:p>
    <w:p>
      <w:pPr>
        <w:ind w:left="2120" w:hanging="842"/>
        <w:spacing w:after="0"/>
        <w:tabs>
          <w:tab w:leader="none" w:pos="212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to the extent any proceeds remain, to the Borrower or as otherwise provided by a court of</w:t>
      </w:r>
    </w:p>
    <w:p>
      <w:pPr>
        <w:spacing w:after="0"/>
        <w:rPr>
          <w:rFonts w:ascii="Arial" w:cs="Arial" w:eastAsia="Arial" w:hAnsi="Arial"/>
          <w:sz w:val="19"/>
          <w:szCs w:val="19"/>
          <w:color w:val="auto"/>
        </w:rPr>
      </w:pPr>
      <w:r>
        <w:rPr>
          <w:rFonts w:ascii="Arial" w:cs="Arial" w:eastAsia="Arial" w:hAnsi="Arial"/>
          <w:sz w:val="19"/>
          <w:szCs w:val="19"/>
          <w:color w:val="auto"/>
        </w:rPr>
        <w:t>competent jurisdiction.</w:t>
      </w:r>
    </w:p>
    <w:p>
      <w:pPr>
        <w:spacing w:after="0" w:line="203"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 xml:space="preserve">All amounts allocated pursuant to the foregoing clauses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to the Lenders as a result of amounts owed to the Lenders under the Loan Documents shall be allocated among, and distributed to, the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their respective Pro Rata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90</w:t>
      </w:r>
    </w:p>
    <w:p>
      <w:pPr>
        <w:sectPr>
          <w:pgSz w:w="11900" w:h="16838" w:orient="portrait"/>
          <w:cols w:equalWidth="0" w:num="1">
            <w:col w:w="10060"/>
          </w:cols>
          <w:pgMar w:left="1380" w:top="1440" w:right="459" w:bottom="1440" w:gutter="0" w:footer="0" w:header="0"/>
        </w:sectPr>
      </w:pPr>
    </w:p>
    <w:bookmarkStart w:id="146" w:name="page147"/>
    <w:bookmarkEnd w:id="146"/>
    <w:p>
      <w:pPr>
        <w:spacing w:after="0" w:line="161" w:lineRule="exact"/>
        <w:rPr>
          <w:sz w:val="20"/>
          <w:szCs w:val="20"/>
          <w:color w:val="auto"/>
        </w:rPr>
      </w:pPr>
    </w:p>
    <w:p>
      <w:pPr>
        <w:ind w:left="4000"/>
        <w:spacing w:after="0"/>
        <w:rPr>
          <w:sz w:val="20"/>
          <w:szCs w:val="20"/>
          <w:color w:val="auto"/>
        </w:rPr>
      </w:pPr>
      <w:r>
        <w:rPr>
          <w:rFonts w:ascii="Arial" w:cs="Arial" w:eastAsia="Arial" w:hAnsi="Arial"/>
          <w:sz w:val="19"/>
          <w:szCs w:val="19"/>
          <w:b w:val="1"/>
          <w:bCs w:val="1"/>
          <w:u w:val="single" w:color="auto"/>
          <w:color w:val="auto"/>
        </w:rPr>
        <w:t>ARTICLE IX</w:t>
      </w:r>
    </w:p>
    <w:p>
      <w:pPr>
        <w:spacing w:after="0" w:line="298" w:lineRule="exact"/>
        <w:rPr>
          <w:sz w:val="20"/>
          <w:szCs w:val="20"/>
          <w:color w:val="auto"/>
        </w:rPr>
      </w:pPr>
    </w:p>
    <w:p>
      <w:pPr>
        <w:ind w:left="2660"/>
        <w:spacing w:after="0"/>
        <w:rPr>
          <w:sz w:val="20"/>
          <w:szCs w:val="20"/>
          <w:color w:val="auto"/>
        </w:rPr>
      </w:pPr>
      <w:r>
        <w:rPr>
          <w:rFonts w:ascii="Arial" w:cs="Arial" w:eastAsia="Arial" w:hAnsi="Arial"/>
          <w:sz w:val="19"/>
          <w:szCs w:val="19"/>
          <w:b w:val="1"/>
          <w:bCs w:val="1"/>
          <w:u w:val="single" w:color="auto"/>
          <w:color w:val="auto"/>
        </w:rPr>
        <w:t>THE ADMINISTRATIVE AGENT</w:t>
      </w:r>
    </w:p>
    <w:p>
      <w:pPr>
        <w:spacing w:after="0" w:line="28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9.1.</w:t>
      </w:r>
      <w:r>
        <w:rPr>
          <w:sz w:val="20"/>
          <w:szCs w:val="20"/>
          <w:color w:val="auto"/>
        </w:rPr>
        <w:tab/>
      </w:r>
      <w:r>
        <w:rPr>
          <w:rFonts w:ascii="Arial" w:cs="Arial" w:eastAsia="Arial" w:hAnsi="Arial"/>
          <w:sz w:val="17"/>
          <w:szCs w:val="17"/>
          <w:b w:val="1"/>
          <w:bCs w:val="1"/>
          <w:u w:val="single" w:color="auto"/>
          <w:color w:val="auto"/>
        </w:rPr>
        <w:t>Appointment of the Administrative Agent</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23" w:lineRule="auto"/>
        <w:tabs>
          <w:tab w:leader="none" w:pos="211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Lender irrevocably appoints Acquiom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(other than financing sources). The exculpatory provisions set forth in this Article shall apply to any such sub-agent, attorney-in-fact or Related Party (other than any financing sources) and shall apply to their respective activities in connection with the syndication of the credit facilities provided for herein as well as activities as the Administrative Agent.</w:t>
      </w:r>
    </w:p>
    <w:p>
      <w:pPr>
        <w:spacing w:after="0" w:line="190" w:lineRule="exact"/>
        <w:rPr>
          <w:rFonts w:ascii="Arial" w:cs="Arial" w:eastAsia="Arial" w:hAnsi="Arial"/>
          <w:sz w:val="18"/>
          <w:szCs w:val="18"/>
          <w:color w:val="auto"/>
        </w:rPr>
      </w:pPr>
    </w:p>
    <w:p>
      <w:pPr>
        <w:ind w:left="1900" w:hanging="624"/>
        <w:spacing w:after="0"/>
        <w:tabs>
          <w:tab w:leader="none" w:pos="19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[reserved].</w:t>
      </w:r>
    </w:p>
    <w:p>
      <w:pPr>
        <w:spacing w:after="0" w:line="218" w:lineRule="exact"/>
        <w:rPr>
          <w:rFonts w:ascii="Arial" w:cs="Arial" w:eastAsia="Arial" w:hAnsi="Arial"/>
          <w:sz w:val="19"/>
          <w:szCs w:val="19"/>
          <w:color w:val="auto"/>
        </w:rPr>
      </w:pPr>
    </w:p>
    <w:p>
      <w:pPr>
        <w:jc w:val="both"/>
        <w:ind w:firstLine="1276"/>
        <w:spacing w:after="0" w:line="232" w:lineRule="auto"/>
        <w:tabs>
          <w:tab w:leader="none" w:pos="21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4" w:lineRule="exact"/>
        <w:rPr>
          <w:sz w:val="20"/>
          <w:szCs w:val="20"/>
          <w:color w:val="auto"/>
        </w:rPr>
      </w:pPr>
    </w:p>
    <w:p>
      <w:pPr>
        <w:jc w:val="both"/>
        <w:ind w:firstLine="636"/>
        <w:spacing w:after="0" w:line="22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b w:val="1"/>
          <w:bCs w:val="1"/>
          <w:u w:val="single" w:color="auto"/>
          <w:color w:val="auto"/>
        </w:rPr>
        <w:t>Nature of Duties of the Administrative Agent</w:t>
      </w:r>
      <w:r>
        <w:rPr>
          <w:rFonts w:ascii="Arial" w:cs="Arial" w:eastAsia="Arial" w:hAnsi="Arial"/>
          <w:sz w:val="17"/>
          <w:szCs w:val="17"/>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(i) if it shall not have received satisfactory written direction, advice or concurrence, together with any reasonable indemnity, security or pre-funding reasonably requested in the sole discretion of the Administrative Agent from the Required Lenders (or such other number or percentage of the Lenders as shall be necessary under the circumstances as provided in Section 10.2) in respect of such action or (ii)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9" w:lineRule="exact"/>
        <w:rPr>
          <w:sz w:val="20"/>
          <w:szCs w:val="20"/>
          <w:color w:val="auto"/>
        </w:rPr>
      </w:pPr>
    </w:p>
    <w:p>
      <w:pPr>
        <w:jc w:val="both"/>
        <w:ind w:firstLine="5"/>
        <w:spacing w:after="0" w:line="221" w:lineRule="auto"/>
        <w:tabs>
          <w:tab w:leader="none" w:pos="27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the Loan Documents, the Administrative Agent shall not have any duty to disclose, and shall not be liable for the failure to disclose, any information relating to Holdings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or in the absence of its own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91</w:t>
      </w:r>
    </w:p>
    <w:p>
      <w:pPr>
        <w:sectPr>
          <w:pgSz w:w="11900" w:h="16838" w:orient="portrait"/>
          <w:cols w:equalWidth="0" w:num="1">
            <w:col w:w="10060"/>
          </w:cols>
          <w:pgMar w:left="1380" w:top="1440" w:right="459" w:bottom="1440" w:gutter="0" w:footer="0" w:header="0"/>
        </w:sectPr>
      </w:pPr>
    </w:p>
    <w:bookmarkStart w:id="147" w:name="page148"/>
    <w:bookmarkEnd w:id="147"/>
    <w:p>
      <w:pPr>
        <w:spacing w:after="0" w:line="16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competent jurisdiction determines in a final and nonappealable judgment that the Administrative Agent 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77"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b w:val="1"/>
          <w:bCs w:val="1"/>
          <w:u w:val="single" w:color="auto"/>
          <w:color w:val="auto"/>
        </w:rPr>
        <w:t>Lack of Reliance on the Administrative Agent</w:t>
      </w:r>
      <w:r>
        <w:rPr>
          <w:rFonts w:ascii="Arial" w:cs="Arial" w:eastAsia="Arial" w:hAnsi="Arial"/>
          <w:sz w:val="18"/>
          <w:szCs w:val="18"/>
          <w:color w:val="auto"/>
        </w:rPr>
        <w:t>. Each Lender hereby acknowledges that it has, independently and without reliance upon the Administrative Agent or any other Lender, and based on such documents and information as it has deemed appropriate, made its own credit analysis and decision to enter into this Agreement. Each Lender also hereby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hereby represents and warrants to the Administrative Agent that (i) the Loan Documents set forth the terms of a commercial lending facility and (ii) it is engaged in making, acquiring or holding commercial loans in the ordinary course and is entering into this Agreement as a Lender for the purposes of making, acquiring or holding commercial loans and providing other facilities set forth herein as may be applicable to such Lender, and not for the purpose of purchasing, acquiring or holding any other type of financial instrument, and each Lender hereby agrees not to assert a claim in contravention of the foregoing. Each Lender hereby represents and warrants to the Administrative Agent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hereby acknowledges and agrees that outside legal counsel to the Administrative Agent in connection with the preparation, negotiation, execution, delivery and administration (including any amendments, waivers and consents) of this Agreement and the other Loan Documents is acting solely as counsel to the Administrative Agent and is not acting as counsel to any Lender (other than the Administrative Agent and its Affiliates) in connection with this Agreement, the other Loan Documents or any of the transactions contemplated hereby or thereby.</w:t>
      </w:r>
    </w:p>
    <w:p>
      <w:pPr>
        <w:spacing w:after="0" w:line="197" w:lineRule="exact"/>
        <w:rPr>
          <w:sz w:val="20"/>
          <w:szCs w:val="20"/>
          <w:color w:val="auto"/>
        </w:rPr>
      </w:pPr>
    </w:p>
    <w:p>
      <w:pPr>
        <w:jc w:val="both"/>
        <w:ind w:firstLine="636"/>
        <w:spacing w:after="0" w:line="214"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b w:val="1"/>
          <w:bCs w:val="1"/>
          <w:u w:val="single" w:color="auto"/>
          <w:color w:val="auto"/>
        </w:rPr>
        <w:t>Certain Rights of the Administrative Agent</w:t>
      </w:r>
      <w:r>
        <w:rPr>
          <w:rFonts w:ascii="Arial" w:cs="Arial" w:eastAsia="Arial" w:hAnsi="Arial"/>
          <w:sz w:val="19"/>
          <w:szCs w:val="19"/>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0060"/>
          </w:cols>
          <w:pgMar w:left="1380" w:top="1440" w:right="459" w:bottom="1440" w:gutter="0" w:footer="0" w:header="0"/>
        </w:sectPr>
      </w:pPr>
    </w:p>
    <w:bookmarkStart w:id="148" w:name="page149"/>
    <w:bookmarkEnd w:id="148"/>
    <w:p>
      <w:pPr>
        <w:jc w:val="both"/>
        <w:ind w:firstLine="636"/>
        <w:spacing w:after="0" w:line="213"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b w:val="1"/>
          <w:bCs w:val="1"/>
          <w:u w:val="single" w:color="auto"/>
          <w:color w:val="auto"/>
        </w:rPr>
        <w:t>Reliance by the Administrative Agent</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84"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b w:val="1"/>
          <w:bCs w:val="1"/>
          <w:u w:val="single" w:color="auto"/>
          <w:color w:val="auto"/>
        </w:rPr>
        <w:t>The Administrative Agent in its Individual Capacity</w:t>
      </w:r>
      <w:r>
        <w:rPr>
          <w:rFonts w:ascii="Arial" w:cs="Arial" w:eastAsia="Arial" w:hAnsi="Arial"/>
          <w:sz w:val="18"/>
          <w:szCs w:val="18"/>
          <w:color w:val="auto"/>
        </w:rPr>
        <w:t>. Any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Any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73"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9"/>
          <w:szCs w:val="19"/>
          <w:color w:val="auto"/>
        </w:rPr>
        <w:t>Section 9.7.</w:t>
      </w:r>
      <w:r>
        <w:rPr>
          <w:sz w:val="20"/>
          <w:szCs w:val="20"/>
          <w:color w:val="auto"/>
        </w:rPr>
        <w:tab/>
      </w:r>
      <w:r>
        <w:rPr>
          <w:rFonts w:ascii="Arial" w:cs="Arial" w:eastAsia="Arial" w:hAnsi="Arial"/>
          <w:sz w:val="17"/>
          <w:szCs w:val="17"/>
          <w:b w:val="1"/>
          <w:bCs w:val="1"/>
          <w:u w:val="single" w:color="auto"/>
          <w:color w:val="auto"/>
        </w:rPr>
        <w:t>Successor Administrative Agent</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32" w:lineRule="auto"/>
        <w:tabs>
          <w:tab w:leader="none" w:pos="211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Administrative Agent may resign at any time by giving written notice thereof to the Lenders and the Borrower or, the Required Lenders may, by notice in writing to the Borrower and the Person then-serving as the Administrative Agent, remove such Person as the Administrative Agent. Upon notice of any such resignation or removal, as applicable, the Required Lenders shall have the right to appoint a successor Administrative Agent, subject to approval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Specified Event of Default shall exist at such time). If no successor Administrative Agent shall have been so appointed, and shall have accepted such appointment within thirty (30) days after the retiring Administrative Agent gives written notice of its resignation or any notice of removal is provided, as applicable, then the Required Lenders may, on behalf of all of the Lenders, appoint a successor Administrative Agent which shall be a commercial bank organized under the laws of the United States or any state thereof, a bank which maintains an office in the United States or an independent debt administration services agency. If, within 45 days after written notice is given of the retiring Administrative Agent’s resignation or any notice of removal is provided, as applicable, under this Section, no successor Administrative Agent shall have been appointed and shall have accepted such appointment, then on such 45th day (i) the retiring Administrative Agent’s resignation or removal, as applicable, shall become effective, (ii) the retiring or removed Administrative Agent shall thereupon be discharged from its duties and obligations under the Loan Documents and (iii) the Required Lenders shall thereafter perform all of the duties of the retiring or removed Administrative Agent under the Loan Documents until such time as the Required Lenders appoint (and if the Borrower’s approval would be required, the Borrower approves) a successor Administrative Agent as provided above</w:t>
      </w:r>
    </w:p>
    <w:p>
      <w:pPr>
        <w:spacing w:after="0" w:line="183" w:lineRule="exact"/>
        <w:rPr>
          <w:rFonts w:ascii="Arial" w:cs="Arial" w:eastAsia="Arial" w:hAnsi="Arial"/>
          <w:sz w:val="17"/>
          <w:szCs w:val="17"/>
          <w:color w:val="auto"/>
        </w:rPr>
      </w:pPr>
    </w:p>
    <w:p>
      <w:pPr>
        <w:jc w:val="both"/>
        <w:ind w:firstLine="1277"/>
        <w:spacing w:after="0" w:line="213" w:lineRule="auto"/>
        <w:tabs>
          <w:tab w:leader="none" w:pos="210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Upon the acceptance of its appointment as the Administrative Agent hereunder by a successor, such successor Administrative Agent shall thereupon succeed to, and become vested with, all of the rights, powers, privileges and duties of the retiring or removed Administrative Agent, and the retiring or removed Administrative Agent shall be discharged from its duties and obligations under this Agreement and the other Loan Documents. After any retiring or removed Administrative Agent’s resignation or removal hereunder, as applicable,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0060"/>
          </w:cols>
          <w:pgMar w:left="1380" w:top="1296" w:right="459" w:bottom="1440" w:gutter="0" w:footer="0" w:header="0"/>
        </w:sectPr>
      </w:pPr>
    </w:p>
    <w:bookmarkStart w:id="149" w:name="page150"/>
    <w:bookmarkEnd w:id="149"/>
    <w:p>
      <w:pPr>
        <w:jc w:val="both"/>
        <w:ind w:firstLine="636"/>
        <w:spacing w:after="0" w:line="211"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b w:val="1"/>
          <w:bCs w:val="1"/>
          <w:u w:val="single" w:color="auto"/>
          <w:color w:val="auto"/>
        </w:rPr>
        <w:t>Withholding Tax</w:t>
      </w:r>
      <w:r>
        <w:rPr>
          <w:rFonts w:ascii="Arial" w:cs="Arial" w:eastAsia="Arial" w:hAnsi="Arial"/>
          <w:sz w:val="19"/>
          <w:szCs w:val="19"/>
          <w:color w:val="auto"/>
        </w:rPr>
        <w:t>. To the extent required by any applicable law, the Administrative Agent may withhold from any interest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out-of-pocket expenses.</w:t>
      </w:r>
    </w:p>
    <w:p>
      <w:pPr>
        <w:spacing w:after="0" w:line="173" w:lineRule="exact"/>
        <w:rPr>
          <w:sz w:val="20"/>
          <w:szCs w:val="20"/>
          <w:color w:val="auto"/>
        </w:rPr>
      </w:pPr>
    </w:p>
    <w:p>
      <w:pPr>
        <w:ind w:left="620"/>
        <w:spacing w:after="0"/>
        <w:tabs>
          <w:tab w:leader="none" w:pos="1720" w:val="left"/>
        </w:tabs>
        <w:rPr>
          <w:sz w:val="20"/>
          <w:szCs w:val="20"/>
          <w:color w:val="auto"/>
        </w:rPr>
      </w:pPr>
      <w:r>
        <w:rPr>
          <w:rFonts w:ascii="Arial" w:cs="Arial" w:eastAsia="Arial" w:hAnsi="Arial"/>
          <w:sz w:val="19"/>
          <w:szCs w:val="19"/>
          <w:color w:val="auto"/>
        </w:rPr>
        <w:t>Section 9.9.</w:t>
      </w:r>
      <w:r>
        <w:rPr>
          <w:sz w:val="20"/>
          <w:szCs w:val="20"/>
          <w:color w:val="auto"/>
        </w:rPr>
        <w:tab/>
      </w:r>
      <w:r>
        <w:rPr>
          <w:rFonts w:ascii="Arial" w:cs="Arial" w:eastAsia="Arial" w:hAnsi="Arial"/>
          <w:sz w:val="17"/>
          <w:szCs w:val="17"/>
          <w:b w:val="1"/>
          <w:bCs w:val="1"/>
          <w:u w:val="single" w:color="auto"/>
          <w:color w:val="auto"/>
        </w:rPr>
        <w:t>The Administrative Agent May File Proofs of Claim</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17" w:lineRule="auto"/>
        <w:tabs>
          <w:tab w:leader="none" w:pos="211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 case of the pendency of any receivership, insolvency, liquidation, bankruptcy, reorganization, arrangement, adjustment, composition or other judicial proceeding relative to any Loan Party,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1" w:lineRule="exact"/>
        <w:rPr>
          <w:rFonts w:ascii="Arial" w:cs="Arial" w:eastAsia="Arial" w:hAnsi="Arial"/>
          <w:sz w:val="19"/>
          <w:szCs w:val="19"/>
          <w:color w:val="auto"/>
        </w:rPr>
      </w:pPr>
    </w:p>
    <w:p>
      <w:pPr>
        <w:jc w:val="both"/>
        <w:ind w:left="640" w:firstLine="1273"/>
        <w:spacing w:after="0" w:line="215" w:lineRule="auto"/>
        <w:tabs>
          <w:tab w:leader="none" w:pos="212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 and counsel and all other amounts due to the Lenders and the Administrative Agent under </w:t>
      </w:r>
      <w:r>
        <w:rPr>
          <w:rFonts w:ascii="Arial" w:cs="Arial" w:eastAsia="Arial" w:hAnsi="Arial"/>
          <w:sz w:val="19"/>
          <w:szCs w:val="19"/>
          <w:u w:val="single" w:color="auto"/>
          <w:color w:val="auto"/>
        </w:rPr>
        <w:t>Section 10.3</w:t>
      </w:r>
      <w:r>
        <w:rPr>
          <w:rFonts w:ascii="Arial" w:cs="Arial" w:eastAsia="Arial" w:hAnsi="Arial"/>
          <w:sz w:val="19"/>
          <w:szCs w:val="19"/>
          <w:color w:val="auto"/>
        </w:rPr>
        <w:t>) allowed in such judicial proceeding; and</w:t>
      </w:r>
    </w:p>
    <w:p>
      <w:pPr>
        <w:spacing w:after="0" w:line="269" w:lineRule="exact"/>
        <w:rPr>
          <w:rFonts w:ascii="Arial" w:cs="Arial" w:eastAsia="Arial" w:hAnsi="Arial"/>
          <w:sz w:val="19"/>
          <w:szCs w:val="19"/>
          <w:color w:val="auto"/>
        </w:rPr>
      </w:pPr>
    </w:p>
    <w:p>
      <w:pPr>
        <w:ind w:left="640" w:right="600" w:firstLine="1273"/>
        <w:spacing w:after="0" w:line="278" w:lineRule="auto"/>
        <w:tabs>
          <w:tab w:leader="none" w:pos="2759"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169" w:lineRule="exact"/>
        <w:rPr>
          <w:rFonts w:ascii="Arial" w:cs="Arial" w:eastAsia="Arial" w:hAnsi="Arial"/>
          <w:sz w:val="19"/>
          <w:szCs w:val="19"/>
          <w:color w:val="auto"/>
        </w:rPr>
      </w:pPr>
    </w:p>
    <w:p>
      <w:pPr>
        <w:jc w:val="both"/>
        <w:ind w:firstLine="1277"/>
        <w:spacing w:after="0" w:line="229" w:lineRule="auto"/>
        <w:tabs>
          <w:tab w:leader="none" w:pos="210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jc w:val="both"/>
        <w:ind w:firstLine="1277"/>
        <w:spacing w:after="0" w:line="220" w:lineRule="auto"/>
        <w:tabs>
          <w:tab w:leader="none" w:pos="211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7"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b w:val="1"/>
          <w:bCs w:val="1"/>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of the Lenders all of the Loan Documents (including the Collateral Documents and, in respect of any Indebtedness and Liens permitted to be incurred hereunder, any Market Intercreditor Agreement and any other intercreditor or subordination agreements (including with the agent for the Subordinated Debt)) other than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94</w:t>
      </w:r>
    </w:p>
    <w:p>
      <w:pPr>
        <w:sectPr>
          <w:pgSz w:w="11900" w:h="16838" w:orient="portrait"/>
          <w:cols w:equalWidth="0" w:num="1">
            <w:col w:w="10060"/>
          </w:cols>
          <w:pgMar w:left="1380" w:top="1296" w:right="459" w:bottom="1440" w:gutter="0" w:footer="0" w:header="0"/>
        </w:sectPr>
      </w:pPr>
    </w:p>
    <w:bookmarkStart w:id="150" w:name="page151"/>
    <w:bookmarkEnd w:id="150"/>
    <w:p>
      <w:pPr>
        <w:ind w:left="640"/>
        <w:spacing w:after="0"/>
        <w:tabs>
          <w:tab w:leader="none" w:pos="1820" w:val="left"/>
        </w:tabs>
        <w:rPr>
          <w:sz w:val="20"/>
          <w:szCs w:val="20"/>
          <w:color w:val="auto"/>
        </w:rPr>
      </w:pPr>
      <w:r>
        <w:rPr>
          <w:rFonts w:ascii="Arial" w:cs="Arial" w:eastAsia="Arial" w:hAnsi="Arial"/>
          <w:sz w:val="19"/>
          <w:szCs w:val="19"/>
          <w:color w:val="auto"/>
        </w:rPr>
        <w:t>Section 9.11.</w:t>
      </w:r>
      <w:r>
        <w:rPr>
          <w:sz w:val="20"/>
          <w:szCs w:val="20"/>
          <w:color w:val="auto"/>
        </w:rPr>
        <w:tab/>
      </w:r>
      <w:r>
        <w:rPr>
          <w:rFonts w:ascii="Arial" w:cs="Arial" w:eastAsia="Arial" w:hAnsi="Arial"/>
          <w:sz w:val="17"/>
          <w:szCs w:val="17"/>
          <w:b w:val="1"/>
          <w:bCs w:val="1"/>
          <w:u w:val="single" w:color="auto"/>
          <w:color w:val="auto"/>
        </w:rPr>
        <w:t>Collateral and Guaranty Matters</w:t>
      </w:r>
      <w:r>
        <w:rPr>
          <w:rFonts w:ascii="Arial" w:cs="Arial" w:eastAsia="Arial" w:hAnsi="Arial"/>
          <w:sz w:val="17"/>
          <w:szCs w:val="17"/>
          <w:color w:val="auto"/>
        </w:rPr>
        <w:t>. Each Lender hereby irrevocably authorizes the Administrative</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Agent:</w:t>
      </w:r>
    </w:p>
    <w:p>
      <w:pPr>
        <w:spacing w:after="0" w:line="203" w:lineRule="exact"/>
        <w:rPr>
          <w:sz w:val="20"/>
          <w:szCs w:val="20"/>
          <w:color w:val="auto"/>
        </w:rPr>
      </w:pPr>
    </w:p>
    <w:p>
      <w:pPr>
        <w:jc w:val="both"/>
        <w:ind w:firstLine="1277"/>
        <w:spacing w:after="0" w:line="220" w:lineRule="auto"/>
        <w:tabs>
          <w:tab w:leader="none" w:pos="211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the Termination Date; (ii) that is sold or to be sold as part of, or in connection with, any sale permitted hereunder or under any other Loan Document and (iii) if approved, authorized or ratified in writing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w:t>
      </w:r>
      <w:r>
        <w:rPr>
          <w:rFonts w:ascii="Arial" w:cs="Arial" w:eastAsia="Arial" w:hAnsi="Arial"/>
          <w:sz w:val="19"/>
          <w:szCs w:val="19"/>
          <w:color w:val="auto"/>
        </w:rPr>
        <w:t>;</w:t>
      </w:r>
    </w:p>
    <w:p>
      <w:pPr>
        <w:spacing w:after="0" w:line="285" w:lineRule="exact"/>
        <w:rPr>
          <w:rFonts w:ascii="Arial" w:cs="Arial" w:eastAsia="Arial" w:hAnsi="Arial"/>
          <w:sz w:val="19"/>
          <w:szCs w:val="19"/>
          <w:color w:val="auto"/>
        </w:rPr>
      </w:pPr>
    </w:p>
    <w:p>
      <w:pPr>
        <w:ind w:right="180" w:firstLine="1277"/>
        <w:spacing w:after="0" w:line="278" w:lineRule="auto"/>
        <w:tabs>
          <w:tab w:leader="none" w:pos="210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to subordinate any Lien on any collateral granted to, or held by, the Administrative Agent under any Loan Document to the holder of any Lien permitted by </w:t>
      </w:r>
      <w:r>
        <w:rPr>
          <w:rFonts w:ascii="Arial" w:cs="Arial" w:eastAsia="Arial" w:hAnsi="Arial"/>
          <w:sz w:val="19"/>
          <w:szCs w:val="19"/>
          <w:u w:val="single" w:color="auto"/>
          <w:color w:val="auto"/>
        </w:rPr>
        <w:t>Section 7.2(d)</w:t>
      </w:r>
      <w:r>
        <w:rPr>
          <w:rFonts w:ascii="Arial" w:cs="Arial" w:eastAsia="Arial" w:hAnsi="Arial"/>
          <w:sz w:val="19"/>
          <w:szCs w:val="19"/>
          <w:color w:val="auto"/>
        </w:rPr>
        <w:t>; and</w:t>
      </w:r>
    </w:p>
    <w:p>
      <w:pPr>
        <w:spacing w:after="0" w:line="249" w:lineRule="exact"/>
        <w:rPr>
          <w:rFonts w:ascii="Arial" w:cs="Arial" w:eastAsia="Arial" w:hAnsi="Arial"/>
          <w:sz w:val="19"/>
          <w:szCs w:val="19"/>
          <w:color w:val="auto"/>
        </w:rPr>
      </w:pPr>
    </w:p>
    <w:p>
      <w:pPr>
        <w:ind w:right="460" w:firstLine="1277"/>
        <w:spacing w:after="0" w:line="237" w:lineRule="auto"/>
        <w:tabs>
          <w:tab w:leader="none" w:pos="211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to release any Loan Party from its obligations under the applicable Collateral Documents if such Person ceases to be a Subsidiary as a result of a transaction permitted hereunder.</w:t>
      </w:r>
    </w:p>
    <w:p>
      <w:pPr>
        <w:spacing w:after="0" w:line="178" w:lineRule="exact"/>
        <w:rPr>
          <w:sz w:val="20"/>
          <w:szCs w:val="20"/>
          <w:color w:val="auto"/>
        </w:rPr>
      </w:pPr>
    </w:p>
    <w:p>
      <w:pPr>
        <w:jc w:val="both"/>
        <w:spacing w:after="0" w:line="210" w:lineRule="auto"/>
        <w:rPr>
          <w:sz w:val="20"/>
          <w:szCs w:val="20"/>
          <w:color w:val="auto"/>
        </w:rPr>
      </w:pPr>
      <w:r>
        <w:rPr>
          <w:rFonts w:ascii="Arial" w:cs="Arial" w:eastAsia="Arial" w:hAnsi="Arial"/>
          <w:sz w:val="19"/>
          <w:szCs w:val="19"/>
          <w:color w:val="auto"/>
        </w:rPr>
        <w:t xml:space="preserve">Upon request by the Administrative Agent at any time, the Required Lenders shall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 In the case of any such sale, transfer or disposal of any property constituting Collateral in a transaction constituting a disposition expressly permitted pursuant to </w:t>
      </w:r>
      <w:r>
        <w:rPr>
          <w:rFonts w:ascii="Arial" w:cs="Arial" w:eastAsia="Arial" w:hAnsi="Arial"/>
          <w:sz w:val="19"/>
          <w:szCs w:val="19"/>
          <w:u w:val="single" w:color="auto"/>
          <w:color w:val="auto"/>
        </w:rPr>
        <w:t>Section 7.6</w:t>
      </w:r>
      <w:r>
        <w:rPr>
          <w:rFonts w:ascii="Arial" w:cs="Arial" w:eastAsia="Arial" w:hAnsi="Arial"/>
          <w:sz w:val="19"/>
          <w:szCs w:val="19"/>
          <w:color w:val="auto"/>
        </w:rPr>
        <w:t>, the Liens created by any of the Loan Documents on such property shall be automatically released without need for further action by any person.</w:t>
      </w:r>
    </w:p>
    <w:p>
      <w:pPr>
        <w:spacing w:after="0" w:line="17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9.12.</w:t>
      </w:r>
      <w:r>
        <w:rPr>
          <w:sz w:val="20"/>
          <w:szCs w:val="20"/>
          <w:color w:val="auto"/>
        </w:rPr>
        <w:tab/>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98" w:lineRule="exact"/>
        <w:rPr>
          <w:sz w:val="20"/>
          <w:szCs w:val="20"/>
          <w:color w:val="auto"/>
        </w:rPr>
      </w:pPr>
    </w:p>
    <w:p>
      <w:pPr>
        <w:jc w:val="both"/>
        <w:ind w:firstLine="636"/>
        <w:spacing w:after="0" w:line="221"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b w:val="1"/>
          <w:bCs w:val="1"/>
          <w:u w:val="single" w:color="auto"/>
          <w:color w:val="auto"/>
        </w:rPr>
        <w:t>Right to Realize on Collateral and Enforce Guarantee</w:t>
      </w:r>
      <w:r>
        <w:rPr>
          <w:rFonts w:ascii="Arial" w:cs="Arial" w:eastAsia="Arial" w:hAnsi="Arial"/>
          <w:sz w:val="18"/>
          <w:szCs w:val="18"/>
          <w:color w:val="auto"/>
        </w:rPr>
        <w:t>. Anything contained in any of the Loan Documents to the contrary notwithstanding, the Borrower, the Administrative Agent and each Lender hereby agree that (i) unless otherwise agreed to by the Required Lenders,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95</w:t>
      </w:r>
    </w:p>
    <w:p>
      <w:pPr>
        <w:sectPr>
          <w:pgSz w:w="11900" w:h="16838" w:orient="portrait"/>
          <w:cols w:equalWidth="0" w:num="1">
            <w:col w:w="10060"/>
          </w:cols>
          <w:pgMar w:left="1380" w:top="1279" w:right="459" w:bottom="1440" w:gutter="0" w:footer="0" w:header="0"/>
        </w:sectPr>
      </w:pPr>
    </w:p>
    <w:bookmarkStart w:id="151" w:name="page152"/>
    <w:bookmarkEnd w:id="151"/>
    <w:p>
      <w:pPr>
        <w:ind w:left="580"/>
        <w:spacing w:after="0"/>
        <w:tabs>
          <w:tab w:leader="none" w:pos="1780" w:val="left"/>
        </w:tabs>
        <w:rPr>
          <w:sz w:val="20"/>
          <w:szCs w:val="20"/>
          <w:color w:val="auto"/>
        </w:rPr>
      </w:pPr>
      <w:r>
        <w:rPr>
          <w:rFonts w:ascii="Arial" w:cs="Arial" w:eastAsia="Arial" w:hAnsi="Arial"/>
          <w:sz w:val="19"/>
          <w:szCs w:val="19"/>
          <w:color w:val="auto"/>
        </w:rPr>
        <w:t>Section 9.14.</w:t>
      </w:r>
      <w:r>
        <w:rPr>
          <w:sz w:val="20"/>
          <w:szCs w:val="20"/>
          <w:color w:val="auto"/>
        </w:rPr>
        <w:tab/>
      </w:r>
      <w:r>
        <w:rPr>
          <w:rFonts w:ascii="Arial" w:cs="Arial" w:eastAsia="Arial" w:hAnsi="Arial"/>
          <w:sz w:val="17"/>
          <w:szCs w:val="17"/>
          <w:b w:val="1"/>
          <w:bCs w:val="1"/>
          <w:u w:val="single" w:color="auto"/>
          <w:color w:val="auto"/>
        </w:rPr>
        <w:t>Erroneous Payments</w:t>
      </w:r>
      <w:r>
        <w:rPr>
          <w:rFonts w:ascii="Arial" w:cs="Arial" w:eastAsia="Arial" w:hAnsi="Arial"/>
          <w:sz w:val="17"/>
          <w:szCs w:val="17"/>
          <w:color w:val="auto"/>
        </w:rPr>
        <w:t>.</w:t>
      </w:r>
    </w:p>
    <w:p>
      <w:pPr>
        <w:spacing w:after="0" w:line="304" w:lineRule="exact"/>
        <w:rPr>
          <w:sz w:val="20"/>
          <w:szCs w:val="20"/>
          <w:color w:val="auto"/>
        </w:rPr>
      </w:pPr>
    </w:p>
    <w:p>
      <w:pPr>
        <w:jc w:val="both"/>
        <w:ind w:left="-60" w:firstLine="1277"/>
        <w:spacing w:after="0" w:line="220" w:lineRule="auto"/>
        <w:tabs>
          <w:tab w:leader="none" w:pos="2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Lender hereby agrees that if the Administrative Agent notifies such Lender (any such Lender or other recipient, but, in any event, excluding any Loan Party,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in writing that the Administrative Agent has determined in its reasonable discretion that the Administrative Agent or its Affiliates erroneously or mistakenly transmitted funds to such Payment Recipient (whether or not known to such Lender or other Payment Recipient) or funds were otherwise erroneously or mistakenly received by such Payment Recipient (whether or not known to such Lender or other Payment Recipient) (any such funds, whether transmitted or received as a payment, prepayment or repayment of principal, interest, fees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and demands in writing the return of such Erroneous Payment (or a portion thereof), such Payment Recipient shall make commercially reasonable efforts to promptly return to the Administrative Agent the amount of any such Erroneous Payment (or portion thereof) as to which such a written demand was made, in same day funds (in the currency so received). A notice of the Administrative Agent to any Payment Recipient under this </w:t>
      </w:r>
      <w:r>
        <w:rPr>
          <w:rFonts w:ascii="Arial" w:cs="Arial" w:eastAsia="Arial" w:hAnsi="Arial"/>
          <w:sz w:val="18"/>
          <w:szCs w:val="18"/>
          <w:u w:val="single" w:color="auto"/>
          <w:color w:val="auto"/>
        </w:rPr>
        <w:t>Section 9.14(a)</w:t>
      </w:r>
      <w:r>
        <w:rPr>
          <w:rFonts w:ascii="Arial" w:cs="Arial" w:eastAsia="Arial" w:hAnsi="Arial"/>
          <w:sz w:val="18"/>
          <w:szCs w:val="18"/>
          <w:color w:val="auto"/>
        </w:rPr>
        <w:t xml:space="preserve"> shall set forth the facts and circumstances resulting in such 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make any demand under this </w:t>
      </w:r>
      <w:r>
        <w:rPr>
          <w:rFonts w:ascii="Arial" w:cs="Arial" w:eastAsia="Arial" w:hAnsi="Arial"/>
          <w:sz w:val="18"/>
          <w:szCs w:val="18"/>
          <w:u w:val="single" w:color="auto"/>
          <w:color w:val="auto"/>
        </w:rPr>
        <w:t>Section 9.14(a)</w:t>
      </w:r>
      <w:r>
        <w:rPr>
          <w:rFonts w:ascii="Arial" w:cs="Arial" w:eastAsia="Arial" w:hAnsi="Arial"/>
          <w:sz w:val="18"/>
          <w:szCs w:val="18"/>
          <w:color w:val="auto"/>
        </w:rPr>
        <w:t xml:space="preserve"> unless the notice described herein is delivered within thirty (30) days after the making of the applicable Erroneous Payment. A notice of the Administrative Agent to any Payment Recipient under this clause (a) shall be conclusive, absent manifest error.</w:t>
      </w:r>
    </w:p>
    <w:p>
      <w:pPr>
        <w:spacing w:after="0" w:line="192" w:lineRule="exact"/>
        <w:rPr>
          <w:rFonts w:ascii="Arial" w:cs="Arial" w:eastAsia="Arial" w:hAnsi="Arial"/>
          <w:sz w:val="18"/>
          <w:szCs w:val="18"/>
          <w:color w:val="auto"/>
        </w:rPr>
      </w:pPr>
    </w:p>
    <w:p>
      <w:pPr>
        <w:jc w:val="both"/>
        <w:ind w:left="-60" w:firstLine="1277"/>
        <w:spacing w:after="0" w:line="225" w:lineRule="auto"/>
        <w:tabs>
          <w:tab w:leader="none" w:pos="20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Each Payment Recipient hereby authorizes the Administrative Agent to set-off, net and apply any and all amounts at any time owing to such Payment Recipient (general or special, time or demand, provisional or final) at any time held by, or on behalf of, or otherwise payable or distributable by, the Administrative Agent (or its Affiliates, including by branches and agencies of the Administrative Agent, wherever located), against any amount that the Administrative Agent has demanded to be returned under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The Administrative Agent hereby agrees to promptly notify the applicable Payment Recipient after any such setoff and application made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58" w:lineRule="exact"/>
        <w:rPr>
          <w:rFonts w:ascii="Arial" w:cs="Arial" w:eastAsia="Arial" w:hAnsi="Arial"/>
          <w:sz w:val="18"/>
          <w:szCs w:val="18"/>
          <w:color w:val="auto"/>
        </w:rPr>
      </w:pPr>
    </w:p>
    <w:p>
      <w:pPr>
        <w:jc w:val="both"/>
        <w:ind w:left="-60" w:firstLine="1278"/>
        <w:spacing w:after="0" w:line="221" w:lineRule="auto"/>
        <w:tabs>
          <w:tab w:leader="none" w:pos="20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parties hereto hereby agree that (x) in the event that an Erroneous Payment (or portion thereof) is not recovered from any Payment Recipient (and without limiting the Administrative Agent’s rights and remedies under this </w:t>
      </w:r>
      <w:r>
        <w:rPr>
          <w:rFonts w:ascii="Arial" w:cs="Arial" w:eastAsia="Arial" w:hAnsi="Arial"/>
          <w:sz w:val="18"/>
          <w:szCs w:val="18"/>
          <w:u w:val="single" w:color="auto"/>
          <w:color w:val="auto"/>
        </w:rPr>
        <w:t>Section 9.14(a))</w:t>
      </w:r>
      <w:r>
        <w:rPr>
          <w:rFonts w:ascii="Arial" w:cs="Arial" w:eastAsia="Arial" w:hAnsi="Arial"/>
          <w:sz w:val="18"/>
          <w:szCs w:val="18"/>
          <w:color w:val="auto"/>
        </w:rPr>
        <w:t xml:space="preserve">, the Administrative Agent shall be subrogated to all of the rights of such Payment Recipient with respect to such amount and (y) an Erroneous Payment shall not pay, prepay, repay, discharge or otherwise satisfy any Obligations owed by the Borrower or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shall not be interpreted to increase (or accelerate the due date for), or have the effect of increasing (or accelerating the due date for), any Obligations of the Borrower or any other Loan Party relative to the amount (and/or timing for payment) of any Obligations that would have been payable had such Erroneous Payment not been made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the immediately preceding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shall not apply to the extent that any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95" w:lineRule="exact"/>
        <w:rPr>
          <w:rFonts w:ascii="Arial" w:cs="Arial" w:eastAsia="Arial" w:hAnsi="Arial"/>
          <w:sz w:val="18"/>
          <w:szCs w:val="18"/>
          <w:color w:val="auto"/>
        </w:rPr>
      </w:pPr>
    </w:p>
    <w:p>
      <w:pPr>
        <w:jc w:val="both"/>
        <w:ind w:left="-60" w:firstLine="1278"/>
        <w:spacing w:after="0" w:line="226" w:lineRule="auto"/>
        <w:tabs>
          <w:tab w:leader="none" w:pos="204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Each party’s obligations under this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shall survive the resignation or replacement of the Administrative Agent, the termination of the Commitments or the repayment, satisfaction or discharge of all of the Obligations (or any portion thereof) under any Loan Document.</w:t>
      </w:r>
    </w:p>
    <w:p>
      <w:pPr>
        <w:spacing w:after="0" w:line="191" w:lineRule="exact"/>
        <w:rPr>
          <w:rFonts w:ascii="Arial" w:cs="Arial" w:eastAsia="Arial" w:hAnsi="Arial"/>
          <w:sz w:val="19"/>
          <w:szCs w:val="19"/>
          <w:color w:val="auto"/>
        </w:rPr>
      </w:pPr>
    </w:p>
    <w:p>
      <w:pPr>
        <w:jc w:val="both"/>
        <w:ind w:left="-60" w:firstLine="1277"/>
        <w:spacing w:after="0" w:line="291" w:lineRule="auto"/>
        <w:tabs>
          <w:tab w:leader="none" w:pos="205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Except to the extent set forth herein, neither any Loan Party, nor any of its respective Affiliates, shall have any obligations or liabilities, directly and/or indirectly, arising out of this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in respect of any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0000"/>
          </w:cols>
          <w:pgMar w:left="1440" w:top="1296" w:right="459" w:bottom="1440" w:gutter="0" w:footer="0" w:header="0"/>
        </w:sectPr>
      </w:pPr>
    </w:p>
    <w:bookmarkStart w:id="152" w:name="page153"/>
    <w:bookmarkEnd w:id="152"/>
    <w:p>
      <w:pPr>
        <w:spacing w:after="0" w:line="161" w:lineRule="exact"/>
        <w:rPr>
          <w:sz w:val="20"/>
          <w:szCs w:val="20"/>
          <w:color w:val="auto"/>
        </w:rPr>
      </w:pPr>
    </w:p>
    <w:p>
      <w:pPr>
        <w:jc w:val="center"/>
        <w:ind w:right="980"/>
        <w:spacing w:after="0"/>
        <w:rPr>
          <w:sz w:val="20"/>
          <w:szCs w:val="20"/>
          <w:color w:val="auto"/>
        </w:rPr>
      </w:pPr>
      <w:r>
        <w:rPr>
          <w:rFonts w:ascii="Arial" w:cs="Arial" w:eastAsia="Arial" w:hAnsi="Arial"/>
          <w:sz w:val="19"/>
          <w:szCs w:val="19"/>
          <w:b w:val="1"/>
          <w:bCs w:val="1"/>
          <w:u w:val="single" w:color="auto"/>
          <w:color w:val="auto"/>
        </w:rPr>
        <w:t>ARTICLE X</w:t>
      </w:r>
    </w:p>
    <w:p>
      <w:pPr>
        <w:spacing w:after="0" w:line="298" w:lineRule="exact"/>
        <w:rPr>
          <w:sz w:val="20"/>
          <w:szCs w:val="20"/>
          <w:color w:val="auto"/>
        </w:rPr>
      </w:pPr>
    </w:p>
    <w:p>
      <w:pPr>
        <w:ind w:left="3660"/>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285"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10.1.</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w:t>
      </w:r>
    </w:p>
    <w:p>
      <w:pPr>
        <w:spacing w:after="0" w:line="304" w:lineRule="exact"/>
        <w:rPr>
          <w:sz w:val="20"/>
          <w:szCs w:val="20"/>
          <w:color w:val="auto"/>
        </w:rPr>
      </w:pPr>
    </w:p>
    <w:p>
      <w:pPr>
        <w:ind w:left="1840" w:hanging="623"/>
        <w:spacing w:after="0"/>
        <w:tabs>
          <w:tab w:leader="none" w:pos="184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Written Notices</w:t>
      </w:r>
      <w:r>
        <w:rPr>
          <w:rFonts w:ascii="Arial" w:cs="Arial" w:eastAsia="Arial" w:hAnsi="Arial"/>
          <w:sz w:val="19"/>
          <w:szCs w:val="19"/>
          <w:color w:val="auto"/>
        </w:rPr>
        <w:t>.</w:t>
      </w:r>
    </w:p>
    <w:p>
      <w:pPr>
        <w:spacing w:after="0" w:line="285" w:lineRule="exact"/>
        <w:rPr>
          <w:rFonts w:ascii="Arial" w:cs="Arial" w:eastAsia="Arial" w:hAnsi="Arial"/>
          <w:sz w:val="19"/>
          <w:szCs w:val="19"/>
          <w:color w:val="auto"/>
        </w:rPr>
      </w:pPr>
    </w:p>
    <w:p>
      <w:pPr>
        <w:jc w:val="both"/>
        <w:ind w:left="580" w:firstLine="1273"/>
        <w:spacing w:after="0" w:line="220" w:lineRule="auto"/>
        <w:tabs>
          <w:tab w:leader="none" w:pos="206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facsimile or electronic mail, as follows:</w:t>
      </w:r>
    </w:p>
    <w:p>
      <w:pPr>
        <w:spacing w:after="0" w:line="206" w:lineRule="exact"/>
        <w:rPr>
          <w:sz w:val="20"/>
          <w:szCs w:val="20"/>
          <w:color w:val="auto"/>
        </w:rPr>
      </w:pPr>
    </w:p>
    <w:p>
      <w:pPr>
        <w:ind w:left="560"/>
        <w:spacing w:after="0"/>
        <w:tabs>
          <w:tab w:leader="none" w:pos="2060" w:val="left"/>
        </w:tabs>
        <w:rPr>
          <w:sz w:val="20"/>
          <w:szCs w:val="20"/>
          <w:color w:val="auto"/>
        </w:rPr>
      </w:pPr>
      <w:r>
        <w:rPr>
          <w:rFonts w:ascii="Arial" w:cs="Arial" w:eastAsia="Arial" w:hAnsi="Arial"/>
          <w:sz w:val="19"/>
          <w:szCs w:val="19"/>
          <w:color w:val="auto"/>
        </w:rPr>
        <w:t>To the Borrower:</w:t>
      </w:r>
      <w:r>
        <w:rPr>
          <w:sz w:val="20"/>
          <w:szCs w:val="20"/>
          <w:color w:val="auto"/>
        </w:rPr>
        <w:tab/>
      </w:r>
      <w:r>
        <w:rPr>
          <w:rFonts w:ascii="Arial" w:cs="Arial" w:eastAsia="Arial" w:hAnsi="Arial"/>
          <w:sz w:val="17"/>
          <w:szCs w:val="17"/>
          <w:color w:val="auto"/>
        </w:rPr>
        <w:t>Caret Holdings, Inc.</w:t>
      </w:r>
    </w:p>
    <w:p>
      <w:pPr>
        <w:spacing w:after="0" w:line="3"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80 E. Rich Street, Suite 500</w:t>
      </w:r>
    </w:p>
    <w:p>
      <w:pPr>
        <w:ind w:left="3120"/>
        <w:spacing w:after="0" w:line="218" w:lineRule="auto"/>
        <w:rPr>
          <w:sz w:val="20"/>
          <w:szCs w:val="20"/>
          <w:color w:val="auto"/>
        </w:rPr>
      </w:pPr>
      <w:r>
        <w:rPr>
          <w:rFonts w:ascii="Arial" w:cs="Arial" w:eastAsia="Arial" w:hAnsi="Arial"/>
          <w:sz w:val="19"/>
          <w:szCs w:val="19"/>
          <w:color w:val="auto"/>
        </w:rPr>
        <w:t>Columbus, OH 43215</w:t>
      </w:r>
    </w:p>
    <w:p>
      <w:pPr>
        <w:ind w:left="3120"/>
        <w:spacing w:after="0" w:line="204" w:lineRule="auto"/>
        <w:rPr>
          <w:sz w:val="20"/>
          <w:szCs w:val="20"/>
          <w:color w:val="auto"/>
        </w:rPr>
      </w:pPr>
      <w:r>
        <w:rPr>
          <w:rFonts w:ascii="Arial" w:cs="Arial" w:eastAsia="Arial" w:hAnsi="Arial"/>
          <w:sz w:val="19"/>
          <w:szCs w:val="19"/>
          <w:color w:val="auto"/>
        </w:rPr>
        <w:t>Attention: Daniel Rosenthal, Chief Financial Officer Email:</w:t>
      </w:r>
    </w:p>
    <w:p>
      <w:pPr>
        <w:ind w:left="3120"/>
        <w:spacing w:after="0"/>
        <w:rPr>
          <w:sz w:val="20"/>
          <w:szCs w:val="20"/>
          <w:color w:val="auto"/>
        </w:rPr>
      </w:pPr>
      <w:r>
        <w:rPr>
          <w:rFonts w:ascii="Arial" w:cs="Arial" w:eastAsia="Arial" w:hAnsi="Arial"/>
          <w:sz w:val="19"/>
          <w:szCs w:val="19"/>
          <w:color w:val="auto"/>
        </w:rPr>
        <w:t>daniel.rosenthal@joinroot.com</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With copies to (for</w:t>
      </w:r>
    </w:p>
    <w:p>
      <w:pPr>
        <w:ind w:left="580"/>
        <w:spacing w:after="0" w:line="228" w:lineRule="auto"/>
        <w:tabs>
          <w:tab w:leader="none" w:pos="2920" w:val="left"/>
        </w:tabs>
        <w:rPr>
          <w:sz w:val="20"/>
          <w:szCs w:val="20"/>
          <w:color w:val="auto"/>
        </w:rPr>
      </w:pPr>
      <w:r>
        <w:rPr>
          <w:rFonts w:ascii="Arial" w:cs="Arial" w:eastAsia="Arial" w:hAnsi="Arial"/>
          <w:sz w:val="19"/>
          <w:szCs w:val="19"/>
          <w:color w:val="auto"/>
        </w:rPr>
        <w:t>information purposes only):</w:t>
        <w:tab/>
        <w:t>Kirkland &amp; Ellis LLP</w:t>
      </w:r>
    </w:p>
    <w:p>
      <w:pPr>
        <w:ind w:left="3120"/>
        <w:spacing w:after="0" w:line="219" w:lineRule="auto"/>
        <w:rPr>
          <w:sz w:val="20"/>
          <w:szCs w:val="20"/>
          <w:color w:val="auto"/>
        </w:rPr>
      </w:pPr>
      <w:r>
        <w:rPr>
          <w:rFonts w:ascii="Arial" w:cs="Arial" w:eastAsia="Arial" w:hAnsi="Arial"/>
          <w:sz w:val="19"/>
          <w:szCs w:val="19"/>
          <w:color w:val="auto"/>
        </w:rPr>
        <w:t>333 South Hope Street, 29th Floor Los Angeles, CA 90071</w:t>
      </w:r>
    </w:p>
    <w:p>
      <w:pPr>
        <w:ind w:left="3120"/>
        <w:spacing w:after="0"/>
        <w:rPr>
          <w:sz w:val="20"/>
          <w:szCs w:val="20"/>
          <w:color w:val="auto"/>
        </w:rPr>
      </w:pPr>
      <w:r>
        <w:rPr>
          <w:rFonts w:ascii="Arial" w:cs="Arial" w:eastAsia="Arial" w:hAnsi="Arial"/>
          <w:sz w:val="19"/>
          <w:szCs w:val="19"/>
          <w:color w:val="auto"/>
        </w:rPr>
        <w:t>Attention: David M. Nemecek, P.C. Email:</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david.nemecek@kirkland.com</w:t>
      </w:r>
    </w:p>
    <w:p>
      <w:pPr>
        <w:spacing w:after="0" w:line="216"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and</w:t>
      </w:r>
    </w:p>
    <w:p>
      <w:pPr>
        <w:spacing w:after="0" w:line="202"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Kirkland &amp; Ellis LLP 555 California Street</w:t>
      </w:r>
    </w:p>
    <w:p>
      <w:pPr>
        <w:ind w:left="3120"/>
        <w:spacing w:after="0"/>
        <w:rPr>
          <w:sz w:val="20"/>
          <w:szCs w:val="20"/>
          <w:color w:val="auto"/>
        </w:rPr>
      </w:pPr>
      <w:r>
        <w:rPr>
          <w:rFonts w:ascii="Arial" w:cs="Arial" w:eastAsia="Arial" w:hAnsi="Arial"/>
          <w:sz w:val="19"/>
          <w:szCs w:val="19"/>
          <w:color w:val="auto"/>
        </w:rPr>
        <w:t>San Francisco, CA 94104 Attention: Katie Taylor</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Email: katie.taylor@kirkland.com</w:t>
      </w:r>
    </w:p>
    <w:p>
      <w:pPr>
        <w:spacing w:after="0" w:line="229" w:lineRule="exact"/>
        <w:rPr>
          <w:sz w:val="20"/>
          <w:szCs w:val="20"/>
          <w:color w:val="auto"/>
        </w:rPr>
      </w:pPr>
    </w:p>
    <w:p>
      <w:pPr>
        <w:ind w:left="3040" w:right="4220" w:hanging="2543"/>
        <w:spacing w:after="0" w:line="255" w:lineRule="auto"/>
        <w:tabs>
          <w:tab w:leader="none" w:pos="3020" w:val="left"/>
        </w:tabs>
        <w:rPr>
          <w:sz w:val="20"/>
          <w:szCs w:val="20"/>
          <w:color w:val="auto"/>
        </w:rPr>
      </w:pPr>
      <w:r>
        <w:rPr>
          <w:rFonts w:ascii="Arial" w:cs="Arial" w:eastAsia="Arial" w:hAnsi="Arial"/>
          <w:sz w:val="19"/>
          <w:szCs w:val="19"/>
          <w:color w:val="auto"/>
        </w:rPr>
        <w:t>To the Administrative Agent:</w:t>
      </w:r>
      <w:r>
        <w:rPr>
          <w:sz w:val="20"/>
          <w:szCs w:val="20"/>
          <w:color w:val="auto"/>
        </w:rPr>
        <w:tab/>
      </w:r>
      <w:r>
        <w:rPr>
          <w:rFonts w:ascii="Arial" w:cs="Arial" w:eastAsia="Arial" w:hAnsi="Arial"/>
          <w:sz w:val="18"/>
          <w:szCs w:val="18"/>
          <w:color w:val="auto"/>
        </w:rPr>
        <w:t>Acquiom Agency Services LLC 150 South Fifth Street, Suite 2600</w:t>
      </w:r>
    </w:p>
    <w:p>
      <w:pPr>
        <w:ind w:left="3120"/>
        <w:spacing w:after="0" w:line="218" w:lineRule="auto"/>
        <w:rPr>
          <w:sz w:val="20"/>
          <w:szCs w:val="20"/>
          <w:color w:val="auto"/>
        </w:rPr>
      </w:pPr>
      <w:r>
        <w:rPr>
          <w:rFonts w:ascii="Arial" w:cs="Arial" w:eastAsia="Arial" w:hAnsi="Arial"/>
          <w:sz w:val="19"/>
          <w:szCs w:val="19"/>
          <w:color w:val="auto"/>
        </w:rPr>
        <w:t>Minneapolis, MN 55402</w:t>
      </w:r>
    </w:p>
    <w:p>
      <w:pPr>
        <w:ind w:left="3120"/>
        <w:spacing w:after="0" w:line="204" w:lineRule="auto"/>
        <w:rPr>
          <w:sz w:val="20"/>
          <w:szCs w:val="20"/>
          <w:color w:val="auto"/>
        </w:rPr>
      </w:pPr>
      <w:r>
        <w:rPr>
          <w:rFonts w:ascii="Arial" w:cs="Arial" w:eastAsia="Arial" w:hAnsi="Arial"/>
          <w:sz w:val="19"/>
          <w:szCs w:val="19"/>
          <w:color w:val="auto"/>
        </w:rPr>
        <w:t>Attention: Caret Holdings Administrator Email:</w:t>
      </w:r>
    </w:p>
    <w:p>
      <w:pPr>
        <w:ind w:left="3120"/>
        <w:spacing w:after="0"/>
        <w:rPr>
          <w:sz w:val="20"/>
          <w:szCs w:val="20"/>
          <w:color w:val="auto"/>
        </w:rPr>
      </w:pPr>
      <w:r>
        <w:rPr>
          <w:rFonts w:ascii="Arial" w:cs="Arial" w:eastAsia="Arial" w:hAnsi="Arial"/>
          <w:sz w:val="19"/>
          <w:szCs w:val="19"/>
          <w:color w:val="auto"/>
        </w:rPr>
        <w:t>loanagency@srsacquiom.com</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With a copy to (for</w:t>
      </w:r>
    </w:p>
    <w:p>
      <w:pPr>
        <w:ind w:left="580"/>
        <w:spacing w:after="0" w:line="219" w:lineRule="auto"/>
        <w:tabs>
          <w:tab w:leader="none" w:pos="2920" w:val="left"/>
        </w:tabs>
        <w:rPr>
          <w:sz w:val="20"/>
          <w:szCs w:val="20"/>
          <w:color w:val="auto"/>
        </w:rPr>
      </w:pPr>
      <w:r>
        <w:rPr>
          <w:rFonts w:ascii="Arial" w:cs="Arial" w:eastAsia="Arial" w:hAnsi="Arial"/>
          <w:sz w:val="19"/>
          <w:szCs w:val="19"/>
          <w:color w:val="auto"/>
        </w:rPr>
        <w:t>information purposes only):</w:t>
      </w:r>
      <w:r>
        <w:rPr>
          <w:sz w:val="20"/>
          <w:szCs w:val="20"/>
          <w:color w:val="auto"/>
        </w:rPr>
        <w:tab/>
      </w:r>
      <w:r>
        <w:rPr>
          <w:rFonts w:ascii="Arial" w:cs="Arial" w:eastAsia="Arial" w:hAnsi="Arial"/>
          <w:sz w:val="18"/>
          <w:szCs w:val="18"/>
          <w:color w:val="auto"/>
        </w:rPr>
        <w:t>Clifford Chance US LLP</w:t>
      </w:r>
    </w:p>
    <w:p>
      <w:pPr>
        <w:ind w:left="3120"/>
        <w:spacing w:after="0" w:line="185" w:lineRule="auto"/>
        <w:rPr>
          <w:sz w:val="20"/>
          <w:szCs w:val="20"/>
          <w:color w:val="auto"/>
        </w:rPr>
      </w:pPr>
      <w:r>
        <w:rPr>
          <w:rFonts w:ascii="Arial" w:cs="Arial" w:eastAsia="Arial" w:hAnsi="Arial"/>
          <w:sz w:val="18"/>
          <w:szCs w:val="18"/>
          <w:color w:val="auto"/>
        </w:rPr>
        <w:t>31 W.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ind w:left="3120"/>
        <w:spacing w:after="0" w:line="204" w:lineRule="auto"/>
        <w:rPr>
          <w:sz w:val="20"/>
          <w:szCs w:val="20"/>
          <w:color w:val="auto"/>
        </w:rPr>
      </w:pPr>
      <w:r>
        <w:rPr>
          <w:rFonts w:ascii="Arial" w:cs="Arial" w:eastAsia="Arial" w:hAnsi="Arial"/>
          <w:sz w:val="19"/>
          <w:szCs w:val="19"/>
          <w:color w:val="auto"/>
        </w:rPr>
        <w:t>New York, New York 10019 Attention: Gary Brooks</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Email: gary.brooks@cliffordchance.com</w:t>
      </w:r>
    </w:p>
    <w:p>
      <w:pPr>
        <w:spacing w:after="0" w:line="203" w:lineRule="exact"/>
        <w:rPr>
          <w:sz w:val="20"/>
          <w:szCs w:val="20"/>
          <w:color w:val="auto"/>
        </w:rPr>
      </w:pPr>
    </w:p>
    <w:p>
      <w:pPr>
        <w:ind w:left="580"/>
        <w:spacing w:after="0"/>
        <w:tabs>
          <w:tab w:leader="none" w:pos="1920" w:val="left"/>
        </w:tabs>
        <w:rPr>
          <w:sz w:val="20"/>
          <w:szCs w:val="20"/>
          <w:color w:val="auto"/>
        </w:rPr>
      </w:pPr>
      <w:r>
        <w:rPr>
          <w:rFonts w:ascii="Arial" w:cs="Arial" w:eastAsia="Arial" w:hAnsi="Arial"/>
          <w:sz w:val="19"/>
          <w:szCs w:val="19"/>
          <w:color w:val="auto"/>
        </w:rPr>
        <w:t>To BlackRock:</w:t>
      </w:r>
      <w:r>
        <w:rPr>
          <w:sz w:val="20"/>
          <w:szCs w:val="20"/>
          <w:color w:val="auto"/>
        </w:rPr>
        <w:tab/>
      </w:r>
      <w:r>
        <w:rPr>
          <w:rFonts w:ascii="Arial" w:cs="Arial" w:eastAsia="Arial" w:hAnsi="Arial"/>
          <w:sz w:val="17"/>
          <w:szCs w:val="17"/>
          <w:color w:val="auto"/>
        </w:rPr>
        <w:t>c/o BlackRock Financial Management, Inc.</w:t>
      </w:r>
    </w:p>
    <w:p>
      <w:pPr>
        <w:ind w:left="3120"/>
        <w:spacing w:after="0" w:line="181" w:lineRule="auto"/>
        <w:rPr>
          <w:sz w:val="20"/>
          <w:szCs w:val="20"/>
          <w:color w:val="auto"/>
        </w:rPr>
      </w:pPr>
      <w:r>
        <w:rPr>
          <w:rFonts w:ascii="Arial" w:cs="Arial" w:eastAsia="Arial" w:hAnsi="Arial"/>
          <w:sz w:val="19"/>
          <w:szCs w:val="19"/>
          <w:color w:val="auto"/>
        </w:rPr>
        <w:t>40 East 52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Street</w:t>
      </w:r>
    </w:p>
    <w:p>
      <w:pPr>
        <w:ind w:left="3120"/>
        <w:spacing w:after="0" w:line="203" w:lineRule="auto"/>
        <w:rPr>
          <w:sz w:val="20"/>
          <w:szCs w:val="20"/>
          <w:color w:val="auto"/>
        </w:rPr>
      </w:pPr>
      <w:r>
        <w:rPr>
          <w:rFonts w:ascii="Arial" w:cs="Arial" w:eastAsia="Arial" w:hAnsi="Arial"/>
          <w:sz w:val="19"/>
          <w:szCs w:val="19"/>
          <w:color w:val="auto"/>
        </w:rPr>
        <w:t>New York, New York 10022 Attention: Federico</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Maffioletti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0000"/>
          </w:cols>
          <w:pgMar w:left="1440" w:top="1440" w:right="459" w:bottom="1440" w:gutter="0" w:footer="0" w:header="0"/>
        </w:sectPr>
      </w:pPr>
    </w:p>
    <w:bookmarkStart w:id="153" w:name="page154"/>
    <w:bookmarkEnd w:id="153"/>
    <w:p>
      <w:pPr>
        <w:spacing w:after="0" w:line="181"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Mark Lawrence</w:t>
      </w:r>
    </w:p>
    <w:p>
      <w:pPr>
        <w:spacing w:after="0" w:line="3"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Telephone: +44 20077 433758 (Federico Maffioletti)</w:t>
      </w:r>
    </w:p>
    <w:p>
      <w:pPr>
        <w:ind w:left="4040"/>
        <w:spacing w:after="0" w:line="203" w:lineRule="auto"/>
        <w:rPr>
          <w:sz w:val="20"/>
          <w:szCs w:val="20"/>
          <w:color w:val="auto"/>
        </w:rPr>
      </w:pPr>
      <w:r>
        <w:rPr>
          <w:rFonts w:ascii="Arial" w:cs="Arial" w:eastAsia="Arial" w:hAnsi="Arial"/>
          <w:sz w:val="19"/>
          <w:szCs w:val="19"/>
          <w:color w:val="auto"/>
        </w:rPr>
        <w:t>+1 646-231-1477 (Mark Lawrence) Email:</w:t>
      </w:r>
    </w:p>
    <w:p>
      <w:pPr>
        <w:ind w:left="3120"/>
        <w:spacing w:after="0" w:line="204" w:lineRule="auto"/>
        <w:rPr>
          <w:sz w:val="20"/>
          <w:szCs w:val="20"/>
          <w:color w:val="auto"/>
        </w:rPr>
      </w:pPr>
      <w:r>
        <w:rPr>
          <w:rFonts w:ascii="Arial" w:cs="Arial" w:eastAsia="Arial" w:hAnsi="Arial"/>
          <w:sz w:val="19"/>
          <w:szCs w:val="19"/>
          <w:color w:val="auto"/>
        </w:rPr>
        <w:t>federico.maffioletti@blackrock.com</w:t>
      </w:r>
    </w:p>
    <w:p>
      <w:pPr>
        <w:ind w:left="3760"/>
        <w:spacing w:after="0"/>
        <w:rPr>
          <w:sz w:val="20"/>
          <w:szCs w:val="20"/>
          <w:color w:val="auto"/>
        </w:rPr>
      </w:pPr>
      <w:r>
        <w:rPr>
          <w:rFonts w:ascii="Arial" w:cs="Arial" w:eastAsia="Arial" w:hAnsi="Arial"/>
          <w:sz w:val="19"/>
          <w:szCs w:val="19"/>
          <w:color w:val="auto"/>
        </w:rPr>
        <w:t>Mark.A.Lawrence@blackrock.com</w:t>
      </w:r>
    </w:p>
    <w:p>
      <w:pPr>
        <w:spacing w:after="0" w:line="97"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with copies to (which shall not constitute notice): c/o BlackRock, Inc.</w:t>
      </w:r>
    </w:p>
    <w:p>
      <w:pPr>
        <w:spacing w:after="0" w:line="40"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Office of the General Counsel 40 East 52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Street</w:t>
      </w:r>
    </w:p>
    <w:p>
      <w:pPr>
        <w:ind w:left="3120"/>
        <w:spacing w:after="0"/>
        <w:rPr>
          <w:sz w:val="20"/>
          <w:szCs w:val="20"/>
          <w:color w:val="auto"/>
        </w:rPr>
      </w:pPr>
      <w:r>
        <w:rPr>
          <w:rFonts w:ascii="Arial" w:cs="Arial" w:eastAsia="Arial" w:hAnsi="Arial"/>
          <w:sz w:val="19"/>
          <w:szCs w:val="19"/>
          <w:color w:val="auto"/>
        </w:rPr>
        <w:t>New York, New York 10022 Attention: Lucy Liu</w:t>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Email: LegalTransaction@blackrock.com and</w:t>
      </w:r>
    </w:p>
    <w:p>
      <w:pPr>
        <w:spacing w:after="0" w:line="53" w:lineRule="exact"/>
        <w:rPr>
          <w:sz w:val="20"/>
          <w:szCs w:val="20"/>
          <w:color w:val="auto"/>
        </w:rPr>
      </w:pPr>
    </w:p>
    <w:p>
      <w:pPr>
        <w:ind w:left="3120"/>
        <w:spacing w:after="0"/>
        <w:rPr>
          <w:sz w:val="20"/>
          <w:szCs w:val="20"/>
          <w:color w:val="auto"/>
        </w:rPr>
      </w:pPr>
      <w:r>
        <w:rPr>
          <w:rFonts w:ascii="Arial" w:cs="Arial" w:eastAsia="Arial" w:hAnsi="Arial"/>
          <w:sz w:val="19"/>
          <w:szCs w:val="19"/>
          <w:color w:val="auto"/>
        </w:rPr>
        <w:t>Clifford Chance US LLP 31 W. 52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Street</w:t>
      </w:r>
    </w:p>
    <w:p>
      <w:pPr>
        <w:ind w:left="3120"/>
        <w:spacing w:after="0" w:line="203" w:lineRule="auto"/>
        <w:rPr>
          <w:sz w:val="20"/>
          <w:szCs w:val="20"/>
          <w:color w:val="auto"/>
        </w:rPr>
      </w:pPr>
      <w:r>
        <w:rPr>
          <w:rFonts w:ascii="Arial" w:cs="Arial" w:eastAsia="Arial" w:hAnsi="Arial"/>
          <w:sz w:val="19"/>
          <w:szCs w:val="19"/>
          <w:color w:val="auto"/>
        </w:rPr>
        <w:t>New York, New York 10019 Attention: Andrew</w:t>
      </w:r>
    </w:p>
    <w:p>
      <w:pPr>
        <w:ind w:left="3120"/>
        <w:spacing w:after="0" w:line="204" w:lineRule="auto"/>
        <w:rPr>
          <w:sz w:val="20"/>
          <w:szCs w:val="20"/>
          <w:color w:val="auto"/>
        </w:rPr>
      </w:pPr>
      <w:r>
        <w:rPr>
          <w:rFonts w:ascii="Arial" w:cs="Arial" w:eastAsia="Arial" w:hAnsi="Arial"/>
          <w:sz w:val="19"/>
          <w:szCs w:val="19"/>
          <w:color w:val="auto"/>
        </w:rPr>
        <w:t>Young Telephone: +1 212-878-8012</w:t>
      </w:r>
    </w:p>
    <w:p>
      <w:pPr>
        <w:ind w:left="3120"/>
        <w:spacing w:after="0"/>
        <w:rPr>
          <w:sz w:val="20"/>
          <w:szCs w:val="20"/>
          <w:color w:val="auto"/>
        </w:rPr>
      </w:pPr>
      <w:r>
        <w:rPr>
          <w:rFonts w:ascii="Arial" w:cs="Arial" w:eastAsia="Arial" w:hAnsi="Arial"/>
          <w:sz w:val="19"/>
          <w:szCs w:val="19"/>
          <w:color w:val="auto"/>
        </w:rPr>
        <w:t>Email: andrew.young@cliffordchance.com</w:t>
      </w:r>
    </w:p>
    <w:p>
      <w:pPr>
        <w:spacing w:after="0" w:line="190" w:lineRule="exact"/>
        <w:rPr>
          <w:sz w:val="20"/>
          <w:szCs w:val="20"/>
          <w:color w:val="auto"/>
        </w:rPr>
      </w:pPr>
    </w:p>
    <w:p>
      <w:pPr>
        <w:jc w:val="right"/>
        <w:ind w:left="580" w:right="2680"/>
        <w:spacing w:after="0" w:line="237" w:lineRule="auto"/>
        <w:rPr>
          <w:sz w:val="20"/>
          <w:szCs w:val="20"/>
          <w:color w:val="auto"/>
        </w:rPr>
      </w:pPr>
      <w:r>
        <w:rPr>
          <w:rFonts w:ascii="Arial" w:cs="Arial" w:eastAsia="Arial" w:hAnsi="Arial"/>
          <w:sz w:val="19"/>
          <w:szCs w:val="19"/>
          <w:color w:val="auto"/>
        </w:rPr>
        <w:t>To any other Lender:  the address set forth in the Administrative Questionnaire or the Assignment and Acceptance executed by such Lender</w:t>
      </w:r>
    </w:p>
    <w:p>
      <w:pPr>
        <w:spacing w:after="0" w:line="191" w:lineRule="exact"/>
        <w:rPr>
          <w:sz w:val="20"/>
          <w:szCs w:val="20"/>
          <w:color w:val="auto"/>
        </w:rPr>
      </w:pPr>
    </w:p>
    <w:p>
      <w:pPr>
        <w:ind w:left="580" w:right="80"/>
        <w:spacing w:after="0" w:line="237" w:lineRule="auto"/>
        <w:rPr>
          <w:sz w:val="20"/>
          <w:szCs w:val="20"/>
          <w:color w:val="auto"/>
        </w:rPr>
      </w:pPr>
      <w:r>
        <w:rPr>
          <w:rFonts w:ascii="Arial" w:cs="Arial" w:eastAsia="Arial" w:hAnsi="Arial"/>
          <w:sz w:val="19"/>
          <w:szCs w:val="19"/>
          <w:color w:val="auto"/>
        </w:rPr>
        <w:t>Any party hereto may change its address or facsimile number for notices and other communications hereunder by notice to the other parties hereto.</w:t>
      </w:r>
    </w:p>
    <w:p>
      <w:pPr>
        <w:spacing w:after="0" w:line="178" w:lineRule="exact"/>
        <w:rPr>
          <w:sz w:val="20"/>
          <w:szCs w:val="20"/>
          <w:color w:val="auto"/>
        </w:rPr>
      </w:pPr>
    </w:p>
    <w:p>
      <w:pPr>
        <w:jc w:val="both"/>
        <w:ind w:left="580" w:firstLine="1273"/>
        <w:spacing w:after="0" w:line="222" w:lineRule="auto"/>
        <w:tabs>
          <w:tab w:leader="none" w:pos="269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agreement of the Administrative Agent or any Lender herein to receive certain notices by telephone or facsimile is solely for the convenience and at the request of the Borrower. The Administrative Agent and each Lender shall be entitled to rely on the authority of any Person purporting to be a Person authorized by the Borrower to give such notice and the Administrative Agent and the Lenders shall not have any liability to the Borrower or other Person on account of any action taken or not taken by the Administrative Agent or any Lender in reliance upon such telephonic or facsimile notice. The obligation of the Borrower to repay the Loans and all other Obligations hereunder shall not be affected in any way or to any extent by any failure of the Administrative Agent or any Lender to receive written confirmation of any telephonic or facsimile notice or the receipt by the Administrative Agent or any Lender of a confirmation which is at variance with the terms understood by the Administrative Agent and such Lender to be contained in any such telephonic or facsimile notice.</w:t>
      </w:r>
    </w:p>
    <w:p>
      <w:pPr>
        <w:spacing w:after="0" w:line="192" w:lineRule="exact"/>
        <w:rPr>
          <w:rFonts w:ascii="Arial" w:cs="Arial" w:eastAsia="Arial" w:hAnsi="Arial"/>
          <w:sz w:val="18"/>
          <w:szCs w:val="18"/>
          <w:color w:val="auto"/>
        </w:rPr>
      </w:pPr>
    </w:p>
    <w:p>
      <w:pPr>
        <w:ind w:left="1840" w:hanging="623"/>
        <w:spacing w:after="0"/>
        <w:tabs>
          <w:tab w:leader="none" w:pos="1840"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w:t>
      </w:r>
    </w:p>
    <w:p>
      <w:pPr>
        <w:spacing w:after="0" w:line="285" w:lineRule="exact"/>
        <w:rPr>
          <w:rFonts w:ascii="Arial" w:cs="Arial" w:eastAsia="Arial" w:hAnsi="Arial"/>
          <w:sz w:val="19"/>
          <w:szCs w:val="19"/>
          <w:color w:val="auto"/>
        </w:rPr>
      </w:pPr>
    </w:p>
    <w:p>
      <w:pPr>
        <w:jc w:val="both"/>
        <w:ind w:left="580" w:firstLine="1273"/>
        <w:spacing w:after="0" w:line="225" w:lineRule="auto"/>
        <w:tabs>
          <w:tab w:leader="none" w:pos="206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if such Lender has notified the Administrative Agent that it is incapable of receiving, or is unwilling to receive, notices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0000"/>
          </w:cols>
          <w:pgMar w:left="1440" w:top="1440" w:right="459" w:bottom="1440" w:gutter="0" w:footer="0" w:header="0"/>
        </w:sectPr>
      </w:pPr>
    </w:p>
    <w:bookmarkStart w:id="154" w:name="page155"/>
    <w:bookmarkEnd w:id="154"/>
    <w:p>
      <w:pPr>
        <w:jc w:val="both"/>
        <w:ind w:left="580" w:firstLine="1273"/>
        <w:spacing w:after="0" w:line="223" w:lineRule="auto"/>
        <w:tabs>
          <w:tab w:leader="none" w:pos="269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(A) and (B) above, if such notice or other communication is not sent during the normal business hours of the recipient, such notice or communication shall be deemed to have been sent at the opening of business on the next Business Day for the recipient.</w:t>
      </w:r>
    </w:p>
    <w:p>
      <w:pPr>
        <w:spacing w:after="0" w:line="177" w:lineRule="exact"/>
        <w:rPr>
          <w:rFonts w:ascii="Arial" w:cs="Arial" w:eastAsia="Arial" w:hAnsi="Arial"/>
          <w:sz w:val="18"/>
          <w:szCs w:val="18"/>
          <w:color w:val="auto"/>
        </w:rPr>
      </w:pPr>
    </w:p>
    <w:p>
      <w:pPr>
        <w:jc w:val="both"/>
        <w:ind w:left="580" w:firstLine="1273"/>
        <w:spacing w:after="0" w:line="226" w:lineRule="auto"/>
        <w:tabs>
          <w:tab w:leader="none" w:pos="27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Borrower agrees that the Administrative Agent may, but shall not be obligated to, make Communications (as defined below) available to the other Lenders by posting the Communications on Debt Domain, Intralinks, Syndtrak, ClearPar or a substantially similar electronic system.</w:t>
      </w:r>
    </w:p>
    <w:p>
      <w:pPr>
        <w:spacing w:after="0" w:line="191" w:lineRule="exact"/>
        <w:rPr>
          <w:rFonts w:ascii="Arial" w:cs="Arial" w:eastAsia="Arial" w:hAnsi="Arial"/>
          <w:sz w:val="19"/>
          <w:szCs w:val="19"/>
          <w:color w:val="auto"/>
        </w:rPr>
      </w:pPr>
    </w:p>
    <w:p>
      <w:pPr>
        <w:jc w:val="both"/>
        <w:ind w:left="580" w:firstLine="1274"/>
        <w:spacing w:after="0" w:line="218" w:lineRule="auto"/>
        <w:tabs>
          <w:tab w:leader="none" w:pos="268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Administrative Agent or any Related Party have any liability to any Loan Party or any of their respective Subsidiaries, any Lender or any other Person for indirect, special, incidental, consequential or punitive damages (as opposed to direct or actual damages) arising out of any Loan Party’s or the Administrative Agent’s transmission of Communications. “</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Section, including through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0000"/>
          </w:cols>
          <w:pgMar w:left="1440" w:top="1302" w:right="459" w:bottom="1440" w:gutter="0" w:footer="0" w:header="0"/>
        </w:sectPr>
      </w:pPr>
    </w:p>
    <w:bookmarkStart w:id="155" w:name="page156"/>
    <w:bookmarkEnd w:id="155"/>
    <w:p>
      <w:pPr>
        <w:spacing w:after="0" w:line="167" w:lineRule="exact"/>
        <w:rPr>
          <w:sz w:val="20"/>
          <w:szCs w:val="20"/>
          <w:color w:val="auto"/>
        </w:rPr>
      </w:pPr>
    </w:p>
    <w:p>
      <w:pPr>
        <w:jc w:val="both"/>
        <w:ind w:left="-60" w:firstLine="1278"/>
        <w:spacing w:after="0" w:line="232" w:lineRule="auto"/>
        <w:tabs>
          <w:tab w:leader="none" w:pos="205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Telephonic Notices</w:t>
      </w:r>
      <w:r>
        <w:rPr>
          <w:rFonts w:ascii="Arial" w:cs="Arial" w:eastAsia="Arial" w:hAnsi="Arial"/>
          <w:sz w:val="18"/>
          <w:szCs w:val="18"/>
          <w:color w:val="auto"/>
        </w:rPr>
        <w:t>. Unless otherwise expressly provided herein,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93" w:lineRule="exact"/>
        <w:rPr>
          <w:rFonts w:ascii="Arial" w:cs="Arial" w:eastAsia="Arial" w:hAnsi="Arial"/>
          <w:sz w:val="18"/>
          <w:szCs w:val="18"/>
          <w:color w:val="auto"/>
        </w:rPr>
      </w:pPr>
    </w:p>
    <w:p>
      <w:pPr>
        <w:jc w:val="both"/>
        <w:ind w:left="580" w:firstLine="1273"/>
        <w:spacing w:after="0" w:line="220" w:lineRule="auto"/>
        <w:tabs>
          <w:tab w:leader="none" w:pos="2062" w:val="left"/>
        </w:tabs>
        <w:numPr>
          <w:ilvl w:val="1"/>
          <w:numId w:val="158"/>
        </w:numPr>
        <w:rPr>
          <w:rFonts w:ascii="Arial" w:cs="Arial" w:eastAsia="Arial" w:hAnsi="Arial"/>
          <w:sz w:val="19"/>
          <w:szCs w:val="19"/>
          <w:color w:val="auto"/>
        </w:rPr>
      </w:pPr>
      <w:r>
        <w:rPr>
          <w:rFonts w:ascii="Arial" w:cs="Arial" w:eastAsia="Arial" w:hAnsi="Arial"/>
          <w:sz w:val="19"/>
          <w:szCs w:val="19"/>
          <w:color w:val="auto"/>
        </w:rPr>
        <w:t xml:space="preserve">if to Holdings, the Borrower or the Administrative Agent, to the address, facsimile number, electronic mail address or telephone number specified for such Person in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or to such other address, facsimile number, electronic mail address or telephone number as shall be designated by such party in a notice to the other parties hereto, as provided in </w:t>
      </w:r>
      <w:r>
        <w:rPr>
          <w:rFonts w:ascii="Arial" w:cs="Arial" w:eastAsia="Arial" w:hAnsi="Arial"/>
          <w:sz w:val="19"/>
          <w:szCs w:val="19"/>
          <w:u w:val="single" w:color="auto"/>
          <w:color w:val="auto"/>
        </w:rPr>
        <w:t>Section 10.1(d)</w:t>
      </w:r>
      <w:r>
        <w:rPr>
          <w:rFonts w:ascii="Arial" w:cs="Arial" w:eastAsia="Arial" w:hAnsi="Arial"/>
          <w:sz w:val="19"/>
          <w:szCs w:val="19"/>
          <w:color w:val="auto"/>
        </w:rPr>
        <w:t>; and</w:t>
      </w:r>
    </w:p>
    <w:p>
      <w:pPr>
        <w:spacing w:after="0" w:line="272" w:lineRule="exact"/>
        <w:rPr>
          <w:rFonts w:ascii="Arial" w:cs="Arial" w:eastAsia="Arial" w:hAnsi="Arial"/>
          <w:sz w:val="19"/>
          <w:szCs w:val="19"/>
          <w:color w:val="auto"/>
        </w:rPr>
      </w:pPr>
    </w:p>
    <w:p>
      <w:pPr>
        <w:ind w:left="580" w:right="100" w:firstLine="1273"/>
        <w:spacing w:after="0" w:line="237" w:lineRule="auto"/>
        <w:tabs>
          <w:tab w:leader="none" w:pos="2699"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if to any other Lender, to the address, facsimile number, electronic mail address or telephone number specified in its Administrative Questionnaire.</w:t>
      </w:r>
    </w:p>
    <w:p>
      <w:pPr>
        <w:spacing w:after="0" w:line="191" w:lineRule="exact"/>
        <w:rPr>
          <w:rFonts w:ascii="Arial" w:cs="Arial" w:eastAsia="Arial" w:hAnsi="Arial"/>
          <w:sz w:val="19"/>
          <w:szCs w:val="19"/>
          <w:color w:val="auto"/>
        </w:rPr>
      </w:pPr>
    </w:p>
    <w:p>
      <w:pPr>
        <w:jc w:val="both"/>
        <w:ind w:left="-60" w:firstLine="1277"/>
        <w:spacing w:after="0" w:line="212" w:lineRule="auto"/>
        <w:tabs>
          <w:tab w:leader="none" w:pos="204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All such notices and other communications sent to any party hereto in accordance with the provisions of this Agreement are made upon the earlier to occur of (i) actual receipt by the relevant party hereto and (ii) (A)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to the extent provided in clause (b) above and effective as provided in such clause;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and other communications to the Administrative Agent pursuant to Article II shall not be effective until actually received by such Person. In no event shall a voice mail message be effective as a notice, communication or confirmation hereunder.</w:t>
      </w:r>
    </w:p>
    <w:p>
      <w:pPr>
        <w:spacing w:after="0" w:line="178" w:lineRule="exact"/>
        <w:rPr>
          <w:rFonts w:ascii="Arial" w:cs="Arial" w:eastAsia="Arial" w:hAnsi="Arial"/>
          <w:sz w:val="19"/>
          <w:szCs w:val="19"/>
          <w:color w:val="auto"/>
        </w:rPr>
      </w:pPr>
    </w:p>
    <w:p>
      <w:pPr>
        <w:jc w:val="both"/>
        <w:ind w:left="-60" w:firstLine="1277"/>
        <w:spacing w:after="0" w:line="238" w:lineRule="auto"/>
        <w:tabs>
          <w:tab w:leader="none" w:pos="20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Loan Documents may be transmitted and/or signed by facsimile or other electronic communication. The effectiveness of any such documents and signatures shall, subject to applicable law, have the same force and effect as manually signed originals and shall be binding on all Loan Parties, the Administrative Agent and the Lenders.</w:t>
      </w:r>
    </w:p>
    <w:p>
      <w:pPr>
        <w:spacing w:after="0" w:line="173"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9"/>
          <w:szCs w:val="19"/>
          <w:color w:val="auto"/>
        </w:rPr>
        <w:t>Section 10.2.</w:t>
      </w:r>
      <w:r>
        <w:rPr>
          <w:sz w:val="20"/>
          <w:szCs w:val="20"/>
          <w:color w:val="auto"/>
        </w:rPr>
        <w:tab/>
      </w:r>
      <w:r>
        <w:rPr>
          <w:rFonts w:ascii="Arial" w:cs="Arial" w:eastAsia="Arial" w:hAnsi="Arial"/>
          <w:sz w:val="17"/>
          <w:szCs w:val="17"/>
          <w:b w:val="1"/>
          <w:bCs w:val="1"/>
          <w:u w:val="single" w:color="auto"/>
          <w:color w:val="auto"/>
        </w:rPr>
        <w:t>Waiver; Amendments</w:t>
      </w:r>
      <w:r>
        <w:rPr>
          <w:rFonts w:ascii="Arial" w:cs="Arial" w:eastAsia="Arial" w:hAnsi="Arial"/>
          <w:sz w:val="17"/>
          <w:szCs w:val="17"/>
          <w:color w:val="auto"/>
        </w:rPr>
        <w:t>.</w:t>
      </w:r>
    </w:p>
    <w:p>
      <w:pPr>
        <w:spacing w:after="0" w:line="304" w:lineRule="exact"/>
        <w:rPr>
          <w:sz w:val="20"/>
          <w:szCs w:val="20"/>
          <w:color w:val="auto"/>
        </w:rPr>
      </w:pPr>
    </w:p>
    <w:p>
      <w:pPr>
        <w:jc w:val="both"/>
        <w:ind w:left="-60" w:firstLine="1277"/>
        <w:spacing w:after="0" w:line="209" w:lineRule="auto"/>
        <w:tabs>
          <w:tab w:leader="none" w:pos="205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or any Lender in exercising any right or power hereunder or under any other Loan Document, and no course of dealing between the Borrower and the Administrative Agent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and the Lenders hereunder and under the other Loan Documents are cumulative and are not exclusive of any rights or remedies provided by law. No waiver of any provision of this Agreement or of any other Loan Document or consent to any departure by the Borrower therefrom shall in any event be effective unless the same shall be permitted by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Term Loan shall not be construed as a waiver of any Default or Event of Default, regardless of whether the Administrative Agent or any Lender may have had notice or knowledge of such Default or Event of Default at the time.</w:t>
      </w:r>
    </w:p>
    <w:p>
      <w:pPr>
        <w:spacing w:after="0" w:line="181" w:lineRule="exact"/>
        <w:rPr>
          <w:rFonts w:ascii="Arial" w:cs="Arial" w:eastAsia="Arial" w:hAnsi="Arial"/>
          <w:sz w:val="19"/>
          <w:szCs w:val="19"/>
          <w:color w:val="auto"/>
        </w:rPr>
      </w:pPr>
    </w:p>
    <w:p>
      <w:pPr>
        <w:jc w:val="both"/>
        <w:ind w:left="-60" w:firstLine="1277"/>
        <w:spacing w:after="0" w:line="220" w:lineRule="auto"/>
        <w:tabs>
          <w:tab w:leader="none" w:pos="204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this Agreement, including, without limitation,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with respect to the implementation of a Benchmark Replacement or Conforming Changes (as set forth therein), no amendment or waiver of any provision of this Agreement or of the other Loan Documents (other than the Fee Letters, the Board Observation Side Letter or the Warrants,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0000"/>
          </w:cols>
          <w:pgMar w:left="1440" w:top="1440" w:right="459" w:bottom="1440" w:gutter="0" w:footer="0" w:header="0"/>
        </w:sectPr>
      </w:pPr>
    </w:p>
    <w:bookmarkStart w:id="156" w:name="page157"/>
    <w:bookmarkEnd w:id="156"/>
    <w:p>
      <w:pPr>
        <w:spacing w:after="0" w:line="167"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which may be amended or modified in accordance with the terms thereof), nor consent to any departure by the Borrower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addition to the consent of the Required Lenders, no amendment, waiver or consent shall:</w:t>
      </w:r>
    </w:p>
    <w:p>
      <w:pPr>
        <w:spacing w:after="0" w:line="254" w:lineRule="exact"/>
        <w:rPr>
          <w:sz w:val="20"/>
          <w:szCs w:val="20"/>
          <w:color w:val="auto"/>
        </w:rPr>
      </w:pPr>
    </w:p>
    <w:p>
      <w:pPr>
        <w:ind w:left="2540" w:hanging="627"/>
        <w:spacing w:after="0"/>
        <w:tabs>
          <w:tab w:leader="none" w:pos="254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increase the Commitment of any Lender without the written consent of</w:t>
      </w:r>
    </w:p>
    <w:p>
      <w:pPr>
        <w:ind w:left="640"/>
        <w:spacing w:after="0"/>
        <w:rPr>
          <w:sz w:val="20"/>
          <w:szCs w:val="20"/>
          <w:color w:val="auto"/>
        </w:rPr>
      </w:pPr>
      <w:r>
        <w:rPr>
          <w:rFonts w:ascii="Arial" w:cs="Arial" w:eastAsia="Arial" w:hAnsi="Arial"/>
          <w:sz w:val="19"/>
          <w:szCs w:val="19"/>
          <w:color w:val="auto"/>
        </w:rPr>
        <w:t>such Lender;</w:t>
      </w:r>
    </w:p>
    <w:p>
      <w:pPr>
        <w:spacing w:after="0" w:line="282" w:lineRule="exact"/>
        <w:rPr>
          <w:sz w:val="20"/>
          <w:szCs w:val="20"/>
          <w:color w:val="auto"/>
        </w:rPr>
      </w:pPr>
    </w:p>
    <w:p>
      <w:pPr>
        <w:jc w:val="both"/>
        <w:ind w:left="640" w:firstLine="1273"/>
        <w:spacing w:after="0" w:line="217" w:lineRule="auto"/>
        <w:tabs>
          <w:tab w:leader="none" w:pos="275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reduce the principal amount of any Loan or reduce the rate of interest thereon, or reduce any fees or other amounts payable hereunder (including any Prepayment Premium), without the written consent 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to waive any obligation of the Borrower to pay interest at the rate set forth in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during the continuance of an Event of Default;</w:t>
      </w:r>
    </w:p>
    <w:p>
      <w:pPr>
        <w:spacing w:after="0" w:line="271" w:lineRule="exact"/>
        <w:rPr>
          <w:rFonts w:ascii="Arial" w:cs="Arial" w:eastAsia="Arial" w:hAnsi="Arial"/>
          <w:sz w:val="19"/>
          <w:szCs w:val="19"/>
          <w:color w:val="auto"/>
        </w:rPr>
      </w:pPr>
    </w:p>
    <w:p>
      <w:pPr>
        <w:jc w:val="both"/>
        <w:ind w:left="640" w:firstLine="1273"/>
        <w:spacing w:after="0" w:line="215" w:lineRule="auto"/>
        <w:tabs>
          <w:tab w:leader="none" w:pos="27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postpone the date fixed for any payment (other than any mandatory prepayment) of any principal of, or interest on, any Loan or any fees or other amounts hereunder or reduce the amount of, waive or excuse any such payment or postpone the scheduled date for the termination or reduction of any Commitment, without the written consent of each Lender directly affected thereby (it being understood that the waiver of any Default or Event of Default or mandatory prepayment shall not constitute a postponement, extension, reduction, excuse or waiver any payment for purposes of this </w:t>
      </w:r>
      <w:r>
        <w:rPr>
          <w:rFonts w:ascii="Arial" w:cs="Arial" w:eastAsia="Arial" w:hAnsi="Arial"/>
          <w:sz w:val="19"/>
          <w:szCs w:val="19"/>
          <w:u w:val="single" w:color="auto"/>
          <w:color w:val="auto"/>
        </w:rPr>
        <w:t>clause (iii)</w:t>
      </w:r>
      <w:r>
        <w:rPr>
          <w:rFonts w:ascii="Arial" w:cs="Arial" w:eastAsia="Arial" w:hAnsi="Arial"/>
          <w:sz w:val="19"/>
          <w:szCs w:val="19"/>
          <w:color w:val="auto"/>
        </w:rPr>
        <w:t>);</w:t>
      </w:r>
    </w:p>
    <w:p>
      <w:pPr>
        <w:spacing w:after="0" w:line="269" w:lineRule="exact"/>
        <w:rPr>
          <w:rFonts w:ascii="Arial" w:cs="Arial" w:eastAsia="Arial" w:hAnsi="Arial"/>
          <w:sz w:val="19"/>
          <w:szCs w:val="19"/>
          <w:color w:val="auto"/>
        </w:rPr>
      </w:pPr>
    </w:p>
    <w:p>
      <w:pPr>
        <w:jc w:val="both"/>
        <w:ind w:left="640" w:firstLine="1274"/>
        <w:spacing w:after="0" w:line="213" w:lineRule="auto"/>
        <w:tabs>
          <w:tab w:leader="none" w:pos="274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(A) change </w:t>
      </w:r>
      <w:r>
        <w:rPr>
          <w:rFonts w:ascii="Arial" w:cs="Arial" w:eastAsia="Arial" w:hAnsi="Arial"/>
          <w:sz w:val="19"/>
          <w:szCs w:val="19"/>
          <w:u w:val="single" w:color="auto"/>
          <w:color w:val="auto"/>
        </w:rPr>
        <w:t>Section 2.22(b)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sharing of payments required thereby, (B) change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a manner that would alter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sharing of Commitment reductions thereby, (C) change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in a manner that would alter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sharing of payments or the order of application required thereby or (D) change any other provision of this Agreement or any of the other Loan Documents that addresses the matters described in </w:t>
      </w:r>
      <w:r>
        <w:rPr>
          <w:rFonts w:ascii="Arial" w:cs="Arial" w:eastAsia="Arial" w:hAnsi="Arial"/>
          <w:sz w:val="19"/>
          <w:szCs w:val="19"/>
          <w:u w:val="single" w:color="auto"/>
          <w:color w:val="auto"/>
        </w:rPr>
        <w:t>subclause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permit any action which would directly or indirectly have the effect of amending any of the provisions described in this </w:t>
      </w:r>
      <w:r>
        <w:rPr>
          <w:rFonts w:ascii="Arial" w:cs="Arial" w:eastAsia="Arial" w:hAnsi="Arial"/>
          <w:sz w:val="19"/>
          <w:szCs w:val="19"/>
          <w:u w:val="single" w:color="auto"/>
          <w:color w:val="auto"/>
        </w:rPr>
        <w:t>clause (iv)</w:t>
      </w:r>
      <w:r>
        <w:rPr>
          <w:rFonts w:ascii="Arial" w:cs="Arial" w:eastAsia="Arial" w:hAnsi="Arial"/>
          <w:sz w:val="19"/>
          <w:szCs w:val="19"/>
          <w:color w:val="auto"/>
        </w:rPr>
        <w:t>, in each case, without the written consent of each Lender directly affected thereby;</w:t>
      </w:r>
    </w:p>
    <w:p>
      <w:pPr>
        <w:spacing w:after="0" w:line="192" w:lineRule="exact"/>
        <w:rPr>
          <w:rFonts w:ascii="Arial" w:cs="Arial" w:eastAsia="Arial" w:hAnsi="Arial"/>
          <w:sz w:val="19"/>
          <w:szCs w:val="19"/>
          <w:color w:val="auto"/>
        </w:rPr>
      </w:pPr>
    </w:p>
    <w:p>
      <w:pPr>
        <w:jc w:val="both"/>
        <w:ind w:left="640" w:firstLine="1274"/>
        <w:spacing w:after="0" w:line="257" w:lineRule="auto"/>
        <w:tabs>
          <w:tab w:leader="none" w:pos="274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change any of the provisions of this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or the definition of “Required Lenders” or any other provision hereof specifying the number or percentage of Lenders which are required to waive, amend or modify any rights hereunder or make any determination or grant any consent hereunder, without the consent of each Lender directly affected thereby;</w:t>
      </w:r>
    </w:p>
    <w:p>
      <w:pPr>
        <w:spacing w:after="0" w:line="184" w:lineRule="exact"/>
        <w:rPr>
          <w:rFonts w:ascii="Arial" w:cs="Arial" w:eastAsia="Arial" w:hAnsi="Arial"/>
          <w:sz w:val="19"/>
          <w:szCs w:val="19"/>
          <w:color w:val="auto"/>
        </w:rPr>
      </w:pPr>
    </w:p>
    <w:p>
      <w:pPr>
        <w:ind w:left="2740" w:hanging="827"/>
        <w:spacing w:after="0"/>
        <w:tabs>
          <w:tab w:leader="none" w:pos="2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release all or substantially all of the Guarantors without the written consent of each Lender;</w:t>
      </w:r>
    </w:p>
    <w:p>
      <w:pPr>
        <w:ind w:left="640"/>
        <w:spacing w:after="0"/>
        <w:rPr>
          <w:rFonts w:ascii="Arial" w:cs="Arial" w:eastAsia="Arial" w:hAnsi="Arial"/>
          <w:sz w:val="18"/>
          <w:szCs w:val="18"/>
          <w:color w:val="auto"/>
        </w:rPr>
      </w:pPr>
      <w:r>
        <w:rPr>
          <w:rFonts w:ascii="Arial" w:cs="Arial" w:eastAsia="Arial" w:hAnsi="Arial"/>
          <w:sz w:val="19"/>
          <w:szCs w:val="19"/>
          <w:color w:val="auto"/>
        </w:rPr>
        <w:t>or</w:t>
      </w:r>
    </w:p>
    <w:p>
      <w:pPr>
        <w:spacing w:after="0" w:line="202" w:lineRule="exact"/>
        <w:rPr>
          <w:rFonts w:ascii="Arial" w:cs="Arial" w:eastAsia="Arial" w:hAnsi="Arial"/>
          <w:sz w:val="18"/>
          <w:szCs w:val="18"/>
          <w:color w:val="auto"/>
        </w:rPr>
      </w:pPr>
    </w:p>
    <w:p>
      <w:pPr>
        <w:ind w:left="640" w:firstLine="1273"/>
        <w:spacing w:after="0" w:line="237" w:lineRule="auto"/>
        <w:tabs>
          <w:tab w:leader="none" w:pos="275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release all or substantially all Collateral (if any) securing any of the Obligations, without the written consent of each Lender.</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amendment, waiver or consent shall amend, modify or otherwise affect the rights, duties or obligations of the Administrative Agent without the prior written consent of such Person.</w:t>
      </w:r>
    </w:p>
    <w:p>
      <w:pPr>
        <w:spacing w:after="0" w:line="178" w:lineRule="exact"/>
        <w:rPr>
          <w:sz w:val="20"/>
          <w:szCs w:val="20"/>
          <w:color w:val="auto"/>
        </w:rPr>
      </w:pPr>
    </w:p>
    <w:p>
      <w:pPr>
        <w:jc w:val="both"/>
        <w:spacing w:after="0" w:line="220" w:lineRule="auto"/>
        <w:rPr>
          <w:sz w:val="20"/>
          <w:szCs w:val="20"/>
          <w:color w:val="auto"/>
        </w:rPr>
      </w:pPr>
      <w:r>
        <w:rPr>
          <w:rFonts w:ascii="Arial" w:cs="Arial" w:eastAsia="Arial" w:hAnsi="Arial"/>
          <w:sz w:val="19"/>
          <w:szCs w:val="19"/>
          <w:color w:val="auto"/>
        </w:rPr>
        <w:t>Notwithstanding anything to the contrary contained herein, no Defaulting Lender shall have any right to approve or disapprove any amendment, waiver or consent hereunder, except that the Term Loan Commitment of such Lender may not be increased, and amounts payable to such Lender hereunder may not be permanently reduced, without the consent of such Lender (other than reductions in fees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101</w:t>
      </w:r>
    </w:p>
    <w:p>
      <w:pPr>
        <w:sectPr>
          <w:pgSz w:w="11900" w:h="16838" w:orient="portrait"/>
          <w:cols w:equalWidth="0" w:num="1">
            <w:col w:w="10060"/>
          </w:cols>
          <w:pgMar w:left="1380" w:top="1440" w:right="459" w:bottom="1440" w:gutter="0" w:footer="0" w:header="0"/>
        </w:sectPr>
      </w:pPr>
    </w:p>
    <w:bookmarkStart w:id="157" w:name="page158"/>
    <w:bookmarkEnd w:id="157"/>
    <w:p>
      <w:pPr>
        <w:spacing w:after="0" w:line="16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Term Loan Commitments of such Lender shall have terminated (but such Lender shall continue to be entitled to the benefits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10.3</w:t>
      </w:r>
      <w:r>
        <w:rPr>
          <w:rFonts w:ascii="Arial" w:cs="Arial" w:eastAsia="Arial" w:hAnsi="Arial"/>
          <w:sz w:val="17"/>
          <w:szCs w:val="17"/>
          <w:color w:val="auto"/>
        </w:rPr>
        <w:t>), such Lender shall have no other commitment or other obligation hereunder and such Lender shall have been paid in full all principal, interest and other amounts owing to it or accrued for its account under this Agreement. Notwithstanding anything herein or otherwise to the contrary, any Event of Default occurring hereunder shall continue to exist (and shall be deemed to be continuing) until such time as such Event of Default is waived in writing in accordance with the terms of this Section notwithstanding (i) any attempted cure or other action taken by the Borrower or any other Person subsequent to the occurrence of such Event of Default or (ii) any action taken or omitted to be taken by the Administrative Agent or any Lender prior to or subsequent to the occurrence of such Event of Default (other than the granting of a waiver in writing in accordance with the terms of this Section).</w:t>
      </w:r>
    </w:p>
    <w:p>
      <w:pPr>
        <w:spacing w:after="0" w:line="191"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Notwithstanding anything to the contrary herein, the Administrative Agent may, with the consent of the Borrower only, amend, modify or supplement any Loan Document to cure any obvious ambiguity, omission, mistake, defect or inconsistency.</w:t>
      </w:r>
    </w:p>
    <w:p>
      <w:pPr>
        <w:spacing w:after="0" w:line="15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9"/>
          <w:szCs w:val="19"/>
          <w:color w:val="auto"/>
        </w:rPr>
        <w:t>Section 10.3.</w:t>
      </w:r>
      <w:r>
        <w:rPr>
          <w:sz w:val="20"/>
          <w:szCs w:val="20"/>
          <w:color w:val="auto"/>
        </w:rPr>
        <w:tab/>
      </w:r>
      <w:r>
        <w:rPr>
          <w:rFonts w:ascii="Arial" w:cs="Arial" w:eastAsia="Arial" w:hAnsi="Arial"/>
          <w:sz w:val="17"/>
          <w:szCs w:val="17"/>
          <w:b w:val="1"/>
          <w:bCs w:val="1"/>
          <w:u w:val="single" w:color="auto"/>
          <w:color w:val="auto"/>
        </w:rPr>
        <w:t>Expenses; Indemnification</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19" w:lineRule="auto"/>
        <w:tabs>
          <w:tab w:leader="none" w:pos="21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Borrower shall pay (i) all reasonable and documented (in the case of legal expenses, in summary form), out-of-pocket costs and expenses of the Administrative Agent and the Lenders, including the reasonable and documented (in summary form) fees and disbursements of counsel for the Administrative Agent and the Lenders, in connection with the syndication of the credit facilities provided for herein, the preparation and administration of the Loan Documents and any amendments, modifications or waivers thereof (whether or not the transactions contemplated in this Agreement or any other Loan Document shall be consummated) and (ii) all reasonable and documented out-of-pocket costs and expenses (including, without limitation, the reasonable and documented (in summary form) fees and disbursements of counsel) incurred by the Administrative Agent or any Lender in connection with the enforcement or protection of its rights in connection with this Agreement, including its rights and remedies under this Section, or in connection with the Term Loans made hereunder, including all such reasonable and documented out-of-pocket expenses incurred during any workout, restructuring or negotiations in respect of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legal expenses under this clause (a) shall be limited to one firm of outside counsel for the Administrative Agent and one firm of outside counsel for the Lenders (or, in the case of clause (a)(ii), one additional firm of outside counsel for the AIMCo Lender, subject to its sole discretion), taken as a whole and, if necessary, of a single firm of local counsel in each appropriate jurisdiction (which may include a single firm of special counsel acting in multiple jurisdictions) for all Secured Parties, taken as a whole (and, in the case of clause (a)(ii), solely in the case of an actual or perceived conflict of interest where a Secured Party affected by such conflict notifies the Borrower of the existence of such conflict and thereafter retains its own counsel, of one other firm of counsel for each group of similarly situated affected Secured Parties).</w:t>
      </w:r>
    </w:p>
    <w:p>
      <w:pPr>
        <w:spacing w:after="0" w:line="177" w:lineRule="exact"/>
        <w:rPr>
          <w:rFonts w:ascii="Arial" w:cs="Arial" w:eastAsia="Arial" w:hAnsi="Arial"/>
          <w:sz w:val="18"/>
          <w:szCs w:val="18"/>
          <w:color w:val="auto"/>
        </w:rPr>
      </w:pPr>
    </w:p>
    <w:p>
      <w:pPr>
        <w:jc w:val="both"/>
        <w:ind w:firstLine="1277"/>
        <w:spacing w:after="0" w:line="226" w:lineRule="auto"/>
        <w:tabs>
          <w:tab w:leader="none" w:pos="210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shall indemnify the Administrative Agent (and any sub-agent thereof), each Lender and each Related Party (other than any financing sources)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and promptly reimburse such Indemnitee for, any and all losses, claims, damages, penalties, liabilities or other expenses (including the reasonable and documented (in summary form) fees and disbursements of any counsel for any Indemnitee), incurred by any Indemnitee or asserted against any Indemnitee by any third party or by the Borrower or any other Loan Party arising out of, in connection with, or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102</w:t>
      </w:r>
    </w:p>
    <w:p>
      <w:pPr>
        <w:sectPr>
          <w:pgSz w:w="11900" w:h="16838" w:orient="portrait"/>
          <w:cols w:equalWidth="0" w:num="1">
            <w:col w:w="10060"/>
          </w:cols>
          <w:pgMar w:left="1380" w:top="1440" w:right="459" w:bottom="1440" w:gutter="0" w:footer="0" w:header="0"/>
        </w:sectPr>
      </w:pPr>
    </w:p>
    <w:bookmarkStart w:id="158" w:name="page159"/>
    <w:bookmarkEnd w:id="158"/>
    <w:p>
      <w:pPr>
        <w:spacing w:after="0" w:line="167" w:lineRule="exact"/>
        <w:rPr>
          <w:sz w:val="20"/>
          <w:szCs w:val="20"/>
          <w:color w:val="auto"/>
        </w:rPr>
      </w:pPr>
    </w:p>
    <w:p>
      <w:pPr>
        <w:jc w:val="both"/>
        <w:ind w:left="-5" w:firstLine="5"/>
        <w:spacing w:after="0" w:line="279" w:lineRule="auto"/>
        <w:tabs>
          <w:tab w:leader="none" w:pos="23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(y) other than in the case of the Administrative Agent and its Related Parties (other than any financing sources), arise from a material breach of such Indemnitee’s obligations hereunder or under any other Loan Document or (z) result from disputes (not involving any act or omission by Holdings or its Subsidiaries or their Affiliates) solely among the Indemnitees for actions by one or more of the Indemnitees, other than claims against the Administrative Agent in such capacity fulfilling its agency role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legal expenses under this clause (b) shall be limited to one firm of outside counsel for the Administrative Agent and one firm of outside counsel for all other Indemnitees, taken as a whole, and, if necessary, of a single firm of local counsel in each appropriate jurisdiction (which may include a single firm of special counsel acting in multiple jurisdictions) for all such Indemnitees, taken as a whole (and, in the case of clause (ii), solely in the case of an actual or perceived conflict of interest where the Indemnitee affected by such conflict notifies the Borrower of the existence of such conflict and thereafter retains its own counsel, of one other firm of counsel for each group of similarly situated affected Indemnitees).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with respect to Taxes other than any Taxes that represent losses, claims, damages, penalties, liabilities and related expenses arising from any non-Tax claim.</w:t>
      </w: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jc w:val="both"/>
        <w:ind w:left="-5" w:firstLine="1277"/>
        <w:spacing w:after="0" w:line="232" w:lineRule="auto"/>
        <w:tabs>
          <w:tab w:leader="none" w:pos="210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to the Administrative Agent under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 each Lender severally agrees to pay to the Administrative Agent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payment, claim, damage, liability or related expense, as the case may be, was incurred by or asserted against the Administrative Agent in its capacity as such.</w:t>
      </w:r>
    </w:p>
    <w:p>
      <w:pPr>
        <w:spacing w:after="0" w:line="193" w:lineRule="exact"/>
        <w:rPr>
          <w:rFonts w:ascii="Arial" w:cs="Arial" w:eastAsia="Arial" w:hAnsi="Arial"/>
          <w:sz w:val="18"/>
          <w:szCs w:val="18"/>
          <w:color w:val="auto"/>
        </w:rPr>
      </w:pPr>
    </w:p>
    <w:p>
      <w:pPr>
        <w:jc w:val="both"/>
        <w:ind w:left="-5" w:firstLine="1277"/>
        <w:spacing w:after="0" w:line="213" w:lineRule="auto"/>
        <w:tabs>
          <w:tab w:leader="none" w:pos="2103" w:val="left"/>
        </w:tabs>
        <w:numPr>
          <w:ilvl w:val="1"/>
          <w:numId w:val="163"/>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no party hereto shall assert, and each party hereto hereby waives, any claim, on any theory of liability, for special, indirect, consequential, exemplary or punitive damages (as opposed to actual or direct damages) arising out of, in connection with or as a result of this Agreement, any other Loan Document or any agreement or instrument contemplated hereby, the transactions contemplated therein, any Loan or the use of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relieve the Borrower of any obligation it may have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indemnify any Indemnitee against special, indirect, consequential or punitive damages asserted against such Indemnitee by a third party.</w:t>
      </w:r>
    </w:p>
    <w:p>
      <w:pPr>
        <w:spacing w:after="0" w:line="192" w:lineRule="exact"/>
        <w:rPr>
          <w:rFonts w:ascii="Arial" w:cs="Arial" w:eastAsia="Arial" w:hAnsi="Arial"/>
          <w:sz w:val="19"/>
          <w:szCs w:val="19"/>
          <w:color w:val="auto"/>
        </w:rPr>
      </w:pPr>
    </w:p>
    <w:p>
      <w:pPr>
        <w:ind w:left="-5" w:firstLine="1277"/>
        <w:spacing w:after="0" w:line="278" w:lineRule="auto"/>
        <w:tabs>
          <w:tab w:leader="none" w:pos="2105" w:val="left"/>
        </w:tabs>
        <w:numPr>
          <w:ilvl w:val="1"/>
          <w:numId w:val="163"/>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promptly, but in any event within ten (10) Business Days, after written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15"/>
        <w:spacing w:after="0"/>
        <w:rPr>
          <w:sz w:val="20"/>
          <w:szCs w:val="20"/>
          <w:color w:val="auto"/>
        </w:rPr>
      </w:pPr>
      <w:r>
        <w:rPr>
          <w:rFonts w:ascii="Arial" w:cs="Arial" w:eastAsia="Arial" w:hAnsi="Arial"/>
          <w:sz w:val="19"/>
          <w:szCs w:val="19"/>
          <w:color w:val="auto"/>
        </w:rPr>
        <w:t>103</w:t>
      </w:r>
    </w:p>
    <w:p>
      <w:pPr>
        <w:sectPr>
          <w:pgSz w:w="11900" w:h="16838" w:orient="portrait"/>
          <w:cols w:equalWidth="0" w:num="1">
            <w:col w:w="10055"/>
          </w:cols>
          <w:pgMar w:left="1385" w:top="1440" w:right="459" w:bottom="1440" w:gutter="0" w:footer="0" w:header="0"/>
        </w:sectPr>
      </w:pPr>
    </w:p>
    <w:bookmarkStart w:id="159" w:name="page160"/>
    <w:bookmarkEnd w:id="159"/>
    <w:p>
      <w:pPr>
        <w:ind w:left="580"/>
        <w:spacing w:after="0"/>
        <w:tabs>
          <w:tab w:leader="none" w:pos="1780" w:val="left"/>
        </w:tabs>
        <w:rPr>
          <w:sz w:val="20"/>
          <w:szCs w:val="20"/>
          <w:color w:val="auto"/>
        </w:rPr>
      </w:pPr>
      <w:r>
        <w:rPr>
          <w:rFonts w:ascii="Arial" w:cs="Arial" w:eastAsia="Arial" w:hAnsi="Arial"/>
          <w:sz w:val="19"/>
          <w:szCs w:val="19"/>
          <w:color w:val="auto"/>
        </w:rPr>
        <w:t>Section 10.4.</w:t>
      </w:r>
      <w:r>
        <w:rPr>
          <w:sz w:val="20"/>
          <w:szCs w:val="20"/>
          <w:color w:val="auto"/>
        </w:rPr>
        <w:tab/>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w:t>
      </w:r>
    </w:p>
    <w:p>
      <w:pPr>
        <w:spacing w:after="0" w:line="304" w:lineRule="exact"/>
        <w:rPr>
          <w:sz w:val="20"/>
          <w:szCs w:val="20"/>
          <w:color w:val="auto"/>
        </w:rPr>
      </w:pPr>
    </w:p>
    <w:p>
      <w:pPr>
        <w:jc w:val="both"/>
        <w:ind w:left="-60" w:firstLine="1277"/>
        <w:spacing w:after="0" w:line="216" w:lineRule="auto"/>
        <w:tabs>
          <w:tab w:leader="none" w:pos="20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(ii) by way of participation in accordance with 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Related Parties (other than any financing sources) of each of the Administrative Agent and the Lenders) any legal or equitable right, remedy or claim under or by reason of this Agreement.</w:t>
      </w:r>
    </w:p>
    <w:p>
      <w:pPr>
        <w:spacing w:after="0" w:line="7" w:lineRule="exact"/>
        <w:rPr>
          <w:rFonts w:ascii="Arial" w:cs="Arial" w:eastAsia="Arial" w:hAnsi="Arial"/>
          <w:sz w:val="18"/>
          <w:szCs w:val="18"/>
          <w:color w:val="auto"/>
        </w:rPr>
      </w:pPr>
    </w:p>
    <w:p>
      <w:pPr>
        <w:jc w:val="both"/>
        <w:ind w:left="-60" w:firstLine="1277"/>
        <w:spacing w:after="0" w:line="220" w:lineRule="auto"/>
        <w:tabs>
          <w:tab w:leader="none" w:pos="2048"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Any Lender may at any time assign to one or more assignees all or a portion of its rights and obligations under this Agreement (including all or a portion of its Term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257" w:lineRule="exact"/>
        <w:rPr>
          <w:rFonts w:ascii="Arial" w:cs="Arial" w:eastAsia="Arial" w:hAnsi="Arial"/>
          <w:sz w:val="19"/>
          <w:szCs w:val="19"/>
          <w:color w:val="auto"/>
        </w:rPr>
      </w:pPr>
    </w:p>
    <w:p>
      <w:pPr>
        <w:ind w:left="2480" w:hanging="627"/>
        <w:spacing w:after="0"/>
        <w:tabs>
          <w:tab w:leader="none" w:pos="2480"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w:t>
      </w:r>
    </w:p>
    <w:p>
      <w:pPr>
        <w:spacing w:after="0" w:line="298" w:lineRule="exact"/>
        <w:rPr>
          <w:rFonts w:ascii="Arial" w:cs="Arial" w:eastAsia="Arial" w:hAnsi="Arial"/>
          <w:sz w:val="19"/>
          <w:szCs w:val="19"/>
          <w:color w:val="auto"/>
        </w:rPr>
      </w:pPr>
    </w:p>
    <w:p>
      <w:pPr>
        <w:jc w:val="both"/>
        <w:ind w:left="1200" w:firstLine="1104"/>
        <w:spacing w:after="0" w:line="226" w:lineRule="auto"/>
        <w:tabs>
          <w:tab w:leader="none" w:pos="2802" w:val="left"/>
        </w:tabs>
        <w:numPr>
          <w:ilvl w:val="5"/>
          <w:numId w:val="164"/>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Term Loans at the time owing to it or in the case of an assignment to a Lender, an Affiliate of a Lender or an Approved Fund, no minimum amount need be assigned; and</w:t>
      </w:r>
    </w:p>
    <w:p>
      <w:pPr>
        <w:spacing w:after="0" w:line="191" w:lineRule="exact"/>
        <w:rPr>
          <w:rFonts w:ascii="Arial" w:cs="Arial" w:eastAsia="Arial" w:hAnsi="Arial"/>
          <w:sz w:val="19"/>
          <w:szCs w:val="19"/>
          <w:color w:val="auto"/>
        </w:rPr>
      </w:pPr>
    </w:p>
    <w:p>
      <w:pPr>
        <w:jc w:val="both"/>
        <w:ind w:left="1200" w:firstLine="1025"/>
        <w:spacing w:after="0" w:line="238" w:lineRule="auto"/>
        <w:tabs>
          <w:tab w:leader="none" w:pos="2740" w:val="left"/>
        </w:tabs>
        <w:numPr>
          <w:ilvl w:val="4"/>
          <w:numId w:val="164"/>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10.4(b)(i)(A)</w:t>
      </w:r>
      <w:r>
        <w:rPr>
          <w:rFonts w:ascii="Arial" w:cs="Arial" w:eastAsia="Arial" w:hAnsi="Arial"/>
          <w:sz w:val="17"/>
          <w:szCs w:val="17"/>
          <w:color w:val="auto"/>
        </w:rPr>
        <w:t xml:space="preserve"> of this Section, the aggregate amount of the principal outstanding balance of the Term Loans of the assigning Lender subject to each such assignment (determined as of the date the Assignment and Acceptance with respect to such assignment is delivered to the Administrative Agent or, if “Trade Date” is specified in the Assignment and Acceptance, as of the Trade Date) shall not be less than $1,000,000 with respect to Term Loans and in minimum increments of $1,000,000, unless each of the Administrative Agent and, so long as no Specified Event of Default has occurred and is continuing, the Borrower otherwise consents (each such consent not to be unreasonably withheld or delayed).</w:t>
      </w:r>
    </w:p>
    <w:p>
      <w:pPr>
        <w:spacing w:after="0" w:line="193" w:lineRule="exact"/>
        <w:rPr>
          <w:rFonts w:ascii="Arial" w:cs="Arial" w:eastAsia="Arial" w:hAnsi="Arial"/>
          <w:sz w:val="17"/>
          <w:szCs w:val="17"/>
          <w:color w:val="auto"/>
        </w:rPr>
      </w:pPr>
    </w:p>
    <w:p>
      <w:pPr>
        <w:jc w:val="both"/>
        <w:ind w:left="580" w:firstLine="1274"/>
        <w:spacing w:after="0" w:line="263" w:lineRule="auto"/>
        <w:tabs>
          <w:tab w:leader="none" w:pos="2699"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of the assigning Lender’s rights and obligations under this Agreement with respect to the Term Loans assigned.</w:t>
      </w:r>
    </w:p>
    <w:p>
      <w:pPr>
        <w:spacing w:after="0" w:line="195" w:lineRule="exact"/>
        <w:rPr>
          <w:rFonts w:ascii="Arial" w:cs="Arial" w:eastAsia="Arial" w:hAnsi="Arial"/>
          <w:sz w:val="19"/>
          <w:szCs w:val="19"/>
          <w:color w:val="auto"/>
        </w:rPr>
      </w:pPr>
    </w:p>
    <w:p>
      <w:pPr>
        <w:ind w:left="580" w:firstLine="1274"/>
        <w:spacing w:after="0" w:line="237" w:lineRule="auto"/>
        <w:tabs>
          <w:tab w:leader="none" w:pos="2700"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xml:space="preserve">. No consent shall be required for any assignment except to the extent required by </w:t>
      </w:r>
      <w:r>
        <w:rPr>
          <w:rFonts w:ascii="Arial" w:cs="Arial" w:eastAsia="Arial" w:hAnsi="Arial"/>
          <w:sz w:val="19"/>
          <w:szCs w:val="19"/>
          <w:u w:val="single" w:color="auto"/>
          <w:color w:val="auto"/>
        </w:rPr>
        <w:t>subsection 10.4(b)(i)(B)</w:t>
      </w:r>
      <w:r>
        <w:rPr>
          <w:rFonts w:ascii="Arial" w:cs="Arial" w:eastAsia="Arial" w:hAnsi="Arial"/>
          <w:sz w:val="19"/>
          <w:szCs w:val="19"/>
          <w:color w:val="auto"/>
        </w:rPr>
        <w:t xml:space="preserve"> of this Section and, in addition:</w:t>
      </w:r>
    </w:p>
    <w:p>
      <w:pPr>
        <w:spacing w:after="0" w:line="257" w:lineRule="exact"/>
        <w:rPr>
          <w:rFonts w:ascii="Arial" w:cs="Arial" w:eastAsia="Arial" w:hAnsi="Arial"/>
          <w:sz w:val="19"/>
          <w:szCs w:val="19"/>
          <w:color w:val="auto"/>
        </w:rPr>
      </w:pPr>
    </w:p>
    <w:p>
      <w:pPr>
        <w:jc w:val="both"/>
        <w:ind w:left="1440" w:firstLine="705"/>
        <w:spacing w:after="0" w:line="213" w:lineRule="auto"/>
        <w:tabs>
          <w:tab w:leader="none" w:pos="2500" w:val="left"/>
        </w:tabs>
        <w:numPr>
          <w:ilvl w:val="3"/>
          <w:numId w:val="164"/>
        </w:numPr>
        <w:rPr>
          <w:rFonts w:ascii="Arial" w:cs="Arial" w:eastAsia="Arial" w:hAnsi="Arial"/>
          <w:sz w:val="19"/>
          <w:szCs w:val="19"/>
          <w:color w:val="auto"/>
        </w:rPr>
      </w:pPr>
      <w:r>
        <w:rPr>
          <w:rFonts w:ascii="Arial" w:cs="Arial" w:eastAsia="Arial" w:hAnsi="Arial"/>
          <w:sz w:val="19"/>
          <w:szCs w:val="19"/>
          <w:color w:val="auto"/>
        </w:rPr>
        <w:t>the consent of the Borrower (such consent not to be unreasonably withheld, conditioned or delayed) shall be required unless (w) a Specified Event of Default has occurred and is continuing at the time of such assignment, (x) such assignment is to a Lender, an Affiliate of such Lender or an Approved Fund of such Lender (y) the Borrower shall not have objected in writing to such assignment within ten (10) Business days after having received written notice thereof, or (z) the assignment is by BlackRock Capital Markets, LLC or ASG 2021 Offshore Holdings II, L.P. of an amount of its Term Loans not to exceed $75,000,000 in the aggregate; and</w:t>
      </w:r>
    </w:p>
    <w:p>
      <w:pPr>
        <w:spacing w:after="0" w:line="179" w:lineRule="exact"/>
        <w:rPr>
          <w:rFonts w:ascii="Arial" w:cs="Arial" w:eastAsia="Arial" w:hAnsi="Arial"/>
          <w:sz w:val="19"/>
          <w:szCs w:val="19"/>
          <w:color w:val="auto"/>
        </w:rPr>
      </w:pPr>
    </w:p>
    <w:p>
      <w:pPr>
        <w:jc w:val="both"/>
        <w:ind w:left="1440" w:firstLine="626"/>
        <w:spacing w:after="0" w:line="217" w:lineRule="auto"/>
        <w:tabs>
          <w:tab w:leader="none" w:pos="2423" w:val="left"/>
        </w:tabs>
        <w:numPr>
          <w:ilvl w:val="2"/>
          <w:numId w:val="164"/>
        </w:numPr>
        <w:rPr>
          <w:rFonts w:ascii="Arial" w:cs="Arial" w:eastAsia="Arial" w:hAnsi="Arial"/>
          <w:sz w:val="19"/>
          <w:szCs w:val="19"/>
          <w:color w:val="auto"/>
        </w:rPr>
      </w:pPr>
      <w:r>
        <w:rPr>
          <w:rFonts w:ascii="Arial" w:cs="Arial" w:eastAsia="Arial" w:hAnsi="Arial"/>
          <w:sz w:val="19"/>
          <w:szCs w:val="19"/>
          <w:color w:val="auto"/>
        </w:rPr>
        <w:t>the consent of the Administrative Agent (such consent not to be unreasonably withheld or delayed) shall be required unless (y) such assignment is of a Term Loan to a Lender, an Affiliate of such Lender or an Approved Fund of such Lender or (z) the assignment is by BlackRock Capital Markets, LLC or ASG 2021 Offshore Holdings II, L.P. of an amount of its Term Loans not to exceed $75,000,000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104</w:t>
      </w:r>
    </w:p>
    <w:p>
      <w:pPr>
        <w:sectPr>
          <w:pgSz w:w="11900" w:h="16838" w:orient="portrait"/>
          <w:cols w:equalWidth="0" w:num="1">
            <w:col w:w="10000"/>
          </w:cols>
          <w:pgMar w:left="1440" w:top="1296" w:right="459" w:bottom="1440" w:gutter="0" w:footer="0" w:header="0"/>
        </w:sectPr>
      </w:pPr>
    </w:p>
    <w:bookmarkStart w:id="160" w:name="page161"/>
    <w:bookmarkEnd w:id="160"/>
    <w:p>
      <w:pPr>
        <w:spacing w:after="0" w:line="167" w:lineRule="exact"/>
        <w:rPr>
          <w:sz w:val="20"/>
          <w:szCs w:val="20"/>
          <w:color w:val="auto"/>
        </w:rPr>
      </w:pPr>
    </w:p>
    <w:p>
      <w:pPr>
        <w:jc w:val="both"/>
        <w:ind w:left="640" w:right="120" w:firstLine="1274"/>
        <w:spacing w:after="0" w:line="237" w:lineRule="auto"/>
        <w:tabs>
          <w:tab w:leader="none" w:pos="2749" w:val="left"/>
        </w:tabs>
        <w:numPr>
          <w:ilvl w:val="2"/>
          <w:numId w:val="165"/>
        </w:numPr>
        <w:rPr>
          <w:rFonts w:ascii="Arial" w:cs="Arial" w:eastAsia="Arial" w:hAnsi="Arial"/>
          <w:sz w:val="17"/>
          <w:szCs w:val="17"/>
          <w:color w:val="auto"/>
        </w:rPr>
      </w:pP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The parties to each assignment shall deliver to the Administrative Agent (A) a duly executed Assignment and Acceptance, (B) a processing and recordation fee of $3,500,</w:t>
      </w:r>
    </w:p>
    <w:p>
      <w:pPr>
        <w:ind w:left="640" w:right="120" w:firstLine="2"/>
        <w:spacing w:after="0" w:line="228" w:lineRule="auto"/>
        <w:tabs>
          <w:tab w:leader="none" w:pos="979"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an Administrative Questionnaire unless the assignee is already a Lender and (D) the documents required under </w:t>
      </w:r>
      <w:r>
        <w:rPr>
          <w:rFonts w:ascii="Arial" w:cs="Arial" w:eastAsia="Arial" w:hAnsi="Arial"/>
          <w:sz w:val="19"/>
          <w:szCs w:val="19"/>
          <w:u w:val="single" w:color="auto"/>
          <w:color w:val="auto"/>
        </w:rPr>
        <w:t>Section 2.21(g)</w:t>
      </w:r>
      <w:r>
        <w:rPr>
          <w:rFonts w:ascii="Arial" w:cs="Arial" w:eastAsia="Arial" w:hAnsi="Arial"/>
          <w:sz w:val="19"/>
          <w:szCs w:val="19"/>
          <w:color w:val="auto"/>
        </w:rPr>
        <w:t>.</w:t>
      </w:r>
    </w:p>
    <w:p>
      <w:pPr>
        <w:spacing w:after="0" w:line="284" w:lineRule="exact"/>
        <w:rPr>
          <w:rFonts w:ascii="Arial" w:cs="Arial" w:eastAsia="Arial" w:hAnsi="Arial"/>
          <w:sz w:val="19"/>
          <w:szCs w:val="19"/>
          <w:color w:val="auto"/>
        </w:rPr>
      </w:pPr>
    </w:p>
    <w:p>
      <w:pPr>
        <w:jc w:val="both"/>
        <w:ind w:left="620" w:firstLine="1267"/>
        <w:spacing w:after="0" w:line="243" w:lineRule="auto"/>
        <w:tabs>
          <w:tab w:leader="none" w:pos="2167" w:val="left"/>
        </w:tabs>
        <w:numPr>
          <w:ilvl w:val="1"/>
          <w:numId w:val="166"/>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Holdings, the Borrower or any of their respective Affiliates or Subsidiaries</w:t>
      </w:r>
      <w:r>
        <w:rPr>
          <w:rFonts w:ascii="Arial" w:cs="Arial" w:eastAsia="Arial" w:hAnsi="Arial"/>
          <w:sz w:val="19"/>
          <w:szCs w:val="19"/>
          <w:b w:val="1"/>
          <w:bCs w:val="1"/>
          <w:color w:val="auto"/>
        </w:rPr>
        <w:t>,</w:t>
      </w:r>
      <w:r>
        <w:rPr>
          <w:rFonts w:ascii="Arial" w:cs="Arial" w:eastAsia="Arial" w:hAnsi="Arial"/>
          <w:sz w:val="19"/>
          <w:szCs w:val="19"/>
          <w:color w:val="auto"/>
        </w:rPr>
        <w:t xml:space="preserve"> (B) any Disqualified Institutions or (C) to any Defaulting Lender or any of its Subsidiaries, or any Person who, upon becoming a Lender hereunder, would constitute any of the foregoing Persons described in this clause.</w:t>
      </w:r>
    </w:p>
    <w:p>
      <w:pPr>
        <w:spacing w:after="0" w:line="201" w:lineRule="exact"/>
        <w:rPr>
          <w:rFonts w:ascii="Arial" w:cs="Arial" w:eastAsia="Arial" w:hAnsi="Arial"/>
          <w:sz w:val="19"/>
          <w:szCs w:val="19"/>
          <w:color w:val="auto"/>
        </w:rPr>
      </w:pPr>
    </w:p>
    <w:p>
      <w:pPr>
        <w:ind w:left="640" w:right="120" w:firstLine="1274"/>
        <w:spacing w:after="0" w:line="339" w:lineRule="auto"/>
        <w:tabs>
          <w:tab w:leader="none" w:pos="2749" w:val="left"/>
        </w:tabs>
        <w:numPr>
          <w:ilvl w:val="2"/>
          <w:numId w:val="166"/>
        </w:numPr>
        <w:rPr>
          <w:rFonts w:ascii="Arial" w:cs="Arial" w:eastAsia="Arial" w:hAnsi="Arial"/>
          <w:sz w:val="17"/>
          <w:szCs w:val="17"/>
          <w:color w:val="auto"/>
        </w:rPr>
      </w:pPr>
      <w:r>
        <w:rPr>
          <w:rFonts w:ascii="Arial" w:cs="Arial" w:eastAsia="Arial" w:hAnsi="Arial"/>
          <w:sz w:val="17"/>
          <w:szCs w:val="17"/>
          <w:u w:val="single" w:color="auto"/>
          <w:color w:val="auto"/>
        </w:rPr>
        <w:t>No Assignment to Natural Persons</w:t>
      </w:r>
      <w:r>
        <w:rPr>
          <w:rFonts w:ascii="Arial" w:cs="Arial" w:eastAsia="Arial" w:hAnsi="Arial"/>
          <w:sz w:val="17"/>
          <w:szCs w:val="17"/>
          <w:color w:val="auto"/>
        </w:rPr>
        <w:t>. No such assignment shall be made to a natural person (or any holding company, investment vehicle or trust for, or owned and operated solely for the benefit of, a natural Person).</w:t>
      </w:r>
    </w:p>
    <w:p>
      <w:pPr>
        <w:spacing w:after="0" w:line="124" w:lineRule="exact"/>
        <w:rPr>
          <w:sz w:val="20"/>
          <w:szCs w:val="20"/>
          <w:color w:val="auto"/>
        </w:rPr>
      </w:pPr>
    </w:p>
    <w:p>
      <w:pPr>
        <w:jc w:val="both"/>
        <w:ind w:right="120"/>
        <w:spacing w:after="0" w:line="219" w:lineRule="auto"/>
        <w:rPr>
          <w:sz w:val="20"/>
          <w:szCs w:val="20"/>
          <w:color w:val="auto"/>
        </w:rPr>
      </w:pPr>
      <w:r>
        <w:rPr>
          <w:rFonts w:ascii="Arial" w:cs="Arial" w:eastAsia="Arial" w:hAnsi="Arial"/>
          <w:sz w:val="18"/>
          <w:szCs w:val="18"/>
          <w:color w:val="auto"/>
        </w:rPr>
        <w:t xml:space="preserve">Subject to the acceptance and recording thereof by the Administrative Agent pursuant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to by the affected parties, no assignment by a Defaulting Lender shall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198" w:lineRule="exact"/>
        <w:rPr>
          <w:sz w:val="20"/>
          <w:szCs w:val="20"/>
          <w:color w:val="auto"/>
        </w:rPr>
      </w:pPr>
    </w:p>
    <w:p>
      <w:pPr>
        <w:jc w:val="both"/>
        <w:ind w:right="120" w:firstLine="1277"/>
        <w:spacing w:after="0" w:line="209" w:lineRule="auto"/>
        <w:tabs>
          <w:tab w:leader="none" w:pos="211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 shall maintain at one of its offices within the United States a copy of each Assignment and Acceptance delivered to it and a register for the recordation of the names and addresses of the Lenders, and the Term Loan Commitments of, and principal amount (and stated interest) of the Term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Acquiom serves in such capacity, Acquiom and its officers, directors, employees, agents, sub-agents and affiliates shall constitute “Indemnitees”.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105</w:t>
      </w:r>
    </w:p>
    <w:p>
      <w:pPr>
        <w:sectPr>
          <w:pgSz w:w="11900" w:h="16838" w:orient="portrait"/>
          <w:cols w:equalWidth="0" w:num="1">
            <w:col w:w="10180"/>
          </w:cols>
          <w:pgMar w:left="1380" w:top="1440" w:right="339" w:bottom="1440" w:gutter="0" w:footer="0" w:header="0"/>
        </w:sectPr>
      </w:pPr>
    </w:p>
    <w:bookmarkStart w:id="161" w:name="page162"/>
    <w:bookmarkEnd w:id="161"/>
    <w:p>
      <w:pPr>
        <w:spacing w:after="0" w:line="167" w:lineRule="exact"/>
        <w:rPr>
          <w:sz w:val="20"/>
          <w:szCs w:val="20"/>
          <w:color w:val="auto"/>
        </w:rPr>
      </w:pPr>
    </w:p>
    <w:p>
      <w:pPr>
        <w:jc w:val="both"/>
        <w:ind w:firstLine="1277"/>
        <w:spacing w:after="0" w:line="211" w:lineRule="auto"/>
        <w:tabs>
          <w:tab w:leader="none" w:pos="210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Any Lender may at any time, without the consent of, or notice to, the Borrower or the Administrative Agent, sell participations to any Person (other than a natural person (or any holding company, investment vehicle or trust for, or owned and operated solely for the benefit of, a natural person), Holdings, the Borrower, any of the Borrower’s Affiliates or Subsidiaries, a Disqualified Institution or a Defaulting Lender or any Affiliate thereof)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Term Loan Commitment and/or the Term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w:t>
      </w:r>
    </w:p>
    <w:p>
      <w:pPr>
        <w:spacing w:after="0" w:line="192" w:lineRule="exact"/>
        <w:rPr>
          <w:sz w:val="20"/>
          <w:szCs w:val="20"/>
          <w:color w:val="auto"/>
        </w:rPr>
      </w:pPr>
    </w:p>
    <w:p>
      <w:pPr>
        <w:jc w:val="both"/>
        <w:ind w:right="120" w:firstLine="1272"/>
        <w:spacing w:after="0" w:line="207"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shall not, without the consent of the Participant, agree to any amendment, modification or waiver with respect to the following to the extent affecting such Participant:</w:t>
      </w:r>
    </w:p>
    <w:p>
      <w:pPr>
        <w:spacing w:after="0" w:line="1" w:lineRule="exact"/>
        <w:rPr>
          <w:sz w:val="20"/>
          <w:szCs w:val="20"/>
          <w:color w:val="auto"/>
        </w:rPr>
      </w:pPr>
    </w:p>
    <w:p>
      <w:pPr>
        <w:ind w:right="120" w:firstLine="5"/>
        <w:spacing w:after="0" w:line="203" w:lineRule="auto"/>
        <w:tabs>
          <w:tab w:leader="none" w:pos="24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increase the Commitment of such Lender; (ii) reduce the principal amount of any Term Loan or reduce the rate of interest thereon, or reduce any fees payable hereunder (other than waiving default interest);</w:t>
      </w:r>
    </w:p>
    <w:p>
      <w:pPr>
        <w:spacing w:after="0" w:line="1" w:lineRule="exact"/>
        <w:rPr>
          <w:rFonts w:ascii="Arial" w:cs="Arial" w:eastAsia="Arial" w:hAnsi="Arial"/>
          <w:sz w:val="19"/>
          <w:szCs w:val="19"/>
          <w:color w:val="auto"/>
        </w:rPr>
      </w:pPr>
    </w:p>
    <w:p>
      <w:pPr>
        <w:jc w:val="both"/>
        <w:ind w:right="120" w:firstLine="5"/>
        <w:spacing w:after="0" w:line="227" w:lineRule="auto"/>
        <w:tabs>
          <w:tab w:leader="none" w:pos="35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postpone the date fixed for any payment of any principal of, or interest on, any Loan or any fees hereunder or reduce the amount of, waive or excuse any such payment, or postpone the scheduled date for the termination or reduction of any Commitment (other than waivers of Defaults, Events of Default and mandatory prepayments); (iv) change </w:t>
      </w:r>
      <w:r>
        <w:rPr>
          <w:rFonts w:ascii="Arial" w:cs="Arial" w:eastAsia="Arial" w:hAnsi="Arial"/>
          <w:sz w:val="17"/>
          <w:szCs w:val="17"/>
          <w:u w:val="single" w:color="auto"/>
          <w:color w:val="auto"/>
        </w:rPr>
        <w:t>Section 2.22(b) or (c)</w:t>
      </w:r>
      <w:r>
        <w:rPr>
          <w:rFonts w:ascii="Arial" w:cs="Arial" w:eastAsia="Arial" w:hAnsi="Arial"/>
          <w:sz w:val="17"/>
          <w:szCs w:val="17"/>
          <w:color w:val="auto"/>
        </w:rPr>
        <w:t xml:space="preserve"> in a manner that would alter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sharing of payments required thereby; (iv) change any of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10.2(b)</w:t>
      </w:r>
      <w:r>
        <w:rPr>
          <w:rFonts w:ascii="Arial" w:cs="Arial" w:eastAsia="Arial" w:hAnsi="Arial"/>
          <w:sz w:val="17"/>
          <w:szCs w:val="17"/>
          <w:color w:val="auto"/>
        </w:rPr>
        <w:t xml:space="preserve"> or the definition of “Required Lenders” or any other provision hereof specifying the number or percentage of Lenders which are required to waive, amend or modify any rights hereunder or make any determination or grant any consent hereunder;</w:t>
      </w:r>
    </w:p>
    <w:p>
      <w:pPr>
        <w:spacing w:after="0" w:line="3" w:lineRule="exact"/>
        <w:rPr>
          <w:rFonts w:ascii="Arial" w:cs="Arial" w:eastAsia="Arial" w:hAnsi="Arial"/>
          <w:sz w:val="17"/>
          <w:szCs w:val="17"/>
          <w:color w:val="auto"/>
        </w:rPr>
      </w:pPr>
    </w:p>
    <w:p>
      <w:pPr>
        <w:jc w:val="both"/>
        <w:ind w:right="120" w:firstLine="5"/>
        <w:spacing w:after="0" w:line="223" w:lineRule="auto"/>
        <w:tabs>
          <w:tab w:leader="none" w:pos="2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Guarantors; or (vi) release all or substantially all Collateral (if any) securing any of the Obligations. Subject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as though it were a Lender. To the extent permitted by law, each Participant also shall be entitled to the benefits of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as though it were a Lender.</w:t>
      </w:r>
    </w:p>
    <w:p>
      <w:pPr>
        <w:spacing w:after="0" w:line="195" w:lineRule="exact"/>
        <w:rPr>
          <w:sz w:val="20"/>
          <w:szCs w:val="20"/>
          <w:color w:val="auto"/>
        </w:rPr>
      </w:pPr>
    </w:p>
    <w:p>
      <w:pPr>
        <w:jc w:val="both"/>
        <w:ind w:right="120" w:firstLine="1272"/>
        <w:spacing w:after="0" w:line="221"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in the United States on which it enters the name and address of each Participant and the principal amount (and stated interest) of each Participant’s interest in the Term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participation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106</w:t>
      </w:r>
    </w:p>
    <w:p>
      <w:pPr>
        <w:sectPr>
          <w:pgSz w:w="11900" w:h="16838" w:orient="portrait"/>
          <w:cols w:equalWidth="0" w:num="1">
            <w:col w:w="10180"/>
          </w:cols>
          <w:pgMar w:left="1380" w:top="1440" w:right="339" w:bottom="1440" w:gutter="0" w:footer="0" w:header="0"/>
        </w:sectPr>
      </w:pPr>
    </w:p>
    <w:bookmarkStart w:id="162" w:name="page163"/>
    <w:bookmarkEnd w:id="162"/>
    <w:p>
      <w:pPr>
        <w:jc w:val="both"/>
        <w:ind w:firstLine="1277"/>
        <w:spacing w:after="0" w:line="229" w:lineRule="auto"/>
        <w:tabs>
          <w:tab w:leader="none" w:pos="211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2.21(g) and (h)</w:t>
      </w:r>
      <w:r>
        <w:rPr>
          <w:rFonts w:ascii="Arial" w:cs="Arial" w:eastAsia="Arial" w:hAnsi="Arial"/>
          <w:sz w:val="18"/>
          <w:szCs w:val="18"/>
          <w:color w:val="auto"/>
        </w:rPr>
        <w:t xml:space="preserve"> as though it were a Lender.</w:t>
      </w:r>
    </w:p>
    <w:p>
      <w:pPr>
        <w:spacing w:after="0" w:line="258" w:lineRule="exact"/>
        <w:rPr>
          <w:sz w:val="20"/>
          <w:szCs w:val="20"/>
          <w:color w:val="auto"/>
        </w:rPr>
      </w:pPr>
    </w:p>
    <w:p>
      <w:pPr>
        <w:jc w:val="both"/>
        <w:ind w:firstLine="1272"/>
        <w:spacing w:after="0" w:line="220" w:lineRule="auto"/>
        <w:rPr>
          <w:sz w:val="20"/>
          <w:szCs w:val="20"/>
          <w:color w:val="auto"/>
        </w:rPr>
      </w:pPr>
      <w:r>
        <w:rPr>
          <w:rFonts w:ascii="Arial" w:cs="Arial" w:eastAsia="Arial" w:hAnsi="Arial"/>
          <w:sz w:val="19"/>
          <w:szCs w:val="19"/>
          <w:color w:val="auto"/>
        </w:rPr>
        <w:t xml:space="preserve">(f)Any Lender may at any time pledge or assign a security interest in all or any portion of its rights under this Agreement to secure the obligations of such Lender, including, without limitation,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93" w:lineRule="exact"/>
        <w:rPr>
          <w:sz w:val="20"/>
          <w:szCs w:val="20"/>
          <w:color w:val="auto"/>
        </w:rPr>
      </w:pPr>
    </w:p>
    <w:p>
      <w:pPr>
        <w:jc w:val="both"/>
        <w:ind w:firstLine="1277"/>
        <w:spacing w:after="0" w:line="215" w:lineRule="auto"/>
        <w:tabs>
          <w:tab w:leader="none" w:pos="210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Term Loans, or disclosure of confidential information, to any Disqualified Institution.</w:t>
      </w:r>
    </w:p>
    <w:p>
      <w:pPr>
        <w:spacing w:after="0" w:line="17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9"/>
          <w:szCs w:val="19"/>
          <w:color w:val="auto"/>
        </w:rPr>
        <w:t>Section 10.5.</w:t>
      </w:r>
      <w:r>
        <w:rPr>
          <w:sz w:val="20"/>
          <w:szCs w:val="20"/>
          <w:color w:val="auto"/>
        </w:rPr>
        <w:tab/>
      </w:r>
      <w:r>
        <w:rPr>
          <w:rFonts w:ascii="Arial" w:cs="Arial" w:eastAsia="Arial" w:hAnsi="Arial"/>
          <w:sz w:val="17"/>
          <w:szCs w:val="17"/>
          <w:b w:val="1"/>
          <w:bCs w:val="1"/>
          <w:u w:val="single" w:color="auto"/>
          <w:color w:val="auto"/>
        </w:rPr>
        <w:t>Governing Law; Jurisdiction; Consent to Service of Process</w:t>
      </w:r>
      <w:r>
        <w:rPr>
          <w:rFonts w:ascii="Arial" w:cs="Arial" w:eastAsia="Arial" w:hAnsi="Arial"/>
          <w:sz w:val="17"/>
          <w:szCs w:val="17"/>
          <w:color w:val="auto"/>
        </w:rPr>
        <w:t>.</w:t>
      </w:r>
    </w:p>
    <w:p>
      <w:pPr>
        <w:spacing w:after="0" w:line="304" w:lineRule="exact"/>
        <w:rPr>
          <w:sz w:val="20"/>
          <w:szCs w:val="20"/>
          <w:color w:val="auto"/>
        </w:rPr>
      </w:pPr>
    </w:p>
    <w:p>
      <w:pPr>
        <w:jc w:val="both"/>
        <w:ind w:firstLine="1277"/>
        <w:spacing w:after="0" w:line="232" w:lineRule="auto"/>
        <w:tabs>
          <w:tab w:leader="none" w:pos="211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of the State of New York.</w:t>
      </w:r>
    </w:p>
    <w:p>
      <w:pPr>
        <w:spacing w:after="0" w:line="180" w:lineRule="exact"/>
        <w:rPr>
          <w:rFonts w:ascii="Arial" w:cs="Arial" w:eastAsia="Arial" w:hAnsi="Arial"/>
          <w:sz w:val="18"/>
          <w:szCs w:val="18"/>
          <w:color w:val="auto"/>
        </w:rPr>
      </w:pPr>
    </w:p>
    <w:p>
      <w:pPr>
        <w:jc w:val="both"/>
        <w:ind w:firstLine="1277"/>
        <w:spacing w:after="0" w:line="234" w:lineRule="auto"/>
        <w:tabs>
          <w:tab w:leader="none" w:pos="210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Each of the parties hereto hereby irrevocably and unconditionally submits, for itself and its property, to the exclusive jurisdiction of the United States District Court for the Southern District of New York, and of the Supreme Court of the State of New York sitting in New York County, Borough of Manhattan,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state court or, to the extent permitted by applicable law, such appellate court. Each of the parties hereto hereby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95" w:lineRule="exact"/>
        <w:rPr>
          <w:rFonts w:ascii="Arial" w:cs="Arial" w:eastAsia="Arial" w:hAnsi="Arial"/>
          <w:sz w:val="17"/>
          <w:szCs w:val="17"/>
          <w:color w:val="auto"/>
        </w:rPr>
      </w:pPr>
    </w:p>
    <w:p>
      <w:pPr>
        <w:jc w:val="both"/>
        <w:ind w:firstLine="1277"/>
        <w:spacing w:after="0" w:line="217" w:lineRule="auto"/>
        <w:tabs>
          <w:tab w:leader="none" w:pos="211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irrevocably and unconditionally waives any objection which it may now or hereafter have to the laying of venue of any such suit, action or proceeding described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and brought in any court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107</w:t>
      </w:r>
    </w:p>
    <w:p>
      <w:pPr>
        <w:sectPr>
          <w:pgSz w:w="11900" w:h="16838" w:orient="portrait"/>
          <w:cols w:equalWidth="0" w:num="1">
            <w:col w:w="10060"/>
          </w:cols>
          <w:pgMar w:left="1380" w:top="1302" w:right="459" w:bottom="1440" w:gutter="0" w:footer="0" w:header="0"/>
        </w:sectPr>
      </w:pPr>
    </w:p>
    <w:bookmarkStart w:id="163" w:name="page164"/>
    <w:bookmarkEnd w:id="163"/>
    <w:p>
      <w:pPr>
        <w:jc w:val="both"/>
        <w:ind w:firstLine="1277"/>
        <w:spacing w:after="0" w:line="263" w:lineRule="auto"/>
        <w:tabs>
          <w:tab w:leader="none" w:pos="210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Each party to this Agreement hereby irrevocably consents to the service of process in the manner provided for notices in </w:t>
      </w:r>
      <w:r>
        <w:rPr>
          <w:rFonts w:ascii="Arial" w:cs="Arial" w:eastAsia="Arial" w:hAnsi="Arial"/>
          <w:sz w:val="19"/>
          <w:szCs w:val="19"/>
          <w:u w:val="single" w:color="auto"/>
          <w:color w:val="auto"/>
        </w:rPr>
        <w:t>Section 10.1</w:t>
      </w:r>
      <w:r>
        <w:rPr>
          <w:rFonts w:ascii="Arial" w:cs="Arial" w:eastAsia="Arial" w:hAnsi="Arial"/>
          <w:sz w:val="19"/>
          <w:szCs w:val="19"/>
          <w:color w:val="auto"/>
        </w:rPr>
        <w:t>. Nothing in this Agreement or in any other Loan Document shall affect the right of any party hereto to serve process in any other manner permitted by law.</w:t>
      </w:r>
    </w:p>
    <w:p>
      <w:pPr>
        <w:spacing w:after="0" w:line="190" w:lineRule="exact"/>
        <w:rPr>
          <w:sz w:val="20"/>
          <w:szCs w:val="20"/>
          <w:color w:val="auto"/>
        </w:rPr>
      </w:pPr>
    </w:p>
    <w:p>
      <w:pPr>
        <w:jc w:val="both"/>
        <w:ind w:firstLine="636"/>
        <w:spacing w:after="0" w:line="211"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HEREBY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3" w:lineRule="exact"/>
        <w:rPr>
          <w:sz w:val="20"/>
          <w:szCs w:val="20"/>
          <w:color w:val="auto"/>
        </w:rPr>
      </w:pPr>
    </w:p>
    <w:p>
      <w:pPr>
        <w:jc w:val="both"/>
        <w:ind w:firstLine="636"/>
        <w:spacing w:after="0" w:line="235"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b w:val="1"/>
          <w:bCs w:val="1"/>
          <w:u w:val="single" w:color="auto"/>
          <w:color w:val="auto"/>
        </w:rPr>
        <w:t>Right of Set-off</w:t>
      </w:r>
      <w:r>
        <w:rPr>
          <w:rFonts w:ascii="Arial" w:cs="Arial" w:eastAsia="Arial" w:hAnsi="Arial"/>
          <w:sz w:val="17"/>
          <w:szCs w:val="17"/>
          <w:color w:val="auto"/>
        </w:rPr>
        <w:t xml:space="preserve">. In addition to any rights now or hereafter granted under applicable law and not by way of limitation of any such rights, each Lender shall have the right, at any time or from time to time upon the occurrence and during the continuance of an Event of Default, without prior notice to the Borrower, any such notice being expressly waived by the Borrower to the extent permitted by applicable law, to set-off and apply against all deposits (general or special, time or demand, provisional or final) of the Borrower at any time held or other obligations at any time owing by such Lender to or for the credit or the account of the Borrower against any and all of the Obligations held by such Lender irrespective of whether such Lender shall have made demand hereunder and although such Obligations may be unmatured. Each Lender hereby agrees to promptly notify the Administrative Agent and the Borrower after any such set-off and any application made by such Lender,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 Each Lender hereby agrees to apply all amounts collected from any such set-off to the Obligations before applying such amounts to any other Indebtedness or other obligations owed by the Borrower and any of its Subsidiaries to such Lender.</w:t>
      </w:r>
    </w:p>
    <w:p>
      <w:pPr>
        <w:spacing w:after="0" w:line="174" w:lineRule="exact"/>
        <w:rPr>
          <w:sz w:val="20"/>
          <w:szCs w:val="20"/>
          <w:color w:val="auto"/>
        </w:rPr>
      </w:pPr>
    </w:p>
    <w:p>
      <w:pPr>
        <w:jc w:val="both"/>
        <w:ind w:firstLine="636"/>
        <w:spacing w:after="0" w:line="213"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b w:val="1"/>
          <w:bCs w:val="1"/>
          <w:u w:val="single" w:color="auto"/>
          <w:color w:val="auto"/>
        </w:rPr>
        <w:t>Counterparts; Integration</w:t>
      </w:r>
      <w:r>
        <w:rPr>
          <w:rFonts w:ascii="Arial" w:cs="Arial" w:eastAsia="Arial" w:hAnsi="Arial"/>
          <w:sz w:val="19"/>
          <w:szCs w:val="19"/>
          <w:color w:val="auto"/>
        </w:rPr>
        <w:t>. This Agreement may be executed by one or more of the parties to this Agreement on any number of separate counterparts, and all of said counterparts taken together shall be deemed to constitute one and the same instrument. This Agreement,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or TIFF format shall be as effective as delivery of a manually executed counterpart hereof.</w:t>
      </w:r>
    </w:p>
    <w:p>
      <w:pPr>
        <w:spacing w:after="0" w:line="184"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xml:space="preserve">. All covenants, agreements, representations and warranties made by the Loan Parties herein and 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Term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Term Loan or any fee or any other amount payable under this Agreement is outstanding and unpaid. The provisions of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and remain in full force and effect regardless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108</w:t>
      </w:r>
    </w:p>
    <w:p>
      <w:pPr>
        <w:sectPr>
          <w:pgSz w:w="11900" w:h="16838" w:orient="portrait"/>
          <w:cols w:equalWidth="0" w:num="1">
            <w:col w:w="10060"/>
          </w:cols>
          <w:pgMar w:left="1380" w:top="1381" w:right="459" w:bottom="1440" w:gutter="0" w:footer="0" w:header="0"/>
        </w:sectPr>
      </w:pPr>
    </w:p>
    <w:bookmarkStart w:id="164" w:name="page165"/>
    <w:bookmarkEnd w:id="164"/>
    <w:p>
      <w:pPr>
        <w:jc w:val="both"/>
        <w:spacing w:after="0" w:line="220" w:lineRule="auto"/>
        <w:rPr>
          <w:sz w:val="20"/>
          <w:szCs w:val="20"/>
          <w:color w:val="auto"/>
        </w:rPr>
      </w:pPr>
      <w:r>
        <w:rPr>
          <w:rFonts w:ascii="Arial" w:cs="Arial" w:eastAsia="Arial" w:hAnsi="Arial"/>
          <w:sz w:val="19"/>
          <w:szCs w:val="19"/>
          <w:color w:val="auto"/>
        </w:rPr>
        <w:t>of the consummation of the transactions contemplated hereby, the repayment of the Term Loans or the termination of this Agreement or any provision hereof. All representations and warranties made herein, in the other Loan Documents or in the certificates, reports, notices and other documents delivered pursuant to this Agreement shall survive the execution and delivery of this Agreement and the other Loan Documents, and the making of the Term Loans.</w:t>
      </w:r>
    </w:p>
    <w:p>
      <w:pPr>
        <w:spacing w:after="0" w:line="187" w:lineRule="exact"/>
        <w:rPr>
          <w:sz w:val="20"/>
          <w:szCs w:val="20"/>
          <w:color w:val="auto"/>
        </w:rPr>
      </w:pPr>
    </w:p>
    <w:p>
      <w:pPr>
        <w:jc w:val="both"/>
        <w:ind w:firstLine="636"/>
        <w:spacing w:after="0" w:line="218"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87"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xml:space="preserve">. Each of the Administrative Agent and the Lenders hereby agrees to maintain the confidentiality of any non-public information relating to Holdings, the Borrower or any of their respective Subsidiaries or any of their respective businesses, to the extent provided to it by or on behalf of Holdings or any of its Subsidiaries, in accordance with the Administrative Agent’s or the Lenders’ customary practices, other than any such information that is available to the Administrative Agent or any Lender on a non-confidential basis prior to disclosure by or on behalf of Holdings or any of its Subsidiaries, except that such information may be disclosed (i) to any Related Party of the Administrative Agent or any such Lender or their respective Affiliates including, without limitation, accountants, legal counsel, officers, directors, employees, independent auditors, professionals and other experts, agents or advisors (it being understood that the Persons to whom such disclosure is made shall be informed of the confidential nature of such information and instructed to keep such information confidential), (ii) to the extent required by applicable laws or regulations or by any subpoena or similar legal process (in which case, such disclosing party agrees to inform the Borrower reasonably promptly thereof and prior to such disclosure to the extent not prohibited by law), (iii) to the extent requested by any regulatory agency or authority purporting to have jurisdiction over it (including any self-regulatory authority such as the NAIC), (iv) to the extent that such information becomes publicly available other than as a result of a breach of this Section, or which becomes available to the Administrative Agent, any Lender or any Related Party of any of the foregoing on a non-confidential basis from a source other than Holdings or any of its Subsidiaries, (v) in connection with the exercise of any remedy hereunder or under any other Loan Document or any suit, action or proceeding relating to this Agreement or any other Loan Document or the enforcement of rights hereunder or thereunder or as otherwise required by applicable law or regulation, (vi) subject to execution by such Person of an agreement containing provisions similar to those in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(ix) to the extent that such information is received by the Administrative Agent from a third party that is not, to the knowledge of the Administrative Agent, subject to confidentiality obligations owing to the Borrower or any Affiliate of the Borrower, (x) for purposes of establishing a “due diligence” defense,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prompt notice of such defense shall be provided to the Borrower, to the extent permitted by law, (xi) to the extent that such information was already in the possession of the Administrative Agent prior to any duty or other undertaking of confidentiality entered into in connection with this Agreement or any other Loan Document or (xii) with the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Loan Party (whether or not a Loan Document), the terms of this Section shall govern. Notwithstanding the foregoing, no such confidential information shall be disclosed to a Disqualified Institution that has been identified to all of the Lenders prior to the time of such disclosure without the Borrower’s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0060"/>
          </w:cols>
          <w:pgMar w:left="1380" w:top="1368" w:right="459" w:bottom="1440" w:gutter="0" w:footer="0" w:header="0"/>
        </w:sectPr>
      </w:pPr>
    </w:p>
    <w:bookmarkStart w:id="165" w:name="page166"/>
    <w:bookmarkEnd w:id="165"/>
    <w:p>
      <w:pPr>
        <w:jc w:val="both"/>
        <w:ind w:firstLine="636"/>
        <w:spacing w:after="0" w:line="229" w:lineRule="auto"/>
        <w:rPr>
          <w:sz w:val="20"/>
          <w:szCs w:val="20"/>
          <w:color w:val="auto"/>
        </w:rPr>
      </w:pPr>
      <w:r>
        <w:rPr>
          <w:rFonts w:ascii="Arial" w:cs="Arial" w:eastAsia="Arial" w:hAnsi="Arial"/>
          <w:sz w:val="18"/>
          <w:szCs w:val="18"/>
          <w:color w:val="auto"/>
        </w:rPr>
        <w:t>Subject to the Borrower’s prior written approval (such approval not to be unreasonably conditioned, withheld or delayed), the Administrative Agent or any Lender may use non-confidential information related to this Agreement and the Loans made hereunder in connection with any marketing, press releases or other transactional announcements or updates provided to investor or trade publications, including, but not limited to, the placement of “tombstone” advertisements in a publication of its choice at its own expense using such Loan Party’s name, product photographs, logo or trademark.</w:t>
      </w:r>
    </w:p>
    <w:p>
      <w:pPr>
        <w:spacing w:after="0" w:line="173"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b w:val="1"/>
          <w:bCs w:val="1"/>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may be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of interest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192"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b w:val="1"/>
          <w:bCs w:val="1"/>
          <w:u w:val="single" w:color="auto"/>
          <w:color w:val="auto"/>
        </w:rPr>
        <w:t>Waiver of Effect of Corporate Seal</w:t>
      </w:r>
      <w:r>
        <w:rPr>
          <w:rFonts w:ascii="Arial" w:cs="Arial" w:eastAsia="Arial" w:hAnsi="Arial"/>
          <w:sz w:val="18"/>
          <w:szCs w:val="18"/>
          <w:color w:val="auto"/>
        </w:rPr>
        <w:t>. The Borrower hereby represents and warrants that neither it nor any other Loan Party is required to affix its corporate seal to this Agreement or any other Loan Document pursuant to any Requirement of Law, agrees that this Agreement is delivered by the Borrower under seal and waives any shortening of the statute of limitations that may result from not affixing the corporate seal to this Agreement or such other Loan Document.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The Administrative Agent and each Lender hereby notify each Loan Party that, pursuant to</w:t>
      </w:r>
    </w:p>
    <w:p>
      <w:pPr>
        <w:spacing w:after="0" w:line="1" w:lineRule="exact"/>
        <w:rPr>
          <w:sz w:val="20"/>
          <w:szCs w:val="20"/>
          <w:color w:val="auto"/>
        </w:rPr>
      </w:pPr>
    </w:p>
    <w:p>
      <w:pPr>
        <w:jc w:val="both"/>
        <w:ind w:firstLine="5"/>
        <w:spacing w:after="0" w:line="213" w:lineRule="auto"/>
        <w:tabs>
          <w:tab w:leader="none" w:pos="28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requirements of the Patriot Act, it is required to obtain, verify and record information that identifies each Loan Party, which information includes the name and address of such Loan Party and other information that shall allow such Lender or the Administrative Agent, as applicable, to identify such Loan Party in accordance with the Patriot Act and (b) the Beneficial Ownership Regulation, it is required to obtain a Beneficial Ownership Certification (subject to any identified exclusions or exemptions).</w:t>
      </w:r>
    </w:p>
    <w:p>
      <w:pPr>
        <w:spacing w:after="0" w:line="17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and each other Loan Party hereby acknowledge and agree and acknowledge its Affiliates’ understanding that (i) (A) the services regarding this Agreement provided by the Administrative Agent and/or the Lenders are arm’s-length commercial transactions between the Borrower, each other Loan Party and their respective Affiliates, on the one hand, and the Administrative Agent and the Lenders, on the other hand, (B) each of the Borrower and the other Loan Parties have consulted their own legal, accounting, regulatory and tax advisors to the extent they have deemed appropriate and (C)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to in writing by the relevant parties, has not been, is not, and will not be acting as an advisor, agent or fiduciary for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110</w:t>
      </w:r>
    </w:p>
    <w:p>
      <w:pPr>
        <w:sectPr>
          <w:pgSz w:w="11900" w:h="16838" w:orient="portrait"/>
          <w:cols w:equalWidth="0" w:num="1">
            <w:col w:w="10060"/>
          </w:cols>
          <w:pgMar w:left="1380" w:top="1302" w:right="459" w:bottom="1440" w:gutter="0" w:footer="0" w:header="0"/>
        </w:sectPr>
      </w:pPr>
    </w:p>
    <w:bookmarkStart w:id="166" w:name="page167"/>
    <w:bookmarkEnd w:id="166"/>
    <w:p>
      <w:pPr>
        <w:jc w:val="both"/>
        <w:spacing w:after="0" w:line="236" w:lineRule="auto"/>
        <w:rPr>
          <w:sz w:val="20"/>
          <w:szCs w:val="20"/>
          <w:color w:val="auto"/>
        </w:rPr>
      </w:pPr>
      <w:r>
        <w:rPr>
          <w:rFonts w:ascii="Arial" w:cs="Arial" w:eastAsia="Arial" w:hAnsi="Arial"/>
          <w:sz w:val="17"/>
          <w:szCs w:val="17"/>
          <w:color w:val="auto"/>
        </w:rPr>
        <w:t>any other Loan Party or any of their respective Affiliates, or any other Person and (B) neither the Administrative Agent nor any Lender has any obligation to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the other Loan Parties and their respective Affiliates, and each of the Administrative Agent and the Lenders have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185"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b w:val="1"/>
          <w:bCs w:val="1"/>
          <w:u w:val="single" w:color="auto"/>
          <w:color w:val="auto"/>
        </w:rPr>
        <w:t>Location of Closing</w:t>
      </w:r>
      <w:r>
        <w:rPr>
          <w:rFonts w:ascii="Arial" w:cs="Arial" w:eastAsia="Arial" w:hAnsi="Arial"/>
          <w:sz w:val="19"/>
          <w:szCs w:val="19"/>
          <w:color w:val="auto"/>
        </w:rPr>
        <w:t xml:space="preserve">. Each Lender hereby acknowledges and agrees that it has delivered, with the intent to be bound, its executed counterparts of this Agreement to the Administrative Agent. The Borrower hereby acknowledges and agrees that it has delivered, with the intent to be bound, its executed counterparts of this Agreement and each other Loan Document, together with all other documents, instruments, opinions, certificates and other items required under </w:t>
      </w:r>
      <w:r>
        <w:rPr>
          <w:rFonts w:ascii="Arial" w:cs="Arial" w:eastAsia="Arial" w:hAnsi="Arial"/>
          <w:sz w:val="19"/>
          <w:szCs w:val="19"/>
          <w:u w:val="single" w:color="auto"/>
          <w:color w:val="auto"/>
        </w:rPr>
        <w:t>Section 3.1</w:t>
      </w:r>
      <w:r>
        <w:rPr>
          <w:rFonts w:ascii="Arial" w:cs="Arial" w:eastAsia="Arial" w:hAnsi="Arial"/>
          <w:sz w:val="19"/>
          <w:szCs w:val="19"/>
          <w:color w:val="auto"/>
        </w:rPr>
        <w:t>, to the Administrative Agent. All parties hereto hereby agree that the closing of the transactions contemplated by this Agreement has occurred in New York.</w:t>
      </w:r>
    </w:p>
    <w:p>
      <w:pPr>
        <w:spacing w:after="0" w:line="198"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9"/>
          <w:szCs w:val="19"/>
          <w:color w:val="auto"/>
        </w:rPr>
        <w:t xml:space="preserve">Section 10.17. </w:t>
      </w:r>
      <w:r>
        <w:rPr>
          <w:rFonts w:ascii="Arial" w:cs="Arial" w:eastAsia="Arial" w:hAnsi="Arial"/>
          <w:sz w:val="19"/>
          <w:szCs w:val="19"/>
          <w:b w:val="1"/>
          <w:bCs w:val="1"/>
          <w:u w:val="single" w:color="auto"/>
          <w:color w:val="auto"/>
        </w:rPr>
        <w:t>Independence of Covenants</w:t>
      </w:r>
      <w:r>
        <w:rPr>
          <w:rFonts w:ascii="Arial" w:cs="Arial" w:eastAsia="Arial" w:hAnsi="Arial"/>
          <w:sz w:val="19"/>
          <w:szCs w:val="19"/>
          <w:color w:val="auto"/>
        </w:rPr>
        <w:t>. All covenants hereunder shall be given independent effect so that if a particular action or condition is not permitted by any of such covenant, the fact that it would be permitted by an exception to, or would otherwise be within the limitations of, another covenant, shall not avoid the occurrence of a Default or an Event of Default if such action is taken or condition exists.</w:t>
      </w:r>
    </w:p>
    <w:p>
      <w:pPr>
        <w:spacing w:after="0" w:line="179"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b w:val="1"/>
          <w:bCs w:val="1"/>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hereby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1277"/>
        <w:spacing w:after="0" w:line="291" w:lineRule="auto"/>
        <w:tabs>
          <w:tab w:leader="none" w:pos="2109"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4" w:lineRule="exact"/>
        <w:rPr>
          <w:rFonts w:ascii="Arial" w:cs="Arial" w:eastAsia="Arial" w:hAnsi="Arial"/>
          <w:sz w:val="17"/>
          <w:szCs w:val="17"/>
          <w:color w:val="auto"/>
        </w:rPr>
      </w:pPr>
    </w:p>
    <w:p>
      <w:pPr>
        <w:ind w:left="1900" w:hanging="623"/>
        <w:spacing w:after="0"/>
        <w:tabs>
          <w:tab w:leader="none" w:pos="190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jc w:val="both"/>
        <w:ind w:firstLine="6"/>
        <w:spacing w:after="0" w:line="212" w:lineRule="auto"/>
        <w:tabs>
          <w:tab w:leader="none" w:pos="21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shall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8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b w:val="1"/>
          <w:bCs w:val="1"/>
          <w:u w:val="single" w:color="auto"/>
          <w:color w:val="auto"/>
        </w:rPr>
        <w:t>Acknowledgement Regarding Any Supported QFCs</w:t>
      </w:r>
      <w:r>
        <w:rPr>
          <w:rFonts w:ascii="Arial" w:cs="Arial" w:eastAsia="Arial" w:hAnsi="Arial"/>
          <w:sz w:val="17"/>
          <w:szCs w:val="17"/>
          <w:b w:val="1"/>
          <w:bCs w:val="1"/>
          <w:color w:val="auto"/>
        </w:rPr>
        <w:t>.</w:t>
      </w:r>
      <w:r>
        <w:rPr>
          <w:rFonts w:ascii="Arial" w:cs="Arial" w:eastAsia="Arial" w:hAnsi="Arial"/>
          <w:sz w:val="17"/>
          <w:szCs w:val="17"/>
          <w:color w:val="auto"/>
        </w:rPr>
        <w:t xml:space="preserve"> To the extent that the Loan Documents provide support, through a guarantee or otherwise, for Hedging Transactions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111</w:t>
      </w:r>
    </w:p>
    <w:p>
      <w:pPr>
        <w:sectPr>
          <w:pgSz w:w="11900" w:h="16838" w:orient="portrait"/>
          <w:cols w:equalWidth="0" w:num="1">
            <w:col w:w="10060"/>
          </w:cols>
          <w:pgMar w:left="1380" w:top="1368" w:right="459" w:bottom="1440" w:gutter="0" w:footer="0" w:header="0"/>
        </w:sectPr>
      </w:pPr>
    </w:p>
    <w:bookmarkStart w:id="167" w:name="page168"/>
    <w:bookmarkEnd w:id="167"/>
    <w:p>
      <w:pPr>
        <w:jc w:val="both"/>
        <w:ind w:right="120" w:firstLine="1277"/>
        <w:spacing w:after="0" w:line="233" w:lineRule="auto"/>
        <w:tabs>
          <w:tab w:leader="none" w:pos="211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event that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shall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that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hereby understood and agreed that the rights and remedies of the parties with respect to a Defaulting Lender shall in no event affect the rights of any Covered Party with respect to a Supported QFC or any QFC Credit Support.</w:t>
      </w:r>
    </w:p>
    <w:p>
      <w:pPr>
        <w:spacing w:after="0" w:line="258" w:lineRule="exact"/>
        <w:rPr>
          <w:rFonts w:ascii="Arial" w:cs="Arial" w:eastAsia="Arial" w:hAnsi="Arial"/>
          <w:sz w:val="17"/>
          <w:szCs w:val="17"/>
          <w:color w:val="auto"/>
        </w:rPr>
      </w:pPr>
    </w:p>
    <w:p>
      <w:pPr>
        <w:ind w:left="1900" w:hanging="623"/>
        <w:spacing w:after="0"/>
        <w:tabs>
          <w:tab w:leader="none" w:pos="19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10.19</w:t>
      </w:r>
      <w:r>
        <w:rPr>
          <w:rFonts w:ascii="Arial" w:cs="Arial" w:eastAsia="Arial" w:hAnsi="Arial"/>
          <w:sz w:val="19"/>
          <w:szCs w:val="19"/>
          <w:color w:val="auto"/>
        </w:rPr>
        <w:t>, the following terms shall have the following</w:t>
      </w:r>
    </w:p>
    <w:p>
      <w:pPr>
        <w:spacing w:after="0"/>
        <w:rPr>
          <w:sz w:val="20"/>
          <w:szCs w:val="20"/>
          <w:color w:val="auto"/>
        </w:rPr>
      </w:pPr>
      <w:r>
        <w:rPr>
          <w:rFonts w:ascii="Arial" w:cs="Arial" w:eastAsia="Arial" w:hAnsi="Arial"/>
          <w:sz w:val="19"/>
          <w:szCs w:val="19"/>
          <w:color w:val="auto"/>
        </w:rPr>
        <w:t>meanings:</w:t>
      </w:r>
    </w:p>
    <w:p>
      <w:pPr>
        <w:spacing w:after="0" w:line="282"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shall mean an “affiliate” (as such term is defined under, and interpreted in accordance with, 12 U.S.C. 1841(k)) of such party.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shall mean any of the following:</w:t>
      </w:r>
    </w:p>
    <w:p>
      <w:pPr>
        <w:spacing w:after="0" w:line="298" w:lineRule="exact"/>
        <w:rPr>
          <w:sz w:val="20"/>
          <w:szCs w:val="20"/>
          <w:color w:val="auto"/>
        </w:rPr>
      </w:pPr>
    </w:p>
    <w:p>
      <w:pPr>
        <w:jc w:val="both"/>
        <w:ind w:left="1260" w:right="680" w:firstLine="17"/>
        <w:spacing w:after="0" w:line="544" w:lineRule="auto"/>
        <w:tabs>
          <w:tab w:leader="none" w:pos="149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2120" w:hanging="869"/>
        <w:spacing w:after="0"/>
        <w:tabs>
          <w:tab w:leader="none" w:pos="21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30" w:lineRule="exact"/>
        <w:rPr>
          <w:sz w:val="20"/>
          <w:szCs w:val="20"/>
          <w:color w:val="auto"/>
        </w:rPr>
      </w:pPr>
    </w:p>
    <w:p>
      <w:pPr>
        <w:jc w:val="both"/>
        <w:ind w:right="120" w:firstLine="636"/>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91" w:lineRule="exact"/>
        <w:rPr>
          <w:sz w:val="20"/>
          <w:szCs w:val="20"/>
          <w:color w:val="auto"/>
        </w:rPr>
      </w:pPr>
    </w:p>
    <w:p>
      <w:pPr>
        <w:jc w:val="both"/>
        <w:ind w:right="120" w:firstLine="63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w:t>
      </w:r>
      <w:r>
        <w:rPr>
          <w:rFonts w:ascii="Arial" w:cs="Arial" w:eastAsia="Arial" w:hAnsi="Arial"/>
          <w:sz w:val="19"/>
          <w:szCs w:val="19"/>
          <w:color w:val="auto"/>
        </w:rPr>
        <w:t>” has the meaning assigned to the term “qualified financial contract” in, and shall be interpreted in accordance with, 12 U.S.C. 5390(c)(8)(D).</w:t>
      </w:r>
    </w:p>
    <w:p>
      <w:pPr>
        <w:spacing w:after="0" w:line="164" w:lineRule="exact"/>
        <w:rPr>
          <w:sz w:val="20"/>
          <w:szCs w:val="20"/>
          <w:color w:val="auto"/>
        </w:rPr>
      </w:pPr>
    </w:p>
    <w:p>
      <w:pPr>
        <w:jc w:val="both"/>
        <w:ind w:right="120" w:firstLine="636"/>
        <w:spacing w:after="0" w:line="245"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b w:val="1"/>
          <w:bCs w:val="1"/>
          <w:u w:val="single" w:color="auto"/>
          <w:color w:val="auto"/>
        </w:rPr>
        <w:t>Electronic Signatures</w:t>
      </w:r>
      <w:r>
        <w:rPr>
          <w:rFonts w:ascii="Arial" w:cs="Arial" w:eastAsia="Arial" w:hAnsi="Arial"/>
          <w:sz w:val="17"/>
          <w:szCs w:val="17"/>
          <w:b w:val="1"/>
          <w:bCs w:val="1"/>
          <w:color w:val="auto"/>
        </w:rPr>
        <w:t>.</w:t>
      </w:r>
      <w:r>
        <w:rPr>
          <w:rFonts w:ascii="Arial" w:cs="Arial" w:eastAsia="Arial" w:hAnsi="Arial"/>
          <w:sz w:val="17"/>
          <w:szCs w:val="17"/>
          <w:color w:val="auto"/>
        </w:rPr>
        <w:t xml:space="preserve"> 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112</w:t>
      </w:r>
    </w:p>
    <w:p>
      <w:pPr>
        <w:sectPr>
          <w:pgSz w:w="11900" w:h="16838" w:orient="portrait"/>
          <w:cols w:equalWidth="0" w:num="1">
            <w:col w:w="10180"/>
          </w:cols>
          <w:pgMar w:left="1380" w:top="1302" w:right="339" w:bottom="1440" w:gutter="0" w:footer="0" w:header="0"/>
        </w:sectPr>
      </w:pPr>
    </w:p>
    <w:bookmarkStart w:id="168" w:name="page169"/>
    <w:bookmarkEnd w:id="168"/>
    <w:p>
      <w:pPr>
        <w:jc w:val="both"/>
        <w:spacing w:after="0" w:line="226" w:lineRule="auto"/>
        <w:rPr>
          <w:sz w:val="20"/>
          <w:szCs w:val="20"/>
          <w:color w:val="auto"/>
        </w:rPr>
      </w:pPr>
      <w:r>
        <w:rPr>
          <w:rFonts w:ascii="Arial" w:cs="Arial" w:eastAsia="Arial" w:hAnsi="Arial"/>
          <w:sz w:val="19"/>
          <w:szCs w:val="19"/>
          <w:color w:val="auto"/>
        </w:rPr>
        <w:t>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blank; 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113</w:t>
      </w:r>
    </w:p>
    <w:p>
      <w:pPr>
        <w:sectPr>
          <w:pgSz w:w="11900" w:h="16838" w:orient="portrait"/>
          <w:cols w:equalWidth="0" w:num="1">
            <w:col w:w="10060"/>
          </w:cols>
          <w:pgMar w:left="1380" w:top="1368" w:right="459" w:bottom="1440" w:gutter="0" w:footer="0" w:header="0"/>
        </w:sectPr>
      </w:pPr>
    </w:p>
    <w:bookmarkStart w:id="169" w:name="page170"/>
    <w:bookmarkEnd w:id="169"/>
    <w:p>
      <w:pPr>
        <w:spacing w:after="0" w:line="2"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Agreement to be duly executed and delivered by their</w:t>
      </w:r>
      <w:r>
        <w:rPr>
          <w:rFonts w:ascii="Arial" w:cs="Arial" w:eastAsia="Arial" w:hAnsi="Arial"/>
          <w:sz w:val="19"/>
          <w:szCs w:val="19"/>
          <w:b w:val="1"/>
          <w:bCs w:val="1"/>
          <w:color w:val="auto"/>
        </w:rPr>
        <w:t xml:space="preserve"> </w:t>
      </w:r>
      <w:r>
        <w:rPr>
          <w:rFonts w:ascii="Arial" w:cs="Arial" w:eastAsia="Arial" w:hAnsi="Arial"/>
          <w:sz w:val="19"/>
          <w:szCs w:val="19"/>
          <w:color w:val="auto"/>
        </w:rPr>
        <w:t>proper and duly authorized officers as of the day and year first above written.</w:t>
      </w: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9"/>
          <w:szCs w:val="19"/>
          <w:u w:val="single" w:color="auto"/>
          <w:color w:val="auto"/>
        </w:rPr>
        <w:t>BORROWER:</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CARET HOLDINGS, INC.,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a Delaware corporation</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By: /s/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-9525</wp:posOffset>
            </wp:positionV>
            <wp:extent cx="1030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Name: Daniel Rosenthal</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9"/>
          <w:szCs w:val="19"/>
          <w:u w:val="single" w:color="auto"/>
          <w:color w:val="auto"/>
        </w:rPr>
        <w:t>HOLDINGS:</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9"/>
          <w:szCs w:val="19"/>
          <w:b w:val="1"/>
          <w:bCs w:val="1"/>
          <w:color w:val="auto"/>
        </w:rPr>
        <w:t>ROOT, INC.,</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a Delaware corporation</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By: /s/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-9525</wp:posOffset>
            </wp:positionV>
            <wp:extent cx="1030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Name: Daniel Rosenthal</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Title: Chief Financial Officer</w:t>
      </w:r>
    </w:p>
    <w:p>
      <w:pPr>
        <w:sectPr>
          <w:pgSz w:w="11900" w:h="16838" w:orient="portrait"/>
          <w:cols w:equalWidth="0" w:num="1">
            <w:col w:w="9840"/>
          </w:cols>
          <w:pgMar w:left="138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9840"/>
          </w:cols>
          <w:pgMar w:left="1380" w:top="1440" w:right="679" w:bottom="1440" w:gutter="0" w:footer="0" w:header="0"/>
          <w:type w:val="continuous"/>
        </w:sectPr>
      </w:pPr>
    </w:p>
    <w:bookmarkStart w:id="170" w:name="page171"/>
    <w:bookmarkEnd w:id="170"/>
    <w:p>
      <w:pPr>
        <w:ind w:left="5600"/>
        <w:spacing w:after="0"/>
        <w:rPr>
          <w:sz w:val="20"/>
          <w:szCs w:val="20"/>
          <w:color w:val="auto"/>
        </w:rPr>
      </w:pPr>
      <w:r>
        <w:rPr>
          <w:rFonts w:ascii="Arial" w:cs="Arial" w:eastAsia="Arial" w:hAnsi="Arial"/>
          <w:sz w:val="19"/>
          <w:szCs w:val="19"/>
          <w:u w:val="single" w:color="auto"/>
          <w:color w:val="auto"/>
        </w:rPr>
        <w:t>OTHER LOAN PARTIES: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9"/>
          <w:szCs w:val="19"/>
          <w:b w:val="1"/>
          <w:bCs w:val="1"/>
          <w:color w:val="auto"/>
        </w:rPr>
        <w:t>ROOT ENTERPRISE, LLC</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a Delaware limited liability company</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1030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Daniel Rosenthal</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President</w:t>
      </w: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9"/>
          <w:szCs w:val="19"/>
          <w:b w:val="1"/>
          <w:bCs w:val="1"/>
          <w:color w:val="auto"/>
        </w:rPr>
        <w:t>ROOT INSURANCE AGENCY, LLC,</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an Ohio limited liability company</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10198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Alexander Timm</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President</w:t>
      </w: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9"/>
          <w:szCs w:val="19"/>
          <w:b w:val="1"/>
          <w:bCs w:val="1"/>
          <w:color w:val="auto"/>
        </w:rPr>
        <w:t>ROOT LONE STAR INSURANCE AGENCY, INC.,</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a Texas corporation</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1030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Daniel Rosenthal</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9"/>
          <w:szCs w:val="19"/>
          <w:b w:val="1"/>
          <w:bCs w:val="1"/>
          <w:color w:val="auto"/>
        </w:rPr>
        <w:t>ROOT SCOUT, LLC,</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a Delaware limited liability company</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Jonathan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10102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Jonathan Allison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[Signature Page to Term Loan Agreement]</w:t>
      </w:r>
    </w:p>
    <w:p>
      <w:pPr>
        <w:sectPr>
          <w:pgSz w:w="11900" w:h="16838" w:orient="portrait"/>
          <w:cols w:equalWidth="0" w:num="1">
            <w:col w:w="9960"/>
          </w:cols>
          <w:pgMar w:left="1440" w:top="1024" w:right="499" w:bottom="1440" w:gutter="0" w:footer="0" w:header="0"/>
        </w:sectPr>
      </w:pPr>
    </w:p>
    <w:bookmarkStart w:id="171" w:name="page172"/>
    <w:bookmarkEnd w:id="171"/>
    <w:p>
      <w:pPr>
        <w:ind w:left="5600"/>
        <w:spacing w:after="0"/>
        <w:rPr>
          <w:sz w:val="20"/>
          <w:szCs w:val="20"/>
          <w:color w:val="auto"/>
        </w:rPr>
      </w:pPr>
      <w:r>
        <w:rPr>
          <w:rFonts w:ascii="Arial" w:cs="Arial" w:eastAsia="Arial" w:hAnsi="Arial"/>
          <w:sz w:val="19"/>
          <w:szCs w:val="19"/>
          <w:u w:val="single" w:color="auto"/>
          <w:color w:val="auto"/>
        </w:rPr>
        <w:t>ADMINISTRATIVE AGENT:</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ACQUIOM AGENCY SERVICES LLC</w:t>
      </w:r>
    </w:p>
    <w:p>
      <w:pPr>
        <w:spacing w:after="0" w:line="19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Renee Kuhl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63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Renee Kuhl</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Executive Director</w:t>
      </w:r>
    </w:p>
    <w:p>
      <w:pPr>
        <w:sectPr>
          <w:pgSz w:w="11900" w:h="16838" w:orient="portrait"/>
          <w:cols w:equalWidth="0" w:num="1">
            <w:col w:w="9019"/>
          </w:cols>
          <w:pgMar w:left="1440" w:top="6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9019"/>
          </w:cols>
          <w:pgMar w:left="1440" w:top="639" w:right="1440" w:bottom="1440" w:gutter="0" w:footer="0" w:header="0"/>
          <w:type w:val="continuous"/>
        </w:sectPr>
      </w:pPr>
    </w:p>
    <w:bookmarkStart w:id="172" w:name="page173"/>
    <w:bookmarkEnd w:id="172"/>
    <w:p>
      <w:pPr>
        <w:ind w:left="5600"/>
        <w:spacing w:after="0"/>
        <w:rPr>
          <w:sz w:val="20"/>
          <w:szCs w:val="20"/>
          <w:color w:val="auto"/>
        </w:rPr>
      </w:pPr>
      <w:r>
        <w:rPr>
          <w:rFonts w:ascii="Arial" w:cs="Arial" w:eastAsia="Arial" w:hAnsi="Arial"/>
          <w:sz w:val="19"/>
          <w:szCs w:val="19"/>
          <w:u w:val="single" w:color="auto"/>
          <w:color w:val="auto"/>
        </w:rPr>
        <w:t>LENDERS:</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PDL SCO LP</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its General Partner, PDL SCO GP Ltd.</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Pearce Wilder Brisbin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1268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Pearce Wilder Brisbin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Director</w:t>
      </w:r>
    </w:p>
    <w:p>
      <w:pPr>
        <w:sectPr>
          <w:pgSz w:w="11900" w:h="16838" w:orient="portrait"/>
          <w:cols w:equalWidth="0" w:num="1">
            <w:col w:w="9019"/>
          </w:cols>
          <w:pgMar w:left="1440" w:top="7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9019"/>
          </w:cols>
          <w:pgMar w:left="1440" w:top="706" w:right="1440" w:bottom="1440" w:gutter="0" w:footer="0" w:header="0"/>
          <w:type w:val="continuous"/>
        </w:sectPr>
      </w:pPr>
    </w:p>
    <w:bookmarkStart w:id="173" w:name="page174"/>
    <w:bookmarkEnd w:id="173"/>
    <w:p>
      <w:pPr>
        <w:ind w:left="5600"/>
        <w:spacing w:after="0"/>
        <w:rPr>
          <w:sz w:val="20"/>
          <w:szCs w:val="20"/>
          <w:color w:val="auto"/>
        </w:rPr>
      </w:pPr>
      <w:r>
        <w:rPr>
          <w:rFonts w:ascii="Arial" w:cs="Arial" w:eastAsia="Arial" w:hAnsi="Arial"/>
          <w:sz w:val="19"/>
          <w:szCs w:val="19"/>
          <w:color w:val="auto"/>
        </w:rPr>
        <w:t>TELEMATIC OFFSHORE, LTD.</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BlackRock Financial Management, Inc., its Manager</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Jeff Dunbar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61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Jeff Dunbar</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ectPr>
          <w:pgSz w:w="11900" w:h="16838" w:orient="portrait"/>
          <w:cols w:equalWidth="0" w:num="1">
            <w:col w:w="10040"/>
          </w:cols>
          <w:pgMar w:left="1440" w:top="63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10040"/>
          </w:cols>
          <w:pgMar w:left="1440" w:top="639" w:right="419" w:bottom="1440" w:gutter="0" w:footer="0" w:header="0"/>
          <w:type w:val="continuous"/>
        </w:sectPr>
      </w:pPr>
    </w:p>
    <w:bookmarkStart w:id="174" w:name="page175"/>
    <w:bookmarkEnd w:id="174"/>
    <w:p>
      <w:pPr>
        <w:ind w:left="5600"/>
        <w:spacing w:after="0"/>
        <w:rPr>
          <w:sz w:val="20"/>
          <w:szCs w:val="20"/>
          <w:color w:val="auto"/>
        </w:rPr>
      </w:pPr>
      <w:r>
        <w:rPr>
          <w:rFonts w:ascii="Arial" w:cs="Arial" w:eastAsia="Arial" w:hAnsi="Arial"/>
          <w:sz w:val="19"/>
          <w:szCs w:val="19"/>
          <w:color w:val="auto"/>
        </w:rPr>
        <w:t>ASG 2021 OFFSHORE HOLDINGS II, L.P.</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BlackRock Financial Management, Inc., its Manager</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Pam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6883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8834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Pam Chan</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Authorized Signatory</w:t>
      </w:r>
    </w:p>
    <w:p>
      <w:pPr>
        <w:sectPr>
          <w:pgSz w:w="11900" w:h="16838" w:orient="portrait"/>
          <w:cols w:equalWidth="0" w:num="1">
            <w:col w:w="10040"/>
          </w:cols>
          <w:pgMar w:left="1440" w:top="40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10040"/>
          </w:cols>
          <w:pgMar w:left="1440" w:top="401" w:right="419" w:bottom="1440" w:gutter="0" w:footer="0" w:header="0"/>
          <w:type w:val="continuous"/>
        </w:sectPr>
      </w:pPr>
    </w:p>
    <w:bookmarkStart w:id="175" w:name="page176"/>
    <w:bookmarkEnd w:id="175"/>
    <w:p>
      <w:pPr>
        <w:ind w:left="5600"/>
        <w:spacing w:after="0"/>
        <w:rPr>
          <w:sz w:val="20"/>
          <w:szCs w:val="20"/>
          <w:color w:val="auto"/>
        </w:rPr>
      </w:pPr>
      <w:r>
        <w:rPr>
          <w:rFonts w:ascii="Arial" w:cs="Arial" w:eastAsia="Arial" w:hAnsi="Arial"/>
          <w:sz w:val="19"/>
          <w:szCs w:val="19"/>
          <w:color w:val="auto"/>
        </w:rPr>
        <w:t>GCO II AGGREGATOR 2 L.P.</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BlackRock Financial Management, Inc., its Manager</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Mark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9620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Mark Lawrence</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Authorized Signatory</w:t>
      </w:r>
    </w:p>
    <w:p>
      <w:pPr>
        <w:sectPr>
          <w:pgSz w:w="11900" w:h="16838" w:orient="portrait"/>
          <w:cols w:equalWidth="0" w:num="1">
            <w:col w:w="10040"/>
          </w:cols>
          <w:pgMar w:left="1440" w:top="70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10040"/>
          </w:cols>
          <w:pgMar w:left="1440" w:top="706" w:right="419" w:bottom="1440" w:gutter="0" w:footer="0" w:header="0"/>
          <w:type w:val="continuous"/>
        </w:sectPr>
      </w:pPr>
    </w:p>
    <w:bookmarkStart w:id="176" w:name="page177"/>
    <w:bookmarkEnd w:id="176"/>
    <w:p>
      <w:pPr>
        <w:ind w:left="5600"/>
        <w:spacing w:after="0"/>
        <w:rPr>
          <w:sz w:val="20"/>
          <w:szCs w:val="20"/>
          <w:color w:val="auto"/>
        </w:rPr>
      </w:pPr>
      <w:r>
        <w:rPr>
          <w:rFonts w:ascii="Arial" w:cs="Arial" w:eastAsia="Arial" w:hAnsi="Arial"/>
          <w:sz w:val="18"/>
          <w:szCs w:val="18"/>
          <w:color w:val="auto"/>
        </w:rPr>
        <w:t>BLACKROCK DIVERSIFIED PRIVATE DEBT FUND</w:t>
      </w:r>
    </w:p>
    <w:p>
      <w:pPr>
        <w:ind w:left="5600"/>
        <w:spacing w:after="0"/>
        <w:rPr>
          <w:sz w:val="20"/>
          <w:szCs w:val="20"/>
          <w:color w:val="auto"/>
        </w:rPr>
      </w:pPr>
      <w:r>
        <w:rPr>
          <w:rFonts w:ascii="Arial" w:cs="Arial" w:eastAsia="Arial" w:hAnsi="Arial"/>
          <w:sz w:val="19"/>
          <w:szCs w:val="19"/>
          <w:color w:val="auto"/>
        </w:rPr>
        <w:t>MASTER LP</w:t>
      </w:r>
    </w:p>
    <w:p>
      <w:pPr>
        <w:ind w:left="5600"/>
        <w:spacing w:after="0" w:line="225" w:lineRule="auto"/>
        <w:rPr>
          <w:sz w:val="20"/>
          <w:szCs w:val="20"/>
          <w:color w:val="auto"/>
        </w:rPr>
      </w:pPr>
      <w:r>
        <w:rPr>
          <w:rFonts w:ascii="Arial" w:cs="Arial" w:eastAsia="Arial" w:hAnsi="Arial"/>
          <w:sz w:val="19"/>
          <w:szCs w:val="19"/>
          <w:color w:val="auto"/>
        </w:rPr>
        <w:t>By: BlackRock Financial Management, Inc., its</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Investment Manager</w:t>
      </w:r>
    </w:p>
    <w:p>
      <w:pPr>
        <w:spacing w:after="0" w:line="16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Mark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962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Mark Lawrence</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Authorized Signatory</w:t>
      </w:r>
    </w:p>
    <w:p>
      <w:pPr>
        <w:sectPr>
          <w:pgSz w:w="11900" w:h="16838" w:orient="portrait"/>
          <w:cols w:equalWidth="0" w:num="1">
            <w:col w:w="10000"/>
          </w:cols>
          <w:pgMar w:left="1440" w:top="70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10000"/>
          </w:cols>
          <w:pgMar w:left="1440" w:top="700" w:right="459" w:bottom="1440" w:gutter="0" w:footer="0" w:header="0"/>
          <w:type w:val="continuous"/>
        </w:sectPr>
      </w:pPr>
    </w:p>
    <w:bookmarkStart w:id="177" w:name="page178"/>
    <w:bookmarkEnd w:id="177"/>
    <w:p>
      <w:pPr>
        <w:ind w:left="5640"/>
        <w:spacing w:after="0"/>
        <w:rPr>
          <w:sz w:val="20"/>
          <w:szCs w:val="20"/>
          <w:color w:val="auto"/>
        </w:rPr>
      </w:pPr>
      <w:r>
        <w:rPr>
          <w:rFonts w:ascii="Arial" w:cs="Arial" w:eastAsia="Arial" w:hAnsi="Arial"/>
          <w:sz w:val="19"/>
          <w:szCs w:val="19"/>
          <w:color w:val="auto"/>
        </w:rPr>
        <w:t>BLACKROCK CAPITAL MARKETS, LLC</w:t>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By: /s/ Brent Patry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-9525</wp:posOffset>
            </wp:positionV>
            <wp:extent cx="742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Name: Brent Patry</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Title: Managing Director</w:t>
      </w:r>
    </w:p>
    <w:p>
      <w:pPr>
        <w:sectPr>
          <w:pgSz w:w="11900" w:h="16838" w:orient="portrait"/>
          <w:cols w:equalWidth="0" w:num="1">
            <w:col w:w="9120"/>
          </w:cols>
          <w:pgMar w:left="1440" w:top="1355" w:right="133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[Signature Page to Term Loan Agreement]</w:t>
      </w:r>
    </w:p>
    <w:p>
      <w:pPr>
        <w:sectPr>
          <w:pgSz w:w="11900" w:h="16838" w:orient="portrait"/>
          <w:cols w:equalWidth="0" w:num="1">
            <w:col w:w="9120"/>
          </w:cols>
          <w:pgMar w:left="1440" w:top="1355" w:right="1339" w:bottom="903" w:gutter="0" w:footer="0" w:header="0"/>
          <w:type w:val="continuous"/>
        </w:sectPr>
      </w:pPr>
    </w:p>
    <w:bookmarkStart w:id="178" w:name="page179"/>
    <w:bookmarkEnd w:id="178"/>
    <w:p>
      <w:pPr>
        <w:ind w:left="5600"/>
        <w:spacing w:after="0"/>
        <w:rPr>
          <w:sz w:val="20"/>
          <w:szCs w:val="20"/>
          <w:color w:val="auto"/>
        </w:rPr>
      </w:pPr>
      <w:r>
        <w:rPr>
          <w:rFonts w:ascii="Arial" w:cs="Arial" w:eastAsia="Arial" w:hAnsi="Arial"/>
          <w:sz w:val="19"/>
          <w:szCs w:val="19"/>
          <w:color w:val="auto"/>
        </w:rPr>
        <w:t>TENNENBAUM SENIOR LOAN FUND II, LP</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TENNENBAUM SENIOR LOAN FUND V, LLC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TCP DIRECT LENDING FUND VIII-A, LLC</w:t>
      </w:r>
    </w:p>
    <w:p>
      <w:pPr>
        <w:ind w:left="5600"/>
        <w:spacing w:after="0" w:line="233" w:lineRule="auto"/>
        <w:rPr>
          <w:sz w:val="20"/>
          <w:szCs w:val="20"/>
          <w:color w:val="auto"/>
        </w:rPr>
      </w:pPr>
      <w:r>
        <w:rPr>
          <w:rFonts w:ascii="Arial" w:cs="Arial" w:eastAsia="Arial" w:hAnsi="Arial"/>
          <w:sz w:val="19"/>
          <w:szCs w:val="19"/>
          <w:color w:val="auto"/>
        </w:rPr>
        <w:t>RELIANCE STANDARD LIFE INSURANCE</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COMPANY</w:t>
      </w:r>
    </w:p>
    <w:p>
      <w:pPr>
        <w:ind w:left="5600"/>
        <w:spacing w:after="0" w:line="225" w:lineRule="auto"/>
        <w:rPr>
          <w:sz w:val="20"/>
          <w:szCs w:val="20"/>
          <w:color w:val="auto"/>
        </w:rPr>
      </w:pPr>
      <w:r>
        <w:rPr>
          <w:rFonts w:ascii="Arial" w:cs="Arial" w:eastAsia="Arial" w:hAnsi="Arial"/>
          <w:sz w:val="19"/>
          <w:szCs w:val="19"/>
          <w:color w:val="auto"/>
        </w:rPr>
        <w:t>PHILADELPHIA INDEMNITY INSURANCE</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COMPANY</w:t>
      </w:r>
    </w:p>
    <w:p>
      <w:pPr>
        <w:spacing w:after="0" w:line="16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On behalf of each of the above entities:</w:t>
      </w:r>
    </w:p>
    <w:p>
      <w:pPr>
        <w:spacing w:after="0" w:line="1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TENNENBAUM CAPITAL PARTNERS, LLC</w:t>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Its: Investment Manager</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TCP DLF VIII 2018 CLO, LLC</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SERIES I of SVOF/MM, LLC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Its: Collateral Manager</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2019 CLO, LLC</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2019-G CLO, LLC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2020-1 CLO, LLC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CLO 2021-1, LLC</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CLO 2021-2, LLC</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BlackRock Capital Investment Advisors, LLC.</w:t>
      </w:r>
    </w:p>
    <w:p>
      <w:pPr>
        <w:spacing w:after="0" w:line="4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Its: Collateral Manager</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[Signature Page to Term Loan Agreement]</w:t>
      </w:r>
    </w:p>
    <w:p>
      <w:pPr>
        <w:sectPr>
          <w:pgSz w:w="11900" w:h="16838" w:orient="portrait"/>
          <w:cols w:equalWidth="0" w:num="1">
            <w:col w:w="9620"/>
          </w:cols>
          <w:pgMar w:left="1440" w:top="706" w:right="839" w:bottom="1440" w:gutter="0" w:footer="0" w:header="0"/>
        </w:sectPr>
      </w:pPr>
    </w:p>
    <w:bookmarkStart w:id="179" w:name="page180"/>
    <w:bookmarkEnd w:id="179"/>
    <w:p>
      <w:pPr>
        <w:ind w:left="5600"/>
        <w:spacing w:after="0"/>
        <w:rPr>
          <w:sz w:val="20"/>
          <w:szCs w:val="20"/>
          <w:color w:val="auto"/>
        </w:rPr>
      </w:pPr>
      <w:r>
        <w:rPr>
          <w:rFonts w:ascii="Arial" w:cs="Arial" w:eastAsia="Arial" w:hAnsi="Arial"/>
          <w:sz w:val="19"/>
          <w:szCs w:val="19"/>
          <w:color w:val="auto"/>
        </w:rPr>
        <w:t>BLACKROCK DLF IX ICAV,</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 umbrella type Irish collective asset management</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vehicle acting solely for and on behalf of its sub-fund</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DIRECT LENDING FUND IX-U</w:t>
      </w:r>
    </w:p>
    <w:p>
      <w:pPr>
        <w:ind w:left="5600"/>
        <w:spacing w:after="0"/>
        <w:rPr>
          <w:sz w:val="20"/>
          <w:szCs w:val="20"/>
          <w:color w:val="auto"/>
        </w:rPr>
      </w:pPr>
      <w:r>
        <w:rPr>
          <w:rFonts w:ascii="Arial" w:cs="Arial" w:eastAsia="Arial" w:hAnsi="Arial"/>
          <w:sz w:val="19"/>
          <w:szCs w:val="19"/>
          <w:color w:val="auto"/>
        </w:rPr>
        <w:t>(IRELAND)</w:t>
      </w:r>
    </w:p>
    <w:p>
      <w:pPr>
        <w:spacing w:after="0" w:line="16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Blackrock Capital Investment Advisors, LLC</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 Investment Manager acting as attorney-in-fact</w:t>
      </w:r>
    </w:p>
    <w:p>
      <w:pPr>
        <w:spacing w:after="0" w:line="18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DLF IX ICAV,</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 umbrella type Irish collective asset management</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vehicle acting solely for and on behalf of its sub-fund</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DIRECT LENDING FUND IX-L</w:t>
      </w:r>
    </w:p>
    <w:p>
      <w:pPr>
        <w:ind w:left="5600"/>
        <w:spacing w:after="0"/>
        <w:rPr>
          <w:sz w:val="20"/>
          <w:szCs w:val="20"/>
          <w:color w:val="auto"/>
        </w:rPr>
      </w:pPr>
      <w:r>
        <w:rPr>
          <w:rFonts w:ascii="Arial" w:cs="Arial" w:eastAsia="Arial" w:hAnsi="Arial"/>
          <w:sz w:val="19"/>
          <w:szCs w:val="19"/>
          <w:color w:val="auto"/>
        </w:rPr>
        <w:t>(IRELAND)</w:t>
      </w:r>
    </w:p>
    <w:p>
      <w:pPr>
        <w:spacing w:after="0" w:line="16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Blackrock Capital Investment Advisors, LLC</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 Investment Manager acting as attorney-in-fact</w:t>
      </w:r>
    </w:p>
    <w:p>
      <w:pPr>
        <w:spacing w:after="0" w:line="18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BLACKROCK DIRECT LENDING FUND IX-U</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(LUXEMBOURG) SCSP</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BlackRock Capital Investment Advisors, LLC.</w:t>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Its: Investment Manager</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-9525</wp:posOffset>
            </wp:positionV>
            <wp:extent cx="796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Name: Philip Tseng</w:t>
      </w:r>
    </w:p>
    <w:p>
      <w:pPr>
        <w:spacing w:after="0" w:line="20"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[Signature Page to Term Loan Agreement]</w:t>
      </w:r>
    </w:p>
    <w:p>
      <w:pPr>
        <w:sectPr>
          <w:pgSz w:w="11900" w:h="16838" w:orient="portrait"/>
          <w:cols w:equalWidth="0" w:num="1">
            <w:col w:w="9760"/>
          </w:cols>
          <w:pgMar w:left="1440" w:top="812" w:right="6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INCENTIVE BONUS AGREEMENT</w:t>
      </w:r>
    </w:p>
    <w:p>
      <w:pPr>
        <w:spacing w:after="0" w:line="219" w:lineRule="exact"/>
        <w:rPr>
          <w:sz w:val="20"/>
          <w:szCs w:val="20"/>
          <w:color w:val="auto"/>
        </w:rPr>
      </w:pPr>
    </w:p>
    <w:p>
      <w:pPr>
        <w:ind w:firstLine="636"/>
        <w:spacing w:after="0" w:line="234" w:lineRule="auto"/>
        <w:rPr>
          <w:sz w:val="20"/>
          <w:szCs w:val="20"/>
          <w:color w:val="auto"/>
        </w:rPr>
      </w:pPr>
      <w:r>
        <w:rPr>
          <w:rFonts w:ascii="Arial" w:cs="Arial" w:eastAsia="Arial" w:hAnsi="Arial"/>
          <w:sz w:val="19"/>
          <w:szCs w:val="19"/>
          <w:color w:val="auto"/>
        </w:rPr>
        <w:t>This Cash Incentive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dated as of April 1, 2022, is made and entered into by and between Root Inc. (the “</w:t>
      </w:r>
      <w:r>
        <w:rPr>
          <w:rFonts w:ascii="Arial" w:cs="Arial" w:eastAsia="Arial" w:hAnsi="Arial"/>
          <w:sz w:val="19"/>
          <w:szCs w:val="19"/>
          <w:b w:val="1"/>
          <w:bCs w:val="1"/>
          <w:color w:val="auto"/>
        </w:rPr>
        <w:t>Company</w:t>
      </w:r>
      <w:r>
        <w:rPr>
          <w:rFonts w:ascii="Arial" w:cs="Arial" w:eastAsia="Arial" w:hAnsi="Arial"/>
          <w:sz w:val="19"/>
          <w:szCs w:val="19"/>
          <w:color w:val="auto"/>
        </w:rPr>
        <w:t>”) and (the “</w:t>
      </w:r>
      <w:r>
        <w:rPr>
          <w:rFonts w:ascii="Arial" w:cs="Arial" w:eastAsia="Arial" w:hAnsi="Arial"/>
          <w:sz w:val="19"/>
          <w:szCs w:val="19"/>
          <w:b w:val="1"/>
          <w:bCs w:val="1"/>
          <w:color w:val="auto"/>
        </w:rPr>
        <w:t>Employee</w:t>
      </w:r>
      <w:r>
        <w:rPr>
          <w:rFonts w:ascii="Arial" w:cs="Arial" w:eastAsia="Arial" w:hAnsi="Arial"/>
          <w:sz w:val="19"/>
          <w:szCs w:val="19"/>
          <w:color w:val="auto"/>
        </w:rPr>
        <w:t>”)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57" w:lineRule="exact"/>
        <w:rPr>
          <w:sz w:val="20"/>
          <w:szCs w:val="20"/>
          <w:color w:val="auto"/>
        </w:rPr>
      </w:pPr>
    </w:p>
    <w:p>
      <w:pPr>
        <w:ind w:firstLine="636"/>
        <w:spacing w:after="0" w:line="234" w:lineRule="auto"/>
        <w:rPr>
          <w:sz w:val="20"/>
          <w:szCs w:val="20"/>
          <w:color w:val="auto"/>
        </w:rPr>
      </w:pPr>
      <w:r>
        <w:rPr>
          <w:rFonts w:ascii="Arial" w:cs="Arial" w:eastAsia="Arial" w:hAnsi="Arial"/>
          <w:sz w:val="19"/>
          <w:szCs w:val="19"/>
          <w:color w:val="auto"/>
        </w:rPr>
        <w:t>WHEREAS, the Employee has chosen, in connection with the Company’s 2022 Long-Term Incentive Program (the “</w:t>
      </w:r>
      <w:r>
        <w:rPr>
          <w:rFonts w:ascii="Arial" w:cs="Arial" w:eastAsia="Arial" w:hAnsi="Arial"/>
          <w:sz w:val="19"/>
          <w:szCs w:val="19"/>
          <w:b w:val="1"/>
          <w:bCs w:val="1"/>
          <w:color w:val="auto"/>
        </w:rPr>
        <w:t>Program</w:t>
      </w:r>
      <w:r>
        <w:rPr>
          <w:rFonts w:ascii="Arial" w:cs="Arial" w:eastAsia="Arial" w:hAnsi="Arial"/>
          <w:sz w:val="19"/>
          <w:szCs w:val="19"/>
          <w:color w:val="auto"/>
        </w:rPr>
        <w:t>”), to receive a portion of the Employee’s 2022 long-term incentive award in the form of a cash;</w:t>
      </w:r>
    </w:p>
    <w:p>
      <w:pPr>
        <w:spacing w:after="0" w:line="161" w:lineRule="exact"/>
        <w:rPr>
          <w:sz w:val="20"/>
          <w:szCs w:val="20"/>
          <w:color w:val="auto"/>
        </w:rPr>
      </w:pPr>
    </w:p>
    <w:p>
      <w:pPr>
        <w:ind w:firstLine="636"/>
        <w:spacing w:after="0" w:line="232" w:lineRule="auto"/>
        <w:rPr>
          <w:sz w:val="20"/>
          <w:szCs w:val="20"/>
          <w:color w:val="auto"/>
        </w:rPr>
      </w:pPr>
      <w:r>
        <w:rPr>
          <w:rFonts w:ascii="Arial" w:cs="Arial" w:eastAsia="Arial" w:hAnsi="Arial"/>
          <w:sz w:val="19"/>
          <w:szCs w:val="19"/>
          <w:color w:val="auto"/>
        </w:rPr>
        <w:t>NOW THEREFORE, in consideration of the mutual promises and covenants set forth herein, the adequacy and sufficiency of which are hereby acknowledged, the Company and the Employee agree as follows:</w:t>
      </w:r>
    </w:p>
    <w:p>
      <w:pPr>
        <w:spacing w:after="0" w:line="161" w:lineRule="exact"/>
        <w:rPr>
          <w:sz w:val="20"/>
          <w:szCs w:val="20"/>
          <w:color w:val="auto"/>
        </w:rPr>
      </w:pPr>
    </w:p>
    <w:p>
      <w:pPr>
        <w:jc w:val="both"/>
        <w:ind w:firstLine="642"/>
        <w:spacing w:after="0" w:line="235" w:lineRule="auto"/>
        <w:tabs>
          <w:tab w:leader="none" w:pos="12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the Employee remaining employed through April 1, 2023, the Company agrees to pay the Employee the amount of $ (the “</w:t>
      </w:r>
      <w:r>
        <w:rPr>
          <w:rFonts w:ascii="Arial" w:cs="Arial" w:eastAsia="Arial" w:hAnsi="Arial"/>
          <w:sz w:val="18"/>
          <w:szCs w:val="18"/>
          <w:b w:val="1"/>
          <w:bCs w:val="1"/>
          <w:color w:val="auto"/>
        </w:rPr>
        <w:t>Incentive Bonus</w:t>
      </w:r>
      <w:r>
        <w:rPr>
          <w:rFonts w:ascii="Arial" w:cs="Arial" w:eastAsia="Arial" w:hAnsi="Arial"/>
          <w:sz w:val="18"/>
          <w:szCs w:val="18"/>
          <w:color w:val="auto"/>
        </w:rPr>
        <w:t>”) within thirty (30) days following such date, less tax withholdings and deductions. If the Employee’s employment with the Company ceases for any reason prior to April 1, 2023, then no Incentive Bonus, or any pro rata portion thereof, shall be paid.</w:t>
      </w:r>
    </w:p>
    <w:p>
      <w:pPr>
        <w:spacing w:after="0" w:line="160" w:lineRule="exact"/>
        <w:rPr>
          <w:rFonts w:ascii="Arial" w:cs="Arial" w:eastAsia="Arial" w:hAnsi="Arial"/>
          <w:sz w:val="18"/>
          <w:szCs w:val="18"/>
          <w:color w:val="auto"/>
        </w:rPr>
      </w:pPr>
    </w:p>
    <w:p>
      <w:pPr>
        <w:jc w:val="both"/>
        <w:ind w:firstLine="642"/>
        <w:spacing w:after="0" w:line="222" w:lineRule="auto"/>
        <w:tabs>
          <w:tab w:leader="none" w:pos="126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Parties agree that this Agreement is for the sole purpose of providing an Incentive Bonus to the Employee. This Agreement does not constitute an employment contract between the Employee and the Company for any specific time period and does not in any way alter the Employee’s status as an at-will employee.</w:t>
      </w:r>
    </w:p>
    <w:p>
      <w:pPr>
        <w:spacing w:after="0" w:line="162" w:lineRule="exact"/>
        <w:rPr>
          <w:rFonts w:ascii="Arial" w:cs="Arial" w:eastAsia="Arial" w:hAnsi="Arial"/>
          <w:sz w:val="19"/>
          <w:szCs w:val="19"/>
          <w:color w:val="auto"/>
        </w:rPr>
      </w:pPr>
    </w:p>
    <w:p>
      <w:pPr>
        <w:ind w:left="1280" w:hanging="638"/>
        <w:spacing w:after="0"/>
        <w:tabs>
          <w:tab w:leader="none" w:pos="12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This Agreement shall be interpreted and enforced in accordance with the laws of the State of Ohio, without reference to its conflict of</w:t>
      </w:r>
    </w:p>
    <w:p>
      <w:pPr>
        <w:spacing w:after="0" w:line="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laws rules.</w:t>
      </w:r>
    </w:p>
    <w:p>
      <w:pPr>
        <w:spacing w:after="0" w:line="163" w:lineRule="exact"/>
        <w:rPr>
          <w:rFonts w:ascii="Arial" w:cs="Arial" w:eastAsia="Arial" w:hAnsi="Arial"/>
          <w:sz w:val="16"/>
          <w:szCs w:val="16"/>
          <w:color w:val="auto"/>
        </w:rPr>
      </w:pPr>
    </w:p>
    <w:p>
      <w:pPr>
        <w:jc w:val="both"/>
        <w:ind w:firstLine="642"/>
        <w:spacing w:after="0" w:line="276" w:lineRule="auto"/>
        <w:tabs>
          <w:tab w:leader="none" w:pos="12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This Agreement constitutes the entire understanding of the Parties with regard to the Company’s provision of the Incentive Bonus to the Employee. This Agreement supersedes all prior or contemporaneous discussions, representations, correspondence or agreements, whether oral or written, pertaining to the Incentive Bonus. Any modifications to this Agreement shall be in writing and signed by both parties.</w:t>
      </w:r>
    </w:p>
    <w:p>
      <w:pPr>
        <w:spacing w:after="0" w:line="133" w:lineRule="exact"/>
        <w:rPr>
          <w:rFonts w:ascii="Arial" w:cs="Arial" w:eastAsia="Arial" w:hAnsi="Arial"/>
          <w:sz w:val="16"/>
          <w:szCs w:val="16"/>
          <w:color w:val="auto"/>
        </w:rPr>
      </w:pPr>
    </w:p>
    <w:p>
      <w:pPr>
        <w:ind w:right="80" w:firstLine="642"/>
        <w:spacing w:after="0" w:line="222" w:lineRule="auto"/>
        <w:tabs>
          <w:tab w:leader="none" w:pos="126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any other provision herein, the parties intend that payments under this Agreement shall be exempt from, or comply with, Section 409A of the Internal Revenue Code of 1986, as amended, and the regulations and guidance promulgated thereunder and, accordingly, to the maximum extent permitted, this Agreement shall be interpreted accordingly.</w:t>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Date: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19"/>
          <w:szCs w:val="19"/>
          <w:color w:val="auto"/>
        </w:rPr>
        <w:t>/s/Alexander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-5715</wp:posOffset>
            </wp:positionV>
            <wp:extent cx="1204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210" w:lineRule="auto"/>
        <w:rPr>
          <w:sz w:val="20"/>
          <w:szCs w:val="20"/>
          <w:color w:val="auto"/>
        </w:rPr>
      </w:pPr>
      <w:r>
        <w:rPr>
          <w:rFonts w:ascii="Arial" w:cs="Arial" w:eastAsia="Arial" w:hAnsi="Arial"/>
          <w:sz w:val="21"/>
          <w:szCs w:val="21"/>
          <w:color w:val="auto"/>
        </w:rPr>
        <w:t>Alexander Timm</w:t>
      </w:r>
    </w:p>
    <w:p>
      <w:pPr>
        <w:spacing w:after="0" w:line="211" w:lineRule="auto"/>
        <w:rPr>
          <w:sz w:val="20"/>
          <w:szCs w:val="20"/>
          <w:color w:val="auto"/>
        </w:rPr>
      </w:pPr>
      <w:r>
        <w:rPr>
          <w:rFonts w:ascii="Arial" w:cs="Arial" w:eastAsia="Arial" w:hAnsi="Arial"/>
          <w:sz w:val="21"/>
          <w:szCs w:val="21"/>
          <w:color w:val="auto"/>
        </w:rPr>
        <w:t>Chief Executive Officer</w:t>
      </w:r>
    </w:p>
    <w:p>
      <w:pPr>
        <w:spacing w:after="0"/>
        <w:rPr>
          <w:sz w:val="20"/>
          <w:szCs w:val="20"/>
          <w:color w:val="auto"/>
        </w:rPr>
      </w:pPr>
      <w:r>
        <w:rPr>
          <w:rFonts w:ascii="Arial" w:cs="Arial" w:eastAsia="Arial" w:hAnsi="Arial"/>
          <w:sz w:val="21"/>
          <w:szCs w:val="21"/>
          <w:color w:val="auto"/>
        </w:rPr>
        <w:t>April 1, 2022</w:t>
      </w:r>
    </w:p>
    <w:p>
      <w:pPr>
        <w:sectPr>
          <w:pgSz w:w="11900" w:h="16838" w:orient="portrait"/>
          <w:cols w:equalWidth="0" w:num="1">
            <w:col w:w="11240"/>
          </w:cols>
          <w:pgMar w:left="320" w:top="1380"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45" w:lineRule="exact"/>
        <w:rPr>
          <w:sz w:val="20"/>
          <w:szCs w:val="20"/>
          <w:color w:val="auto"/>
        </w:rPr>
      </w:pPr>
    </w:p>
    <w:p>
      <w:pPr>
        <w:ind w:left="520" w:hanging="498"/>
        <w:spacing w:after="0"/>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4" w:lineRule="exact"/>
        <w:rPr>
          <w:rFonts w:ascii="Arial" w:cs="Arial" w:eastAsia="Arial" w:hAnsi="Arial"/>
          <w:sz w:val="18"/>
          <w:szCs w:val="18"/>
          <w:color w:val="auto"/>
        </w:rPr>
      </w:pPr>
    </w:p>
    <w:p>
      <w:pPr>
        <w:jc w:val="both"/>
        <w:ind w:left="200" w:right="20" w:hanging="178"/>
        <w:spacing w:after="0" w:line="239" w:lineRule="auto"/>
        <w:tabs>
          <w:tab w:leader="none" w:pos="5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Arial" w:cs="Arial" w:eastAsia="Arial" w:hAnsi="Arial"/>
          <w:sz w:val="18"/>
          <w:szCs w:val="18"/>
          <w:color w:val="auto"/>
        </w:rPr>
      </w:pPr>
    </w:p>
    <w:p>
      <w:pPr>
        <w:ind w:left="200" w:right="20" w:hanging="178"/>
        <w:spacing w:after="0" w:line="276" w:lineRule="auto"/>
        <w:tabs>
          <w:tab w:leader="none" w:pos="51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200" w:right="20" w:hanging="178"/>
        <w:spacing w:after="0" w:line="239" w:lineRule="auto"/>
        <w:tabs>
          <w:tab w:leader="none" w:pos="5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jc w:val="both"/>
        <w:ind w:left="780" w:right="20" w:hanging="255"/>
        <w:spacing w:after="0" w:line="239" w:lineRule="auto"/>
        <w:tabs>
          <w:tab w:leader="none" w:pos="109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8"/>
          <w:szCs w:val="18"/>
          <w:color w:val="auto"/>
        </w:rPr>
      </w:pPr>
    </w:p>
    <w:p>
      <w:pPr>
        <w:ind w:left="780" w:right="20" w:hanging="255"/>
        <w:spacing w:after="0" w:line="313" w:lineRule="auto"/>
        <w:tabs>
          <w:tab w:leader="none" w:pos="1098"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5"/>
        <w:spacing w:after="0" w:line="239" w:lineRule="auto"/>
        <w:tabs>
          <w:tab w:leader="none" w:pos="109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8"/>
          <w:szCs w:val="18"/>
          <w:color w:val="auto"/>
        </w:rPr>
      </w:pPr>
    </w:p>
    <w:p>
      <w:pPr>
        <w:ind w:left="200" w:right="20" w:hanging="178"/>
        <w:spacing w:after="0" w:line="313" w:lineRule="auto"/>
        <w:tabs>
          <w:tab w:leader="none" w:pos="518"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20" w:hanging="255"/>
        <w:spacing w:after="0" w:line="276" w:lineRule="auto"/>
        <w:tabs>
          <w:tab w:leader="none" w:pos="109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80" w:right="20" w:hanging="255"/>
        <w:spacing w:after="0" w:line="249" w:lineRule="auto"/>
        <w:tabs>
          <w:tab w:leader="none" w:pos="109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5"/>
          <w:szCs w:val="15"/>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19685</wp:posOffset>
            </wp:positionV>
            <wp:extent cx="27178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20"/>
          </w:cols>
          <w:pgMar w:left="640" w:top="1393"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 Robert Bateman, certify that:</w:t>
      </w:r>
    </w:p>
    <w:p>
      <w:pPr>
        <w:spacing w:after="0" w:line="111" w:lineRule="exact"/>
        <w:rPr>
          <w:sz w:val="20"/>
          <w:szCs w:val="20"/>
          <w:color w:val="auto"/>
        </w:rPr>
      </w:pPr>
    </w:p>
    <w:p>
      <w:pPr>
        <w:ind w:left="340" w:hanging="336"/>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5" w:lineRule="exact"/>
        <w:rPr>
          <w:sz w:val="20"/>
          <w:szCs w:val="20"/>
          <w:color w:val="auto"/>
        </w:rPr>
      </w:pPr>
    </w:p>
    <w:p>
      <w:pPr>
        <w:ind w:left="340" w:right="20" w:hanging="336"/>
        <w:spacing w:after="0" w:line="313" w:lineRule="auto"/>
        <w:tabs>
          <w:tab w:leader="none" w:pos="34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340" w:right="20" w:hanging="336"/>
        <w:spacing w:after="0" w:line="249" w:lineRule="auto"/>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sz w:val="20"/>
          <w:szCs w:val="20"/>
          <w:color w:val="auto"/>
        </w:rPr>
      </w:pPr>
    </w:p>
    <w:p>
      <w:pPr>
        <w:jc w:val="both"/>
        <w:ind w:left="340" w:right="20" w:hanging="336"/>
        <w:spacing w:after="0" w:line="239" w:lineRule="auto"/>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8"/>
          <w:szCs w:val="18"/>
          <w:color w:val="auto"/>
        </w:rPr>
      </w:pPr>
    </w:p>
    <w:p>
      <w:pPr>
        <w:jc w:val="both"/>
        <w:ind w:left="720" w:right="20" w:hanging="385"/>
        <w:spacing w:after="0" w:line="239" w:lineRule="auto"/>
        <w:tabs>
          <w:tab w:leader="none" w:pos="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8"/>
          <w:szCs w:val="18"/>
          <w:color w:val="auto"/>
        </w:rPr>
      </w:pPr>
    </w:p>
    <w:p>
      <w:pPr>
        <w:ind w:left="720" w:right="20" w:hanging="385"/>
        <w:spacing w:after="0" w:line="276" w:lineRule="auto"/>
        <w:tabs>
          <w:tab w:leader="none" w:pos="7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20" w:right="20" w:hanging="385"/>
        <w:spacing w:after="0" w:line="239" w:lineRule="auto"/>
        <w:tabs>
          <w:tab w:leader="none" w:pos="7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 w:lineRule="exact"/>
        <w:rPr>
          <w:sz w:val="20"/>
          <w:szCs w:val="20"/>
          <w:color w:val="auto"/>
        </w:rPr>
      </w:pPr>
    </w:p>
    <w:p>
      <w:pPr>
        <w:ind w:left="340" w:right="20" w:hanging="336"/>
        <w:spacing w:after="0" w:line="276" w:lineRule="auto"/>
        <w:tabs>
          <w:tab w:leader="none" w:pos="3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20" w:right="20" w:hanging="385"/>
        <w:spacing w:after="0" w:line="249" w:lineRule="auto"/>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20" w:right="20" w:hanging="385"/>
        <w:spacing w:after="0" w:line="249" w:lineRule="auto"/>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5"/>
          <w:szCs w:val="15"/>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19685</wp:posOffset>
            </wp:positionV>
            <wp:extent cx="2549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Bateman</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393"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2"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Robert Bateman, Chief Financial Officer of the Company, each hereby certifies that, to the best of his knowledge:</w:t>
      </w:r>
    </w:p>
    <w:p>
      <w:pPr>
        <w:spacing w:after="0" w:line="268" w:lineRule="exact"/>
        <w:rPr>
          <w:sz w:val="20"/>
          <w:szCs w:val="20"/>
          <w:color w:val="auto"/>
        </w:rPr>
      </w:pPr>
    </w:p>
    <w:p>
      <w:pPr>
        <w:ind w:left="340" w:right="60" w:hanging="122"/>
        <w:spacing w:after="0" w:line="249" w:lineRule="auto"/>
        <w:rPr>
          <w:sz w:val="20"/>
          <w:szCs w:val="20"/>
          <w:color w:val="auto"/>
        </w:rPr>
      </w:pPr>
      <w:r>
        <w:rPr>
          <w:rFonts w:ascii="Arial" w:cs="Arial" w:eastAsia="Arial" w:hAnsi="Arial"/>
          <w:sz w:val="18"/>
          <w:szCs w:val="18"/>
          <w:color w:val="auto"/>
        </w:rPr>
        <w:t>1 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 The information contained in the Periodic Report fairly presents, in all material respects, the financial condition and results of operations of the Company.</w:t>
      </w: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May 4, 2022</w:t>
      </w:r>
    </w:p>
    <w:p>
      <w:pPr>
        <w:spacing w:after="0" w:line="200" w:lineRule="exact"/>
        <w:rPr>
          <w:sz w:val="20"/>
          <w:szCs w:val="20"/>
          <w:color w:val="auto"/>
        </w:rPr>
      </w:pPr>
    </w:p>
    <w:p>
      <w:pPr>
        <w:spacing w:after="0" w:line="33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10795</wp:posOffset>
            </wp:positionV>
            <wp:extent cx="2263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Robert Bateman</w:t>
      </w:r>
    </w:p>
    <w:p>
      <w:pPr>
        <w:spacing w:after="0" w:line="4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1."/>
      <w:numFmt w:val="decimal"/>
      <w:start w:val="1"/>
    </w:lvl>
  </w:abstractNum>
  <w:abstractNum w:abstractNumId="6">
    <w:nsid w:val="488AC1A"/>
    <w:multiLevelType w:val="hybridMultilevel"/>
    <w:lvl w:ilvl="0">
      <w:lvlJc w:val="left"/>
      <w:lvlText w:val="%1."/>
      <w:numFmt w:val="decimal"/>
      <w:start w:val="2"/>
    </w:lvl>
  </w:abstractNum>
  <w:abstractNum w:abstractNumId="7">
    <w:nsid w:val="5FB8011C"/>
    <w:multiLevelType w:val="hybridMultilevel"/>
    <w:lvl w:ilvl="0">
      <w:lvlJc w:val="left"/>
      <w:lvlText w:val="%1."/>
      <w:numFmt w:val="decimal"/>
      <w:start w:val="3"/>
    </w:lvl>
  </w:abstractNum>
  <w:abstractNum w:abstractNumId="8">
    <w:nsid w:val="6AA78F7F"/>
    <w:multiLevelType w:val="hybridMultilevel"/>
    <w:lvl w:ilvl="0">
      <w:lvlJc w:val="left"/>
      <w:lvlText w:val="%1."/>
      <w:numFmt w:val="decimal"/>
      <w:start w:val="4"/>
    </w:lvl>
  </w:abstractNum>
  <w:abstractNum w:abstractNumId="9">
    <w:nsid w:val="7672BD23"/>
    <w:multiLevelType w:val="hybridMultilevel"/>
    <w:lvl w:ilvl="0">
      <w:lvlJc w:val="left"/>
      <w:lvlText w:val="%1."/>
      <w:numFmt w:val="decimal"/>
      <w:start w:val="5"/>
    </w:lvl>
  </w:abstractNum>
  <w:abstractNum w:abstractNumId="10">
    <w:nsid w:val="6FC75AF8"/>
    <w:multiLevelType w:val="hybridMultilevel"/>
    <w:lvl w:ilvl="0">
      <w:lvlJc w:val="left"/>
      <w:lvlText w:val="%1."/>
      <w:numFmt w:val="decimal"/>
      <w:start w:val="6"/>
    </w:lvl>
  </w:abstractNum>
  <w:abstractNum w:abstractNumId="11">
    <w:nsid w:val="6A5F7029"/>
    <w:multiLevelType w:val="hybridMultilevel"/>
    <w:lvl w:ilvl="0">
      <w:lvlJc w:val="left"/>
      <w:lvlText w:val="%1."/>
      <w:numFmt w:val="decimal"/>
      <w:start w:val="7"/>
    </w:lvl>
  </w:abstractNum>
  <w:abstractNum w:abstractNumId="12">
    <w:nsid w:val="7D5E18F8"/>
    <w:multiLevelType w:val="hybridMultilevel"/>
    <w:lvl w:ilvl="0">
      <w:lvlJc w:val="left"/>
      <w:lvlText w:val="%1."/>
      <w:numFmt w:val="decimal"/>
      <w:start w:val="8"/>
    </w:lvl>
  </w:abstractNum>
  <w:abstractNum w:abstractNumId="13">
    <w:nsid w:val="5F3534A4"/>
    <w:multiLevelType w:val="hybridMultilevel"/>
    <w:lvl w:ilvl="0">
      <w:lvlJc w:val="left"/>
      <w:lvlText w:val="%1."/>
      <w:numFmt w:val="decimal"/>
      <w:start w:val="9"/>
    </w:lvl>
  </w:abstractNum>
  <w:abstractNum w:abstractNumId="14">
    <w:nsid w:val="73A1821B"/>
    <w:multiLevelType w:val="hybridMultilevel"/>
    <w:lvl w:ilvl="0">
      <w:lvlJc w:val="left"/>
      <w:lvlText w:val="%1."/>
      <w:numFmt w:val="decimal"/>
      <w:start w:val="10"/>
    </w:lvl>
  </w:abstractNum>
  <w:abstractNum w:abstractNumId="15">
    <w:nsid w:val="7DE67713"/>
    <w:multiLevelType w:val="hybridMultilevel"/>
    <w:lvl w:ilvl="0">
      <w:lvlJc w:val="left"/>
      <w:lvlText w:val="%1."/>
      <w:numFmt w:val="decimal"/>
      <w:start w:val="11"/>
    </w:lvl>
  </w:abstractNum>
  <w:abstractNum w:abstractNumId="16">
    <w:nsid w:val="555C55B5"/>
    <w:multiLevelType w:val="hybridMultilevel"/>
    <w:lvl w:ilvl="0">
      <w:lvlJc w:val="left"/>
      <w:lvlText w:val="%1."/>
      <w:numFmt w:val="decimal"/>
      <w:start w:val="12"/>
    </w:lvl>
  </w:abstractNum>
  <w:abstractNum w:abstractNumId="17">
    <w:nsid w:val="3FA62ACA"/>
    <w:multiLevelType w:val="hybridMultilevel"/>
    <w:lvl w:ilvl="0">
      <w:lvlJc w:val="left"/>
      <w:lvlText w:val="%1."/>
      <w:numFmt w:val="decimal"/>
      <w:start w:val="13"/>
    </w:lvl>
  </w:abstractNum>
  <w:abstractNum w:abstractNumId="18">
    <w:nsid w:val="14FCE74E"/>
    <w:multiLevelType w:val="hybridMultilevel"/>
    <w:lvl w:ilvl="0">
      <w:lvlJc w:val="left"/>
      <w:lvlText w:val="%1."/>
      <w:numFmt w:val="decimal"/>
      <w:start w:val="14"/>
    </w:lvl>
  </w:abstractNum>
  <w:abstractNum w:abstractNumId="19">
    <w:nsid w:val="6A3DD3E8"/>
    <w:multiLevelType w:val="hybridMultilevel"/>
    <w:lvl w:ilvl="0">
      <w:lvlJc w:val="left"/>
      <w:lvlText w:val="(%1)"/>
      <w:numFmt w:val="decimal"/>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1)"/>
      <w:numFmt w:val="decimal"/>
      <w:start w:val="1"/>
    </w:lvl>
  </w:abstractNum>
  <w:abstractNum w:abstractNumId="23">
    <w:nsid w:val="1FBFE8E0"/>
    <w:multiLevelType w:val="hybridMultilevel"/>
    <w:lvl w:ilvl="0">
      <w:lvlJc w:val="left"/>
      <w:lvlText w:val="(%1)"/>
      <w:numFmt w:val="decimal"/>
      <w:start w:val="1"/>
    </w:lvl>
  </w:abstractNum>
  <w:abstractNum w:abstractNumId="24">
    <w:nsid w:val="5092CA79"/>
    <w:multiLevelType w:val="hybridMultilevel"/>
    <w:lvl w:ilvl="0">
      <w:lvlJc w:val="left"/>
      <w:lvlText w:val="(%1)"/>
      <w:numFmt w:val="lowerRoman"/>
      <w:start w:val="1"/>
    </w:lvl>
  </w:abstractNum>
  <w:abstractNum w:abstractNumId="25">
    <w:nsid w:val="1D545C4D"/>
    <w:multiLevelType w:val="hybridMultilevel"/>
    <w:lvl w:ilvl="0">
      <w:lvlJc w:val="left"/>
      <w:lvlText w:val="§"/>
      <w:numFmt w:val="bullet"/>
      <w:start w:val="1"/>
    </w:lvl>
    <w:lvl w:ilvl="1">
      <w:lvlJc w:val="left"/>
      <w:lvlText w:val="%2"/>
      <w:numFmt w:val="decimal"/>
      <w:start w:val="104"/>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1)"/>
      <w:numFmt w:val="decimal"/>
      <w:start w:val="1"/>
    </w:lvl>
  </w:abstractNum>
  <w:abstractNum w:abstractNumId="28">
    <w:nsid w:val="2A155DBC"/>
    <w:multiLevelType w:val="hybridMultilevel"/>
    <w:lvl w:ilvl="0">
      <w:lvlJc w:val="left"/>
      <w:lvlText w:val="(%1)"/>
      <w:numFmt w:val="lowerLetter"/>
      <w:start w:val="1"/>
    </w:lvl>
  </w:abstractNum>
  <w:abstractNum w:abstractNumId="29">
    <w:nsid w:val="1D9F6E5F"/>
    <w:multiLevelType w:val="hybridMultilevel"/>
    <w:lvl w:ilvl="0">
      <w:lvlJc w:val="left"/>
      <w:lvlText w:val="(%1)"/>
      <w:numFmt w:val="lowerLetter"/>
      <w:start w:val="3"/>
    </w:lvl>
  </w:abstractNum>
  <w:abstractNum w:abstractNumId="30">
    <w:nsid w:val="97E1B4E"/>
    <w:multiLevelType w:val="hybridMultilevel"/>
    <w:lvl w:ilvl="0">
      <w:lvlJc w:val="left"/>
      <w:lvlText w:val="(%1)"/>
      <w:numFmt w:val="lowerRoman"/>
      <w:start w:val="1"/>
    </w:lvl>
  </w:abstractNum>
  <w:abstractNum w:abstractNumId="31">
    <w:nsid w:val="51088277"/>
    <w:multiLevelType w:val="hybridMultilevel"/>
    <w:lvl w:ilvl="0">
      <w:lvlJc w:val="left"/>
      <w:lvlText w:val="%1"/>
      <w:numFmt w:val="lowerLetter"/>
      <w:start w:val="1"/>
    </w:lvl>
    <w:lvl w:ilvl="1">
      <w:lvlJc w:val="left"/>
      <w:lvlText w:val="(%2)"/>
      <w:numFmt w:val="lowerRoman"/>
      <w:start w:val="2"/>
    </w:lvl>
  </w:abstractNum>
  <w:abstractNum w:abstractNumId="32">
    <w:nsid w:val="1CA0C5FA"/>
    <w:multiLevelType w:val="hybridMultilevel"/>
    <w:lvl w:ilvl="0">
      <w:lvlJc w:val="left"/>
      <w:lvlText w:val="(%1)"/>
      <w:numFmt w:val="lowerLetter"/>
      <w:start w:val="2"/>
    </w:lvl>
    <w:lvl w:ilvl="1">
      <w:lvlJc w:val="left"/>
      <w:lvlText w:val="%2"/>
      <w:numFmt w:val="lowerRoman"/>
      <w:start w:val="1"/>
    </w:lvl>
  </w:abstractNum>
  <w:abstractNum w:abstractNumId="33">
    <w:nsid w:val="53584BCB"/>
    <w:multiLevelType w:val="hybridMultilevel"/>
    <w:lvl w:ilvl="0">
      <w:lvlJc w:val="left"/>
      <w:lvlText w:val="(%1)"/>
      <w:numFmt w:val="upperLetter"/>
      <w:start w:val="3"/>
    </w:lvl>
  </w:abstractNum>
  <w:abstractNum w:abstractNumId="34">
    <w:nsid w:val="415E286C"/>
    <w:multiLevelType w:val="hybridMultilevel"/>
    <w:lvl w:ilvl="0">
      <w:lvlJc w:val="left"/>
      <w:lvlText w:val="(%1)"/>
      <w:numFmt w:val="decimal"/>
      <w:start w:val="91"/>
    </w:lvl>
  </w:abstractNum>
  <w:abstractNum w:abstractNumId="35">
    <w:nsid w:val="7C58FD05"/>
    <w:multiLevelType w:val="hybridMultilevel"/>
    <w:lvl w:ilvl="0">
      <w:lvlJc w:val="left"/>
      <w:lvlText w:val="(%1)"/>
      <w:numFmt w:val="lowerRoman"/>
      <w:start w:val="1"/>
    </w:lvl>
  </w:abstractNum>
  <w:abstractNum w:abstractNumId="36">
    <w:nsid w:val="23D86AAC"/>
    <w:multiLevelType w:val="hybridMultilevel"/>
    <w:lvl w:ilvl="0">
      <w:lvlJc w:val="left"/>
      <w:lvlText w:val="(%1)"/>
      <w:numFmt w:val="lowerRoman"/>
      <w:start w:val="1"/>
    </w:lvl>
  </w:abstractNum>
  <w:abstractNum w:abstractNumId="37">
    <w:nsid w:val="45E6D486"/>
    <w:multiLevelType w:val="hybridMultilevel"/>
    <w:lvl w:ilvl="0">
      <w:lvlJc w:val="left"/>
      <w:lvlText w:val="(%1)"/>
      <w:numFmt w:val="lowerRoman"/>
      <w:start w:val="2"/>
    </w:lvl>
  </w:abstractNum>
  <w:abstractNum w:abstractNumId="38">
    <w:nsid w:val="5C10FE21"/>
    <w:multiLevelType w:val="hybridMultilevel"/>
    <w:lvl w:ilvl="0">
      <w:lvlJc w:val="left"/>
      <w:lvlText w:val="(%1)"/>
      <w:numFmt w:val="lowerRoman"/>
      <w:start w:val="1"/>
    </w:lvl>
  </w:abstractNum>
  <w:abstractNum w:abstractNumId="39">
    <w:nsid w:val="E7FFA2B"/>
    <w:multiLevelType w:val="hybridMultilevel"/>
    <w:lvl w:ilvl="0">
      <w:lvlJc w:val="left"/>
      <w:lvlText w:val="(%1)"/>
      <w:numFmt w:val="lowerRoman"/>
      <w:start w:val="1"/>
    </w:lvl>
  </w:abstractNum>
  <w:abstractNum w:abstractNumId="40">
    <w:nsid w:val="3C5991AA"/>
    <w:multiLevelType w:val="hybridMultilevel"/>
    <w:lvl w:ilvl="0">
      <w:lvlJc w:val="left"/>
      <w:lvlText w:val="(%1)"/>
      <w:numFmt w:val="lowerRoman"/>
      <w:start w:val="2"/>
    </w:lvl>
  </w:abstractNum>
  <w:abstractNum w:abstractNumId="41">
    <w:nsid w:val="4BD8591A"/>
    <w:multiLevelType w:val="hybridMultilevel"/>
    <w:lvl w:ilvl="0">
      <w:lvlJc w:val="left"/>
      <w:lvlText w:val="%1"/>
      <w:numFmt w:val="lowerRoman"/>
      <w:start w:val="1"/>
    </w:lvl>
    <w:lvl w:ilvl="1">
      <w:lvlJc w:val="left"/>
      <w:lvlText w:val="(%2)"/>
      <w:numFmt w:val="lowerRoman"/>
      <w:start w:val="6"/>
    </w:lvl>
  </w:abstractNum>
  <w:abstractNum w:abstractNumId="42">
    <w:nsid w:val="78DF6A55"/>
    <w:multiLevelType w:val="hybridMultilevel"/>
    <w:lvl w:ilvl="0">
      <w:lvlJc w:val="left"/>
      <w:lvlText w:val="(%1)"/>
      <w:numFmt w:val="lowerRoman"/>
      <w:start w:val="8"/>
    </w:lvl>
    <w:lvl w:ilvl="1">
      <w:lvlJc w:val="left"/>
      <w:lvlText w:val="(%2)"/>
      <w:numFmt w:val="lowerRoman"/>
      <w:start w:val="9"/>
    </w:lvl>
  </w:abstractNum>
  <w:abstractNum w:abstractNumId="43">
    <w:nsid w:val="39B7AAA2"/>
    <w:multiLevelType w:val="hybridMultilevel"/>
    <w:lvl w:ilvl="0">
      <w:lvlJc w:val="left"/>
      <w:lvlText w:val="(%1)"/>
      <w:numFmt w:val="lowerRoman"/>
      <w:start w:val="12"/>
    </w:lvl>
  </w:abstractNum>
  <w:abstractNum w:abstractNumId="44">
    <w:nsid w:val="2B0D8DB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45">
    <w:nsid w:val="6C80EC70"/>
    <w:multiLevelType w:val="hybridMultilevel"/>
    <w:lvl w:ilvl="0">
      <w:lvlJc w:val="left"/>
      <w:lvlText w:val="(%1)"/>
      <w:numFmt w:val="decimal"/>
      <w:start w:val="180"/>
    </w:lvl>
    <w:lvl w:ilvl="1">
      <w:lvlJc w:val="left"/>
      <w:lvlText w:val="%2"/>
      <w:numFmt w:val="lowerRoman"/>
      <w:start w:val="1"/>
    </w:lvl>
    <w:lvl w:ilvl="2">
      <w:lvlJc w:val="left"/>
      <w:lvlText w:val="(%3)"/>
      <w:numFmt w:val="lowerRoman"/>
      <w:start w:val="5"/>
    </w:lvl>
  </w:abstractNum>
  <w:abstractNum w:abstractNumId="46">
    <w:nsid w:val="379E21B5"/>
    <w:multiLevelType w:val="hybridMultilevel"/>
    <w:lvl w:ilvl="0">
      <w:lvlJc w:val="left"/>
      <w:lvlText w:val="(%1)"/>
      <w:numFmt w:val="lowerRoman"/>
      <w:start w:val="6"/>
    </w:lvl>
  </w:abstractNum>
  <w:abstractNum w:abstractNumId="47">
    <w:nsid w:val="69E373"/>
    <w:multiLevelType w:val="hybridMultilevel"/>
    <w:lvl w:ilvl="0">
      <w:lvlJc w:val="left"/>
      <w:lvlText w:val="%1"/>
      <w:numFmt w:val="decimal"/>
      <w:start w:val="1"/>
    </w:lvl>
    <w:lvl w:ilvl="1">
      <w:lvlJc w:val="left"/>
      <w:lvlText w:val="(%2)"/>
      <w:numFmt w:val="lowerRoman"/>
      <w:start w:val="1"/>
    </w:lvl>
  </w:abstractNum>
  <w:abstractNum w:abstractNumId="48">
    <w:nsid w:val="2C27173B"/>
    <w:multiLevelType w:val="hybridMultilevel"/>
    <w:lvl w:ilvl="0">
      <w:lvlJc w:val="left"/>
      <w:lvlText w:val="(%1)"/>
      <w:numFmt w:val="decimal"/>
      <w:start w:val="18"/>
    </w:lvl>
    <w:lvl w:ilvl="1">
      <w:lvlJc w:val="left"/>
      <w:lvlText w:val="%2"/>
      <w:numFmt w:val="lowerRoman"/>
      <w:start w:val="1"/>
    </w:lvl>
  </w:abstractNum>
  <w:abstractNum w:abstractNumId="49">
    <w:nsid w:val="4C9B0904"/>
    <w:multiLevelType w:val="hybridMultilevel"/>
    <w:lvl w:ilvl="0">
      <w:lvlJc w:val="left"/>
      <w:lvlText w:val="(%1)"/>
      <w:numFmt w:val="lowerRoman"/>
      <w:start w:val="2"/>
    </w:lvl>
  </w:abstractNum>
  <w:abstractNum w:abstractNumId="50">
    <w:nsid w:val="6AA7B75C"/>
    <w:multiLevelType w:val="hybridMultilevel"/>
    <w:lvl w:ilvl="0">
      <w:lvlJc w:val="left"/>
      <w:lvlText w:val="(%1)"/>
      <w:numFmt w:val="lowerLetter"/>
      <w:start w:val="1"/>
    </w:lvl>
  </w:abstractNum>
  <w:abstractNum w:abstractNumId="51">
    <w:nsid w:val="1DF029D3"/>
    <w:multiLevelType w:val="hybridMultilevel"/>
    <w:lvl w:ilvl="0">
      <w:lvlJc w:val="left"/>
      <w:lvlText w:val="(%1)"/>
      <w:numFmt w:val="lowerLetter"/>
      <w:start w:val="25"/>
    </w:lvl>
  </w:abstractNum>
  <w:abstractNum w:abstractNumId="52">
    <w:nsid w:val="5675FF36"/>
    <w:multiLevelType w:val="hybridMultilevel"/>
    <w:lvl w:ilvl="0">
      <w:lvlJc w:val="left"/>
      <w:lvlText w:val="(%1)"/>
      <w:numFmt w:val="lowerLetter"/>
      <w:start w:val="1"/>
    </w:lvl>
  </w:abstractNum>
  <w:abstractNum w:abstractNumId="53">
    <w:nsid w:val="3DD15094"/>
    <w:multiLevelType w:val="hybridMultilevel"/>
    <w:lvl w:ilvl="0">
      <w:lvlJc w:val="left"/>
      <w:lvlText w:val="(%1)"/>
      <w:numFmt w:val="lowerLetter"/>
      <w:start w:val="1"/>
    </w:lvl>
  </w:abstractNum>
  <w:abstractNum w:abstractNumId="54">
    <w:nsid w:val="3DB012B3"/>
    <w:multiLevelType w:val="hybridMultilevel"/>
    <w:lvl w:ilvl="0">
      <w:lvlJc w:val="left"/>
      <w:lvlText w:val="(%1)"/>
      <w:numFmt w:val="lowerLetter"/>
      <w:start w:val="1"/>
    </w:lvl>
  </w:abstractNum>
  <w:abstractNum w:abstractNumId="55">
    <w:nsid w:val="2708C9AF"/>
    <w:multiLevelType w:val="hybridMultilevel"/>
    <w:lvl w:ilvl="0">
      <w:lvlJc w:val="left"/>
      <w:lvlText w:val="(%1)"/>
      <w:numFmt w:val="lowerLetter"/>
      <w:start w:val="1"/>
    </w:lvl>
  </w:abstractNum>
  <w:abstractNum w:abstractNumId="56">
    <w:nsid w:val="5B25ACE2"/>
    <w:multiLevelType w:val="hybridMultilevel"/>
    <w:lvl w:ilvl="0">
      <w:lvlJc w:val="left"/>
      <w:lvlText w:val="%1"/>
      <w:numFmt w:val="lowerLetter"/>
      <w:start w:val="1"/>
    </w:lvl>
    <w:lvl w:ilvl="1">
      <w:lvlJc w:val="left"/>
      <w:lvlText w:val="(%2)"/>
      <w:numFmt w:val="lowerLetter"/>
      <w:start w:val="2"/>
    </w:lvl>
  </w:abstractNum>
  <w:abstractNum w:abstractNumId="57">
    <w:nsid w:val="175DFCF0"/>
    <w:multiLevelType w:val="hybridMultilevel"/>
    <w:lvl w:ilvl="0">
      <w:lvlJc w:val="left"/>
      <w:lvlText w:val="(%1)"/>
      <w:numFmt w:val="lowerLetter"/>
      <w:start w:val="24"/>
    </w:lvl>
    <w:lvl w:ilvl="1">
      <w:lvlJc w:val="left"/>
      <w:lvlText w:val="(%2)"/>
      <w:numFmt w:val="lowerLetter"/>
      <w:start w:val="3"/>
    </w:lvl>
  </w:abstractNum>
  <w:abstractNum w:abstractNumId="58">
    <w:nsid w:val="4F97E3E4"/>
    <w:multiLevelType w:val="hybridMultilevel"/>
    <w:lvl w:ilvl="0">
      <w:lvlJc w:val="left"/>
      <w:lvlText w:val="(%1)"/>
      <w:numFmt w:val="lowerLetter"/>
      <w:start w:val="4"/>
    </w:lvl>
  </w:abstractNum>
  <w:abstractNum w:abstractNumId="59">
    <w:nsid w:val="53B0A9E"/>
    <w:multiLevelType w:val="hybridMultilevel"/>
    <w:lvl w:ilvl="0">
      <w:lvlJc w:val="left"/>
      <w:lvlText w:val="(%1)"/>
      <w:numFmt w:val="lowerLetter"/>
      <w:start w:val="1"/>
    </w:lvl>
  </w:abstractNum>
  <w:abstractNum w:abstractNumId="60">
    <w:nsid w:val="34FD6B4F"/>
    <w:multiLevelType w:val="hybridMultilevel"/>
    <w:lvl w:ilvl="0">
      <w:lvlJc w:val="left"/>
      <w:lvlText w:val="(%1)"/>
      <w:numFmt w:val="lowerLetter"/>
      <w:start w:val="1"/>
    </w:lvl>
  </w:abstractNum>
  <w:abstractNum w:abstractNumId="61">
    <w:nsid w:val="5915FF32"/>
    <w:multiLevelType w:val="hybridMultilevel"/>
    <w:lvl w:ilvl="0">
      <w:lvlJc w:val="left"/>
      <w:lvlText w:val="(%1)"/>
      <w:numFmt w:val="lowerLetter"/>
      <w:start w:val="2"/>
    </w:lvl>
  </w:abstractNum>
  <w:abstractNum w:abstractNumId="62">
    <w:nsid w:val="56438D15"/>
    <w:multiLevelType w:val="hybridMultilevel"/>
    <w:lvl w:ilvl="0">
      <w:lvlJc w:val="left"/>
      <w:lvlText w:val="(%1)"/>
      <w:numFmt w:val="lowerLetter"/>
      <w:start w:val="1"/>
    </w:lvl>
    <w:lvl w:ilvl="1">
      <w:lvlJc w:val="left"/>
      <w:lvlText w:val="(%2)"/>
      <w:numFmt w:val="lowerRoman"/>
      <w:start w:val="1"/>
    </w:lvl>
  </w:abstractNum>
  <w:abstractNum w:abstractNumId="63">
    <w:nsid w:val="519E3149"/>
    <w:multiLevelType w:val="hybridMultilevel"/>
    <w:lvl w:ilvl="0">
      <w:lvlJc w:val="left"/>
      <w:lvlText w:val="(%1)"/>
      <w:numFmt w:val="lowerLetter"/>
      <w:start w:val="3"/>
    </w:lvl>
  </w:abstractNum>
  <w:abstractNum w:abstractNumId="64">
    <w:nsid w:val="2C6E4AFD"/>
    <w:multiLevelType w:val="hybridMultilevel"/>
    <w:lvl w:ilvl="0">
      <w:lvlJc w:val="left"/>
      <w:lvlText w:val="(%1)"/>
      <w:numFmt w:val="lowerLetter"/>
      <w:start w:val="1"/>
    </w:lvl>
  </w:abstractNum>
  <w:abstractNum w:abstractNumId="65">
    <w:nsid w:val="17A1B582"/>
    <w:multiLevelType w:val="hybridMultilevel"/>
    <w:lvl w:ilvl="0">
      <w:lvlJc w:val="left"/>
      <w:lvlText w:val="(%1)"/>
      <w:numFmt w:val="lowerLetter"/>
      <w:start w:val="1"/>
    </w:lvl>
  </w:abstractNum>
  <w:abstractNum w:abstractNumId="66">
    <w:nsid w:val="4DF72E4E"/>
    <w:multiLevelType w:val="hybridMultilevel"/>
    <w:lvl w:ilvl="0">
      <w:lvlJc w:val="left"/>
      <w:lvlText w:val="(%1)"/>
      <w:numFmt w:val="lowerRoman"/>
      <w:start w:val="1"/>
    </w:lvl>
  </w:abstractNum>
  <w:abstractNum w:abstractNumId="67">
    <w:nsid w:val="5046B5A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8">
    <w:nsid w:val="5D888A0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69">
    <w:nsid w:val="2A082C70"/>
    <w:multiLevelType w:val="hybridMultilevel"/>
    <w:lvl w:ilvl="0">
      <w:lvlJc w:val="left"/>
      <w:lvlText w:val="(%1)"/>
      <w:numFmt w:val="lowerRoman"/>
      <w:start w:val="5"/>
    </w:lvl>
  </w:abstractNum>
  <w:abstractNum w:abstractNumId="70">
    <w:nsid w:val="5EC6AFD4"/>
    <w:multiLevelType w:val="hybridMultilevel"/>
    <w:lvl w:ilvl="0">
      <w:lvlJc w:val="left"/>
      <w:lvlText w:val="(%1)"/>
      <w:numFmt w:val="lowerLetter"/>
      <w:start w:val="1"/>
    </w:lvl>
    <w:lvl w:ilvl="1">
      <w:lvlJc w:val="left"/>
      <w:lvlText w:val="(%2)"/>
      <w:numFmt w:val="lowerRoman"/>
      <w:start w:val="1"/>
    </w:lvl>
  </w:abstractNum>
  <w:abstractNum w:abstractNumId="71">
    <w:nsid w:val="19E21BB2"/>
    <w:multiLevelType w:val="hybridMultilevel"/>
    <w:lvl w:ilvl="0">
      <w:lvlJc w:val="left"/>
      <w:lvlText w:val="(%1)"/>
      <w:numFmt w:val="lowerLetter"/>
      <w:start w:val="2"/>
    </w:lvl>
  </w:abstractNum>
  <w:abstractNum w:abstractNumId="72">
    <w:nsid w:val="75E0858A"/>
    <w:multiLevelType w:val="hybridMultilevel"/>
    <w:lvl w:ilvl="0">
      <w:lvlJc w:val="left"/>
      <w:lvlText w:val="(%1)"/>
      <w:numFmt w:val="lowerLetter"/>
      <w:start w:val="1"/>
    </w:lvl>
  </w:abstractNum>
  <w:abstractNum w:abstractNumId="73">
    <w:nsid w:val="57A61A2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74">
    <w:nsid w:val="5399C654"/>
    <w:multiLevelType w:val="hybridMultilevel"/>
    <w:lvl w:ilvl="0">
      <w:lvlJc w:val="left"/>
      <w:lvlText w:val="%1"/>
      <w:numFmt w:val="lowerLetter"/>
      <w:start w:val="1"/>
    </w:lvl>
    <w:lvl w:ilvl="1">
      <w:lvlJc w:val="left"/>
      <w:lvlText w:val="(%2)"/>
      <w:numFmt w:val="lowerLetter"/>
      <w:start w:val="61"/>
    </w:lvl>
  </w:abstractNum>
  <w:abstractNum w:abstractNumId="75">
    <w:nsid w:val="20EE1348"/>
    <w:multiLevelType w:val="hybridMultilevel"/>
    <w:lvl w:ilvl="0">
      <w:lvlJc w:val="left"/>
      <w:lvlText w:val="(%1)"/>
      <w:numFmt w:val="lowerLetter"/>
      <w:start w:val="25"/>
    </w:lvl>
    <w:lvl w:ilvl="1">
      <w:lvlJc w:val="left"/>
      <w:lvlText w:val="%2"/>
      <w:numFmt w:val="lowerLetter"/>
      <w:start w:val="1"/>
    </w:lvl>
  </w:abstractNum>
  <w:abstractNum w:abstractNumId="76">
    <w:nsid w:val="4427069A"/>
    <w:multiLevelType w:val="hybridMultilevel"/>
    <w:lvl w:ilvl="0">
      <w:lvlJc w:val="left"/>
      <w:lvlText w:val="%1"/>
      <w:numFmt w:val="upperLetter"/>
      <w:start w:val="1"/>
    </w:lvl>
    <w:lvl w:ilvl="1">
      <w:lvlJc w:val="left"/>
      <w:lvlText w:val="(%2)"/>
      <w:numFmt w:val="lowerRoman"/>
      <w:start w:val="4"/>
    </w:lvl>
  </w:abstractNum>
  <w:abstractNum w:abstractNumId="77">
    <w:nsid w:val="B37E80A"/>
    <w:multiLevelType w:val="hybridMultilevel"/>
    <w:lvl w:ilvl="0">
      <w:lvlJc w:val="left"/>
      <w:lvlText w:val="(%1)"/>
      <w:numFmt w:val="upperLetter"/>
      <w:start w:val="3"/>
    </w:lvl>
    <w:lvl w:ilvl="1">
      <w:lvlJc w:val="left"/>
      <w:lvlText w:val="%2"/>
      <w:numFmt w:val="lowerRoman"/>
      <w:start w:val="1"/>
    </w:lvl>
  </w:abstractNum>
  <w:abstractNum w:abstractNumId="78">
    <w:nsid w:val="2157F6BC"/>
    <w:multiLevelType w:val="hybridMultilevel"/>
    <w:lvl w:ilvl="0">
      <w:lvlJc w:val="left"/>
      <w:lvlText w:val="(%1)"/>
      <w:numFmt w:val="lowerLetter"/>
      <w:start w:val="8"/>
    </w:lvl>
  </w:abstractNum>
  <w:abstractNum w:abstractNumId="79">
    <w:nsid w:val="704E1DD5"/>
    <w:multiLevelType w:val="hybridMultilevel"/>
    <w:lvl w:ilvl="0">
      <w:lvlJc w:val="left"/>
      <w:lvlText w:val="(%1)"/>
      <w:numFmt w:val="lowerLetter"/>
      <w:start w:val="1"/>
    </w:lvl>
  </w:abstractNum>
  <w:abstractNum w:abstractNumId="80">
    <w:nsid w:val="57D2F10E"/>
    <w:multiLevelType w:val="hybridMultilevel"/>
    <w:lvl w:ilvl="0">
      <w:lvlJc w:val="left"/>
      <w:lvlText w:val="(%1)"/>
      <w:numFmt w:val="lowerLetter"/>
      <w:start w:val="2"/>
    </w:lvl>
  </w:abstractNum>
  <w:abstractNum w:abstractNumId="81">
    <w:nsid w:val="BFFAE18"/>
    <w:multiLevelType w:val="hybridMultilevel"/>
    <w:lvl w:ilvl="0">
      <w:lvlJc w:val="left"/>
      <w:lvlText w:val="(%1)"/>
      <w:numFmt w:val="lowerLetter"/>
      <w:start w:val="5"/>
    </w:lvl>
  </w:abstractNum>
  <w:abstractNum w:abstractNumId="82">
    <w:nsid w:val="E3E47A8"/>
    <w:multiLevelType w:val="hybridMultilevel"/>
    <w:lvl w:ilvl="0">
      <w:lvlJc w:val="left"/>
      <w:lvlText w:val="(%1)"/>
      <w:numFmt w:val="lowerLetter"/>
      <w:start w:val="1"/>
    </w:lvl>
    <w:lvl w:ilvl="1">
      <w:lvlJc w:val="left"/>
      <w:lvlText w:val="(%2)"/>
      <w:numFmt w:val="lowerRoman"/>
      <w:start w:val="1"/>
    </w:lvl>
  </w:abstractNum>
  <w:abstractNum w:abstractNumId="83">
    <w:nsid w:val="2E48F044"/>
    <w:multiLevelType w:val="hybridMultilevel"/>
    <w:lvl w:ilvl="0">
      <w:lvlJc w:val="left"/>
      <w:lvlText w:val="(%1)"/>
      <w:numFmt w:val="lowerLetter"/>
      <w:start w:val="3"/>
    </w:lvl>
  </w:abstractNum>
  <w:abstractNum w:abstractNumId="84">
    <w:nsid w:val="49D0FEAC"/>
    <w:multiLevelType w:val="hybridMultilevel"/>
    <w:lvl w:ilvl="0">
      <w:lvlJc w:val="left"/>
      <w:lvlText w:val="(%1)"/>
      <w:numFmt w:val="lowerLetter"/>
      <w:start w:val="1"/>
    </w:lvl>
    <w:lvl w:ilvl="1">
      <w:lvlJc w:val="left"/>
      <w:lvlText w:val="(%2)"/>
      <w:numFmt w:val="lowerRoman"/>
      <w:start w:val="1"/>
    </w:lvl>
  </w:abstractNum>
  <w:abstractNum w:abstractNumId="85">
    <w:nsid w:val="4BEE5A5B"/>
    <w:multiLevelType w:val="hybridMultilevel"/>
    <w:lvl w:ilvl="0">
      <w:lvlJc w:val="left"/>
      <w:lvlText w:val="(%1)"/>
      <w:numFmt w:val="lowerRoman"/>
      <w:start w:val="5"/>
    </w:lvl>
  </w:abstractNum>
  <w:abstractNum w:abstractNumId="86">
    <w:nsid w:val="5551B9F3"/>
    <w:multiLevelType w:val="hybridMultilevel"/>
    <w:lvl w:ilvl="0">
      <w:lvlJc w:val="left"/>
      <w:lvlText w:val="%1"/>
      <w:numFmt w:val="lowerLetter"/>
      <w:start w:val="1"/>
    </w:lvl>
    <w:lvl w:ilvl="1">
      <w:lvlJc w:val="left"/>
      <w:lvlText w:val="(%2)"/>
      <w:numFmt w:val="lowerRoman"/>
      <w:start w:val="17"/>
    </w:lvl>
  </w:abstractNum>
  <w:abstractNum w:abstractNumId="87">
    <w:nsid w:val="24F6AB8E"/>
    <w:multiLevelType w:val="hybridMultilevel"/>
    <w:lvl w:ilvl="0">
      <w:lvlJc w:val="left"/>
      <w:lvlText w:val="(%1)"/>
      <w:numFmt w:val="lowerLetter"/>
      <w:start w:val="3"/>
    </w:lvl>
    <w:lvl w:ilvl="1">
      <w:lvlJc w:val="left"/>
      <w:lvlText w:val="%2"/>
      <w:numFmt w:val="lowerRoman"/>
      <w:start w:val="1"/>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Letter"/>
      <w:start w:val="2"/>
    </w:lvl>
  </w:abstractNum>
  <w:abstractNum w:abstractNumId="90">
    <w:nsid w:val="2A31B62D"/>
    <w:multiLevelType w:val="hybridMultilevel"/>
    <w:lvl w:ilvl="0">
      <w:lvlJc w:val="left"/>
      <w:lvlText w:val="(%1)"/>
      <w:numFmt w:val="lowerLetter"/>
      <w:start w:val="1"/>
    </w:lvl>
  </w:abstractNum>
  <w:abstractNum w:abstractNumId="91">
    <w:nsid w:val="1849C29B"/>
    <w:multiLevelType w:val="hybridMultilevel"/>
    <w:lvl w:ilvl="0">
      <w:lvlJc w:val="left"/>
      <w:lvlText w:val="%1"/>
      <w:numFmt w:val="lowerLetter"/>
      <w:start w:val="1"/>
    </w:lvl>
    <w:lvl w:ilvl="1">
      <w:lvlJc w:val="left"/>
      <w:lvlText w:val="(%2)"/>
      <w:numFmt w:val="lowerLetter"/>
      <w:start w:val="1"/>
    </w:lvl>
  </w:abstractNum>
  <w:abstractNum w:abstractNumId="92">
    <w:nsid w:val="7DFF9D09"/>
    <w:multiLevelType w:val="hybridMultilevel"/>
    <w:lvl w:ilvl="0">
      <w:lvlJc w:val="left"/>
      <w:lvlText w:val="(%1)"/>
      <w:numFmt w:val="lowerLetter"/>
      <w:start w:val="9"/>
    </w:lvl>
    <w:lvl w:ilvl="1">
      <w:lvlJc w:val="left"/>
      <w:lvlText w:val="%2"/>
      <w:numFmt w:val="lowerLetter"/>
      <w:start w:val="1"/>
    </w:lvl>
  </w:abstractNum>
  <w:abstractNum w:abstractNumId="93">
    <w:nsid w:val="754342"/>
    <w:multiLevelType w:val="hybridMultilevel"/>
    <w:lvl w:ilvl="0">
      <w:lvlJc w:val="left"/>
      <w:lvlText w:val="(%1)"/>
      <w:numFmt w:val="lowerLetter"/>
      <w:start w:val="1"/>
    </w:lvl>
  </w:abstractNum>
  <w:abstractNum w:abstractNumId="94">
    <w:nsid w:val="69E7F3E5"/>
    <w:multiLevelType w:val="hybridMultilevel"/>
    <w:lvl w:ilvl="0">
      <w:lvlJc w:val="left"/>
      <w:lvlText w:val="(%1)"/>
      <w:numFmt w:val="lowerLetter"/>
      <w:start w:val="3"/>
    </w:lvl>
  </w:abstractNum>
  <w:abstractNum w:abstractNumId="95">
    <w:nsid w:val="2A6DE806"/>
    <w:multiLevelType w:val="hybridMultilevel"/>
    <w:lvl w:ilvl="0">
      <w:lvlJc w:val="left"/>
      <w:lvlText w:val="(%1)"/>
      <w:numFmt w:val="lowerLetter"/>
      <w:start w:val="1"/>
    </w:lvl>
  </w:abstractNum>
  <w:abstractNum w:abstractNumId="96">
    <w:nsid w:val="1816F8C4"/>
    <w:multiLevelType w:val="hybridMultilevel"/>
    <w:lvl w:ilvl="0">
      <w:lvlJc w:val="left"/>
      <w:lvlText w:val="(%1)"/>
      <w:numFmt w:val="lowerLetter"/>
      <w:start w:val="1"/>
    </w:lvl>
  </w:abstractNum>
  <w:abstractNum w:abstractNumId="97">
    <w:nsid w:val="37DF2233"/>
    <w:multiLevelType w:val="hybridMultilevel"/>
    <w:lvl w:ilvl="0">
      <w:lvlJc w:val="left"/>
      <w:lvlText w:val="(%1)"/>
      <w:numFmt w:val="lowerLetter"/>
      <w:start w:val="1"/>
    </w:lvl>
  </w:abstractNum>
  <w:abstractNum w:abstractNumId="98">
    <w:nsid w:val="7AB49DAF"/>
    <w:multiLevelType w:val="hybridMultilevel"/>
    <w:lvl w:ilvl="0">
      <w:lvlJc w:val="left"/>
      <w:lvlText w:val="%1"/>
      <w:numFmt w:val="lowerLetter"/>
      <w:start w:val="1"/>
    </w:lvl>
    <w:lvl w:ilvl="1">
      <w:lvlJc w:val="left"/>
      <w:lvlText w:val="(%2)"/>
      <w:numFmt w:val="lowerLetter"/>
      <w:start w:val="2"/>
    </w:lvl>
  </w:abstractNum>
  <w:abstractNum w:abstractNumId="99">
    <w:nsid w:val="759F82CD"/>
    <w:multiLevelType w:val="hybridMultilevel"/>
    <w:lvl w:ilvl="0">
      <w:lvlJc w:val="left"/>
      <w:lvlText w:val="(%1)"/>
      <w:numFmt w:val="lowerLetter"/>
      <w:start w:val="25"/>
    </w:lvl>
    <w:lvl w:ilvl="1">
      <w:lvlJc w:val="left"/>
      <w:lvlText w:val="(%2)"/>
      <w:numFmt w:val="lowerLetter"/>
      <w:start w:val="5"/>
    </w:lvl>
  </w:abstractNum>
  <w:abstractNum w:abstractNumId="100">
    <w:nsid w:val="61E74EA3"/>
    <w:multiLevelType w:val="hybridMultilevel"/>
    <w:lvl w:ilvl="0">
      <w:lvlJc w:val="left"/>
      <w:lvlText w:val="(%1)"/>
      <w:numFmt w:val="lowerLetter"/>
      <w:start w:val="7"/>
    </w:lvl>
  </w:abstractNum>
  <w:abstractNum w:abstractNumId="101">
    <w:nsid w:val="597B4D84"/>
    <w:multiLevelType w:val="hybridMultilevel"/>
    <w:lvl w:ilvl="0">
      <w:lvlJc w:val="left"/>
      <w:lvlText w:val="(%1)"/>
      <w:numFmt w:val="lowerLetter"/>
      <w:start w:val="9"/>
    </w:lvl>
  </w:abstractNum>
  <w:abstractNum w:abstractNumId="102">
    <w:nsid w:val="F819E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3">
    <w:nsid w:val="57C7D42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04">
    <w:nsid w:val="312167AD"/>
    <w:multiLevelType w:val="hybridMultilevel"/>
    <w:lvl w:ilvl="0">
      <w:lvlJc w:val="left"/>
      <w:lvlText w:val="%1"/>
      <w:numFmt w:val="lowerLetter"/>
      <w:start w:val="1"/>
    </w:lvl>
    <w:lvl w:ilvl="1">
      <w:lvlJc w:val="left"/>
      <w:lvlText w:val="(%2)"/>
      <w:numFmt w:val="lowerRoman"/>
      <w:start w:val="5"/>
    </w:lvl>
  </w:abstractNum>
  <w:abstractNum w:abstractNumId="105">
    <w:nsid w:val="631B64D4"/>
    <w:multiLevelType w:val="hybridMultilevel"/>
    <w:lvl w:ilvl="0">
      <w:lvlJc w:val="left"/>
      <w:lvlText w:val="(%1)"/>
      <w:numFmt w:val="lowerLetter"/>
      <w:start w:val="2"/>
    </w:lvl>
    <w:lvl w:ilvl="1">
      <w:lvlJc w:val="left"/>
      <w:lvlText w:val="(%2)"/>
      <w:numFmt w:val="lowerRoman"/>
      <w:start w:val="1"/>
    </w:lvl>
  </w:abstractNum>
  <w:abstractNum w:abstractNumId="106">
    <w:nsid w:val="78B5E776"/>
    <w:multiLevelType w:val="hybridMultilevel"/>
    <w:lvl w:ilvl="0">
      <w:lvlJc w:val="left"/>
      <w:lvlText w:val="(%1)"/>
      <w:numFmt w:val="lowerRoman"/>
      <w:start w:val="2"/>
    </w:lvl>
  </w:abstractNum>
  <w:abstractNum w:abstractNumId="107">
    <w:nsid w:val="75486E47"/>
    <w:multiLevelType w:val="hybridMultilevel"/>
    <w:lvl w:ilvl="0">
      <w:lvlJc w:val="left"/>
      <w:lvlText w:val="(%1)"/>
      <w:numFmt w:val="lowerLetter"/>
      <w:start w:val="1"/>
    </w:lvl>
  </w:abstractNum>
  <w:abstractNum w:abstractNumId="108">
    <w:nsid w:val="6E534CDE"/>
    <w:multiLevelType w:val="hybridMultilevel"/>
    <w:lvl w:ilvl="0">
      <w:lvlJc w:val="left"/>
      <w:lvlText w:val="(%1)"/>
      <w:numFmt w:val="lowerLetter"/>
      <w:start w:val="1"/>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Letter"/>
      <w:start w:val="1"/>
    </w:lvl>
  </w:abstractNum>
  <w:abstractNum w:abstractNumId="111">
    <w:nsid w:val="46263DEC"/>
    <w:multiLevelType w:val="hybridMultilevel"/>
    <w:lvl w:ilvl="0">
      <w:lvlJc w:val="left"/>
      <w:lvlText w:val="(%1)"/>
      <w:numFmt w:val="lowerLetter"/>
      <w:start w:val="1"/>
    </w:lvl>
  </w:abstractNum>
  <w:abstractNum w:abstractNumId="112">
    <w:nsid w:val="260D8C4A"/>
    <w:multiLevelType w:val="hybridMultilevel"/>
    <w:lvl w:ilvl="0">
      <w:lvlJc w:val="left"/>
      <w:lvlText w:val="(%1)"/>
      <w:numFmt w:val="lowerLetter"/>
      <w:start w:val="3"/>
    </w:lvl>
  </w:abstractNum>
  <w:abstractNum w:abstractNumId="113">
    <w:nsid w:val="73D4D3C4"/>
    <w:multiLevelType w:val="hybridMultilevel"/>
    <w:lvl w:ilvl="0">
      <w:lvlJc w:val="left"/>
      <w:lvlText w:val="(%1)"/>
      <w:numFmt w:val="lowerLetter"/>
      <w:start w:val="1"/>
    </w:lvl>
  </w:abstractNum>
  <w:abstractNum w:abstractNumId="114">
    <w:nsid w:val="746F2E30"/>
    <w:multiLevelType w:val="hybridMultilevel"/>
    <w:lvl w:ilvl="0">
      <w:lvlJc w:val="left"/>
      <w:lvlText w:val="(%1)"/>
      <w:numFmt w:val="lowerLetter"/>
      <w:start w:val="1"/>
    </w:lvl>
  </w:abstractNum>
  <w:abstractNum w:abstractNumId="115">
    <w:nsid w:val="6FDE8AF6"/>
    <w:multiLevelType w:val="hybridMultilevel"/>
    <w:lvl w:ilvl="0">
      <w:lvlJc w:val="left"/>
      <w:lvlText w:val="(%1)"/>
      <w:numFmt w:val="lowerLetter"/>
      <w:start w:val="2"/>
    </w:lvl>
  </w:abstractNum>
  <w:abstractNum w:abstractNumId="116">
    <w:nsid w:val="3FC32E20"/>
    <w:multiLevelType w:val="hybridMultilevel"/>
    <w:lvl w:ilvl="0">
      <w:lvlJc w:val="left"/>
      <w:lvlText w:val="(%1)"/>
      <w:numFmt w:val="lowerLetter"/>
      <w:start w:val="1"/>
    </w:lvl>
  </w:abstractNum>
  <w:abstractNum w:abstractNumId="117">
    <w:nsid w:val="49C0E823"/>
    <w:multiLevelType w:val="hybridMultilevel"/>
    <w:lvl w:ilvl="0">
      <w:lvlJc w:val="left"/>
      <w:lvlText w:val="%1"/>
      <w:numFmt w:val="lowerLetter"/>
      <w:start w:val="1"/>
    </w:lvl>
    <w:lvl w:ilvl="1">
      <w:lvlJc w:val="left"/>
      <w:lvlText w:val="(%2)"/>
      <w:numFmt w:val="lowerLetter"/>
      <w:start w:val="7"/>
    </w:lvl>
  </w:abstractNum>
  <w:abstractNum w:abstractNumId="118">
    <w:nsid w:val="14D53685"/>
    <w:multiLevelType w:val="hybridMultilevel"/>
    <w:lvl w:ilvl="0">
      <w:lvlJc w:val="left"/>
      <w:lvlText w:val="(%1)"/>
      <w:numFmt w:val="lowerLetter"/>
      <w:start w:val="1"/>
    </w:lvl>
    <w:lvl w:ilvl="1">
      <w:lvlJc w:val="left"/>
      <w:lvlText w:val="(%2)"/>
      <w:numFmt w:val="lowerLetter"/>
      <w:start w:val="11"/>
    </w:lvl>
  </w:abstractNum>
  <w:abstractNum w:abstractNumId="119">
    <w:nsid w:val="230F856C"/>
    <w:multiLevelType w:val="hybridMultilevel"/>
    <w:lvl w:ilvl="0">
      <w:lvlJc w:val="left"/>
      <w:lvlText w:val="(%1)"/>
      <w:numFmt w:val="lowerLetter"/>
      <w:start w:val="13"/>
    </w:lvl>
  </w:abstractNum>
  <w:abstractNum w:abstractNumId="120">
    <w:nsid w:val="6EAA85FB"/>
    <w:multiLevelType w:val="hybridMultilevel"/>
    <w:lvl w:ilvl="0">
      <w:lvlJc w:val="left"/>
      <w:lvlText w:val="(%1)"/>
      <w:numFmt w:val="lowerLetter"/>
      <w:start w:val="15"/>
    </w:lvl>
  </w:abstractNum>
  <w:abstractNum w:abstractNumId="121">
    <w:nsid w:val="3F06ECB2"/>
    <w:multiLevelType w:val="hybridMultilevel"/>
    <w:lvl w:ilvl="0">
      <w:lvlJc w:val="left"/>
      <w:lvlText w:val="(%1)"/>
      <w:numFmt w:val="decimal"/>
      <w:start w:val="180"/>
    </w:lvl>
  </w:abstractNum>
  <w:abstractNum w:abstractNumId="122">
    <w:nsid w:val="3B594807"/>
    <w:multiLevelType w:val="hybridMultilevel"/>
    <w:lvl w:ilvl="0">
      <w:lvlJc w:val="left"/>
      <w:lvlText w:val="%1"/>
      <w:numFmt w:val="lowerLetter"/>
      <w:start w:val="1"/>
    </w:lvl>
    <w:lvl w:ilvl="1">
      <w:lvlJc w:val="left"/>
      <w:lvlText w:val="(%2)"/>
      <w:numFmt w:val="lowerLetter"/>
      <w:start w:val="1"/>
    </w:lvl>
  </w:abstractNum>
  <w:abstractNum w:abstractNumId="123">
    <w:nsid w:val="6CAA2304"/>
    <w:multiLevelType w:val="hybridMultilevel"/>
    <w:lvl w:ilvl="0">
      <w:lvlJc w:val="left"/>
      <w:lvlText w:val="(%1)"/>
      <w:numFmt w:val="lowerLetter"/>
      <w:start w:val="61"/>
    </w:lvl>
    <w:lvl w:ilvl="1">
      <w:lvlJc w:val="left"/>
      <w:lvlText w:val="%2"/>
      <w:numFmt w:val="lowerLetter"/>
      <w:start w:val="1"/>
    </w:lvl>
  </w:abstractNum>
  <w:abstractNum w:abstractNumId="124">
    <w:nsid w:val="3F7C2FF4"/>
    <w:multiLevelType w:val="hybridMultilevel"/>
    <w:lvl w:ilvl="0">
      <w:lvlJc w:val="left"/>
      <w:lvlText w:val="%1"/>
      <w:numFmt w:val="lowerLetter"/>
      <w:start w:val="1"/>
    </w:lvl>
    <w:lvl w:ilvl="1">
      <w:lvlJc w:val="left"/>
      <w:lvlText w:val="(%2)"/>
      <w:numFmt w:val="lowerLetter"/>
      <w:start w:val="5"/>
    </w:lvl>
  </w:abstractNum>
  <w:abstractNum w:abstractNumId="125">
    <w:nsid w:val="25413BEC"/>
    <w:multiLevelType w:val="hybridMultilevel"/>
    <w:lvl w:ilvl="0">
      <w:lvlJc w:val="left"/>
      <w:lvlText w:val="(%1)"/>
      <w:numFmt w:val="lowerLetter"/>
      <w:start w:val="9"/>
    </w:lvl>
    <w:lvl w:ilvl="1">
      <w:lvlJc w:val="left"/>
      <w:lvlText w:val="%2"/>
      <w:numFmt w:val="lowerLetter"/>
      <w:start w:val="1"/>
    </w:lvl>
  </w:abstractNum>
  <w:abstractNum w:abstractNumId="126">
    <w:nsid w:val="17180B0B"/>
    <w:multiLevelType w:val="hybridMultilevel"/>
    <w:lvl w:ilvl="0">
      <w:lvlJc w:val="left"/>
      <w:lvlText w:val="(%1)"/>
      <w:numFmt w:val="lowerLetter"/>
      <w:start w:val="61"/>
    </w:lvl>
    <w:lvl w:ilvl="1">
      <w:lvlJc w:val="left"/>
      <w:lvlText w:val="%2"/>
      <w:numFmt w:val="lowerLetter"/>
      <w:start w:val="1"/>
    </w:lvl>
  </w:abstractNum>
  <w:abstractNum w:abstractNumId="127">
    <w:nsid w:val="579328B9"/>
    <w:multiLevelType w:val="hybridMultilevel"/>
    <w:lvl w:ilvl="0">
      <w:lvlJc w:val="left"/>
      <w:lvlText w:val="(%1)"/>
      <w:numFmt w:val="lowerLetter"/>
      <w:start w:val="7"/>
    </w:lvl>
  </w:abstractNum>
  <w:abstractNum w:abstractNumId="128">
    <w:nsid w:val="5D205E20"/>
    <w:multiLevelType w:val="hybridMultilevel"/>
    <w:lvl w:ilvl="0">
      <w:lvlJc w:val="left"/>
      <w:lvlText w:val="(%1)"/>
      <w:numFmt w:val="lowerLetter"/>
      <w:start w:val="1"/>
    </w:lvl>
  </w:abstractNum>
  <w:abstractNum w:abstractNumId="129">
    <w:nsid w:val="11CCA8BA"/>
    <w:multiLevelType w:val="hybridMultilevel"/>
    <w:lvl w:ilvl="0">
      <w:lvlJc w:val="left"/>
      <w:lvlText w:val="(%1)"/>
      <w:numFmt w:val="lowerLetter"/>
      <w:start w:val="2"/>
    </w:lvl>
  </w:abstractNum>
  <w:abstractNum w:abstractNumId="130">
    <w:nsid w:val="4D32AB86"/>
    <w:multiLevelType w:val="hybridMultilevel"/>
    <w:lvl w:ilvl="0">
      <w:lvlJc w:val="left"/>
      <w:lvlText w:val="%1"/>
      <w:numFmt w:val="lowerLetter"/>
      <w:start w:val="1"/>
    </w:lvl>
    <w:lvl w:ilvl="1">
      <w:lvlJc w:val="left"/>
      <w:lvlText w:val="(%2)"/>
      <w:numFmt w:val="lowerLetter"/>
      <w:start w:val="1"/>
    </w:lvl>
  </w:abstractNum>
  <w:abstractNum w:abstractNumId="131">
    <w:nsid w:val="3F07ACC3"/>
    <w:multiLevelType w:val="hybridMultilevel"/>
    <w:lvl w:ilvl="0">
      <w:lvlJc w:val="left"/>
      <w:lvlText w:val="(%1)"/>
      <w:numFmt w:val="lowerLetter"/>
      <w:start w:val="9"/>
    </w:lvl>
    <w:lvl w:ilvl="1">
      <w:lvlJc w:val="left"/>
      <w:lvlText w:val="(%2)"/>
      <w:numFmt w:val="lowerLetter"/>
      <w:start w:val="8"/>
    </w:lvl>
  </w:abstractNum>
  <w:abstractNum w:abstractNumId="132">
    <w:nsid w:val="6B47F63E"/>
    <w:multiLevelType w:val="hybridMultilevel"/>
    <w:lvl w:ilvl="0">
      <w:lvlJc w:val="left"/>
      <w:lvlText w:val="(%1)"/>
      <w:numFmt w:val="lowerLetter"/>
      <w:start w:val="10"/>
    </w:lvl>
  </w:abstractNum>
  <w:abstractNum w:abstractNumId="133">
    <w:nsid w:val="5CB44A05"/>
    <w:multiLevelType w:val="hybridMultilevel"/>
    <w:lvl w:ilvl="0">
      <w:lvlJc w:val="left"/>
      <w:lvlText w:val="(%1)"/>
      <w:numFmt w:val="lowerLetter"/>
      <w:start w:val="1"/>
    </w:lvl>
  </w:abstractNum>
  <w:abstractNum w:abstractNumId="134">
    <w:nsid w:val="16CF80F1"/>
    <w:multiLevelType w:val="hybridMultilevel"/>
    <w:lvl w:ilvl="0">
      <w:lvlJc w:val="left"/>
      <w:lvlText w:val="(%1)"/>
      <w:numFmt w:val="lowerLetter"/>
      <w:start w:val="6"/>
    </w:lvl>
  </w:abstractNum>
  <w:abstractNum w:abstractNumId="135">
    <w:nsid w:val="1C695DEC"/>
    <w:multiLevelType w:val="hybridMultilevel"/>
    <w:lvl w:ilvl="0">
      <w:lvlJc w:val="left"/>
      <w:lvlText w:val="(%1)"/>
      <w:numFmt w:val="lowerLetter"/>
      <w:start w:val="1"/>
    </w:lvl>
  </w:abstractNum>
  <w:abstractNum w:abstractNumId="136">
    <w:nsid w:val="3FCFAED9"/>
    <w:multiLevelType w:val="hybridMultilevel"/>
    <w:lvl w:ilvl="0">
      <w:lvlJc w:val="left"/>
      <w:lvlText w:val="(%1)"/>
      <w:numFmt w:val="lowerLetter"/>
      <w:start w:val="4"/>
    </w:lvl>
  </w:abstractNum>
  <w:abstractNum w:abstractNumId="137">
    <w:nsid w:val="F856867"/>
    <w:multiLevelType w:val="hybridMultilevel"/>
    <w:lvl w:ilvl="0">
      <w:lvlJc w:val="left"/>
      <w:lvlText w:val="(%1)"/>
      <w:numFmt w:val="lowerLetter"/>
      <w:start w:val="7"/>
    </w:lvl>
  </w:abstractNum>
  <w:abstractNum w:abstractNumId="138">
    <w:nsid w:val="11B1CC33"/>
    <w:multiLevelType w:val="hybridMultilevel"/>
    <w:lvl w:ilvl="0">
      <w:lvlJc w:val="left"/>
      <w:lvlText w:val="(%1)"/>
      <w:numFmt w:val="lowerLetter"/>
      <w:start w:val="1"/>
    </w:lvl>
  </w:abstractNum>
  <w:abstractNum w:abstractNumId="139">
    <w:nsid w:val="2E22FBB7"/>
    <w:multiLevelType w:val="hybridMultilevel"/>
    <w:lvl w:ilvl="0">
      <w:lvlJc w:val="left"/>
      <w:lvlText w:val="(%1)"/>
      <w:numFmt w:val="lowerLetter"/>
      <w:start w:val="5"/>
    </w:lvl>
  </w:abstractNum>
  <w:abstractNum w:abstractNumId="140">
    <w:nsid w:val="29934699"/>
    <w:multiLevelType w:val="hybridMultilevel"/>
    <w:lvl w:ilvl="0">
      <w:lvlJc w:val="left"/>
      <w:lvlText w:val="(%1)"/>
      <w:numFmt w:val="lowerLetter"/>
      <w:start w:val="4"/>
    </w:lvl>
  </w:abstractNum>
  <w:abstractNum w:abstractNumId="141">
    <w:nsid w:val="77485850"/>
    <w:multiLevelType w:val="hybridMultilevel"/>
    <w:lvl w:ilvl="0">
      <w:lvlJc w:val="left"/>
      <w:lvlText w:val="(%1)"/>
      <w:numFmt w:val="lowerLetter"/>
      <w:start w:val="1"/>
    </w:lvl>
  </w:abstractNum>
  <w:abstractNum w:abstractNumId="142">
    <w:nsid w:val="744939A3"/>
    <w:multiLevelType w:val="hybridMultilevel"/>
    <w:lvl w:ilvl="0">
      <w:lvlJc w:val="left"/>
      <w:lvlText w:val="%1"/>
      <w:numFmt w:val="decimal"/>
      <w:start w:val="1"/>
    </w:lvl>
    <w:lvl w:ilvl="1">
      <w:lvlJc w:val="left"/>
      <w:lvlText w:val="(%2)"/>
      <w:numFmt w:val="lowerLetter"/>
      <w:start w:val="1"/>
    </w:lvl>
  </w:abstractNum>
  <w:abstractNum w:abstractNumId="143">
    <w:nsid w:val="4FA0D2E3"/>
    <w:multiLevelType w:val="hybridMultilevel"/>
    <w:lvl w:ilvl="0">
      <w:lvlJc w:val="left"/>
      <w:lvlText w:val="(%1)"/>
      <w:numFmt w:val="decimal"/>
      <w:start w:val="10"/>
    </w:lvl>
    <w:lvl w:ilvl="1">
      <w:lvlJc w:val="left"/>
      <w:lvlText w:val="(%2)"/>
      <w:numFmt w:val="lowerLetter"/>
      <w:start w:val="5"/>
    </w:lvl>
  </w:abstractNum>
  <w:abstractNum w:abstractNumId="144">
    <w:nsid w:val="6B1D2C14"/>
    <w:multiLevelType w:val="hybridMultilevel"/>
    <w:lvl w:ilvl="0">
      <w:lvlJc w:val="left"/>
      <w:lvlText w:val="(%1)"/>
      <w:numFmt w:val="lowerLetter"/>
      <w:start w:val="7"/>
    </w:lvl>
  </w:abstractNum>
  <w:abstractNum w:abstractNumId="145">
    <w:nsid w:val="68B867D3"/>
    <w:multiLevelType w:val="hybridMultilevel"/>
    <w:lvl w:ilvl="0">
      <w:lvlJc w:val="left"/>
      <w:lvlText w:val="(%1)"/>
      <w:numFmt w:val="lowerLetter"/>
      <w:start w:val="12"/>
    </w:lvl>
  </w:abstractNum>
  <w:abstractNum w:abstractNumId="146">
    <w:nsid w:val="3F7F5DD9"/>
    <w:multiLevelType w:val="hybridMultilevel"/>
    <w:lvl w:ilvl="0">
      <w:lvlJc w:val="left"/>
      <w:lvlText w:val="(%1)"/>
      <w:numFmt w:val="lowerLetter"/>
      <w:start w:val="1"/>
    </w:lvl>
  </w:abstractNum>
  <w:abstractNum w:abstractNumId="147">
    <w:nsid w:val="2AE05A34"/>
    <w:multiLevelType w:val="hybridMultilevel"/>
    <w:lvl w:ilvl="0">
      <w:lvlJc w:val="left"/>
      <w:lvlText w:val="(%1)"/>
      <w:numFmt w:val="lowerLetter"/>
      <w:start w:val="1"/>
    </w:lvl>
  </w:abstractNum>
  <w:abstractNum w:abstractNumId="148">
    <w:nsid w:val="32794FF7"/>
    <w:multiLevelType w:val="hybridMultilevel"/>
    <w:lvl w:ilvl="0">
      <w:lvlJc w:val="left"/>
      <w:lvlText w:val="(%1)"/>
      <w:numFmt w:val="lowerLetter"/>
      <w:start w:val="3"/>
    </w:lvl>
  </w:abstractNum>
  <w:abstractNum w:abstractNumId="149">
    <w:nsid w:val="5454945E"/>
    <w:multiLevelType w:val="hybridMultilevel"/>
    <w:lvl w:ilvl="0">
      <w:lvlJc w:val="left"/>
      <w:lvlText w:val="(%1)"/>
      <w:numFmt w:val="lowerLetter"/>
      <w:start w:val="1"/>
    </w:lvl>
  </w:abstractNum>
  <w:abstractNum w:abstractNumId="150">
    <w:nsid w:val="4DEFDFA0"/>
    <w:multiLevelType w:val="hybridMultilevel"/>
    <w:lvl w:ilvl="0">
      <w:lvlJc w:val="left"/>
      <w:lvlText w:val="(%1)"/>
      <w:numFmt w:val="lowerLetter"/>
      <w:start w:val="1"/>
    </w:lvl>
    <w:lvl w:ilvl="1">
      <w:lvlJc w:val="left"/>
      <w:lvlText w:val="(%2)"/>
      <w:numFmt w:val="lowerRoman"/>
      <w:start w:val="1"/>
    </w:lvl>
  </w:abstractNum>
  <w:abstractNum w:abstractNumId="151">
    <w:nsid w:val="2123D5F2"/>
    <w:multiLevelType w:val="hybridMultilevel"/>
    <w:lvl w:ilvl="0">
      <w:lvlJc w:val="left"/>
      <w:lvlText w:val="(%1)"/>
      <w:numFmt w:val="lowerLetter"/>
      <w:start w:val="1"/>
    </w:lvl>
  </w:abstractNum>
  <w:abstractNum w:abstractNumId="152">
    <w:nsid w:val="135B8110"/>
    <w:multiLevelType w:val="hybridMultilevel"/>
    <w:lvl w:ilvl="0">
      <w:lvlJc w:val="left"/>
      <w:lvlText w:val="(%1)"/>
      <w:numFmt w:val="lowerLetter"/>
      <w:start w:val="1"/>
    </w:lvl>
  </w:abstractNum>
  <w:abstractNum w:abstractNumId="153">
    <w:nsid w:val="94927A8"/>
    <w:multiLevelType w:val="hybridMultilevel"/>
    <w:lvl w:ilvl="0">
      <w:lvlJc w:val="left"/>
      <w:lvlText w:val="(%1)"/>
      <w:numFmt w:val="lowerLetter"/>
      <w:start w:val="1"/>
    </w:lvl>
    <w:lvl w:ilvl="1">
      <w:lvlJc w:val="left"/>
      <w:lvlText w:val="(%2)"/>
      <w:numFmt w:val="lowerLetter"/>
      <w:start w:val="9"/>
    </w:lvl>
  </w:abstractNum>
  <w:abstractNum w:abstractNumId="154">
    <w:nsid w:val="DCDF8F6"/>
    <w:multiLevelType w:val="hybridMultilevel"/>
    <w:lvl w:ilvl="0">
      <w:lvlJc w:val="left"/>
      <w:lvlText w:val="%1"/>
      <w:numFmt w:val="lowerLetter"/>
      <w:start w:val="1"/>
    </w:lvl>
    <w:lvl w:ilvl="1">
      <w:lvlJc w:val="left"/>
      <w:lvlText w:val="(%2)"/>
      <w:numFmt w:val="lowerLetter"/>
      <w:start w:val="35"/>
    </w:lvl>
  </w:abstractNum>
  <w:abstractNum w:abstractNumId="155">
    <w:nsid w:val="52D7B105"/>
    <w:multiLevelType w:val="hybridMultilevel"/>
    <w:lvl w:ilvl="0">
      <w:lvlJc w:val="left"/>
      <w:lvlText w:val="(%1)"/>
      <w:numFmt w:val="lowerLetter"/>
      <w:start w:val="2"/>
    </w:lvl>
    <w:lvl w:ilvl="1">
      <w:lvlJc w:val="left"/>
      <w:lvlText w:val="(%2)"/>
      <w:numFmt w:val="lowerLetter"/>
      <w:start w:val="9"/>
    </w:lvl>
  </w:abstractNum>
  <w:abstractNum w:abstractNumId="156">
    <w:nsid w:val="2E8A6394"/>
    <w:multiLevelType w:val="hybridMultilevel"/>
    <w:lvl w:ilvl="0">
      <w:lvlJc w:val="left"/>
      <w:lvlText w:val="(%1)"/>
      <w:numFmt w:val="lowerRoman"/>
      <w:start w:val="2"/>
    </w:lvl>
  </w:abstractNum>
  <w:abstractNum w:abstractNumId="157">
    <w:nsid w:val="24E60401"/>
    <w:multiLevelType w:val="hybridMultilevel"/>
    <w:lvl w:ilvl="0">
      <w:lvlJc w:val="left"/>
      <w:lvlText w:val="(%1)"/>
      <w:numFmt w:val="lowerLetter"/>
      <w:start w:val="3"/>
    </w:lvl>
    <w:lvl w:ilvl="1">
      <w:lvlJc w:val="left"/>
      <w:lvlText w:val="(%2)"/>
      <w:numFmt w:val="lowerRoman"/>
      <w:start w:val="1"/>
    </w:lvl>
  </w:abstractNum>
  <w:abstractNum w:abstractNumId="158">
    <w:nsid w:val="2A6AD9BE"/>
    <w:multiLevelType w:val="hybridMultilevel"/>
    <w:lvl w:ilvl="0">
      <w:lvlJc w:val="left"/>
      <w:lvlText w:val="(%1)"/>
      <w:numFmt w:val="lowerLetter"/>
      <w:start w:val="1"/>
    </w:lvl>
  </w:abstractNum>
  <w:abstractNum w:abstractNumId="159">
    <w:nsid w:val="BAAC1B4"/>
    <w:multiLevelType w:val="hybridMultilevel"/>
    <w:lvl w:ilvl="0">
      <w:lvlJc w:val="left"/>
      <w:lvlText w:val="(%1)"/>
      <w:numFmt w:val="lowerRoman"/>
      <w:start w:val="1"/>
    </w:lvl>
  </w:abstractNum>
  <w:abstractNum w:abstractNumId="160">
    <w:nsid w:val="36B2ACBC"/>
    <w:multiLevelType w:val="hybridMultilevel"/>
    <w:lvl w:ilvl="0">
      <w:lvlJc w:val="left"/>
      <w:lvlText w:val="(%1)"/>
      <w:numFmt w:val="lowerRoman"/>
      <w:start w:val="2"/>
    </w:lvl>
  </w:abstractNum>
  <w:abstractNum w:abstractNumId="161">
    <w:nsid w:val="779D8544"/>
    <w:multiLevelType w:val="hybridMultilevel"/>
    <w:lvl w:ilvl="0">
      <w:lvlJc w:val="left"/>
      <w:lvlText w:val="(%1)"/>
      <w:numFmt w:val="lowerLetter"/>
      <w:start w:val="1"/>
    </w:lvl>
  </w:abstractNum>
  <w:abstractNum w:abstractNumId="162">
    <w:nsid w:val="4AB26E78"/>
    <w:multiLevelType w:val="hybridMultilevel"/>
    <w:lvl w:ilvl="0">
      <w:lvlJc w:val="left"/>
      <w:lvlText w:val="(%1)"/>
      <w:numFmt w:val="lowerLetter"/>
      <w:start w:val="9"/>
    </w:lvl>
    <w:lvl w:ilvl="1">
      <w:lvlJc w:val="left"/>
      <w:lvlText w:val="(%2)"/>
      <w:numFmt w:val="lowerLetter"/>
      <w:start w:val="3"/>
    </w:lvl>
  </w:abstractNum>
  <w:abstractNum w:abstractNumId="163">
    <w:nsid w:val="21FAA2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164">
    <w:nsid w:val="5451CF49"/>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165">
    <w:nsid w:val="6181EF69"/>
    <w:multiLevelType w:val="hybridMultilevel"/>
    <w:lvl w:ilvl="0">
      <w:lvlJc w:val="left"/>
      <w:lvlText w:val="(%1)"/>
      <w:numFmt w:val="upperLetter"/>
      <w:start w:val="3"/>
    </w:lvl>
    <w:lvl w:ilvl="1">
      <w:lvlJc w:val="left"/>
      <w:lvlText w:val="(%2)"/>
      <w:numFmt w:val="lowerRoman"/>
      <w:start w:val="5"/>
    </w:lvl>
    <w:lvl w:ilvl="2">
      <w:lvlJc w:val="left"/>
      <w:lvlText w:val="(%3)"/>
      <w:numFmt w:val="lowerRoman"/>
      <w:start w:val="6"/>
    </w:lvl>
  </w:abstractNum>
  <w:abstractNum w:abstractNumId="166">
    <w:nsid w:val="3E6400E6"/>
    <w:multiLevelType w:val="hybridMultilevel"/>
    <w:lvl w:ilvl="0">
      <w:lvlJc w:val="left"/>
      <w:lvlText w:val="(%1)"/>
      <w:numFmt w:val="lowerLetter"/>
      <w:start w:val="3"/>
    </w:lvl>
  </w:abstractNum>
  <w:abstractNum w:abstractNumId="167">
    <w:nsid w:val="14217E23"/>
    <w:multiLevelType w:val="hybridMultilevel"/>
    <w:lvl w:ilvl="0">
      <w:lvlJc w:val="left"/>
      <w:lvlText w:val="(%1)"/>
      <w:numFmt w:val="lowerLetter"/>
      <w:start w:val="4"/>
    </w:lvl>
  </w:abstractNum>
  <w:abstractNum w:abstractNumId="168">
    <w:nsid w:val="710757D0"/>
    <w:multiLevelType w:val="hybridMultilevel"/>
    <w:lvl w:ilvl="0">
      <w:lvlJc w:val="left"/>
      <w:lvlText w:val="(%1)"/>
      <w:numFmt w:val="lowerRoman"/>
      <w:start w:val="1"/>
    </w:lvl>
  </w:abstractNum>
  <w:abstractNum w:abstractNumId="169">
    <w:nsid w:val="5015CD1A"/>
    <w:multiLevelType w:val="hybridMultilevel"/>
    <w:lvl w:ilvl="0">
      <w:lvlJc w:val="left"/>
      <w:lvlText w:val="(%1)"/>
      <w:numFmt w:val="lowerRoman"/>
      <w:start w:val="3"/>
    </w:lvl>
  </w:abstractNum>
  <w:abstractNum w:abstractNumId="170">
    <w:nsid w:val="424479DA"/>
    <w:multiLevelType w:val="hybridMultilevel"/>
    <w:lvl w:ilvl="0">
      <w:lvlJc w:val="left"/>
      <w:lvlText w:val="(%1)"/>
      <w:numFmt w:val="lowerRoman"/>
      <w:start w:val="5"/>
    </w:lvl>
  </w:abstractNum>
  <w:abstractNum w:abstractNumId="171">
    <w:nsid w:val="1A9A9E69"/>
    <w:multiLevelType w:val="hybridMultilevel"/>
    <w:lvl w:ilvl="0">
      <w:lvlJc w:val="left"/>
      <w:lvlText w:val="(%1)"/>
      <w:numFmt w:val="lowerLetter"/>
      <w:start w:val="5"/>
    </w:lvl>
  </w:abstractNum>
  <w:abstractNum w:abstractNumId="172">
    <w:nsid w:val="475E256A"/>
    <w:multiLevelType w:val="hybridMultilevel"/>
    <w:lvl w:ilvl="0">
      <w:lvlJc w:val="left"/>
      <w:lvlText w:val="(%1)"/>
      <w:numFmt w:val="lowerLetter"/>
      <w:start w:val="7"/>
    </w:lvl>
  </w:abstractNum>
  <w:abstractNum w:abstractNumId="173">
    <w:nsid w:val="368DB37E"/>
    <w:multiLevelType w:val="hybridMultilevel"/>
    <w:lvl w:ilvl="0">
      <w:lvlJc w:val="left"/>
      <w:lvlText w:val="(%1)"/>
      <w:numFmt w:val="lowerLetter"/>
      <w:start w:val="1"/>
    </w:lvl>
  </w:abstractNum>
  <w:abstractNum w:abstractNumId="174">
    <w:nsid w:val="6A3B714C"/>
    <w:multiLevelType w:val="hybridMultilevel"/>
    <w:lvl w:ilvl="0">
      <w:lvlJc w:val="left"/>
      <w:lvlText w:val="(%1)"/>
      <w:numFmt w:val="lowerLetter"/>
      <w:start w:val="4"/>
    </w:lvl>
  </w:abstractNum>
  <w:abstractNum w:abstractNumId="175">
    <w:nsid w:val="327B517E"/>
    <w:multiLevelType w:val="hybridMultilevel"/>
    <w:lvl w:ilvl="0">
      <w:lvlJc w:val="left"/>
      <w:lvlText w:val="(%1)"/>
      <w:numFmt w:val="lowerLetter"/>
      <w:start w:val="1"/>
    </w:lvl>
  </w:abstractNum>
  <w:abstractNum w:abstractNumId="176">
    <w:nsid w:val="1F461B51"/>
    <w:multiLevelType w:val="hybridMultilevel"/>
    <w:lvl w:ilvl="0">
      <w:lvlJc w:val="left"/>
      <w:lvlText w:val="%1"/>
      <w:numFmt w:val="lowerLetter"/>
      <w:start w:val="1"/>
    </w:lvl>
    <w:lvl w:ilvl="1">
      <w:lvlJc w:val="left"/>
      <w:lvlText w:val="(%2)"/>
      <w:numFmt w:val="lowerLetter"/>
      <w:start w:val="1"/>
    </w:lvl>
  </w:abstractNum>
  <w:abstractNum w:abstractNumId="177">
    <w:nsid w:val="29BACF25"/>
    <w:multiLevelType w:val="hybridMultilevel"/>
    <w:lvl w:ilvl="0">
      <w:lvlJc w:val="left"/>
      <w:lvlText w:val="(%1)"/>
      <w:numFmt w:val="lowerLetter"/>
      <w:start w:val="9"/>
    </w:lvl>
    <w:lvl w:ilvl="1">
      <w:lvlJc w:val="left"/>
      <w:lvlText w:val="%2"/>
      <w:numFmt w:val="lowerLetter"/>
      <w:start w:val="1"/>
    </w:lvl>
  </w:abstractNum>
  <w:abstractNum w:abstractNumId="178">
    <w:nsid w:val="5D5BABB3"/>
    <w:multiLevelType w:val="hybridMultilevel"/>
    <w:lvl w:ilvl="0">
      <w:lvlJc w:val="left"/>
      <w:lvlText w:val="(%1)"/>
      <w:numFmt w:val="lowerLetter"/>
      <w:start w:val="1"/>
    </w:lvl>
  </w:abstractNum>
  <w:abstractNum w:abstractNumId="179">
    <w:nsid w:val="51BF6B48"/>
    <w:multiLevelType w:val="hybridMultilevel"/>
    <w:lvl w:ilvl="0">
      <w:lvlJc w:val="left"/>
      <w:lvlText w:val="(%1)"/>
      <w:numFmt w:val="lowerRoman"/>
      <w:start w:val="1"/>
    </w:lvl>
  </w:abstractNum>
  <w:abstractNum w:abstractNumId="180">
    <w:nsid w:val="7E0F6384"/>
    <w:multiLevelType w:val="hybridMultilevel"/>
    <w:lvl w:ilvl="0">
      <w:lvlJc w:val="left"/>
      <w:lvlText w:val="(%1)"/>
      <w:numFmt w:val="lowerRoman"/>
      <w:start w:val="3"/>
    </w:lvl>
  </w:abstractNum>
  <w:abstractNum w:abstractNumId="181">
    <w:nsid w:val="2B4B8B53"/>
    <w:multiLevelType w:val="hybridMultilevel"/>
    <w:lvl w:ilvl="0">
      <w:lvlJc w:val="left"/>
      <w:lvlText w:val="%1."/>
      <w:numFmt w:val="decimal"/>
      <w:start w:val="1"/>
    </w:lvl>
  </w:abstractNum>
  <w:abstractNum w:abstractNumId="182">
    <w:nsid w:val="72E3413A"/>
    <w:multiLevelType w:val="hybridMultilevel"/>
    <w:lvl w:ilvl="0">
      <w:lvlJc w:val="left"/>
      <w:lvlText w:val="%1."/>
      <w:numFmt w:val="decimal"/>
      <w:start w:val="1"/>
    </w:lvl>
    <w:lvl w:ilvl="1">
      <w:lvlJc w:val="left"/>
      <w:lvlText w:val="(%2)"/>
      <w:numFmt w:val="lowerLetter"/>
      <w:start w:val="1"/>
    </w:lvl>
  </w:abstractNum>
  <w:abstractNum w:abstractNumId="183">
    <w:nsid w:val="116AE494"/>
    <w:multiLevelType w:val="hybridMultilevel"/>
    <w:lvl w:ilvl="0">
      <w:lvlJc w:val="left"/>
      <w:lvlText w:val="1"/>
      <w:numFmt w:val="bullet"/>
      <w:start w:val="1"/>
    </w:lvl>
  </w:abstractNum>
  <w:abstractNum w:abstractNumId="184">
    <w:nsid w:val="3494B2FB"/>
    <w:multiLevelType w:val="hybridMultilevel"/>
    <w:lvl w:ilvl="0">
      <w:lvlJc w:val="left"/>
      <w:lvlText w:val="2"/>
      <w:numFmt w:val="bullet"/>
      <w:start w:val="1"/>
    </w:lvl>
  </w:abstractNum>
  <w:abstractNum w:abstractNumId="185">
    <w:nsid w:val="B13A31"/>
    <w:multiLevelType w:val="hybridMultilevel"/>
    <w:lvl w:ilvl="0">
      <w:lvlJc w:val="left"/>
      <w:lvlText w:val="3"/>
      <w:numFmt w:val="bullet"/>
      <w:start w:val="1"/>
    </w:lvl>
  </w:abstractNum>
  <w:abstractNum w:abstractNumId="186">
    <w:nsid w:val="64429599"/>
    <w:multiLevelType w:val="hybridMultilevel"/>
    <w:lvl w:ilvl="0">
      <w:lvlJc w:val="left"/>
      <w:lvlText w:val="4"/>
      <w:numFmt w:val="bullet"/>
      <w:start w:val="1"/>
    </w:lvl>
    <w:lvl w:ilvl="1">
      <w:lvlJc w:val="left"/>
      <w:lvlText w:val="(%2)"/>
      <w:numFmt w:val="lowerLetter"/>
      <w:start w:val="1"/>
    </w:lvl>
  </w:abstractNum>
  <w:abstractNum w:abstractNumId="187">
    <w:nsid w:val="631F1690"/>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67" Type="http://schemas.openxmlformats.org/officeDocument/2006/relationships/hyperlink" Target="http://www.sec.gov/Archives/edgar/data/0001788882/000162828020015173/exhibit31-8xkxamendeda.htm" TargetMode="External"/><Relationship Id="rId68" Type="http://schemas.openxmlformats.org/officeDocument/2006/relationships/hyperlink" Target="http://www.sec.gov/Archives/edgar/data/0001788882/000178888221000062/a32amendedandrestatedbylaw.htm" TargetMode="External"/><Relationship Id="rId69" Type="http://schemas.openxmlformats.org/officeDocument/2006/relationships/hyperlink" Target="http://www.sec.gov/Archives/edgar/data/0001788882/000119312521289291/d236036dex31.htm" TargetMode="External"/><Relationship Id="rId70" Type="http://schemas.openxmlformats.org/officeDocument/2006/relationships/hyperlink" Target="http://www.sec.gov/Archives/edgar/data/1788882/000162828020014581/exhibit41-sx1a1xformof.htm" TargetMode="External"/><Relationship Id="rId71" Type="http://schemas.openxmlformats.org/officeDocument/2006/relationships/hyperlink" Target="http://www.sec.gov/Archives/edgar/data/0001788882/000119312521289291/d236036dex41.htm" TargetMode="External"/><Relationship Id="rId72" Type="http://schemas.openxmlformats.org/officeDocument/2006/relationships/hyperlink" Target="http://www.sec.gov/Archives/edgar/data/1788882/000119312522018949/d295910dex41.htm" TargetMode="External"/><Relationship Id="rId73" Type="http://schemas.openxmlformats.org/officeDocument/2006/relationships/hyperlink" Target="http://www.sec.gov/Archives/edgar/data/1788882/000119312522018949/d295910dex42.htm" TargetMode="External"/><Relationship Id="rId74" Type="http://schemas.openxmlformats.org/officeDocument/2006/relationships/hyperlink" Target="http://www.sec.gov/Archives/edgar/data/1788882/000119312522018949/d295910dex103.htm" TargetMode="External"/><Relationship Id="rId75" Type="http://schemas.openxmlformats.org/officeDocument/2006/relationships/hyperlink" Target="http://www.sec.gov/Archives/edgar/data/0001788882/000162828022003524/a104rootincnon-employeedir.htm" TargetMode="External"/><Relationship Id="rId76" Type="http://schemas.openxmlformats.org/officeDocument/2006/relationships/hyperlink" Target="http://www.sec.gov/Archives/edgar/data/0001788882/000162828022003524/a1026firstamendmenttooffer.htm" TargetMode="External"/><Relationship Id="rId77" Type="http://schemas.openxmlformats.org/officeDocument/2006/relationships/hyperlink" Target="http://www.sec.gov/Archives/edgar/data/0001788882/000162828022003524/a1027firstamendmenttoamend.htm" TargetMode="External"/><Relationship Id="rId78" Type="http://schemas.openxmlformats.org/officeDocument/2006/relationships/hyperlink" Target="http://www.sec.gov/Archives/edgar/data/0001788882/000162828022003524/a1030rootincexecutivecompe.htm" TargetMode="External"/><Relationship Id="rId79" Type="http://schemas.openxmlformats.org/officeDocument/2006/relationships/hyperlink" Target="http://www.sec.gov/Archives/edgar/data/1788882/000178888222000013/executiveemploymentagreeme.htm" TargetMode="External"/><Relationship Id="rId80" Type="http://schemas.openxmlformats.org/officeDocument/2006/relationships/hyperlink" Target="http://www.sec.gov/Archives/edgar/data/1788882/000119312522018949/d2959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2022-05-04T15:38:11Z</dcterms:created>
  <dcterms:modified xsi:type="dcterms:W3CDTF">2022-05-04T15:38:11Z</dcterms:modified>
</cp:coreProperties>
</file>