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before="0" w:after="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from____________to____________</w:t>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001-39658</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ROOT,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80 E. Rich Street, Suite 500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980-9431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October 29, 2025, the number of outstanding shares of the registrant’s Class A common stock, par value $0.0001 per share, was 13,702,725 and the number of outstanding shares of the registrant’s Class B common stock, par value $0.0001 per share, was 1,806,236.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4"/>
        <w:gridCol w:w="609"/>
        <w:gridCol w:w="609"/>
        <w:gridCol w:w="2639"/>
        <w:gridCol w:w="2515"/>
        <w:gridCol w:w="2565"/>
        <w:gridCol w:w="167"/>
        <w:gridCol w:w="167"/>
        <w:gridCol w:w="240"/>
      </w:tblGrid>
      <w:tr>
        <w:trPr/>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
              <w:r>
                <w:rPr>
                  <w:rStyle w:val="InternetLink"/>
                  <w:rFonts w:ascii="Times New Roman;serif" w:hAnsi="Times New Roman;serif"/>
                  <w:b w:val="false"/>
                  <w:color w:val="0000FF"/>
                  <w:sz w:val="20"/>
                  <w:u w:val="single"/>
                </w:rPr>
                <w:t>Special Note Regarding Forward-Looking Statements</w:t>
              </w:r>
            </w:hyperlink>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ad9bff414fe40cf91cccddb49b13bbd_13">
              <w:r>
                <w:rPr>
                  <w:rStyle w:val="InternetLink"/>
                  <w:rFonts w:ascii="Times New Roman;serif" w:hAnsi="Times New Roman;serif"/>
                  <w:b w:val="false"/>
                  <w:color w:val="0000FF"/>
                  <w:sz w:val="20"/>
                  <w:u w:val="single"/>
                </w:rPr>
                <w:t>ii</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6">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6">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9">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9">
              <w:r>
                <w:rPr>
                  <w:rStyle w:val="InternetLink"/>
                  <w:rFonts w:ascii="Times New Roman;serif" w:hAnsi="Times New Roman;serif"/>
                  <w:b w:val="false"/>
                  <w:color w:val="0000FF"/>
                  <w:sz w:val="20"/>
                  <w:u w:val="single"/>
                </w:rPr>
                <w:t>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9">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22">
              <w:r>
                <w:rPr>
                  <w:rStyle w:val="InternetLink"/>
                  <w:rFonts w:ascii="Times New Roman;serif" w:hAnsi="Times New Roman;serif"/>
                  <w:b w:val="false"/>
                  <w:color w:val="0000FF"/>
                  <w:sz w:val="20"/>
                  <w:u w:val="single"/>
                </w:rPr>
                <w:t>Condensed Consolidated Balance Sheets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22">
              <w:r>
                <w:rPr>
                  <w:rStyle w:val="InternetLink"/>
                  <w:rFonts w:ascii="Times New Roman;serif" w:hAnsi="Times New Roman;serif"/>
                  <w:b w:val="false"/>
                  <w:color w:val="0000FF"/>
                  <w:sz w:val="20"/>
                  <w:u w:val="single"/>
                </w:rPr>
                <w:t>1</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d9bff414fe40cf91cccddb49b13bbd_25">
              <w:r>
                <w:rPr>
                  <w:rStyle w:val="InternetLink"/>
                  <w:rFonts w:ascii="Times New Roman;serif" w:hAnsi="Times New Roman;serif"/>
                  <w:b w:val="false"/>
                  <w:color w:val="000080"/>
                  <w:sz w:val="20"/>
                  <w:u w:val="single"/>
                </w:rPr>
                <w:t xml:space="preserve">Condensed Consolidated Statements of Operations and Comprehensive </w:t>
              </w:r>
            </w:hyperlink>
            <w:hyperlink w:anchor="i1ad9bff414fe40cf91cccddb49b13bbd_25">
              <w:r>
                <w:rPr>
                  <w:rStyle w:val="InternetLink"/>
                  <w:rFonts w:ascii="Times New Roman;serif" w:hAnsi="Times New Roman;serif"/>
                  <w:b w:val="false"/>
                  <w:color w:val="000080"/>
                  <w:sz w:val="20"/>
                  <w:u w:val="single"/>
                </w:rPr>
                <w:t xml:space="preserve">(Loss) </w:t>
              </w:r>
            </w:hyperlink>
            <w:hyperlink w:anchor="i1ad9bff414fe40cf91cccddb49b13bbd_25">
              <w:r>
                <w:rPr>
                  <w:rStyle w:val="InternetLink"/>
                  <w:rFonts w:ascii="Times New Roman;serif" w:hAnsi="Times New Roman;serif"/>
                  <w:b w:val="false"/>
                  <w:color w:val="000080"/>
                  <w:sz w:val="20"/>
                  <w:u w:val="single"/>
                </w:rPr>
                <w:t>Income</w:t>
              </w:r>
            </w:hyperlink>
            <w:hyperlink w:anchor="i1ad9bff414fe40cf91cccddb49b13bbd_25">
              <w:r>
                <w:rPr>
                  <w:rStyle w:val="InternetLink"/>
                  <w:rFonts w:ascii="Times New Roman;serif" w:hAnsi="Times New Roman;serif"/>
                  <w:b w:val="false"/>
                  <w:color w:val="000080"/>
                  <w:sz w:val="20"/>
                  <w:u w:val="single"/>
                </w:rPr>
                <w:t xml:space="preserve">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25">
              <w:r>
                <w:rPr>
                  <w:rStyle w:val="InternetLink"/>
                  <w:rFonts w:ascii="Times New Roman;serif" w:hAnsi="Times New Roman;serif"/>
                  <w:b w:val="false"/>
                  <w:color w:val="0000FF"/>
                  <w:sz w:val="20"/>
                  <w:u w:val="single"/>
                </w:rPr>
                <w:t>2</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d9bff414fe40cf91cccddb49b13bbd_31">
              <w:r>
                <w:rPr>
                  <w:rStyle w:val="InternetLink"/>
                  <w:rFonts w:ascii="Times New Roman;serif" w:hAnsi="Times New Roman;serif"/>
                  <w:b w:val="false"/>
                  <w:color w:val="0000FF"/>
                  <w:sz w:val="20"/>
                  <w:u w:val="single"/>
                </w:rPr>
                <w:t>Condensed Consolidated Statements of Redeemable Convertible Preferred Stock and Stockholders’ Equity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31">
              <w:r>
                <w:rPr>
                  <w:rStyle w:val="InternetLink"/>
                  <w:rFonts w:ascii="Times New Roman;serif" w:hAnsi="Times New Roman;serif"/>
                  <w:b w:val="false"/>
                  <w:color w:val="0000FF"/>
                  <w:sz w:val="20"/>
                  <w:u w:val="single"/>
                </w:rPr>
                <w:t>3</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37">
              <w:r>
                <w:rPr>
                  <w:rStyle w:val="InternetLink"/>
                  <w:rFonts w:ascii="Times New Roman;serif" w:hAnsi="Times New Roman;serif"/>
                  <w:b w:val="false"/>
                  <w:color w:val="0000FF"/>
                  <w:sz w:val="20"/>
                  <w:u w:val="single"/>
                </w:rPr>
                <w:t>Condensed Consolidated Statements of Cash Flows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37">
              <w:r>
                <w:rPr>
                  <w:rStyle w:val="InternetLink"/>
                  <w:rFonts w:ascii="Times New Roman;serif" w:hAnsi="Times New Roman;serif"/>
                  <w:b w:val="false"/>
                  <w:color w:val="0000FF"/>
                  <w:sz w:val="20"/>
                  <w:u w:val="single"/>
                </w:rPr>
                <w:t>5</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40">
              <w:r>
                <w:rPr>
                  <w:rStyle w:val="InternetLink"/>
                  <w:rFonts w:ascii="Times New Roman;serif" w:hAnsi="Times New Roman;serif"/>
                  <w:b w:val="false"/>
                  <w:color w:val="0000FF"/>
                  <w:sz w:val="20"/>
                  <w:u w:val="single"/>
                </w:rPr>
                <w:t>Notes to Condensed Consolidated Financial Statements -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40">
              <w:r>
                <w:rPr>
                  <w:rStyle w:val="InternetLink"/>
                  <w:rFonts w:ascii="Times New Roman;serif" w:hAnsi="Times New Roman;serif"/>
                  <w:b w:val="false"/>
                  <w:color w:val="0000FF"/>
                  <w:sz w:val="20"/>
                  <w:u w:val="single"/>
                </w:rPr>
                <w:t>6</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97">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97">
              <w:r>
                <w:rPr>
                  <w:rStyle w:val="InternetLink"/>
                  <w:rFonts w:ascii="Times New Roman;serif" w:hAnsi="Times New Roman;serif"/>
                  <w:b w:val="false"/>
                  <w:color w:val="0000FF"/>
                  <w:sz w:val="20"/>
                  <w:u w:val="single"/>
                </w:rPr>
                <w:t>19</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24">
              <w:r>
                <w:rPr>
                  <w:rStyle w:val="InternetLink"/>
                  <w:rFonts w:ascii="Times New Roman;serif" w:hAnsi="Times New Roman;serif"/>
                  <w:b w:val="false"/>
                  <w:color w:val="0000FF"/>
                  <w:sz w:val="20"/>
                  <w:u w:val="single"/>
                </w:rPr>
                <w:t>Item 3.</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24">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24">
              <w:r>
                <w:rPr>
                  <w:rStyle w:val="InternetLink"/>
                  <w:rFonts w:ascii="Times New Roman;serif" w:hAnsi="Times New Roman;serif"/>
                  <w:b w:val="false"/>
                  <w:color w:val="0000FF"/>
                  <w:sz w:val="20"/>
                  <w:u w:val="single"/>
                </w:rPr>
                <w:t>38</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27">
              <w:r>
                <w:rPr>
                  <w:rStyle w:val="InternetLink"/>
                  <w:rFonts w:ascii="Times New Roman;serif" w:hAnsi="Times New Roman;serif"/>
                  <w:b w:val="false"/>
                  <w:color w:val="0000FF"/>
                  <w:sz w:val="20"/>
                  <w:u w:val="single"/>
                </w:rPr>
                <w:t xml:space="preserve">Item 4.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27">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27">
              <w:r>
                <w:rPr>
                  <w:rStyle w:val="InternetLink"/>
                  <w:rFonts w:ascii="Times New Roman;serif" w:hAnsi="Times New Roman;serif"/>
                  <w:b w:val="false"/>
                  <w:color w:val="0000FF"/>
                  <w:sz w:val="20"/>
                  <w:u w:val="single"/>
                </w:rPr>
                <w:t>39</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30">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30">
              <w:r>
                <w:rPr>
                  <w:rStyle w:val="InternetLink"/>
                  <w:rFonts w:ascii="Times New Roman;serif" w:hAnsi="Times New Roman;serif"/>
                  <w:b w:val="false"/>
                  <w:color w:val="0000FF"/>
                  <w:sz w:val="20"/>
                  <w:u w:val="single"/>
                </w:rPr>
                <w:t>40</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3">
              <w:r>
                <w:rPr>
                  <w:rStyle w:val="InternetLink"/>
                  <w:rFonts w:ascii="Times New Roman;serif" w:hAnsi="Times New Roman;serif"/>
                  <w:b w:val="false"/>
                  <w:color w:val="0000FF"/>
                  <w:sz w:val="20"/>
                  <w:u w:val="single"/>
                </w:rPr>
                <w:t xml:space="preserve">Item 1.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3">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33">
              <w:r>
                <w:rPr>
                  <w:rStyle w:val="InternetLink"/>
                  <w:rFonts w:ascii="Times New Roman;serif" w:hAnsi="Times New Roman;serif"/>
                  <w:b w:val="false"/>
                  <w:color w:val="0000FF"/>
                  <w:sz w:val="20"/>
                  <w:u w:val="single"/>
                </w:rPr>
                <w:t>40</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6">
              <w:r>
                <w:rPr>
                  <w:rStyle w:val="InternetLink"/>
                  <w:rFonts w:ascii="Times New Roman;serif" w:hAnsi="Times New Roman;serif"/>
                  <w:b w:val="false"/>
                  <w:color w:val="0000FF"/>
                  <w:sz w:val="20"/>
                  <w:u w:val="single"/>
                </w:rPr>
                <w:t>Item 1A.</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6">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36">
              <w:r>
                <w:rPr>
                  <w:rStyle w:val="InternetLink"/>
                  <w:rFonts w:ascii="Times New Roman;serif" w:hAnsi="Times New Roman;serif"/>
                  <w:b w:val="false"/>
                  <w:color w:val="0000FF"/>
                  <w:sz w:val="20"/>
                  <w:u w:val="single"/>
                </w:rPr>
                <w:t>41</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39">
              <w:r>
                <w:rPr>
                  <w:rStyle w:val="InternetLink"/>
                  <w:rFonts w:ascii="Times New Roman;serif" w:hAnsi="Times New Roman;serif"/>
                  <w:b w:val="false"/>
                  <w:color w:val="0000FF"/>
                  <w:sz w:val="20"/>
                  <w:u w:val="single"/>
                </w:rPr>
                <w:t xml:space="preserve">Item 2.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d9bff414fe40cf91cccddb49b13bbd_139">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39">
              <w:r>
                <w:rPr>
                  <w:rStyle w:val="InternetLink"/>
                  <w:rFonts w:ascii="Times New Roman;serif" w:hAnsi="Times New Roman;serif"/>
                  <w:b w:val="false"/>
                  <w:color w:val="0000FF"/>
                  <w:sz w:val="20"/>
                  <w:u w:val="single"/>
                </w:rPr>
                <w:t>42</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2">
              <w:r>
                <w:rPr>
                  <w:rStyle w:val="InternetLink"/>
                  <w:rFonts w:ascii="Times New Roman;serif" w:hAnsi="Times New Roman;serif"/>
                  <w:b w:val="false"/>
                  <w:color w:val="0000FF"/>
                  <w:sz w:val="20"/>
                  <w:u w:val="single"/>
                </w:rPr>
                <w:t xml:space="preserve">Item 3.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2">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42">
              <w:r>
                <w:rPr>
                  <w:rStyle w:val="InternetLink"/>
                  <w:rFonts w:ascii="Times New Roman;serif" w:hAnsi="Times New Roman;serif"/>
                  <w:b w:val="false"/>
                  <w:color w:val="0000FF"/>
                  <w:sz w:val="20"/>
                  <w:u w:val="single"/>
                </w:rPr>
                <w:t>43</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5">
              <w:r>
                <w:rPr>
                  <w:rStyle w:val="InternetLink"/>
                  <w:rFonts w:ascii="Times New Roman;serif" w:hAnsi="Times New Roman;serif"/>
                  <w:b w:val="false"/>
                  <w:color w:val="0000FF"/>
                  <w:sz w:val="20"/>
                  <w:u w:val="single"/>
                </w:rPr>
                <w:t>Item 4.</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5">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45">
              <w:r>
                <w:rPr>
                  <w:rStyle w:val="InternetLink"/>
                  <w:rFonts w:ascii="Times New Roman;serif" w:hAnsi="Times New Roman;serif"/>
                  <w:b w:val="false"/>
                  <w:color w:val="0000FF"/>
                  <w:sz w:val="20"/>
                  <w:u w:val="single"/>
                </w:rPr>
                <w:t>44</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8">
              <w:r>
                <w:rPr>
                  <w:rStyle w:val="InternetLink"/>
                  <w:rFonts w:ascii="Times New Roman;serif" w:hAnsi="Times New Roman;serif"/>
                  <w:b w:val="false"/>
                  <w:color w:val="0000FF"/>
                  <w:sz w:val="20"/>
                  <w:u w:val="single"/>
                </w:rPr>
                <w:t xml:space="preserve">Item 5. </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48">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48">
              <w:r>
                <w:rPr>
                  <w:rStyle w:val="InternetLink"/>
                  <w:rFonts w:ascii="Times New Roman;serif" w:hAnsi="Times New Roman;serif"/>
                  <w:b w:val="false"/>
                  <w:color w:val="0000FF"/>
                  <w:sz w:val="20"/>
                  <w:u w:val="single"/>
                </w:rPr>
                <w:t>45</w:t>
              </w:r>
            </w:hyperlink>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51">
              <w:r>
                <w:rPr>
                  <w:rStyle w:val="InternetLink"/>
                  <w:rFonts w:ascii="Times New Roman;serif" w:hAnsi="Times New Roman;serif"/>
                  <w:b w:val="false"/>
                  <w:color w:val="0000FF"/>
                  <w:sz w:val="20"/>
                  <w:u w:val="single"/>
                </w:rPr>
                <w:t>Item 6.</w:t>
              </w:r>
            </w:hyperlink>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51">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51">
              <w:r>
                <w:rPr>
                  <w:rStyle w:val="InternetLink"/>
                  <w:rFonts w:ascii="Times New Roman;serif" w:hAnsi="Times New Roman;serif"/>
                  <w:b w:val="false"/>
                  <w:color w:val="0000FF"/>
                  <w:sz w:val="20"/>
                  <w:u w:val="single"/>
                </w:rPr>
                <w:t>46</w:t>
              </w:r>
            </w:hyperlink>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ad9bff414fe40cf91cccddb49b13bbd_154">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ad9bff414fe40cf91cccddb49b13bbd_154">
              <w:r>
                <w:rPr>
                  <w:rStyle w:val="InternetLink"/>
                  <w:rFonts w:ascii="Times New Roman;serif" w:hAnsi="Times New Roman;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future financial performance, including total revenue, gross profit, net (loss) income,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profits, acquire customers, retain customers, contract with additional partners to utilize the products,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our distribution channels through additional partnership relationships, digital media, independent agents and referrals;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a significant long-term competitive advantage through our partnership with Carvana Group, LLC, or Carvana, and other partnerships, such as our partnerships with Hyundai Capital America and Experian;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for embedded insurance and other partners;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supply chain disruptions, increasing inflation, a potential increase in tariffs or the implementation of new tariffs,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profits and extend our capital runway;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goal to be licensed in all states in the United States, or U.S.,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and efficiency of our telematics and behavioral data, and our ability to gather and leverage existing and additional data;</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the growth of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future performance of the markets in which we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operate a “capital-efficient” business and obtain and maintain desirable levels of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deliver a vertically integrated customer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products that utilize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protect our intellectual property and any costs associated therewith;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an autonomous claims experience;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meet risk-based capital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realize benefits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comply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regulations, or changes in the interpretation of laws or regulations by a regulatory authority, specific to the use of artificial intelligence, telematics data and the consent to use telematics data, connected card data, and other sources of data, or relating to taxation including changes in tax regulations or guidance promulgated pursuant to the new legislation implemented in the One Big Beautiful Bill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moratoriums, mandates and similar regulations or requests related to the federal government shutdown that negatively impact our ability to charge or increase premiums or result in increased premium write offs;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defend against cybersecurity threats and prevent, or recover from, a security incident or other significant disruption of our technology systems or those of our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interest rates on our available cash and our ability to maintain compliance with our Amended Term Loan (as defined 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proper and effective internal control over financial reporting;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rates of the markets in which we compete.</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“Root,” “the Company,” “we,” “our,” and “us” refer to Root, Inc. and its subsidiaries.</w:t>
      </w:r>
    </w:p>
    <w:p>
      <w:pPr>
        <w:pStyle w:val="TextBody"/>
        <w:bidi w:val="0"/>
        <w:spacing w:lineRule="auto" w:line="288" w:before="0" w:after="1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37"/>
        <w:gridCol w:w="2403"/>
        <w:gridCol w:w="1516"/>
        <w:gridCol w:w="293"/>
        <w:gridCol w:w="1069"/>
        <w:gridCol w:w="151"/>
        <w:gridCol w:w="151"/>
        <w:gridCol w:w="151"/>
        <w:gridCol w:w="151"/>
        <w:gridCol w:w="293"/>
        <w:gridCol w:w="1069"/>
        <w:gridCol w:w="221"/>
      </w:tblGrid>
      <w:tr>
        <w:trPr/>
        <w:tc>
          <w:tcPr>
            <w:tcW w:w="273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6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 except par value)</w:t>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$354.3 and $294.3 at September 30, 2025 and December 31, 2024, respectively)</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Short-term investments (amortized cost: zero and $14.8 at September 30, 2025 and December 31, 2024, respectively)</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Premiums receivable, net of allowance of $8.0 and $9.8 at September 30, 2025 and December 31, 2024, respectively</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Reinsurance recoverable and receivable, net of allowance of $0.1 at September 30, 2025 and December 31, 2024</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and Stockholders’ Equity</w:t>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 reserves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premiums payable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Contingencies </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Redeemable convertible preferred stock, $0.0001 par value, 100.0 shares authorized, 14.1 shares issued and outstanding at September 30, 2025 and December 31, 2024 (redemption value of $126.5) </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1,000.0 shares authorized, 13.7 and 11.1 shares issued and outstanding at September 30, 2025 and December 31, 2024, respectively</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convertible common stock, $0.0001 par value, 269.0 shares authorized, 1.8 and 4.0 shares issued and outstanding at September 30, 2025 and December 31, 2024, respectively</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loss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convertible preferred stock and stockholders’ equity</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1,642.4 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426"/>
        <w:gridCol w:w="882"/>
        <w:gridCol w:w="887"/>
        <w:gridCol w:w="300"/>
        <w:gridCol w:w="877"/>
        <w:gridCol w:w="155"/>
        <w:gridCol w:w="155"/>
        <w:gridCol w:w="155"/>
        <w:gridCol w:w="155"/>
        <w:gridCol w:w="300"/>
        <w:gridCol w:w="877"/>
        <w:gridCol w:w="155"/>
        <w:gridCol w:w="155"/>
        <w:gridCol w:w="155"/>
        <w:gridCol w:w="155"/>
        <w:gridCol w:w="300"/>
        <w:gridCol w:w="1091"/>
        <w:gridCol w:w="155"/>
        <w:gridCol w:w="155"/>
        <w:gridCol w:w="155"/>
        <w:gridCol w:w="155"/>
        <w:gridCol w:w="300"/>
        <w:gridCol w:w="877"/>
        <w:gridCol w:w="228"/>
      </w:tblGrid>
      <w:tr>
        <w:trPr/>
        <w:tc>
          <w:tcPr>
            <w:tcW w:w="14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INCOME - UNAUDITED</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data)</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 expense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participating securities</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common share: (both Class A and B)</w:t>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(both Class A and B)</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tbl>
      <w:tblPr>
        <w:tblW w:w="1286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2025</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2025</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tbl>
      <w:tblPr>
        <w:tblW w:w="1286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314"/>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3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and Class B Convertible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Balance—June 30, 2024</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2024</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Balance—January 1, 2024</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stock—share-based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issuance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Balance—September 30, 2024</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911"/>
        <w:gridCol w:w="1596"/>
        <w:gridCol w:w="1591"/>
        <w:gridCol w:w="478"/>
        <w:gridCol w:w="1403"/>
        <w:gridCol w:w="247"/>
        <w:gridCol w:w="247"/>
        <w:gridCol w:w="247"/>
        <w:gridCol w:w="247"/>
        <w:gridCol w:w="478"/>
        <w:gridCol w:w="1403"/>
        <w:gridCol w:w="357"/>
      </w:tblGrid>
      <w:tr>
        <w:trPr/>
        <w:tc>
          <w:tcPr>
            <w:tcW w:w="19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tc>
      </w:tr>
      <w:tr>
        <w:trPr/>
        <w:tc>
          <w:tcPr>
            <w:tcW w:w="5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2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and receivable</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reserves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premiums payable</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calls and pay downs of investments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investments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internally developed software</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restricted stock units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stock and related warrants issuance costs</w:t>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cash equivalents and restricted cash </w:t>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212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2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ROOT, INC. AND SUBSIDIARIES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NATURE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Inc. is a holding company which, directly or indirectly, maintains 100% ownership of each of its subsidiaries, including, among others, Root Insurance Company and Root Property &amp; Casualty Insurance Company, both Ohio-domiciled insurance companies, Root Florida Insurance Company, a Florida-domiciled insurance company, and Root Reinsurance Company, Ltd., a Cayman Islands-domiciled reinsurance company, together with Root, Inc., “we,” “us,” or “our.”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apps and partnerships. We offer auto and renters insurance products underwritten by Root Insurance Company and auto insurance only through Root Property &amp; Casualty Insurance Company and Root Florida Insurance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BASIS OF PRESENTATION AND SUMMARY OF SIGNIFICANT ACCOUNTING POLICIES</w:t>
      </w:r>
    </w:p>
    <w:p>
      <w:pPr>
        <w:pStyle w:val="TextBody"/>
        <w:bidi w:val="0"/>
        <w:spacing w:lineRule="auto" w:line="288" w:before="0" w:after="180"/>
        <w:ind w:left="0" w:right="0" w:firstLine="360"/>
        <w:jc w:val="left"/>
        <w:rPr/>
      </w:pPr>
      <w:r>
        <w:rPr>
          <w:rFonts w:ascii="Times New Roman;serif" w:hAnsi="Times New Roman;serif"/>
          <w:b/>
          <w:color w:val="000000"/>
          <w:sz w:val="20"/>
        </w:rPr>
        <w:t>Basis of Presentation</w:t>
      </w:r>
      <w:r>
        <w:rPr>
          <w:color w:val="000000"/>
        </w:rPr>
        <w:t>—</w:t>
      </w:r>
      <w:r>
        <w:rPr>
          <w:rFonts w:ascii="Times New Roman;serif" w:hAnsi="Times New Roman;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2024 filed with the Securities and Exchange Commission on February 26, 2025.</w:t>
      </w:r>
    </w:p>
    <w:p>
      <w:pPr>
        <w:pStyle w:val="TextBody"/>
        <w:bidi w:val="0"/>
        <w:spacing w:lineRule="auto" w:line="288" w:before="0" w:after="180"/>
        <w:ind w:left="0" w:right="0" w:firstLine="360"/>
        <w:jc w:val="left"/>
        <w:rPr/>
      </w:pPr>
      <w:r>
        <w:rPr>
          <w:rFonts w:ascii="Times New Roman;serif" w:hAnsi="Times New Roman;serif"/>
          <w:b/>
          <w:color w:val="000000"/>
          <w:sz w:val="20"/>
        </w:rPr>
        <w:t>Basis of Consolidation</w:t>
      </w:r>
      <w:r>
        <w:rPr>
          <w:color w:val="000000"/>
        </w:rPr>
        <w:t>—</w:t>
      </w:r>
      <w:r>
        <w:rPr>
          <w:rFonts w:ascii="Times New Roman;serif" w:hAnsi="Times New Roman;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U.S., or GAAP. All intercompany accounts and transactions have been eliminated.</w:t>
      </w:r>
    </w:p>
    <w:p>
      <w:pPr>
        <w:pStyle w:val="TextBody"/>
        <w:bidi w:val="0"/>
        <w:spacing w:lineRule="auto" w:line="288" w:before="0" w:after="180"/>
        <w:ind w:left="0" w:right="0" w:firstLine="36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on our deferred tax assets and the amount of reinsurance recoverable and receivable from reinsurance contracts.</w:t>
      </w:r>
    </w:p>
    <w:p>
      <w:pPr>
        <w:pStyle w:val="TextBody"/>
        <w:bidi w:val="0"/>
        <w:spacing w:lineRule="auto" w:line="288" w:before="0" w:after="180"/>
        <w:ind w:left="0" w:right="0" w:firstLine="360"/>
        <w:jc w:val="left"/>
        <w:rPr/>
      </w:pPr>
      <w:r>
        <w:rPr>
          <w:rFonts w:ascii="Times New Roman;serif" w:hAnsi="Times New Roman;serif"/>
          <w:b/>
          <w:color w:val="000000"/>
          <w:sz w:val="20"/>
        </w:rPr>
        <w:t>Legal and Other Contingencies</w:t>
      </w:r>
      <w:r>
        <w:rPr>
          <w:color w:val="000000"/>
        </w:rPr>
        <w:t>—</w:t>
      </w:r>
      <w:r>
        <w:rPr>
          <w:rFonts w:ascii="Times New Roman;serif" w:hAnsi="Times New Roman;serif"/>
          <w:b w:val="false"/>
          <w:color w:val="000000"/>
          <w:sz w:val="20"/>
        </w:rPr>
        <w:t>From time to time, we are party to litigation and legal proceedings relating to our business operations. While the outcome of all legal actions is not presently determinable, we do not believe that we are party to any current or pending legal action that if concluded adversely could reasonably be expected to have a material adverse effect on our financial condition or results of operations and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contingently liable for possible future assessments under regulatory requirements for insolvencies and impairments of unaffiliated insurance companies.</w:t>
      </w:r>
    </w:p>
    <w:p>
      <w:pPr>
        <w:pStyle w:val="TextBody"/>
        <w:bidi w:val="0"/>
        <w:spacing w:lineRule="auto" w:line="288" w:before="0" w:after="180"/>
        <w:ind w:left="0" w:right="0" w:firstLine="360"/>
        <w:jc w:val="left"/>
        <w:rPr/>
      </w:pPr>
      <w:r>
        <w:rPr>
          <w:rFonts w:ascii="Times New Roman;serif" w:hAnsi="Times New Roman;serif"/>
          <w:b/>
          <w:color w:val="000000"/>
          <w:sz w:val="20"/>
        </w:rPr>
        <w:t>Segment Information</w:t>
      </w:r>
      <w:r>
        <w:rPr>
          <w:color w:val="000000"/>
        </w:rPr>
        <w:t>—</w:t>
      </w:r>
      <w:r>
        <w:rPr>
          <w:rFonts w:ascii="Times New Roman;serif" w:hAnsi="Times New Roman;serif"/>
          <w:b w:val="false"/>
          <w:color w:val="000000"/>
          <w:sz w:val="20"/>
        </w:rPr>
        <w:t xml:space="preserve">We are a technology company that provides direct-to-consumer insurance products to customers. We operate as a single reporting segment that is managed on a consolidated basis. Our Chief Executive Officer is our chief operating decision maker, or CODM. The primary measure the CODM utilizes to manage operations, monitor budget versus actual results, and evaluate financial performance is net (loss) income as reported on the condensed consolidated statements of operations and comprehensive (loss) income. This information is regularly provided to the CODM.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allocates resources based on consolidated expense and forecasted expense information. Significant expenses, which are presented on the condensed consolidated statements of operations and comprehensive (loss) income, include loss and LAE, sales and marketing, other insurance expense and technology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segment items include expenses that our CODM does not evaluate for purposes of making operating decisions. These items include general and administrative, interest expense, and income tax expense, which can all be found on the condensed consolidated statements of operations and comprehensive (loss) income. Assets provided to the CODM are consistent with those reported on the condensed consolidated balance sheets.</w:t>
      </w:r>
    </w:p>
    <w:p>
      <w:pPr>
        <w:pStyle w:val="TextBody"/>
        <w:bidi w:val="0"/>
        <w:spacing w:lineRule="auto" w:line="288" w:before="0" w:after="180"/>
        <w:ind w:left="0" w:right="0" w:firstLine="360"/>
        <w:jc w:val="left"/>
        <w:rPr/>
      </w:pPr>
      <w:r>
        <w:rPr>
          <w:rFonts w:ascii="Times New Roman;serif" w:hAnsi="Times New Roman;serif"/>
          <w:b/>
          <w:color w:val="000000"/>
          <w:sz w:val="20"/>
        </w:rPr>
        <w:t>Cash, Cash Equivalents and Restricted Cash</w:t>
      </w:r>
      <w:r>
        <w:rPr>
          <w:color w:val="000000"/>
        </w:rPr>
        <w:t>—</w:t>
      </w:r>
      <w:r>
        <w:rPr>
          <w:rFonts w:ascii="Times New Roman;serif" w:hAnsi="Times New Roman;serif"/>
          <w:b w:val="false"/>
          <w:color w:val="000000"/>
          <w:sz w:val="20"/>
        </w:rPr>
        <w:t>The following table provides a reconciliation of cash, cash equivalents and restricted cash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73"/>
        <w:gridCol w:w="2419"/>
        <w:gridCol w:w="2433"/>
        <w:gridCol w:w="248"/>
        <w:gridCol w:w="726"/>
        <w:gridCol w:w="127"/>
        <w:gridCol w:w="109"/>
        <w:gridCol w:w="109"/>
        <w:gridCol w:w="109"/>
        <w:gridCol w:w="247"/>
        <w:gridCol w:w="721"/>
        <w:gridCol w:w="184"/>
      </w:tblGrid>
      <w:tr>
        <w:trPr/>
        <w:tc>
          <w:tcPr>
            <w:tcW w:w="277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color w:val="000000"/>
          <w:sz w:val="20"/>
        </w:rPr>
        <w:t>Deferred Policy Acquisition Costs</w:t>
      </w:r>
      <w:r>
        <w:rPr>
          <w:color w:val="000000"/>
        </w:rPr>
        <w:t>—</w:t>
      </w:r>
      <w:r>
        <w:rPr>
          <w:rFonts w:ascii="Times New Roman;serif" w:hAnsi="Times New Roman;serif"/>
          <w:b w:val="false"/>
          <w:color w:val="000000"/>
          <w:sz w:val="20"/>
        </w:rPr>
        <w:t>Deferred policy acquisition costs, net of accumulated amortization, was $41.5 million and $29.3 million as of September 30, 2025 and December 31, 2024, respectively. We amortized deferred policy acquisition costs of $20.6 million and $50.3 million for the three and nine months ended September 30, 2025, respectively, and $8.1 million and $23.8 million for the three and nine months ended September 30, 2024, respectively.</w:t>
      </w:r>
    </w:p>
    <w:p>
      <w:pPr>
        <w:pStyle w:val="TextBody"/>
        <w:bidi w:val="0"/>
        <w:spacing w:lineRule="auto" w:line="288" w:before="0" w:after="180"/>
        <w:ind w:left="0" w:right="0" w:firstLine="360"/>
        <w:jc w:val="left"/>
        <w:rPr/>
      </w:pPr>
      <w:r>
        <w:rPr>
          <w:rFonts w:ascii="Times New Roman;serif" w:hAnsi="Times New Roman;serif"/>
          <w:b/>
          <w:color w:val="000000"/>
          <w:sz w:val="20"/>
        </w:rPr>
        <w:t>Performance-Based Restricted Stock Units</w:t>
      </w:r>
      <w:r>
        <w:rPr>
          <w:color w:val="000000"/>
        </w:rPr>
        <w:t>—</w:t>
      </w:r>
      <w:r>
        <w:rPr>
          <w:rFonts w:ascii="Times New Roman;serif" w:hAnsi="Times New Roman;serif"/>
          <w:b w:val="false"/>
          <w:color w:val="000000"/>
          <w:sz w:val="20"/>
        </w:rPr>
        <w:t xml:space="preserve">In the second quarter of 2025, we granted 0.2 million performance-based restricted stock units to our executive officers and certain key employees as part of our equity compensation plan. The actual number of performance-based restricted stock units can vary from zero to 200% of the target depending on goal achievement relative to a gross accident period loss ratio and policies in force goal matrix. The overall performance period begins on January 1, 2025 and ends on December 31, 2027 and is divided into three sub-performance periods, each beginning on January 1, 2025 and ending on December 31 of 2025, 2026, and 2027, respectively. These overlapping sub-performance periods are one, two, and three years in duration. Expense for each sub-performance period is recognized ratably over the requisite service period. Awards earned in any sub-performance period vest on the Compensation Committee Certification date, which is expected to be in the first quarter of the subsequent year.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performance-based restricted stock units expense is recognized based on the grant date fair value of the award, which was determined using the Company’s close price as of the grant date. This expense is recognized using a graded vesting approach. We assess the probability of the performance conditions being met on a quarterly basis and begin recognizing expense only once it is deemed probable that the performance criteria will be satisfied. </w:t>
      </w:r>
    </w:p>
    <w:p>
      <w:pPr>
        <w:pStyle w:val="TextBody"/>
        <w:bidi w:val="0"/>
        <w:spacing w:before="0" w:after="0"/>
        <w:jc w:val="left"/>
        <w:rPr/>
      </w:pPr>
      <w:r>
        <w:rPr/>
      </w:r>
    </w:p>
    <w:p>
      <w:pPr>
        <w:pStyle w:val="TextBody"/>
        <w:bidi w:val="0"/>
        <w:spacing w:lineRule="auto" w:line="288" w:before="0" w:after="180"/>
        <w:ind w:left="0" w:right="0" w:firstLine="360"/>
        <w:jc w:val="left"/>
        <w:rPr/>
      </w:pPr>
      <w:r>
        <w:rPr>
          <w:rFonts w:ascii="Times New Roman;serif" w:hAnsi="Times New Roman;serif"/>
          <w:b/>
          <w:color w:val="000000"/>
          <w:sz w:val="20"/>
        </w:rPr>
        <w:t>Upcoming Accounting Pronouncements—</w:t>
      </w:r>
      <w:r>
        <w:rPr>
          <w:rFonts w:ascii="Times New Roman;serif" w:hAnsi="Times New Roman;serif"/>
          <w:b w:val="false"/>
          <w:color w:val="000000"/>
          <w:sz w:val="20"/>
        </w:rPr>
        <w:t>In September 2025, the Financial Accounting Standards Board issued Accounting Standards Update, or ASU, No. 2025-06,</w:t>
      </w:r>
      <w:r>
        <w:rPr>
          <w:color w:val="000000"/>
        </w:rPr>
        <w:t xml:space="preserve">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This ASU removes references to prescriptive and sequential software development stages in the guidance and instead requires entities to capitalize software development costs once management has authorized and committed to funding the project and it is probable that the project will be completed and the software will be used for its intended function. The guidance also requires entities to evaluate whether significant development uncertainty exists, which may delay capitalization until such uncertainty has been resolved. This ASU also specifies that the disclosure requirements in Accounting Standards Codification 360-10 are required for all capitalized internal-use software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ASU may be applied prospectively, retrospectively, or through a modified transition approach with an effective date for all entities for annual reporting periods beginning after December 15, 2027, including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periods within those reporting periods. Early adoption is permitted. We are currently evaluating the impact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short-term investments and available-for-sale fixed maturity securities at September 30, 2025 and December 31, 2024 are as follows:</w:t>
      </w:r>
    </w:p>
    <w:tbl>
      <w:tblPr>
        <w:tblW w:w="10205" w:type="dxa"/>
        <w:jc w:val="left"/>
        <w:tblInd w:w="0" w:type="dxa"/>
        <w:tblLayout w:type="fixed"/>
        <w:tblCellMar>
          <w:top w:w="28" w:type="dxa"/>
          <w:left w:w="28" w:type="dxa"/>
          <w:bottom w:w="28" w:type="dxa"/>
          <w:right w:w="28" w:type="dxa"/>
        </w:tblCellMar>
      </w:tblPr>
      <w:tblGrid>
        <w:gridCol w:w="874"/>
        <w:gridCol w:w="654"/>
        <w:gridCol w:w="658"/>
        <w:gridCol w:w="246"/>
        <w:gridCol w:w="721"/>
        <w:gridCol w:w="127"/>
        <w:gridCol w:w="109"/>
        <w:gridCol w:w="109"/>
        <w:gridCol w:w="109"/>
        <w:gridCol w:w="544"/>
        <w:gridCol w:w="1051"/>
        <w:gridCol w:w="285"/>
        <w:gridCol w:w="109"/>
        <w:gridCol w:w="109"/>
        <w:gridCol w:w="109"/>
        <w:gridCol w:w="396"/>
        <w:gridCol w:w="764"/>
        <w:gridCol w:w="206"/>
        <w:gridCol w:w="109"/>
        <w:gridCol w:w="109"/>
        <w:gridCol w:w="109"/>
        <w:gridCol w:w="393"/>
        <w:gridCol w:w="785"/>
        <w:gridCol w:w="204"/>
        <w:gridCol w:w="109"/>
        <w:gridCol w:w="109"/>
        <w:gridCol w:w="109"/>
        <w:gridCol w:w="211"/>
        <w:gridCol w:w="616"/>
        <w:gridCol w:w="162"/>
      </w:tblGrid>
      <w:tr>
        <w:trPr/>
        <w:tc>
          <w:tcPr>
            <w:tcW w:w="87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agencies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reviewed the available-for-sale fixed maturity securities and short-term investments at each balance sheet date to consider whether it was necessary to recognize a credit loss as of September 30, 2025 and December 31, 2024. We do not intend to sell the securities, and it is not more likely than not that we will be required to sell the securities before recovery. Management concluded that the unrealized losses on the available-for-sale fixed maturity securities and short-term investments were due to non-credit related factors and, therefore, there was no allowance for credit loss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September 30, 2025 and December 31, 2024:</w:t>
      </w:r>
    </w:p>
    <w:tbl>
      <w:tblPr>
        <w:tblW w:w="10200" w:type="dxa"/>
        <w:jc w:val="left"/>
        <w:tblInd w:w="0" w:type="dxa"/>
        <w:tblLayout w:type="fixed"/>
        <w:tblCellMar>
          <w:top w:w="28" w:type="dxa"/>
          <w:left w:w="28" w:type="dxa"/>
          <w:bottom w:w="28" w:type="dxa"/>
          <w:right w:w="28" w:type="dxa"/>
        </w:tblCellMar>
      </w:tblPr>
      <w:tblGrid>
        <w:gridCol w:w="1124"/>
        <w:gridCol w:w="988"/>
        <w:gridCol w:w="993"/>
        <w:gridCol w:w="211"/>
        <w:gridCol w:w="616"/>
        <w:gridCol w:w="109"/>
        <w:gridCol w:w="109"/>
        <w:gridCol w:w="109"/>
        <w:gridCol w:w="109"/>
        <w:gridCol w:w="252"/>
        <w:gridCol w:w="503"/>
        <w:gridCol w:w="131"/>
        <w:gridCol w:w="109"/>
        <w:gridCol w:w="109"/>
        <w:gridCol w:w="109"/>
        <w:gridCol w:w="224"/>
        <w:gridCol w:w="545"/>
        <w:gridCol w:w="116"/>
        <w:gridCol w:w="109"/>
        <w:gridCol w:w="109"/>
        <w:gridCol w:w="109"/>
        <w:gridCol w:w="252"/>
        <w:gridCol w:w="503"/>
        <w:gridCol w:w="131"/>
        <w:gridCol w:w="109"/>
        <w:gridCol w:w="109"/>
        <w:gridCol w:w="109"/>
        <w:gridCol w:w="211"/>
        <w:gridCol w:w="616"/>
        <w:gridCol w:w="109"/>
        <w:gridCol w:w="109"/>
        <w:gridCol w:w="109"/>
        <w:gridCol w:w="109"/>
        <w:gridCol w:w="249"/>
        <w:gridCol w:w="498"/>
        <w:gridCol w:w="18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other investments related to our private equity investments were $4.4 million. There were no realized or unrealized gains or losses or impairment losses recognized on private equity investments for the three and nine months ended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realized gains or losses on short-term investments and available-for-sale fixed maturities for the three and nine months ended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short-term investments and available-for-sale fixed maturity securities by contractual maturity at September 30, 2025:</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issuers may have the right to call or prepay obligations with or without call or prepayment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and nine months ended September 30, 2025 and 2024:</w:t>
      </w:r>
    </w:p>
    <w:tbl>
      <w:tblPr>
        <w:tblW w:w="10171" w:type="dxa"/>
        <w:jc w:val="left"/>
        <w:tblInd w:w="0" w:type="dxa"/>
        <w:tblLayout w:type="fixed"/>
        <w:tblCellMar>
          <w:top w:w="28" w:type="dxa"/>
          <w:left w:w="28" w:type="dxa"/>
          <w:bottom w:w="28" w:type="dxa"/>
          <w:right w:w="28" w:type="dxa"/>
        </w:tblCellMar>
      </w:tblPr>
      <w:tblGrid>
        <w:gridCol w:w="1641"/>
        <w:gridCol w:w="1442"/>
        <w:gridCol w:w="1446"/>
        <w:gridCol w:w="318"/>
        <w:gridCol w:w="612"/>
        <w:gridCol w:w="164"/>
        <w:gridCol w:w="164"/>
        <w:gridCol w:w="164"/>
        <w:gridCol w:w="164"/>
        <w:gridCol w:w="318"/>
        <w:gridCol w:w="612"/>
        <w:gridCol w:w="164"/>
        <w:gridCol w:w="109"/>
        <w:gridCol w:w="109"/>
        <w:gridCol w:w="109"/>
        <w:gridCol w:w="273"/>
        <w:gridCol w:w="663"/>
        <w:gridCol w:w="141"/>
        <w:gridCol w:w="141"/>
        <w:gridCol w:w="141"/>
        <w:gridCol w:w="141"/>
        <w:gridCol w:w="273"/>
        <w:gridCol w:w="663"/>
        <w:gridCol w:w="199"/>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fixed maturities and short-term investments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cash and cash equivalents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credit ratings of short-term investments and available-for-sale fixed maturity securities at September 30, 2025 and December 31, 2024:</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FAIR VALUE OF FINANCIAL INSTRUMENTS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about our financial assets measured and reported at fair value as of September 30, 2025 and December 31, 2024:</w:t>
      </w:r>
    </w:p>
    <w:tbl>
      <w:tblPr>
        <w:tblW w:w="7664" w:type="dxa"/>
        <w:jc w:val="left"/>
        <w:tblInd w:w="0" w:type="dxa"/>
        <w:tblLayout w:type="fixed"/>
        <w:tblCellMar>
          <w:top w:w="28" w:type="dxa"/>
          <w:left w:w="28" w:type="dxa"/>
          <w:bottom w:w="28" w:type="dxa"/>
          <w:right w:w="28" w:type="dxa"/>
        </w:tblCellMar>
      </w:tblPr>
      <w:tblGrid>
        <w:gridCol w:w="1120"/>
        <w:gridCol w:w="987"/>
        <w:gridCol w:w="997"/>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of 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September 30, 2025 and December 31, 2024,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44"/>
        <w:gridCol w:w="391"/>
        <w:gridCol w:w="392"/>
        <w:gridCol w:w="313"/>
        <w:gridCol w:w="915"/>
        <w:gridCol w:w="163"/>
        <w:gridCol w:w="109"/>
        <w:gridCol w:w="109"/>
        <w:gridCol w:w="109"/>
        <w:gridCol w:w="591"/>
        <w:gridCol w:w="1727"/>
        <w:gridCol w:w="308"/>
        <w:gridCol w:w="109"/>
        <w:gridCol w:w="109"/>
        <w:gridCol w:w="109"/>
        <w:gridCol w:w="303"/>
        <w:gridCol w:w="886"/>
        <w:gridCol w:w="157"/>
        <w:gridCol w:w="109"/>
        <w:gridCol w:w="109"/>
        <w:gridCol w:w="109"/>
        <w:gridCol w:w="564"/>
        <w:gridCol w:w="1648"/>
        <w:gridCol w:w="422"/>
      </w:tblGrid>
      <w:tr>
        <w:trPr/>
        <w:tc>
          <w:tcPr>
            <w:tcW w:w="4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Carrying Amount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Fair Value as of December 31, 2024</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LOSS AND LOSS ADJUSTMENT EXPENSE RESERVES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beginning and ending reserve balances for loss and LAE, net of reinsurance:</w:t>
      </w:r>
    </w:p>
    <w:tbl>
      <w:tblPr>
        <w:tblW w:w="6461" w:type="dxa"/>
        <w:jc w:val="left"/>
        <w:tblInd w:w="0" w:type="dxa"/>
        <w:tblLayout w:type="fixed"/>
        <w:tblCellMar>
          <w:top w:w="28" w:type="dxa"/>
          <w:left w:w="28" w:type="dxa"/>
          <w:bottom w:w="28" w:type="dxa"/>
          <w:right w:w="28" w:type="dxa"/>
        </w:tblCellMar>
      </w:tblPr>
      <w:tblGrid>
        <w:gridCol w:w="1387"/>
        <w:gridCol w:w="1216"/>
        <w:gridCol w:w="1221"/>
        <w:gridCol w:w="248"/>
        <w:gridCol w:w="724"/>
        <w:gridCol w:w="128"/>
        <w:gridCol w:w="128"/>
        <w:gridCol w:w="128"/>
        <w:gridCol w:w="128"/>
        <w:gridCol w:w="248"/>
        <w:gridCol w:w="724"/>
        <w:gridCol w:w="181"/>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January 1</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 January 1</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and LAE reserves, September 30</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losses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loss and LAE reserves, September 30</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Incurred losses and LAE attributable to prior accident years was a decrease of $22.8 million and $7.9 million for the nine months ended September 30, 2025 and 2024, respectively. For the nine months ended September 30, 2025, the development of incurred losses and LAE related to prior periods was primarily driven by lower-than-expected reported losses and LAE from accident year 2024 on both liability and physical damage coverages. For the nine months ended September 30, 2024, the development of incurred losses and LAE related to prior periods was primarily driven by lower-than-expected reported losses and LAE from accident year 2023 on both liability and physical damage coverages.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amounts affecting the condensed consolidated statements of operations and comprehensive (loss) income for reinsurance for the three and nine months ended September 30, 2025 and 2024:</w:t>
      </w:r>
    </w:p>
    <w:tbl>
      <w:tblPr>
        <w:tblW w:w="8061" w:type="dxa"/>
        <w:jc w:val="left"/>
        <w:tblInd w:w="0" w:type="dxa"/>
        <w:tblLayout w:type="fixed"/>
        <w:tblCellMar>
          <w:top w:w="28" w:type="dxa"/>
          <w:left w:w="28" w:type="dxa"/>
          <w:bottom w:w="28" w:type="dxa"/>
          <w:right w:w="28" w:type="dxa"/>
        </w:tblCellMar>
      </w:tblPr>
      <w:tblGrid>
        <w:gridCol w:w="875"/>
        <w:gridCol w:w="768"/>
        <w:gridCol w:w="771"/>
        <w:gridCol w:w="257"/>
        <w:gridCol w:w="752"/>
        <w:gridCol w:w="133"/>
        <w:gridCol w:w="133"/>
        <w:gridCol w:w="133"/>
        <w:gridCol w:w="133"/>
        <w:gridCol w:w="257"/>
        <w:gridCol w:w="752"/>
        <w:gridCol w:w="133"/>
        <w:gridCol w:w="109"/>
        <w:gridCol w:w="109"/>
        <w:gridCol w:w="109"/>
        <w:gridCol w:w="232"/>
        <w:gridCol w:w="845"/>
        <w:gridCol w:w="120"/>
        <w:gridCol w:w="120"/>
        <w:gridCol w:w="120"/>
        <w:gridCol w:w="120"/>
        <w:gridCol w:w="232"/>
        <w:gridCol w:w="679"/>
        <w:gridCol w:w="16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written:</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earned:</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 incurred:</w:t>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and LAE incurred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that all or any of the reinsuring companies might be unable to meet their obligations under existing reinsurance agreements, we would be liable to the policyholder for such defaulted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LONG-TERM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October 2024, we entered into a $200.0 million five-year term loan, or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 The Amended Term Loan can be repaid at any time through the maturity date as long as we provide at least three business days written notice and a prepayment premium of 2.00% applicable between October 29, 2024 to October 28, 2025, 1.00% applicable between October 29, 2025 to October 25, 2026, and no prepayment premium thereafter. The Amended Term Loan is secured by the assets of Root, Inc. and those of our wholly-owned subsidiary loan parties. In addition, we have pledged 100% of the capital stock of our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carrying value of long-term debt as of September 30, 2025 and December 31, 2024:</w:t>
      </w:r>
    </w:p>
    <w:tbl>
      <w:tblPr>
        <w:tblW w:w="7271" w:type="dxa"/>
        <w:jc w:val="left"/>
        <w:tblInd w:w="0" w:type="dxa"/>
        <w:tblLayout w:type="fixed"/>
        <w:tblCellMar>
          <w:top w:w="28" w:type="dxa"/>
          <w:left w:w="28" w:type="dxa"/>
          <w:bottom w:w="28" w:type="dxa"/>
          <w:right w:w="28" w:type="dxa"/>
        </w:tblCellMar>
      </w:tblPr>
      <w:tblGrid>
        <w:gridCol w:w="1396"/>
        <w:gridCol w:w="1224"/>
        <w:gridCol w:w="1235"/>
        <w:gridCol w:w="348"/>
        <w:gridCol w:w="1017"/>
        <w:gridCol w:w="180"/>
        <w:gridCol w:w="109"/>
        <w:gridCol w:w="109"/>
        <w:gridCol w:w="109"/>
        <w:gridCol w:w="332"/>
        <w:gridCol w:w="970"/>
        <w:gridCol w:w="242"/>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effective tax rate was 1.1% and zero for the nine months ended September 30, 2025 and 2024. The difference between these rates and the U.S. federal income tax rate of 21.0% was primarily due to state income tax expense and a full valuation allowance on our U.S. deferred tax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did not have any unrecognized tax benefits for uncertain tax positions and had no interest or penalties related to uncertain tax positions.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of 2025 was enacted in the U.S., introducing various amendments to the U.S. Tax Code. We have evaluated the impact of this legislation and recorded the effects, which were immaterial,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SHARE-BASED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October 2021, we issued Carvana </w:t>
      </w:r>
      <w:r>
        <w:rPr>
          <w:rFonts w:ascii="Times New Roman;serif" w:hAnsi="Times New Roman;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erif" w:hAnsi="Times New Roman;serif"/>
          <w:b w:val="false"/>
          <w:color w:val="000000"/>
          <w:sz w:val="20"/>
        </w:rPr>
        <w:t>shares of Class A common stock.</w:t>
      </w:r>
      <w:r>
        <w:rPr>
          <w:color w:val="000000"/>
          <w:shd w:fill="FFFFFF" w:val="clear"/>
        </w:rPr>
        <w:t xml:space="preserve"> </w:t>
      </w:r>
      <w:r>
        <w:rPr>
          <w:rFonts w:ascii="Times New Roman;serif" w:hAnsi="Times New Roman;serif"/>
          <w:b w:val="false"/>
          <w:color w:val="000000"/>
          <w:sz w:val="20"/>
        </w:rPr>
        <w:t xml:space="preserve">The short-term and long-term warrants have expiration dates of September 1, 2025 and September 1, 2027, respectively.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1, 2025, all of the short-term warrants expired unexercised and therefore, no short-term warrants remain outstanding. All compensation cost associated with the short-term warrants was previously recognized. There is no expense reversal because the performance obligations had been previously met.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September 30, 2025, once the short-term warrants expired, certain long-term warrant tranches became probable of vesting. Accordingly, </w:t>
      </w:r>
      <w:r>
        <w:rPr>
          <w:rFonts w:ascii="Times New Roman;serif" w:hAnsi="Times New Roman;serif"/>
          <w:b w:val="false"/>
          <w:color w:val="000000"/>
          <w:sz w:val="20"/>
        </w:rPr>
        <w:t xml:space="preserve">we recognized a cumulative warrant expense catch-up for policies originated through June 30, 2025 in other insurance expense considering the probability of and progress toward achieving the long-term warrant policy origination milestones of $15.5 million. The amount of warrant expense we recognized based on policies originated in the three months ended </w:t>
      </w:r>
      <w:r>
        <w:rPr>
          <w:rFonts w:ascii="Times New Roman;serif" w:hAnsi="Times New Roman;serif"/>
          <w:b w:val="false"/>
          <w:color w:val="000000"/>
          <w:sz w:val="20"/>
          <w:shd w:fill="FFFFFF" w:val="clear"/>
        </w:rPr>
        <w:t>September 30, 2025 was $1.7 million. All of these warrants are out-of-the-money and therefore have no intrinsic value as of September 30, 2025.</w:t>
      </w:r>
    </w:p>
    <w:p>
      <w:pPr>
        <w:pStyle w:val="TextBody"/>
        <w:bidi w:val="0"/>
        <w:spacing w:lineRule="auto" w:line="288" w:before="0" w:after="180"/>
        <w:ind w:left="0" w:right="0" w:firstLine="360"/>
        <w:jc w:val="left"/>
        <w:rPr/>
      </w:pPr>
      <w:r>
        <w:rPr>
          <w:rFonts w:ascii="Times New Roman;serif" w:hAnsi="Times New Roman;serif"/>
          <w:b w:val="false"/>
          <w:color w:val="000000"/>
          <w:sz w:val="20"/>
        </w:rPr>
        <w:t>Based on the probability of achieving certain policy origination milestones, unrecognized compensation cost is approximately $9.7 million</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 of </w:t>
      </w:r>
      <w:r>
        <w:rPr>
          <w:rFonts w:ascii="Times New Roman;serif" w:hAnsi="Times New Roman;serif"/>
          <w:b w:val="false"/>
          <w:color w:val="000000"/>
          <w:sz w:val="20"/>
          <w:shd w:fill="FFFFFF" w:val="clear"/>
        </w:rPr>
        <w:t xml:space="preserve">September 30, 2025. </w:t>
      </w:r>
      <w:r>
        <w:rPr>
          <w:rFonts w:ascii="Times New Roman;serif" w:hAnsi="Times New Roman;serif"/>
          <w:b w:val="false"/>
          <w:color w:val="000000"/>
          <w:sz w:val="20"/>
        </w:rPr>
        <w:t>The weighted-average remaining compensation costs are expected to be recognized over a period of approximately two years. We recognized total warrant compensation expense of $17.2 million and zero for the three months ended September 30, 2025 and 2024, respectively. We recognized warrant compensation expense of $17.2 million and $3.8 million for the nine months ended September 30, 2025 and 2024, respectively. Warrant compensation expense is recorded in other insurance expense in the condensed consolidated statements of operations and comprehensive (loss)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maximum remaining unrecognized compensation costs as of September 30, 2025, and other key terms of the warrants:</w:t>
      </w:r>
    </w:p>
    <w:tbl>
      <w:tblPr>
        <w:tblW w:w="10049"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228"/>
        <w:gridCol w:w="779"/>
        <w:gridCol w:w="117"/>
        <w:gridCol w:w="109"/>
        <w:gridCol w:w="109"/>
        <w:gridCol w:w="109"/>
        <w:gridCol w:w="354"/>
        <w:gridCol w:w="354"/>
        <w:gridCol w:w="356"/>
        <w:gridCol w:w="109"/>
        <w:gridCol w:w="109"/>
        <w:gridCol w:w="109"/>
        <w:gridCol w:w="661"/>
        <w:gridCol w:w="1604"/>
        <w:gridCol w:w="345"/>
        <w:gridCol w:w="109"/>
        <w:gridCol w:w="109"/>
        <w:gridCol w:w="109"/>
        <w:gridCol w:w="711"/>
        <w:gridCol w:w="711"/>
        <w:gridCol w:w="1007"/>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7084" w:type="dxa"/>
            <w:gridSpan w:val="18"/>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 Issued</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 Costs</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Vesting Condition</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4"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400,000 policy originations</w:t>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Tranche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500,000 policy originations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Share-Based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an equity incentive plan, or the Plan, for the issuance and grant of equity awards (restricted stock, service-based restricted stock units, performance-based restricted stock units, market-based restricted stock units, and incentive and nonqualified stock options) to our officers, directors, and employees. As of September 30, 2025, we had 1.8 million common shares available for issuance under the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share-based compensation expense recorded in the condensed consolidated statements of operations and comprehensive (loss) income:</w:t>
      </w:r>
    </w:p>
    <w:tbl>
      <w:tblPr>
        <w:tblW w:w="9298" w:type="dxa"/>
        <w:jc w:val="left"/>
        <w:tblInd w:w="0" w:type="dxa"/>
        <w:tblLayout w:type="fixed"/>
        <w:tblCellMar>
          <w:top w:w="28" w:type="dxa"/>
          <w:left w:w="28" w:type="dxa"/>
          <w:bottom w:w="28" w:type="dxa"/>
          <w:right w:w="28" w:type="dxa"/>
        </w:tblCellMar>
      </w:tblPr>
      <w:tblGrid>
        <w:gridCol w:w="1245"/>
        <w:gridCol w:w="1092"/>
        <w:gridCol w:w="1098"/>
        <w:gridCol w:w="300"/>
        <w:gridCol w:w="728"/>
        <w:gridCol w:w="155"/>
        <w:gridCol w:w="155"/>
        <w:gridCol w:w="155"/>
        <w:gridCol w:w="155"/>
        <w:gridCol w:w="300"/>
        <w:gridCol w:w="578"/>
        <w:gridCol w:w="155"/>
        <w:gridCol w:w="109"/>
        <w:gridCol w:w="109"/>
        <w:gridCol w:w="109"/>
        <w:gridCol w:w="275"/>
        <w:gridCol w:w="666"/>
        <w:gridCol w:w="142"/>
        <w:gridCol w:w="142"/>
        <w:gridCol w:w="142"/>
        <w:gridCol w:w="142"/>
        <w:gridCol w:w="275"/>
        <w:gridCol w:w="666"/>
        <w:gridCol w:w="142"/>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unrecognized compensation cost and the remaining weighted-average period over which these costs are expected to be recognized for restricted stock units and unvested stock options as of September 30, 2025 is as follows:</w:t>
      </w:r>
    </w:p>
    <w:tbl>
      <w:tblPr>
        <w:tblW w:w="10205" w:type="dxa"/>
        <w:jc w:val="left"/>
        <w:tblInd w:w="0" w:type="dxa"/>
        <w:tblLayout w:type="fixed"/>
        <w:tblCellMar>
          <w:top w:w="28" w:type="dxa"/>
          <w:left w:w="28" w:type="dxa"/>
          <w:bottom w:w="28" w:type="dxa"/>
          <w:right w:w="28" w:type="dxa"/>
        </w:tblCellMar>
      </w:tblPr>
      <w:tblGrid>
        <w:gridCol w:w="906"/>
        <w:gridCol w:w="709"/>
        <w:gridCol w:w="712"/>
        <w:gridCol w:w="109"/>
        <w:gridCol w:w="109"/>
        <w:gridCol w:w="1395"/>
        <w:gridCol w:w="109"/>
        <w:gridCol w:w="459"/>
        <w:gridCol w:w="1116"/>
        <w:gridCol w:w="239"/>
        <w:gridCol w:w="109"/>
        <w:gridCol w:w="109"/>
        <w:gridCol w:w="109"/>
        <w:gridCol w:w="357"/>
        <w:gridCol w:w="867"/>
        <w:gridCol w:w="185"/>
        <w:gridCol w:w="109"/>
        <w:gridCol w:w="109"/>
        <w:gridCol w:w="109"/>
        <w:gridCol w:w="277"/>
        <w:gridCol w:w="535"/>
        <w:gridCol w:w="145"/>
        <w:gridCol w:w="109"/>
        <w:gridCol w:w="109"/>
        <w:gridCol w:w="109"/>
        <w:gridCol w:w="211"/>
        <w:gridCol w:w="406"/>
        <w:gridCol w:w="109"/>
        <w:gridCol w:w="109"/>
        <w:gridCol w:w="160"/>
      </w:tblGrid>
      <w:tr>
        <w:trPr/>
        <w:tc>
          <w:tcPr>
            <w:tcW w:w="9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Unvested Stock Options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Remaining weighted-average period cost is expected to be recognized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restricted stock units activity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752"/>
        <w:gridCol w:w="323"/>
        <w:gridCol w:w="325"/>
        <w:gridCol w:w="109"/>
        <w:gridCol w:w="109"/>
        <w:gridCol w:w="109"/>
        <w:gridCol w:w="250"/>
        <w:gridCol w:w="250"/>
        <w:gridCol w:w="251"/>
        <w:gridCol w:w="115"/>
        <w:gridCol w:w="115"/>
        <w:gridCol w:w="115"/>
        <w:gridCol w:w="364"/>
        <w:gridCol w:w="1003"/>
        <w:gridCol w:w="115"/>
        <w:gridCol w:w="109"/>
        <w:gridCol w:w="109"/>
        <w:gridCol w:w="109"/>
        <w:gridCol w:w="250"/>
        <w:gridCol w:w="250"/>
        <w:gridCol w:w="251"/>
        <w:gridCol w:w="118"/>
        <w:gridCol w:w="118"/>
        <w:gridCol w:w="118"/>
        <w:gridCol w:w="420"/>
        <w:gridCol w:w="966"/>
        <w:gridCol w:w="118"/>
        <w:gridCol w:w="109"/>
        <w:gridCol w:w="109"/>
        <w:gridCol w:w="109"/>
        <w:gridCol w:w="250"/>
        <w:gridCol w:w="250"/>
        <w:gridCol w:w="251"/>
        <w:gridCol w:w="116"/>
        <w:gridCol w:w="116"/>
        <w:gridCol w:w="116"/>
        <w:gridCol w:w="386"/>
        <w:gridCol w:w="937"/>
        <w:gridCol w:w="215"/>
      </w:tblGrid>
      <w:tr>
        <w:trPr/>
        <w:tc>
          <w:tcPr>
            <w:tcW w:w="75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Service-based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Performance-based Restricted 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Market-based Restricted Stock Units</w:t>
            </w:r>
          </w:p>
        </w:tc>
      </w:tr>
      <w:tr>
        <w:trPr/>
        <w:tc>
          <w:tcPr>
            <w:tcW w:w="1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 Fair</w:t>
              <w:br/>
              <w:t>Value per Share</w:t>
            </w:r>
          </w:p>
        </w:tc>
      </w:tr>
      <w:tr>
        <w:trPr/>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information pertaining to restricted stock units for the nine months ended September 30, 2025 and 2024 is as follows:</w:t>
      </w:r>
    </w:p>
    <w:tbl>
      <w:tblPr>
        <w:tblW w:w="6980" w:type="dxa"/>
        <w:jc w:val="left"/>
        <w:tblInd w:w="0" w:type="dxa"/>
        <w:tblLayout w:type="fixed"/>
        <w:tblCellMar>
          <w:top w:w="28" w:type="dxa"/>
          <w:left w:w="28" w:type="dxa"/>
          <w:bottom w:w="28" w:type="dxa"/>
          <w:right w:w="28" w:type="dxa"/>
        </w:tblCellMar>
      </w:tblPr>
      <w:tblGrid>
        <w:gridCol w:w="1337"/>
        <w:gridCol w:w="1175"/>
        <w:gridCol w:w="1177"/>
        <w:gridCol w:w="109"/>
        <w:gridCol w:w="109"/>
        <w:gridCol w:w="109"/>
        <w:gridCol w:w="275"/>
        <w:gridCol w:w="666"/>
        <w:gridCol w:w="142"/>
        <w:gridCol w:w="142"/>
        <w:gridCol w:w="142"/>
        <w:gridCol w:w="142"/>
        <w:gridCol w:w="275"/>
        <w:gridCol w:w="666"/>
        <w:gridCol w:w="142"/>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Service-based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intrinsic value of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option activity for the nine months ended September 30, 2025 is as follows:</w:t>
      </w:r>
    </w:p>
    <w:tbl>
      <w:tblPr>
        <w:tblW w:w="10205" w:type="dxa"/>
        <w:jc w:val="left"/>
        <w:tblInd w:w="0" w:type="dxa"/>
        <w:tblLayout w:type="fixed"/>
        <w:tblCellMar>
          <w:top w:w="28" w:type="dxa"/>
          <w:left w:w="28" w:type="dxa"/>
          <w:bottom w:w="28" w:type="dxa"/>
          <w:right w:w="28" w:type="dxa"/>
        </w:tblCellMar>
      </w:tblPr>
      <w:tblGrid>
        <w:gridCol w:w="816"/>
        <w:gridCol w:w="717"/>
        <w:gridCol w:w="723"/>
        <w:gridCol w:w="109"/>
        <w:gridCol w:w="109"/>
        <w:gridCol w:w="109"/>
        <w:gridCol w:w="315"/>
        <w:gridCol w:w="315"/>
        <w:gridCol w:w="316"/>
        <w:gridCol w:w="109"/>
        <w:gridCol w:w="109"/>
        <w:gridCol w:w="109"/>
        <w:gridCol w:w="416"/>
        <w:gridCol w:w="1218"/>
        <w:gridCol w:w="216"/>
        <w:gridCol w:w="109"/>
        <w:gridCol w:w="109"/>
        <w:gridCol w:w="109"/>
        <w:gridCol w:w="841"/>
        <w:gridCol w:w="841"/>
        <w:gridCol w:w="843"/>
        <w:gridCol w:w="109"/>
        <w:gridCol w:w="109"/>
        <w:gridCol w:w="109"/>
        <w:gridCol w:w="358"/>
        <w:gridCol w:w="690"/>
        <w:gridCol w:w="272"/>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exercise price and term amounts)</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(LOSS) 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displays the computation of basic and diluted (loss) earnings per share, or EPS, for both Class A and Class B common stock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903"/>
        <w:gridCol w:w="1515"/>
        <w:gridCol w:w="1520"/>
        <w:gridCol w:w="255"/>
        <w:gridCol w:w="692"/>
        <w:gridCol w:w="131"/>
        <w:gridCol w:w="131"/>
        <w:gridCol w:w="131"/>
        <w:gridCol w:w="131"/>
        <w:gridCol w:w="255"/>
        <w:gridCol w:w="618"/>
        <w:gridCol w:w="131"/>
        <w:gridCol w:w="109"/>
        <w:gridCol w:w="109"/>
        <w:gridCol w:w="109"/>
        <w:gridCol w:w="254"/>
        <w:gridCol w:w="618"/>
        <w:gridCol w:w="131"/>
        <w:gridCol w:w="131"/>
        <w:gridCol w:w="131"/>
        <w:gridCol w:w="131"/>
        <w:gridCol w:w="254"/>
        <w:gridCol w:w="618"/>
        <w:gridCol w:w="197"/>
      </w:tblGrid>
      <w:tr>
        <w:trPr/>
        <w:tc>
          <w:tcPr>
            <w:tcW w:w="190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 except per share amounts)</w:t>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Undistributed income allocated to participating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basic (both Class A and B)</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diluted (both Class A and B)</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common share (both Class A and B):</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9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we operated at a loss and, therefore, the conversion of common stock equivalents would increase the denominator of the diluted EPS calculation and create a lower EPS. Therefore, these common stock equivalents are considered anti-dilutive and diluted EPS is equal to basic EPS. Net losses are not allocated to participating securities, as the holders of such securities are not contractually obligated to share in the Company’s losses. For the three months ended September 30, 2025 net (loss) income attributable to common shareholders is equal to net (loss) income. </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excluded the following potentially dilutive common stock equivalents, presented based on amounts outstanding at each period end, from the computation of diluted EPS attributable to common shareholders for the periods indicated because including them would have had an anti-dilutive effect: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10205" w:type="dxa"/>
        <w:jc w:val="left"/>
        <w:tblInd w:w="0" w:type="dxa"/>
        <w:tblLayout w:type="fixed"/>
        <w:tblCellMar>
          <w:top w:w="28" w:type="dxa"/>
          <w:left w:w="28" w:type="dxa"/>
          <w:bottom w:w="28" w:type="dxa"/>
          <w:right w:w="28" w:type="dxa"/>
        </w:tblCellMar>
      </w:tblPr>
      <w:tblGrid>
        <w:gridCol w:w="1825"/>
        <w:gridCol w:w="1607"/>
        <w:gridCol w:w="1622"/>
        <w:gridCol w:w="297"/>
        <w:gridCol w:w="261"/>
        <w:gridCol w:w="261"/>
        <w:gridCol w:w="261"/>
        <w:gridCol w:w="261"/>
        <w:gridCol w:w="261"/>
        <w:gridCol w:w="297"/>
        <w:gridCol w:w="261"/>
        <w:gridCol w:w="261"/>
        <w:gridCol w:w="109"/>
        <w:gridCol w:w="109"/>
        <w:gridCol w:w="109"/>
        <w:gridCol w:w="280"/>
        <w:gridCol w:w="250"/>
        <w:gridCol w:w="246"/>
        <w:gridCol w:w="246"/>
        <w:gridCol w:w="246"/>
        <w:gridCol w:w="246"/>
        <w:gridCol w:w="280"/>
        <w:gridCol w:w="250"/>
        <w:gridCol w:w="359"/>
      </w:tblGrid>
      <w:tr>
        <w:trPr/>
        <w:tc>
          <w:tcPr>
            <w:tcW w:w="1825"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restricted stock units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restricted stock units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(as converted to common stock)</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GEOGRAPHICAL BREAKDOWN OF 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by state is as follows for the three and nine months ended September 30, 2025 and 2024:</w:t>
      </w:r>
    </w:p>
    <w:tbl>
      <w:tblPr>
        <w:tblW w:w="11012" w:type="dxa"/>
        <w:jc w:val="left"/>
        <w:tblInd w:w="0" w:type="dxa"/>
        <w:tblLayout w:type="fixed"/>
        <w:tblCellMar>
          <w:top w:w="28" w:type="dxa"/>
          <w:left w:w="28" w:type="dxa"/>
          <w:bottom w:w="28" w:type="dxa"/>
          <w:right w:w="28" w:type="dxa"/>
        </w:tblCellMar>
      </w:tblPr>
      <w:tblGrid>
        <w:gridCol w:w="437"/>
        <w:gridCol w:w="383"/>
        <w:gridCol w:w="396"/>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76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321"/>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Oklahoma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others states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2024 filed with the Securities and Exchange Commission on February 26, 2025, or the 2024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2024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Root is a technology insurance company founded on the idea that car insurance rates should be based primarily on driving behaviors, not demographics. We are revolutionizing the archaic car insurance industry using mobile technology and data science to offer drivers fair, personalized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the Root advantage is derived from our unique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scale the business, we aim to drive new customer growth and optimize unit economics by capitalizing on our two distribution channels: direct and partnership. The direct channel efficiently drives volume for high intent customers, meeting customers in platforms that they use extensively while actively shopping for insurance such as search engines or select marketplace platforms. The data science model seeks to optimize bidding strategies that fine tunes our prices to strike a balance between offering a competitive price and achieving target lifetime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technology to drive efficiency across all functions, including distribution, underwriting, policy administration and claims in particular. We believe our data- and technology-driven approach to pricing and underwriting allows for rapid response to macroeconomic trends and volatility through quick, appropriate rate actions aided by segmenting individual risk based on complex behavioral data and proprietary telematics models. Through continued development of machine-learning loss models, which allow us to respond more quickly to changes in the market, we expect improvement in pricing segmentation. We believe this allows us to operate with a cost-to-acquire and cost-to-serve advantage. We believe that through prudent investment in and diversification of our distribution channels, including leveraging proprietary data science and technology and a focus on partnerships with automotive, financial services, and independent agents, we are positioned us for sustainable, long-term and profitable growth.</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impact of large losses or tail events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We continuously evaluate our utilization of third-party reinsurance in order to operate a capital-efficient business model. As our gross loss ratio has stabilized,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strategically reduced the utilization of external quota share to balance the cost of reinsurance with capital efficiency. Over the long term, we expect to maintain the flexibility to modify our reinsurance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 Affecting Comparability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Macroeconomic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Economic instability has led to acute inflationary pressures, supply chain disruptions, changes in interest rates and changes in equity markets. In addition, economic uncertainty has developed as a result of changes in tariff policy, including the imposition of new or retaliatory tariffs. There remains uncertainty around the future of inflation, including as a result of new or increased tariffs;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which are affected by inflation. These cost increases have resulted in greater claims severity. Additionally, we continue to file in multiple states to establish rates that more closely follow the evolving loss cost trends. Fluctuations in interest rates could impact our cost of capital and may limit our ability to raise additional capital.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Comprehensive Reinsurance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In addition to our financial results prepared in accordance with accounting principles generally accepted in the U.S., or GAAP, we believe these non-GAAP and operational measures are useful in evaluating our performance. See the section titled “—Non-GAAP Financial Measures” for additional information regarding our use of direct contribution and adjusted EBITDA and their reconciliations to the most directly comparable GAAP measures.</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tbl>
      <w:tblPr>
        <w:tblW w:w="8890" w:type="dxa"/>
        <w:jc w:val="left"/>
        <w:tblInd w:w="0" w:type="dxa"/>
        <w:tblLayout w:type="fixed"/>
        <w:tblCellMar>
          <w:top w:w="28" w:type="dxa"/>
          <w:left w:w="28" w:type="dxa"/>
          <w:bottom w:w="28" w:type="dxa"/>
          <w:right w:w="28" w:type="dxa"/>
        </w:tblCellMar>
      </w:tblPr>
      <w:tblGrid>
        <w:gridCol w:w="960"/>
        <w:gridCol w:w="845"/>
        <w:gridCol w:w="84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Policies in force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407,313 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466,320 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407,313 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per policy</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in force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LAE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expense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combined ratio</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Policies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per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Premiums in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Written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loss adjustment expense, or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profit as total revenue minus net loss and LAE and other insurance expense. We view gross profit as an important metric because we believe it is informative of the financial performance of our core insurance business.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direct contribution, a non-GAAP financial measure, as gross profit excluding net investment income, acquisition costs, which include report costs and refunds related to these expenses and commission expenses related to our partnership channel, and fixed expenses, which include certain warrant compensation expense related to policies originating through the integrated automobile insurance solution for Carvana’s online buying platform, or Integrated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and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incurred on the successful acquisition of business. We view direct contribution as an important metric because we believe it measures profitability of our total policy portfolio prior to the impact of reinsurance.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total revenue to direct contribution.</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 non-GAAP financial measure, as net (loss) income excluding interest expense, income tax expense, depreciation and amortization, share-based compensation, warrant compensation expense, restructuring charges,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income calculated in accordance with GAAP, and other companies may define adjusted EBITDA differently.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“—Non-GAAP Financial Measures” for a reconciliation of net (loss) income to adjusted EBITDA.</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Loss and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loss and LAE ratio, expressed as a percentage, as the ratio of net loss and LAE to net premiums earned. We view net loss and LAE ratio as an important metric because it allows us to evaluate loss trends as a percentage of net premiums, and we believe it is useful for investors to evaluate those separately from other 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LAE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Expense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Combined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Gross Accident Period Loss Ratio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revenue from net premiums earned, net investment income, fee income and other income.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investment income represents interest earned from our cash and cash equivalents, fixed maturities, and short-term investments less investment expenses. Investment expenses include costs associated with the management of our investment portfolio, including Personnel Costs. Net investment income also includes impairments related to low-income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is primarily comprised of revenue earned from distributing website and mobile application policy inquiry leads in geographies where we do not have a presence, recognized when we generate the lead.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loss and LAE, sales and marketing, other insurance expense, technology and development, and general and administrative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other expenses incurred during claims processing are considered LAE. These amounts include Personnel Costs for claims-related employees, vendor expenses, software expense, internally developed software amortization, and Overhead.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includes both acquisition and fixed expenses. We view direct performance marketing, experimental marketing, channel media, advertising and referral fees as acquisition expenses. We view sponsorship, Personnel Costs and Overhead related to our brand strategy, creative and business development activities, and certain data science activities as fixed costs. We incur sales and marketing expenses for all product offerings. Sales and marketing are expensed as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 term, we expect it will decrease as a percentage of revenue as the proportion of renewals to our total business increases.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Other Insurance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insurance expense includes expenses primarily related to insurance and underwriting operations of the business and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costs. We view insurance license expenses, warrant compensation expense related to policies originating through the Integrated Platform, low-income housing tax credits which offset certain state premium taxes, Personnel Costs and Overhead related to actuarial and certain data science activities as fixed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is expensed as incurred, except for costs related to deferred policy acquisition costs that are capitalized and subsequently amortized over the same period in which the related premiums are earned. Warrant compensation expense is recognized on a pro-rata basis considering progress toward achieving milestones for policies originated through the Integrated Platform as defined under the Carvana commercial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discount and debt issuance costs.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expense consists primarily of state income taxes in the United States. We have recorded U.S. federal and state net deferred tax assets for which we provide a full valuation allowance, which includes net operating loss carryforwards and tax credits.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Three Months Ended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8983" w:type="dxa"/>
        <w:jc w:val="left"/>
        <w:tblInd w:w="0" w:type="dxa"/>
        <w:tblLayout w:type="fixed"/>
        <w:tblCellMar>
          <w:top w:w="28" w:type="dxa"/>
          <w:left w:w="28" w:type="dxa"/>
          <w:bottom w:w="28" w:type="dxa"/>
          <w:right w:w="28" w:type="dxa"/>
        </w:tblCellMar>
      </w:tblPr>
      <w:tblGrid>
        <w:gridCol w:w="1444"/>
        <w:gridCol w:w="1270"/>
        <w:gridCol w:w="1276"/>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342"/>
        <w:gridCol w:w="348"/>
        <w:gridCol w:w="544"/>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N.M. - Percentage change not meaningful </w:t>
      </w:r>
    </w:p>
    <w:p>
      <w:pPr>
        <w:pStyle w:val="TextBody"/>
        <w:bidi w:val="0"/>
        <w:spacing w:before="0" w:after="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an increase in policies in force as a result of continued growth in our partnership channel, reduced cessions of gross premiums earned to reinsurers between periods and greater premiums per policy resulting from a shift in customer mix and rate actions in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and 2024, we ceded approximately 3.5% and 11.9%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three months ended September 30, 2025 and 2024:</w:t>
      </w:r>
    </w:p>
    <w:tbl>
      <w:tblPr>
        <w:tblW w:w="7115"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1"/>
        <w:gridCol w:w="294"/>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increased for the three months ended September 30, 2025 primarily due to growth in new writings as a result of continued growth in our partnership channel compared to the same period in 2024. The increase in gross premiums earned was primarily due to greater policies in force and a 1.5% increase in premiums per policy primarily attributable to a shift in customer mix and rate actions in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for the three months ended September 30, 2025 compared to the same period in 2024. This volume-driven increase was partially offset by a reduction of loss and LAE reserves on prior periods due to lower than expected reported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59.5% for the three months ended September 30, 2025, from 55.5% for the same period in 2024. The change in the ratio was driven by higher loss costs as a result of increased severity per claim due to higher vehicle repair and medical costs and a geographic mix shift. This was partially offset by growth in average premium per policy primarily attributable to rate actions and favorable weather-related losses. We observed a 9% increase in accident period severity per claim and a 2% decrease in claim frequency for the three months ended September 30, 2025 compared to the same period in 2024 across our bodily injury, collision, and property damage coverages. The claim frequency estimates are tenure mix adjusted.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increased primarily due to a $3.2 million increase in direct performance marketing spend, reflective of our investments to drive accretive growth and deeper market penetration in the states in which we operate. We also saw a $2.3 million increase in experimental marketing spend as part of our efforts to diversify our distribution channels. While acquisition expenses increased due to heightened competition in the marketing environment, we remained disciplined in our deployment of direct marketing spend, operating within our estimated return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increased primarily due to a $17.2 million increase in our fixed expenses driven by greater Carvana warrant expense, including a cumulative expense catch-up, related to our outstanding warrant structure with Carvana. Our acquisition expenses increased primarily due to a $10.5 million increase in commissions paid related to the continued growth in our partnership channel, including amortization of deferred policy acquisition costs. In addition, acquisition expenses increased due to a $6.7 million sales tax refund that decreased acquisition expenses in the prior year and a $2.5 million increase in report costs due to an increase in customer applications and new writings. We also saw a $3.3 million decrease in net ceding commission contra-expense as a result of a decline in ceded premiums written, largely attributable to a strategic reduction of quota share reinsurance.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primarily due to a $6.2 million increase in Personnel Costs mainly driven by share-based compensation expenses relating to our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Interest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primarily due to a $5.8 million decrease in debt interest expense as a result of reduced principal and a more favorable interest rate in connection with the $200.0 million five-year term loan, or Amended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the Nine Months Ended September 30,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9089" w:type="dxa"/>
        <w:jc w:val="left"/>
        <w:tblInd w:w="0" w:type="dxa"/>
        <w:tblLayout w:type="fixed"/>
        <w:tblCellMar>
          <w:top w:w="28" w:type="dxa"/>
          <w:left w:w="28" w:type="dxa"/>
          <w:bottom w:w="28" w:type="dxa"/>
          <w:right w:w="28" w:type="dxa"/>
        </w:tblCellMar>
      </w:tblPr>
      <w:tblGrid>
        <w:gridCol w:w="1444"/>
        <w:gridCol w:w="1270"/>
        <w:gridCol w:w="1276"/>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306"/>
        <w:gridCol w:w="310"/>
        <w:gridCol w:w="544"/>
      </w:tblGrid>
      <w:tr>
        <w:trPr/>
        <w:tc>
          <w:tcPr>
            <w:tcW w:w="144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unrealized gains on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N.M. - Percentage change not meaningful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Net Premiums Earned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premiums earned increased primarily due to an increase in policies in force as a result of continued growth in our partnership channel, reduced cessions of gross premiums earned to reinsurers between periods and greater premiums per policy resulting from a shift in customer mix and rate actions in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we ceded approximately 5.0% and 14.3% of our gross premiums earned, respectively. The change in cessions between periods was primarily driven by a strategic reduction of quota share reinsurance.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premiums written, ceded premiums written, net premiums written, gross premiums earned, ceded premiums earned and net premiums earned for the nine months ended September 30, 2025 and 2024:</w:t>
      </w:r>
    </w:p>
    <w:tbl>
      <w:tblPr>
        <w:tblW w:w="7370" w:type="dxa"/>
        <w:jc w:val="left"/>
        <w:tblInd w:w="0" w:type="dxa"/>
        <w:tblLayout w:type="fixed"/>
        <w:tblCellMar>
          <w:top w:w="28" w:type="dxa"/>
          <w:left w:w="28" w:type="dxa"/>
          <w:bottom w:w="28" w:type="dxa"/>
          <w:right w:w="28" w:type="dxa"/>
        </w:tblCellMar>
      </w:tblPr>
      <w:tblGrid>
        <w:gridCol w:w="761"/>
        <w:gridCol w:w="667"/>
        <w:gridCol w:w="672"/>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91"/>
        <w:gridCol w:w="294"/>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written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premiums earned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premiums written increased for the nine months ended September 30, 2025 primarily due to growth in new writings as a result of continued growth in our partnership channel compared to the same period in 2024. The increase in gross premiums earned was primarily due to greater policies in force and a 1.5% increase in premiums per policy primarily attributable to a shift in customer mix and rate actions in 2024.</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Fee Income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Fee income increased due to $5.2 million in policy fees and $2.8 million in installment fees due to greater policies in force.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Loss and Loss Adjustment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 and LAE increased due to additional losses incurred on increased gross premiums earned volume and reduced cessions of losses to reinsurers driven by a strategic reduction of quota share reinsurance for the nine months ended September 30, 2025 compared to the same period in 2024. This volume-driven increase was partially offset by a reduction of loss and LAE reserves on prior periods due to lower than expected reported activity.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accident period loss ratio increased to 58.7% for the nine months ended September 30, 2025, from 57.9% for the same period in 2024. The change in the ratio was driven by higher loss costs as a result of increased severity per claim due to higher vehicle repair and medical costs and a geographic mix shift. This was partially offset by favorable weather-related losses and growth in average premium per policy primarily attributable to rate actions. We observed a 7% increase in accident period severity per claim and a 4% decrease in claim frequency for the nine months ended September 30, 2025, compared to the same period in 2024 across our bodily injury, collision, and property damage coverages. The claim frequency estimates are tenure mix adjusted.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increased primarily due to a $25.5 million increase in direct performance marketing spend, reflective of our investments to drive accretive growth and deeper market penetration in the states in which we operate. We also saw a $2.7 million increase in experimental marketing spend as part of our efforts to diversify our distribution channels. While acquisition expenses increased due to heightened competition in the marketing environment, we remained disciplined in our deployment of direct marketing spend, operating within our estimated return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Other Insurance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insurance expense increased primarily due to a $25.1 million increase in our acquisition expenses driven by greater commissions paid related to the continued growth in our partnership channel, including amortization of deferred policy acquisition costs. In addition, acquisition expenses increased due to a $6.7 million sales tax refund that decreased acquisition expenses in the prior year. We also saw a $15.0 million decrease in net ceding commission contra-expense as a result of a decline in ceded premiums written, largely attributable to a strategic reduction of quota share reinsurance. Fixed expenses increased primarily due to a $13.4 million increase in Carvana warrant expense, including a cumulative expense catch-up, related to our outstanding warrant structure with Carvana. Variable expenses increased primarily due to a $4.6 million increase in premium taxes and a $4.5 million increase in premium write-offs, as a result of growth of our earned premium and policies in force.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primarily due to a $12.2 million increase in Personnel Costs mainly driven by share-based compensation expenses relating to our equity incentive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Non-Operating Expenses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Interest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primarily due to a $17.3 million decrease in debt interest expense as a result of reduced principal and a more favorable interest rate in connection with the Amended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performance of our management team, including when determining incentive compensation;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Direct Contribution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direct contribution and why management believes this measure provides useful information to investors, see “—Key Performance Indicators.”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total revenue to direct contribution for the three and nine months ended September 30, 2025 and 2024:</w:t>
      </w:r>
    </w:p>
    <w:tbl>
      <w:tblPr>
        <w:tblW w:w="9366" w:type="dxa"/>
        <w:jc w:val="left"/>
        <w:tblInd w:w="0" w:type="dxa"/>
        <w:tblLayout w:type="fixed"/>
        <w:tblCellMar>
          <w:top w:w="28" w:type="dxa"/>
          <w:left w:w="28" w:type="dxa"/>
          <w:bottom w:w="28" w:type="dxa"/>
          <w:right w:w="28" w:type="dxa"/>
        </w:tblCellMar>
      </w:tblPr>
      <w:tblGrid>
        <w:gridCol w:w="1347"/>
        <w:gridCol w:w="1184"/>
        <w:gridCol w:w="1188"/>
        <w:gridCol w:w="257"/>
        <w:gridCol w:w="752"/>
        <w:gridCol w:w="133"/>
        <w:gridCol w:w="133"/>
        <w:gridCol w:w="133"/>
        <w:gridCol w:w="133"/>
        <w:gridCol w:w="257"/>
        <w:gridCol w:w="752"/>
        <w:gridCol w:w="133"/>
        <w:gridCol w:w="109"/>
        <w:gridCol w:w="109"/>
        <w:gridCol w:w="109"/>
        <w:gridCol w:w="232"/>
        <w:gridCol w:w="845"/>
        <w:gridCol w:w="120"/>
        <w:gridCol w:w="120"/>
        <w:gridCol w:w="120"/>
        <w:gridCol w:w="120"/>
        <w:gridCol w:w="232"/>
        <w:gridCol w:w="679"/>
        <w:gridCol w:w="169"/>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loss adjustment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Adjustments from other insurance expense</w:t>
            </w:r>
            <w:r>
              <w:rPr>
                <w:rFonts w:ascii="Times New Roman;serif" w:hAnsi="Times New Roman;serif"/>
                <w:b w:val="false"/>
                <w:color w:val="000000"/>
                <w:sz w:val="13"/>
              </w:rPr>
              <w:t>(1)</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 and loss adjustment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ceding commission and other</w:t>
            </w:r>
            <w:r>
              <w:rPr>
                <w:rFonts w:ascii="Times New Roman;serif" w:hAnsi="Times New Roman;serif"/>
                <w:b w:val="false"/>
                <w:color w:val="000000"/>
                <w:sz w:val="13"/>
              </w:rPr>
              <w:t>(2)</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contribution</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rPr>
        <w:t>(1) Adjustments from other insurance expense consists of acquisition costs, including report costs and refunds related to these expenses and commission expenses related to our partnership channel of $28.5 million and $73.2 million for the three and nine months ended September 30, 2025, respectively, and $8.2 million and $37.9 million for the three and nine months ended September 30, 2024, respectively. Adjustments from other insurance expense also consists of fixed expenses, including warrant compensation expense related to policies originating through the Integrated Platform, Personnel Costs, Overhead, licenses, professional fees and other of $21.6 million and $28.7 million for the three and nine months ended September 30, 2025, respectively, and $3.4 million and $13.1 million for the three and nine months ended September 30, 2024, respectively</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rFonts w:ascii="Times New Roman;serif" w:hAnsi="Times New Roman;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definition of adjusted EBITDA and why management believes this measure provides useful information to investors, see “—Key Performance Indicators.”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following table provides a reconciliation of net (loss) income to adjusted EBITDA for the three and nine months ended September 30, 2025 and 2024:</w:t>
      </w:r>
      <w:r>
        <w:rPr>
          <w:color w:val="000000"/>
        </w:rPr>
        <w:t xml:space="preserve"> </w:t>
      </w:r>
    </w:p>
    <w:tbl>
      <w:tblPr>
        <w:tblW w:w="8301" w:type="dxa"/>
        <w:jc w:val="left"/>
        <w:tblInd w:w="0" w:type="dxa"/>
        <w:tblLayout w:type="fixed"/>
        <w:tblCellMar>
          <w:top w:w="28" w:type="dxa"/>
          <w:left w:w="28" w:type="dxa"/>
          <w:bottom w:w="28" w:type="dxa"/>
          <w:right w:w="28" w:type="dxa"/>
        </w:tblCellMar>
      </w:tblPr>
      <w:tblGrid>
        <w:gridCol w:w="960"/>
        <w:gridCol w:w="845"/>
        <w:gridCol w:w="850"/>
        <w:gridCol w:w="284"/>
        <w:gridCol w:w="690"/>
        <w:gridCol w:w="147"/>
        <w:gridCol w:w="147"/>
        <w:gridCol w:w="147"/>
        <w:gridCol w:w="147"/>
        <w:gridCol w:w="284"/>
        <w:gridCol w:w="690"/>
        <w:gridCol w:w="147"/>
        <w:gridCol w:w="109"/>
        <w:gridCol w:w="109"/>
        <w:gridCol w:w="109"/>
        <w:gridCol w:w="260"/>
        <w:gridCol w:w="760"/>
        <w:gridCol w:w="134"/>
        <w:gridCol w:w="134"/>
        <w:gridCol w:w="134"/>
        <w:gridCol w:w="134"/>
        <w:gridCol w:w="260"/>
        <w:gridCol w:w="630"/>
        <w:gridCol w:w="190"/>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compensation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Restructuring costs consist of employee costs and real estate exit costs. This includes depreciation and amortization of zero and $0.1 million for the three and nine months ended September 30, 2025 and zero and $0.2 million for the three and nine months ended September 30, 2024, respectively.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Other primarily reflects legal costs and other items that do not reflect our ongoing operating performance. Legal and other fees related to the 2022 misappropriation of funds by a former senior marketing employee of $0.1 million for the three and nine months ended September 30, 2025 and zero and $0.5 million for the three and nine months ended September 30, 2024, respectively.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operations primarily through sales of insurance policies and the net proceeds we have received from our issuance of stock and debt.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events may impact our liquidity, such as the economic instability resulting in acute inflationary pressures, supply chain disruptions, changes in interest rates, government shutdowns, new or increased tariffs,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Conditions in the capital and credit markets, including instability and uncertainty, as well as broader economic factors such as government shutdowns or changes in tariff policy, including the imposition of new or retaliatory tariffs, can also influence the returns, liquidity, valuation, and types of our investments. Additionally,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retaining more or less of our business in the future. To the extent we retain a larger share of our book of business, our capital requirements may increase.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Regulatory Considerations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organized as a holding company, but our primary operations are conducted by three of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During the nine months ended September 30, 2025, the Ohio Department of Insurance approved Root Insurance Company to distribute three extraordinary dividends. As a result, over that period, $30.0 million has been distributed to Caret Holdings, Inc., its parent company, net of capital contributions made by Caret Holdings, Inc. to our regulated insurance entities.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2025, our insurance subsidiaries maintained a risk-based capital level that is in excess of an amount that would require any corrective actions on our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wholly-owned, Cayman Islands-based reinsurance subsidiary, Root Reinsurance Company, Ltd., or Root Re, maintains a Class B(iii) insurer license under Cayman Islands Monetary Authority, or CIMA. At September 30, 2025, Root Re was subject to compliance with certain capital levels and a net premiums earned to capital ratio up to 15:1, which we maintained as of September 30, 2025. The capital ratio can fluctuate at Root Re’s election, subject to regulatory approval. Root Re’s primary sources of funds are assumed insurance premiums, net investment income and capital contributions from the holding company. These funds are primarily used to pay claims and operating expenses and to purchase investments. Root Re must notify CIMA before it can pay any dividend to the holding company. During the nine months ended September 30, 2025, Root Re distributed dividends of $50.0 million to Caret Holdings, Inc.</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Financing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the Amended Term Loan with the principal amount due and payable upon maturity on October 29, 2030. Interest is payable quarterly and determined on a floating interest rate calculated on the Secured Overnight Financing Rate with a 1.0% floor, plus an applicable margin ranging from 5.25% to 6.00% based upon the debt-to-capital ratio payable quarterly.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$653.3 million in cash and cash equivalents, of which $308.5 million was held outside of regulated insurance entities. We also had $357.8 million in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primarily consist of bank deposits and money market funds. Our marketable securities primarily consist of U.S. Treasury securities, municipal securities, corporate debt securities, and asset-backed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Tax withholding obligations arise upon vesting of shares of service-based restricted stock units, or RSUs, performance-based restricted stock units, and market-based restricted stock units, and these obligations must be satisfied at the time they arise through cash payments remitted to the relevant tax authorities. To the extent we satisfy our tax withholding obligations with respect to these equity compensation awards by withholding shares and remitting cash to the relevant tax authorities, the amount of cash payments due for taxes upon the vesting of such equity compensation awards is dependent on the price of our Class A common stock on the applicable vesting dates and could be substantial. Future obligations could have a negative impact on our liquidity and ability to use funds for operational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illustrative purposes, assuming a stock price of $88.04 per share (the closing price of our shares of Class A common stock on the The Nasdaq Stock Market on October 1, 2025), we estimate that our tax withholding obligations on account of remaining vesting events for the fourth quarter of 2025 and the first, second and third quarter of 2026 of approximately $2.4 million, $4.2 million, $8.5 million and $1.5 million, respectively.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debt covenants required cash and cash equivalents held in entities other than our insurance subsidiaries to be at least $50.0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 data for the periods presented:</w:t>
      </w:r>
    </w:p>
    <w:tbl>
      <w:tblPr>
        <w:tblW w:w="6102" w:type="dxa"/>
        <w:jc w:val="left"/>
        <w:tblInd w:w="0" w:type="dxa"/>
        <w:tblLayout w:type="fixed"/>
        <w:tblCellMar>
          <w:top w:w="28" w:type="dxa"/>
          <w:left w:w="28" w:type="dxa"/>
          <w:bottom w:w="28" w:type="dxa"/>
          <w:right w:w="28" w:type="dxa"/>
        </w:tblCellMar>
      </w:tblPr>
      <w:tblGrid>
        <w:gridCol w:w="1254"/>
        <w:gridCol w:w="1104"/>
        <w:gridCol w:w="1107"/>
        <w:gridCol w:w="248"/>
        <w:gridCol w:w="724"/>
        <w:gridCol w:w="128"/>
        <w:gridCol w:w="128"/>
        <w:gridCol w:w="128"/>
        <w:gridCol w:w="128"/>
        <w:gridCol w:w="248"/>
        <w:gridCol w:w="724"/>
        <w:gridCol w:w="181"/>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nine months ended September 30, 2025 was $136.4 million compared to $126.5 million for the nine months ended September 30, 2024. The increase in cash provided by operating activities was due to timing of reinsurance receipts and higher net income between the periods. This was partially offset by a change in loss and LAE reserves due to greater growth in policies in force in the nine months ended September 30, 2024, compared to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nine months ended September 30, 2025 was $59.2 million compared to $114.1 million for the nine months ended September 30, 2024. The decrease in cash used in investing activities was primarily due to lower purchases of investments and higher proceeds from maturities, calls and pay downs of investments for the nine months ended September 30, 2025 compared to the same period in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nine months ended September 30, 2025 was $23.1 million compared to $16.3 million for the nine months ended September 30, 2024. The increase in cash used in financing activities was primarily due to higher tax withholding obligations arising from the vesting of shares of RSUs and market-based restricted stock units during the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Material Cash Requirements from Contractual and Other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and other obligations from those described in our 2024 10-K. We believe we have sufficient resources, and access to additional debt and equity capital, to adequately meet our obligations as they come due.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and receivable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under the heading “Management’s Discussion and Analysis of Financial Condition and Results of Operations—Critical Accounting Estimates,” in our 2024 10-K and the Notes to Condensed Consolidated Financial Statements - Unaudited appearing elsewhere in this Quarterly Report on Form 10-Q. During the nine months ended September 30, 2025, there were no material changes to our critical accounting estimates from those discussed in our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quantitative and qualitative market risk disclosures included in the 2024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September 30,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September 30, 2025 that have materially affected, or are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party to litigation and legal proceedings relating to our business operations. While the outcome of all legal actions is not presently determinable, we do not believe that we are party to any current or pending legal action that could reasonably be expected to have a material adverse effect on our financial condition or results of operations and cash flows. </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our risk factors from those disclosed in the 2024 10-K. In addition to the other information set forth in this Quarterly Report on Form 10-Q, you should carefully consider the risk factors discussed in Part I, Item 1A. “Risk Factors,” in the 2024 10-K. You should not interpret the disclosure of any risk factor to imply the risk has not already materialized.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stock. We currently intend to retain all available funds and future earnings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Dividend, Repurchase and Working Capital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of dividends by our insurance subsidiaries is subject to restrictions set forth in the insurance laws and regulations of the State of Ohio and the State of Florida. Our domestic insurance subsidiaries are not permitted to pay any dividends without approval of the applicable superintendent, commissioner and/or director. See the section titled “Risk Factors—Risks Related to Our Business—Failure to maintain our risk-based capital at the required levels could adversely affect our ability to maintain regulatory authority to conduct our business,” included in the 2024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supervisory Department of Insurance may, in the future, adopt statutory provisions more restrictive than those currently in effect.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Amended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Amended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under the Exchange Act) adopted, modified, or terminated a Rule 10b5-1 trading arrangement or a non-Rule 10b5-1 trading arrangement (as each term is defined in Item 408 of Regulation S-K) during the Company’s fiscal quarter ended September 30, 2025.</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789"/>
        <w:gridCol w:w="1561"/>
        <w:gridCol w:w="1567"/>
        <w:gridCol w:w="177"/>
        <w:gridCol w:w="177"/>
        <w:gridCol w:w="164"/>
        <w:gridCol w:w="291"/>
        <w:gridCol w:w="291"/>
        <w:gridCol w:w="293"/>
        <w:gridCol w:w="210"/>
        <w:gridCol w:w="210"/>
        <w:gridCol w:w="211"/>
        <w:gridCol w:w="406"/>
        <w:gridCol w:w="273"/>
        <w:gridCol w:w="257"/>
        <w:gridCol w:w="297"/>
        <w:gridCol w:w="297"/>
        <w:gridCol w:w="298"/>
        <w:gridCol w:w="109"/>
        <w:gridCol w:w="109"/>
        <w:gridCol w:w="163"/>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15,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22, 2023</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Form of Class A common stock certificate of the Registrant.</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20, 2020</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 2021</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27, 2022</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First Amendment to Form of Common Stock Purchase Warrant (Tranche 1), dated October 29, 2024</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30, 2024</w:t>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rootincrsuagreementgra.htm">
              <w:r>
                <w:rPr>
                  <w:rStyle w:val="InternetLink"/>
                  <w:rFonts w:ascii="Times New Roman;serif" w:hAnsi="Times New Roman;serif"/>
                  <w:b w:val="false"/>
                  <w:color w:val="0000FF"/>
                  <w:sz w:val="18"/>
                  <w:u w:val="single"/>
                </w:rPr>
                <w:t>Root, Inc. RSU Award Grant Notice (Non-Employee Director Deferral)</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0" w:after="0"/>
        <w:jc w:val="right"/>
        <w:rPr/>
      </w:pPr>
      <w:r>
        <w:rPr/>
      </w:r>
    </w:p>
    <w:tbl>
      <w:tblPr>
        <w:tblW w:w="7257" w:type="dxa"/>
        <w:jc w:val="righ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34"/>
        <w:gridCol w:w="134"/>
        <w:gridCol w:w="136"/>
        <w:gridCol w:w="109"/>
        <w:gridCol w:w="109"/>
        <w:gridCol w:w="109"/>
        <w:gridCol w:w="109"/>
        <w:gridCol w:w="109"/>
        <w:gridCol w:w="109"/>
        <w:gridCol w:w="109"/>
        <w:gridCol w:w="109"/>
        <w:gridCol w:w="109"/>
        <w:gridCol w:w="910"/>
        <w:gridCol w:w="910"/>
        <w:gridCol w:w="129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Root,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18"/>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Forish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Forish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95095"/>
                <wp:effectExtent l="0" t="0" r="0" b="0"/>
                <wp:wrapNone/>
                <wp:docPr id="51" name="Frame51"/>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10.1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9"/>
        </w:rPr>
      </w:pPr>
      <w:r>
        <w:rPr>
          <w:rFonts w:ascii="Times New Roman;serif" w:hAnsi="Times New Roman;serif"/>
          <w:b/>
          <w:color w:val="000000"/>
          <w:sz w:val="19"/>
        </w:rPr>
        <w:t>Root, Inc.</w:t>
      </w:r>
    </w:p>
    <w:p>
      <w:pPr>
        <w:pStyle w:val="TextBody"/>
        <w:bidi w:val="0"/>
        <w:spacing w:lineRule="auto" w:line="268" w:before="0" w:after="0"/>
        <w:ind w:left="0" w:right="0" w:hanging="2"/>
        <w:jc w:val="center"/>
        <w:rPr>
          <w:rFonts w:ascii="Times New Roman;serif" w:hAnsi="Times New Roman;serif"/>
          <w:b/>
          <w:color w:val="000000"/>
          <w:sz w:val="19"/>
        </w:rPr>
      </w:pPr>
      <w:r>
        <w:rPr>
          <w:rFonts w:ascii="Times New Roman;serif" w:hAnsi="Times New Roman;serif"/>
          <w:b/>
          <w:color w:val="000000"/>
          <w:sz w:val="19"/>
        </w:rPr>
        <w:t>RSU AWARD GRANT NOTICE</w:t>
      </w:r>
    </w:p>
    <w:p>
      <w:pPr>
        <w:pStyle w:val="TextBody"/>
        <w:bidi w:val="0"/>
        <w:spacing w:lineRule="auto" w:line="268" w:before="0" w:after="180"/>
        <w:ind w:left="0" w:right="0" w:hanging="2"/>
        <w:jc w:val="center"/>
        <w:rPr>
          <w:rFonts w:ascii="Times New Roman;serif" w:hAnsi="Times New Roman;serif"/>
          <w:b w:val="false"/>
          <w:color w:val="000000"/>
          <w:sz w:val="19"/>
        </w:rPr>
      </w:pPr>
      <w:r>
        <w:rPr>
          <w:rFonts w:ascii="Times New Roman;serif" w:hAnsi="Times New Roman;serif"/>
          <w:b w:val="false"/>
          <w:color w:val="000000"/>
          <w:sz w:val="19"/>
        </w:rPr>
        <w:t>(2020 Equity Incentive Plan)</w:t>
      </w:r>
    </w:p>
    <w:p>
      <w:pPr>
        <w:pStyle w:val="TextBody"/>
        <w:bidi w:val="0"/>
        <w:spacing w:lineRule="auto" w:line="228" w:before="0" w:after="0"/>
        <w:ind w:left="0" w:right="0" w:hanging="2"/>
        <w:jc w:val="both"/>
        <w:rPr/>
      </w:pPr>
      <w:r>
        <w:rPr>
          <w:rFonts w:ascii="Times New Roman;serif" w:hAnsi="Times New Roman;serif"/>
          <w:b w:val="false"/>
          <w:color w:val="000000"/>
          <w:sz w:val="19"/>
        </w:rPr>
        <w:t xml:space="preserve">Root, Inc. (the </w:t>
      </w:r>
      <w:r>
        <w:rPr>
          <w:color w:val="000000"/>
        </w:rPr>
        <w:t>“</w:t>
      </w:r>
      <w:r>
        <w:rPr>
          <w:rFonts w:ascii="Times New Roman;serif" w:hAnsi="Times New Roman;serif"/>
          <w:b/>
          <w:i/>
          <w:color w:val="000000"/>
          <w:sz w:val="19"/>
        </w:rPr>
        <w:t>Company”</w:t>
      </w:r>
      <w:r>
        <w:rPr>
          <w:rFonts w:ascii="Times New Roman;serif" w:hAnsi="Times New Roman;serif"/>
          <w:b w:val="false"/>
          <w:color w:val="000000"/>
          <w:sz w:val="19"/>
        </w:rPr>
        <w:t>) has awarded to you (the “</w:t>
      </w:r>
      <w:r>
        <w:rPr>
          <w:rFonts w:ascii="Times New Roman;serif" w:hAnsi="Times New Roman;serif"/>
          <w:b/>
          <w:i/>
          <w:color w:val="000000"/>
          <w:sz w:val="19"/>
        </w:rPr>
        <w:t>Participant</w:t>
      </w:r>
      <w:r>
        <w:rPr>
          <w:color w:val="000000"/>
        </w:rPr>
        <w:t>”</w:t>
      </w:r>
      <w:r>
        <w:rPr>
          <w:rFonts w:ascii="Times New Roman;serif" w:hAnsi="Times New Roman;serif"/>
          <w:b w:val="false"/>
          <w:color w:val="000000"/>
          <w:sz w:val="19"/>
        </w:rPr>
        <w:t xml:space="preserve">) the number of restricted stock units specified and on the terms set forth below in consideration of your services (the </w:t>
      </w:r>
      <w:r>
        <w:rPr>
          <w:color w:val="000000"/>
        </w:rPr>
        <w:t>“</w:t>
      </w:r>
      <w:r>
        <w:rPr>
          <w:rFonts w:ascii="Times New Roman;serif" w:hAnsi="Times New Roman;serif"/>
          <w:b/>
          <w:i/>
          <w:color w:val="000000"/>
          <w:sz w:val="19"/>
        </w:rPr>
        <w:t>RSU Award”</w:t>
      </w:r>
      <w:r>
        <w:rPr>
          <w:rFonts w:ascii="Times New Roman;serif" w:hAnsi="Times New Roman;serif"/>
          <w:b w:val="false"/>
          <w:color w:val="000000"/>
          <w:sz w:val="19"/>
        </w:rPr>
        <w:t xml:space="preserve">). Your RSU Award is subject to all of the terms and conditions as set forth herein and in the Company’s 2020 Equity Incentive Plan (the </w:t>
      </w:r>
      <w:r>
        <w:rPr>
          <w:color w:val="000000"/>
        </w:rPr>
        <w:t>“</w:t>
      </w:r>
      <w:r>
        <w:rPr>
          <w:rFonts w:ascii="Times New Roman;serif" w:hAnsi="Times New Roman;serif"/>
          <w:b/>
          <w:i/>
          <w:color w:val="000000"/>
          <w:sz w:val="19"/>
        </w:rPr>
        <w:t>Plan”</w:t>
      </w:r>
      <w:r>
        <w:rPr>
          <w:rFonts w:ascii="Times New Roman;serif" w:hAnsi="Times New Roman;serif"/>
          <w:b w:val="false"/>
          <w:color w:val="000000"/>
          <w:sz w:val="19"/>
        </w:rPr>
        <w:t>), the Award Agreement (the “</w:t>
      </w:r>
      <w:r>
        <w:rPr>
          <w:rFonts w:ascii="Times New Roman;serif" w:hAnsi="Times New Roman;serif"/>
          <w:b/>
          <w:i/>
          <w:color w:val="000000"/>
          <w:sz w:val="19"/>
        </w:rPr>
        <w:t>Agreement</w:t>
      </w:r>
      <w:r>
        <w:rPr>
          <w:color w:val="000000"/>
        </w:rPr>
        <w:t>”</w:t>
      </w:r>
      <w:r>
        <w:rPr>
          <w:rFonts w:ascii="Times New Roman;serif" w:hAnsi="Times New Roman;serif"/>
          <w:b w:val="false"/>
          <w:color w:val="000000"/>
          <w:sz w:val="19"/>
        </w:rPr>
        <w:t>), the Company’s Non-Employee Director Compensation Policy (the “</w:t>
      </w:r>
      <w:r>
        <w:rPr>
          <w:rFonts w:ascii="Times New Roman;serif" w:hAnsi="Times New Roman;serif"/>
          <w:b/>
          <w:i/>
          <w:color w:val="000000"/>
          <w:sz w:val="19"/>
        </w:rPr>
        <w:t>Policy</w:t>
      </w:r>
      <w:r>
        <w:rPr>
          <w:color w:val="000000"/>
        </w:rPr>
        <w:t>”</w:t>
      </w:r>
      <w:r>
        <w:rPr>
          <w:rFonts w:ascii="Times New Roman;serif" w:hAnsi="Times New Roman;serif"/>
          <w:b w:val="false"/>
          <w:color w:val="000000"/>
          <w:sz w:val="19"/>
        </w:rPr>
        <w:t>) and the applicable Restricted Stock Unit Deferral Election form for Eligible Directors submitted by the Participant in accordance with its terms (the “</w:t>
      </w:r>
      <w:r>
        <w:rPr>
          <w:rFonts w:ascii="Times New Roman;serif" w:hAnsi="Times New Roman;serif"/>
          <w:b/>
          <w:i/>
          <w:color w:val="000000"/>
          <w:sz w:val="19"/>
        </w:rPr>
        <w:t>Election Form</w:t>
      </w:r>
      <w:r>
        <w:rPr>
          <w:color w:val="000000"/>
        </w:rPr>
        <w:t>”</w:t>
      </w:r>
      <w:r>
        <w:rPr>
          <w:rFonts w:ascii="Times New Roman;serif" w:hAnsi="Times New Roman;serif"/>
          <w:b w:val="false"/>
          <w:color w:val="000000"/>
          <w:sz w:val="19"/>
        </w:rPr>
        <w:t>), which are incorporated herein in their entirety. Capitalized terms not explicitly defined herein but defined in the Plan or the Agreement shall have the meanings set forth in the Plan or the Agreement.</w:t>
      </w:r>
    </w:p>
    <w:p>
      <w:pPr>
        <w:pStyle w:val="TextBody"/>
        <w:bidi w:val="0"/>
        <w:spacing w:before="0" w:after="0"/>
        <w:ind w:left="0" w:right="0" w:hanging="2"/>
        <w:jc w:val="both"/>
        <w:rPr/>
      </w:pPr>
      <w:r>
        <w:rPr/>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 xml:space="preserve">Participant: </w:t>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Date of Grant: </w:t>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 xml:space="preserve">Number of Restricted Stock Units: </w:t>
      </w:r>
    </w:p>
    <w:p>
      <w:pPr>
        <w:pStyle w:val="TextBody"/>
        <w:bidi w:val="0"/>
        <w:spacing w:lineRule="auto" w:line="268" w:before="0" w:after="0"/>
        <w:ind w:left="0" w:right="0" w:hanging="2"/>
        <w:jc w:val="left"/>
        <w:rPr/>
      </w:pPr>
      <w:r>
        <w:rPr>
          <w:rFonts w:ascii="Times New Roman;serif" w:hAnsi="Times New Roman;serif"/>
          <w:b/>
          <w:color w:val="000000"/>
          <w:sz w:val="19"/>
        </w:rPr>
        <w:t>Vesting Schedule</w:t>
      </w:r>
      <w:r>
        <w:rPr>
          <w:rFonts w:ascii="Times New Roman;serif" w:hAnsi="Times New Roman;serif"/>
          <w:b w:val="false"/>
          <w:color w:val="000000"/>
          <w:sz w:val="19"/>
        </w:rPr>
        <w:t xml:space="preserve">: </w:t>
      </w:r>
      <w:r>
        <w:rPr>
          <w:rFonts w:ascii="Times New Roman;serif" w:hAnsi="Times New Roman;serif"/>
          <w:b/>
          <w:color w:val="000000"/>
          <w:sz w:val="19"/>
        </w:rPr>
        <w:t>Please refer to Appendix: Vesting Schedule</w:t>
      </w:r>
    </w:p>
    <w:p>
      <w:pPr>
        <w:pStyle w:val="TextBody"/>
        <w:bidi w:val="0"/>
        <w:spacing w:lineRule="auto" w:line="230"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Notwithstanding the foregoing, vesting shall terminate upon the Participant’s termination of Continuous Service.</w:t>
      </w:r>
    </w:p>
    <w:p>
      <w:pPr>
        <w:pStyle w:val="TextBody"/>
        <w:bidi w:val="0"/>
        <w:spacing w:before="0" w:after="0"/>
        <w:ind w:left="0" w:right="0" w:hanging="2"/>
        <w:jc w:val="left"/>
        <w:rPr/>
      </w:pPr>
      <w:r>
        <w:rPr/>
      </w:r>
    </w:p>
    <w:p>
      <w:pPr>
        <w:pStyle w:val="TextBody"/>
        <w:bidi w:val="0"/>
        <w:spacing w:lineRule="auto" w:line="268" w:before="0" w:after="0"/>
        <w:ind w:left="0" w:right="0" w:hanging="2"/>
        <w:jc w:val="left"/>
        <w:rPr/>
      </w:pPr>
      <w:r>
        <w:rPr>
          <w:rFonts w:ascii="Times New Roman;serif" w:hAnsi="Times New Roman;serif"/>
          <w:b/>
          <w:color w:val="000000"/>
          <w:sz w:val="19"/>
        </w:rPr>
        <w:t xml:space="preserve">Issuance Schedule: </w:t>
      </w:r>
      <w:r>
        <w:rPr>
          <w:rFonts w:ascii="Times New Roman;serif" w:hAnsi="Times New Roman;serif"/>
          <w:b w:val="false"/>
          <w:color w:val="000000"/>
          <w:sz w:val="19"/>
        </w:rPr>
        <w:t>One share of Common Stock will be issued for each vested restricted stock unit at the time set forth in Section 5 of the Agreement. Subject to Sections 5 and 13 of the Award Agreement, and subject to any Capitalization Adjustment, one share of Common Stock will be issued for each Restricted Stock Unit that has vested under this Award on the first to occur of the following (such date, the “</w:t>
      </w:r>
      <w:r>
        <w:rPr>
          <w:rFonts w:ascii="Times New Roman;serif" w:hAnsi="Times New Roman;serif"/>
          <w:b/>
          <w:i/>
          <w:color w:val="000000"/>
          <w:sz w:val="19"/>
        </w:rPr>
        <w:t>Settlement Date</w:t>
      </w:r>
      <w:r>
        <w:rPr>
          <w:color w:val="000000"/>
        </w:rPr>
        <w:t>”</w:t>
      </w:r>
      <w:r>
        <w:rPr>
          <w:rFonts w:ascii="Times New Roman;serif" w:hAnsi="Times New Roman;serif"/>
          <w:b w:val="false"/>
          <w:color w:val="000000"/>
          <w:sz w:val="19"/>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9"/>
        </w:rPr>
        <w:t xml:space="preserve">Within 60 days following the date of the Participant’s retirement or other “separation from service” with the Company and all of its Affiliates (as determined in accordance with Section 409A(2)(A)(i) of the Code and Treasury Regulation Section 1.409A-1(h)).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19"/>
        </w:rPr>
        <w:t>Immediately prior to a Change in Control that also would constitute a “change in control event” (as defined under Treasury Regulation Section 1.409A-3(i)(5), a “</w:t>
      </w:r>
      <w:r>
        <w:rPr>
          <w:rFonts w:ascii="Times New Roman;serif" w:hAnsi="Times New Roman;serif"/>
          <w:b/>
          <w:i/>
          <w:color w:val="000000"/>
          <w:sz w:val="19"/>
        </w:rPr>
        <w:t>409A Change in Control</w:t>
      </w:r>
      <w:r>
        <w:rPr>
          <w:color w:val="000000"/>
        </w:rPr>
        <w:t>”</w:t>
      </w:r>
      <w:r>
        <w:rPr>
          <w:rFonts w:ascii="Times New Roman;serif" w:hAnsi="Times New Roman;serif"/>
          <w:b w:val="false"/>
          <w:color w:val="000000"/>
          <w:sz w:val="19"/>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20" w:before="0" w:after="0"/>
        <w:ind w:left="0" w:right="0" w:hanging="2"/>
        <w:jc w:val="left"/>
        <w:rPr/>
      </w:pPr>
      <w:r>
        <w:rPr>
          <w:rFonts w:ascii="Times New Roman;serif" w:hAnsi="Times New Roman;serif"/>
          <w:b/>
          <w:color w:val="000000"/>
          <w:sz w:val="19"/>
        </w:rPr>
        <w:t xml:space="preserve">Participant Acknowledgements: </w:t>
      </w:r>
      <w:r>
        <w:rPr>
          <w:rFonts w:ascii="Times New Roman;serif" w:hAnsi="Times New Roman;serif"/>
          <w:b w:val="false"/>
          <w:color w:val="000000"/>
          <w:sz w:val="19"/>
        </w:rPr>
        <w:t>By your signature below or by electronic acceptance or authentication in a form authorized by the Company, you understand and agree that:</w:t>
      </w:r>
    </w:p>
    <w:p>
      <w:pPr>
        <w:pStyle w:val="TextBody"/>
        <w:bidi w:val="0"/>
        <w:spacing w:before="0" w:after="0"/>
        <w:ind w:left="0" w:right="0" w:hanging="2"/>
        <w:jc w:val="left"/>
        <w:rPr/>
      </w:pPr>
      <w:r>
        <w:rPr/>
      </w:r>
    </w:p>
    <w:p>
      <w:pPr>
        <w:pStyle w:val="TextBody"/>
        <w:bidi w:val="0"/>
        <w:spacing w:lineRule="auto" w:line="220" w:before="0" w:after="0"/>
        <w:ind w:left="0" w:right="0" w:hanging="360"/>
        <w:jc w:val="both"/>
        <w:rPr/>
      </w:pPr>
      <w:r>
        <w:rPr>
          <w:color w:val="000000"/>
        </w:rPr>
        <w:t>•</w:t>
      </w:r>
      <w:r>
        <w:rPr>
          <w:rFonts w:ascii="Times New Roman;serif" w:hAnsi="Times New Roman;serif"/>
          <w:b w:val="false"/>
          <w:color w:val="000000"/>
          <w:sz w:val="19"/>
        </w:rPr>
        <w:t>The RSU Award is governed by this RSU Award Grant Notice (the “</w:t>
      </w:r>
      <w:r>
        <w:rPr>
          <w:rFonts w:ascii="Times New Roman;serif" w:hAnsi="Times New Roman;serif"/>
          <w:b/>
          <w:i/>
          <w:color w:val="000000"/>
          <w:sz w:val="19"/>
        </w:rPr>
        <w:t>Grant Notice</w:t>
      </w:r>
      <w:r>
        <w:rPr>
          <w:color w:val="000000"/>
        </w:rPr>
        <w:t>”</w:t>
      </w:r>
      <w:r>
        <w:rPr>
          <w:rFonts w:ascii="Times New Roman;serif" w:hAnsi="Times New Roman;serif"/>
          <w:b w:val="false"/>
          <w:color w:val="000000"/>
          <w:sz w:val="19"/>
        </w:rPr>
        <w:t>), and the provisions of the Plan and the Agreement, as well as the Policy and the Election Form, all of which are made a part of this document. Unless otherwise provided in the Plan, this Grant Notice and the Agreement (together, the “</w:t>
      </w:r>
      <w:r>
        <w:rPr>
          <w:rFonts w:ascii="Times New Roman;serif" w:hAnsi="Times New Roman;serif"/>
          <w:b/>
          <w:i/>
          <w:color w:val="000000"/>
          <w:sz w:val="19"/>
        </w:rPr>
        <w:t>RSU Award Agreement</w:t>
      </w:r>
      <w:r>
        <w:rPr>
          <w:color w:val="000000"/>
        </w:rPr>
        <w:t>”</w:t>
      </w:r>
      <w:r>
        <w:rPr>
          <w:rFonts w:ascii="Times New Roman;serif" w:hAnsi="Times New Roman;serif"/>
          <w:b w:val="false"/>
          <w:color w:val="000000"/>
          <w:sz w:val="19"/>
        </w:rPr>
        <w:t>) may not be modified, amended or revised except in a writing signed by you and a duly authorized officer of the Company.</w:t>
      </w:r>
    </w:p>
    <w:p>
      <w:pPr>
        <w:pStyle w:val="TextBody"/>
        <w:bidi w:val="0"/>
        <w:spacing w:before="0" w:after="0"/>
        <w:jc w:val="both"/>
        <w:rPr/>
      </w:pPr>
      <w:r>
        <w:rPr/>
      </w:r>
    </w:p>
    <w:p>
      <w:pPr>
        <w:pStyle w:val="TextBody"/>
        <w:bidi w:val="0"/>
        <w:spacing w:lineRule="auto" w:line="216" w:before="0" w:after="0"/>
        <w:ind w:left="0" w:right="0" w:hanging="360"/>
        <w:jc w:val="both"/>
        <w:rPr/>
      </w:pPr>
      <w:r>
        <w:rPr>
          <w:color w:val="000000"/>
        </w:rPr>
        <w:t>•</w:t>
      </w:r>
      <w:r>
        <w:rPr>
          <w:rFonts w:ascii="Times New Roman;serif" w:hAnsi="Times New Roman;serif"/>
          <w:b w:val="false"/>
          <w:color w:val="000000"/>
          <w:sz w:val="19"/>
        </w:rPr>
        <w:t>You have read and are familiar with the provisions of the Plan, the RSU Award Agreement and the Prospectus, as well as the Policy and Election Form. In the event of any conflict between the provisions in the RSU Award Agreement, or the Prospectus and the terms of the Plan, the terms of the Plan shall control.</w:t>
      </w:r>
    </w:p>
    <w:p>
      <w:pPr>
        <w:pStyle w:val="TextBody"/>
        <w:bidi w:val="0"/>
        <w:spacing w:before="0" w:after="0"/>
        <w:jc w:val="both"/>
        <w:rPr/>
      </w:pPr>
      <w:r>
        <w:rPr/>
      </w:r>
    </w:p>
    <w:p>
      <w:pPr>
        <w:pStyle w:val="TextBody"/>
        <w:bidi w:val="0"/>
        <w:spacing w:lineRule="auto" w:line="220" w:before="0" w:after="0"/>
        <w:ind w:left="0" w:right="0" w:hanging="360"/>
        <w:jc w:val="both"/>
        <w:rPr/>
      </w:pPr>
      <w:r>
        <w:rPr>
          <w:color w:val="000000"/>
        </w:rPr>
        <w:t>•</w:t>
      </w:r>
      <w:r>
        <w:rPr>
          <w:rFonts w:ascii="Times New Roman;serif" w:hAnsi="Times New Roman;serif"/>
          <w:b w:val="false"/>
          <w:color w:val="000000"/>
          <w:sz w:val="19"/>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spacing w:before="0" w:after="0"/>
        <w:jc w:val="both"/>
        <w:rPr/>
      </w:pPr>
      <w:r>
        <w:rPr/>
      </w:r>
    </w:p>
    <w:p>
      <w:pPr>
        <w:pStyle w:val="TextBody"/>
        <w:bidi w:val="0"/>
        <w:spacing w:lineRule="auto" w:line="268" w:before="0" w:after="0"/>
        <w:ind w:left="0" w:right="0" w:hanging="2"/>
        <w:jc w:val="left"/>
        <w:rPr>
          <w:rFonts w:ascii="Times New Roman;serif" w:hAnsi="Times New Roman;serif"/>
          <w:b/>
          <w:color w:val="000000"/>
          <w:sz w:val="19"/>
        </w:rPr>
      </w:pPr>
      <w:r>
        <w:rPr>
          <w:rFonts w:ascii="Times New Roman;serif" w:hAnsi="Times New Roman;serif"/>
          <w:b/>
          <w:color w:val="000000"/>
          <w:sz w:val="19"/>
        </w:rPr>
        <w:t>Root, Inc. Participant: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 xml:space="preserve">By: </w:t>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Signature Signature</w:t>
      </w:r>
    </w:p>
    <w:p>
      <w:pPr>
        <w:pStyle w:val="TextBody"/>
        <w:bidi w:val="0"/>
        <w:spacing w:before="0" w:after="0"/>
        <w:jc w:val="left"/>
        <w:rPr/>
      </w:pPr>
      <w:r>
        <w:rPr/>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 xml:space="preserve">Title: Chief Executive Officer Date: </w:t>
      </w:r>
    </w:p>
    <w:p>
      <w:pPr>
        <w:pStyle w:val="TextBody"/>
        <w:bidi w:val="0"/>
        <w:spacing w:before="0" w:after="0"/>
        <w:jc w:val="left"/>
        <w:rPr/>
      </w:pPr>
      <w:r>
        <w:rPr/>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 xml:space="preserve">Date: </w:t>
      </w:r>
    </w:p>
    <w:p>
      <w:pPr>
        <w:pStyle w:val="TextBody"/>
        <w:bidi w:val="0"/>
        <w:spacing w:lineRule="auto" w:line="268" w:before="0" w:after="0"/>
        <w:ind w:left="0" w:right="0" w:hanging="2"/>
        <w:jc w:val="left"/>
        <w:rPr/>
      </w:pPr>
      <w:r>
        <w:rPr>
          <w:rFonts w:ascii="Times New Roman;serif" w:hAnsi="Times New Roman;serif"/>
          <w:b/>
          <w:color w:val="000000"/>
          <w:sz w:val="19"/>
        </w:rPr>
        <w:t>Attachments</w:t>
      </w:r>
      <w:r>
        <w:rPr>
          <w:rFonts w:ascii="Times New Roman;serif" w:hAnsi="Times New Roman;serif"/>
          <w:b w:val="false"/>
          <w:color w:val="000000"/>
          <w:sz w:val="19"/>
        </w:rPr>
        <w:t>: Award Agreement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2"/>
        <w:jc w:val="center"/>
        <w:rPr>
          <w:rFonts w:ascii="Times New Roman;serif" w:hAnsi="Times New Roman;serif"/>
          <w:b/>
          <w:color w:val="000000"/>
          <w:sz w:val="19"/>
        </w:rPr>
      </w:pPr>
      <w:r>
        <w:rPr>
          <w:rFonts w:ascii="Times New Roman;serif" w:hAnsi="Times New Roman;serif"/>
          <w:b/>
          <w:color w:val="000000"/>
          <w:sz w:val="19"/>
        </w:rPr>
        <w:t>Root, Inc.</w:t>
      </w:r>
    </w:p>
    <w:p>
      <w:pPr>
        <w:pStyle w:val="TextBody"/>
        <w:bidi w:val="0"/>
        <w:spacing w:lineRule="auto" w:line="415" w:before="0" w:after="0"/>
        <w:ind w:left="0" w:right="0" w:hanging="2"/>
        <w:jc w:val="center"/>
        <w:rPr>
          <w:rFonts w:ascii="Times New Roman;serif" w:hAnsi="Times New Roman;serif"/>
          <w:b/>
          <w:color w:val="000000"/>
          <w:sz w:val="19"/>
        </w:rPr>
      </w:pPr>
      <w:r>
        <w:rPr>
          <w:rFonts w:ascii="Times New Roman;serif" w:hAnsi="Times New Roman;serif"/>
          <w:b/>
          <w:color w:val="000000"/>
          <w:sz w:val="19"/>
        </w:rPr>
        <w:t>2020 Equity Incentive Plan Award Agreement (RSU Award)</w:t>
      </w:r>
    </w:p>
    <w:p>
      <w:pPr>
        <w:pStyle w:val="TextBody"/>
        <w:bidi w:val="0"/>
        <w:spacing w:lineRule="auto" w:line="228" w:before="0" w:after="0"/>
        <w:ind w:left="0" w:right="0" w:hanging="2"/>
        <w:jc w:val="both"/>
        <w:rPr/>
      </w:pPr>
      <w:r>
        <w:rPr>
          <w:rFonts w:ascii="Times New Roman;serif" w:hAnsi="Times New Roman;serif"/>
          <w:b w:val="false"/>
          <w:color w:val="000000"/>
          <w:sz w:val="19"/>
        </w:rPr>
        <w:t>As reflected by your Restricted Stock Unit Grant Notice (“</w:t>
      </w:r>
      <w:r>
        <w:rPr>
          <w:rFonts w:ascii="Times New Roman;serif" w:hAnsi="Times New Roman;serif"/>
          <w:b/>
          <w:i/>
          <w:color w:val="000000"/>
          <w:sz w:val="19"/>
        </w:rPr>
        <w:t>Grant Notice</w:t>
      </w:r>
      <w:r>
        <w:rPr>
          <w:color w:val="000000"/>
        </w:rPr>
        <w:t>”</w:t>
      </w:r>
      <w:r>
        <w:rPr>
          <w:rFonts w:ascii="Times New Roman;serif" w:hAnsi="Times New Roman;serif"/>
          <w:b w:val="false"/>
          <w:color w:val="000000"/>
          <w:sz w:val="19"/>
        </w:rPr>
        <w:t>), Root, Inc. (the “</w:t>
      </w:r>
      <w:r>
        <w:rPr>
          <w:rFonts w:ascii="Times New Roman;serif" w:hAnsi="Times New Roman;serif"/>
          <w:b/>
          <w:i/>
          <w:color w:val="000000"/>
          <w:sz w:val="19"/>
        </w:rPr>
        <w:t>Company</w:t>
      </w:r>
      <w:r>
        <w:rPr>
          <w:color w:val="000000"/>
        </w:rPr>
        <w:t>”</w:t>
      </w:r>
      <w:r>
        <w:rPr>
          <w:rFonts w:ascii="Times New Roman;serif" w:hAnsi="Times New Roman;serif"/>
          <w:b w:val="false"/>
          <w:color w:val="000000"/>
          <w:sz w:val="19"/>
        </w:rPr>
        <w:t>) has granted you a RSU Award under its 2020 Equity Incentive Plan (the “</w:t>
      </w:r>
      <w:r>
        <w:rPr>
          <w:rFonts w:ascii="Times New Roman;serif" w:hAnsi="Times New Roman;serif"/>
          <w:b/>
          <w:i/>
          <w:color w:val="000000"/>
          <w:sz w:val="19"/>
        </w:rPr>
        <w:t>Plan</w:t>
      </w:r>
      <w:r>
        <w:rPr>
          <w:color w:val="000000"/>
        </w:rPr>
        <w:t>”</w:t>
      </w:r>
      <w:r>
        <w:rPr>
          <w:rFonts w:ascii="Times New Roman;serif" w:hAnsi="Times New Roman;serif"/>
          <w:b w:val="false"/>
          <w:color w:val="000000"/>
          <w:sz w:val="19"/>
        </w:rPr>
        <w:t>) for the number of restricted stock units as indicated in your Grant Notice (the “</w:t>
      </w:r>
      <w:r>
        <w:rPr>
          <w:rFonts w:ascii="Times New Roman;serif" w:hAnsi="Times New Roman;serif"/>
          <w:b/>
          <w:i/>
          <w:color w:val="000000"/>
          <w:sz w:val="19"/>
        </w:rPr>
        <w:t>RSU Award</w:t>
      </w:r>
      <w:r>
        <w:rPr>
          <w:color w:val="000000"/>
        </w:rPr>
        <w:t>”</w:t>
      </w:r>
      <w:r>
        <w:rPr>
          <w:rFonts w:ascii="Times New Roman;serif" w:hAnsi="Times New Roman;serif"/>
          <w:b w:val="false"/>
          <w:color w:val="000000"/>
          <w:sz w:val="19"/>
        </w:rPr>
        <w:t>). The terms of your RSU Award as specified in this Award Agreement for your RSU Award (the “</w:t>
      </w:r>
      <w:r>
        <w:rPr>
          <w:rFonts w:ascii="Times New Roman;serif" w:hAnsi="Times New Roman;serif"/>
          <w:b/>
          <w:i/>
          <w:color w:val="000000"/>
          <w:sz w:val="19"/>
        </w:rPr>
        <w:t>Agreement</w:t>
      </w:r>
      <w:r>
        <w:rPr>
          <w:color w:val="000000"/>
        </w:rPr>
        <w:t>”</w:t>
      </w:r>
      <w:r>
        <w:rPr>
          <w:rFonts w:ascii="Times New Roman;serif" w:hAnsi="Times New Roman;serif"/>
          <w:b w:val="false"/>
          <w:color w:val="000000"/>
          <w:sz w:val="19"/>
        </w:rPr>
        <w:t>) and the Grant Notice constitute your “</w:t>
      </w:r>
      <w:r>
        <w:rPr>
          <w:rFonts w:ascii="Times New Roman;serif" w:hAnsi="Times New Roman;serif"/>
          <w:b/>
          <w:i/>
          <w:color w:val="000000"/>
          <w:sz w:val="19"/>
        </w:rPr>
        <w:t>RSU Award Agreement</w:t>
      </w:r>
      <w:r>
        <w:rPr>
          <w:color w:val="000000"/>
        </w:rPr>
        <w:t>”</w:t>
      </w:r>
      <w:r>
        <w:rPr>
          <w:rFonts w:ascii="Times New Roman;serif" w:hAnsi="Times New Roman;serif"/>
          <w:b w:val="false"/>
          <w:color w:val="000000"/>
          <w:sz w:val="19"/>
        </w:rPr>
        <w:t>. Defined terms not explicitly defined in this Agreement but defined in the Grant Notice or the Plan shall have the same definitions as in the Grant Notice or Plan, as applicable.</w:t>
      </w:r>
    </w:p>
    <w:p>
      <w:pPr>
        <w:pStyle w:val="TextBody"/>
        <w:bidi w:val="0"/>
        <w:spacing w:before="0" w:after="0"/>
        <w:ind w:left="0" w:right="0" w:hanging="2"/>
        <w:jc w:val="both"/>
        <w:rPr/>
      </w:pPr>
      <w:r>
        <w:rPr/>
      </w:r>
    </w:p>
    <w:p>
      <w:pPr>
        <w:pStyle w:val="TextBody"/>
        <w:bidi w:val="0"/>
        <w:spacing w:lineRule="auto" w:line="268" w:before="0" w:after="0"/>
        <w:ind w:left="0" w:right="0" w:hanging="2"/>
        <w:jc w:val="left"/>
        <w:rPr>
          <w:rFonts w:ascii="Times New Roman;serif" w:hAnsi="Times New Roman;serif"/>
          <w:b w:val="false"/>
          <w:color w:val="000000"/>
          <w:sz w:val="19"/>
        </w:rPr>
      </w:pPr>
      <w:r>
        <w:rPr>
          <w:rFonts w:ascii="Times New Roman;serif" w:hAnsi="Times New Roman;serif"/>
          <w:b w:val="false"/>
          <w:color w:val="000000"/>
          <w:sz w:val="19"/>
        </w:rPr>
        <w:t>The general terms applicable to your RSU Award are as follows:</w:t>
      </w:r>
    </w:p>
    <w:p>
      <w:pPr>
        <w:pStyle w:val="TextBody"/>
        <w:bidi w:val="0"/>
        <w:spacing w:before="0" w:after="0"/>
        <w:ind w:left="0" w:right="0" w:hanging="2"/>
        <w:jc w:val="left"/>
        <w:rPr/>
      </w:pPr>
      <w:r>
        <w:rPr/>
      </w:r>
    </w:p>
    <w:p>
      <w:pPr>
        <w:pStyle w:val="TextBody"/>
        <w:bidi w:val="0"/>
        <w:spacing w:lineRule="auto" w:line="228" w:before="0" w:after="0"/>
        <w:ind w:left="0" w:right="0" w:hanging="360"/>
        <w:jc w:val="both"/>
        <w:rPr/>
      </w:pPr>
      <w:r>
        <w:rPr>
          <w:rFonts w:ascii="Times New Roman;serif" w:hAnsi="Times New Roman;serif"/>
          <w:b/>
          <w:color w:val="000000"/>
          <w:sz w:val="19"/>
        </w:rPr>
        <w:t xml:space="preserve">1.Governing Plan Document. </w:t>
      </w:r>
      <w:r>
        <w:rPr>
          <w:rFonts w:ascii="Times New Roman;serif" w:hAnsi="Times New Roman;serif"/>
          <w:b w:val="false"/>
          <w:color w:val="000000"/>
          <w:sz w:val="19"/>
        </w:rPr>
        <w:t>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pStyle w:val="TextBody"/>
        <w:bidi w:val="0"/>
        <w:spacing w:before="0" w:after="0"/>
        <w:jc w:val="both"/>
        <w:rPr/>
      </w:pPr>
      <w:r>
        <w:rPr/>
      </w:r>
    </w:p>
    <w:p>
      <w:pPr>
        <w:pStyle w:val="TextBody"/>
        <w:bidi w:val="0"/>
        <w:spacing w:lineRule="auto" w:line="228" w:before="0" w:after="0"/>
        <w:ind w:left="0" w:right="0" w:hanging="360"/>
        <w:jc w:val="both"/>
        <w:rPr/>
      </w:pPr>
      <w:r>
        <w:rPr>
          <w:rFonts w:ascii="Times New Roman;serif" w:hAnsi="Times New Roman;serif"/>
          <w:b/>
          <w:color w:val="000000"/>
          <w:sz w:val="19"/>
        </w:rPr>
        <w:t xml:space="preserve">2.Grant of the RSU Award. </w:t>
      </w:r>
      <w:r>
        <w:rPr>
          <w:rFonts w:ascii="Times New Roman;serif" w:hAnsi="Times New Roman;serif"/>
          <w:b w:val="false"/>
          <w:color w:val="000000"/>
          <w:sz w:val="19"/>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erif" w:hAnsi="Times New Roman;serif"/>
          <w:b/>
          <w:i/>
          <w:color w:val="000000"/>
          <w:sz w:val="19"/>
        </w:rPr>
        <w:t>Restricted Stock Units</w:t>
      </w:r>
      <w:r>
        <w:rPr>
          <w:color w:val="000000"/>
        </w:rPr>
        <w:t>”</w:t>
      </w:r>
      <w:r>
        <w:rPr>
          <w:rFonts w:ascii="Times New Roman;serif" w:hAnsi="Times New Roman;serif"/>
          <w:b w:val="false"/>
          <w:color w:val="000000"/>
          <w:sz w:val="19"/>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before="0" w:after="0"/>
        <w:jc w:val="both"/>
        <w:rPr/>
      </w:pPr>
      <w:r>
        <w:rPr/>
      </w:r>
    </w:p>
    <w:p>
      <w:pPr>
        <w:pStyle w:val="TextBody"/>
        <w:bidi w:val="0"/>
        <w:spacing w:lineRule="auto" w:line="228" w:before="0" w:after="0"/>
        <w:ind w:left="0" w:right="0" w:hanging="360"/>
        <w:jc w:val="both"/>
        <w:rPr/>
      </w:pPr>
      <w:r>
        <w:rPr>
          <w:rFonts w:ascii="Times New Roman;serif" w:hAnsi="Times New Roman;serif"/>
          <w:b/>
          <w:color w:val="000000"/>
          <w:sz w:val="19"/>
        </w:rPr>
        <w:t xml:space="preserve">3.Dividends. </w:t>
      </w:r>
      <w:r>
        <w:rPr>
          <w:rFonts w:ascii="Times New Roman;serif" w:hAnsi="Times New Roman;serif"/>
          <w:b w:val="false"/>
          <w:color w:val="000000"/>
          <w:sz w:val="19"/>
        </w:rPr>
        <w:t>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pStyle w:val="TextBody"/>
        <w:bidi w:val="0"/>
        <w:spacing w:before="0" w:after="0"/>
        <w:jc w:val="both"/>
        <w:rPr/>
      </w:pPr>
      <w:r>
        <w:rPr/>
      </w:r>
    </w:p>
    <w:p>
      <w:pPr>
        <w:pStyle w:val="TextBody"/>
        <w:bidi w:val="0"/>
        <w:spacing w:lineRule="auto" w:line="268" w:before="0" w:after="0"/>
        <w:ind w:left="0" w:right="0" w:hanging="360"/>
        <w:jc w:val="left"/>
        <w:rPr>
          <w:rFonts w:ascii="Times New Roman;serif" w:hAnsi="Times New Roman;serif"/>
          <w:b/>
          <w:color w:val="000000"/>
          <w:sz w:val="19"/>
        </w:rPr>
      </w:pPr>
      <w:r>
        <w:rPr>
          <w:rFonts w:ascii="Times New Roman;serif" w:hAnsi="Times New Roman;serif"/>
          <w:b/>
          <w:color w:val="000000"/>
          <w:sz w:val="19"/>
        </w:rPr>
        <w:t>4.Withholding Obligations.</w:t>
      </w:r>
    </w:p>
    <w:p>
      <w:pPr>
        <w:pStyle w:val="TextBody"/>
        <w:bidi w:val="0"/>
        <w:spacing w:before="0" w:after="0"/>
        <w:jc w:val="left"/>
        <w:rPr/>
      </w:pPr>
      <w:r>
        <w:rPr/>
      </w:r>
    </w:p>
    <w:p>
      <w:pPr>
        <w:pStyle w:val="TextBody"/>
        <w:bidi w:val="0"/>
        <w:spacing w:lineRule="auto" w:line="228" w:before="0" w:after="0"/>
        <w:ind w:left="0" w:right="0" w:hanging="360"/>
        <w:jc w:val="both"/>
        <w:rPr/>
      </w:pPr>
      <w:r>
        <w:rPr>
          <w:rFonts w:ascii="Times New Roman;serif" w:hAnsi="Times New Roman;serif"/>
          <w:b/>
          <w:color w:val="000000"/>
          <w:sz w:val="19"/>
        </w:rPr>
        <w:t>(a)</w:t>
      </w:r>
      <w:r>
        <w:rPr>
          <w:rFonts w:ascii="Times New Roman;serif" w:hAnsi="Times New Roman;serif"/>
          <w:b w:val="false"/>
          <w:color w:val="000000"/>
          <w:sz w:val="19"/>
        </w:rPr>
        <w:t>Regardless of any action taken by the Company or, if different, the Affiliate to which you provide Continuous Service (the “</w:t>
      </w:r>
      <w:r>
        <w:rPr>
          <w:rFonts w:ascii="Times New Roman;serif" w:hAnsi="Times New Roman;serif"/>
          <w:b/>
          <w:i/>
          <w:color w:val="000000"/>
          <w:sz w:val="19"/>
        </w:rPr>
        <w:t>Service Recipient</w:t>
      </w:r>
      <w:r>
        <w:rPr>
          <w:color w:val="000000"/>
        </w:rPr>
        <w:t>”</w:t>
      </w:r>
      <w:r>
        <w:rPr>
          <w:rFonts w:ascii="Times New Roman;serif" w:hAnsi="Times New Roman;serif"/>
          <w:b w:val="false"/>
          <w:color w:val="000000"/>
          <w:sz w:val="19"/>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erif" w:hAnsi="Times New Roman;serif"/>
          <w:b/>
          <w:i/>
          <w:color w:val="000000"/>
          <w:sz w:val="19"/>
        </w:rPr>
        <w:t>Tax Liability</w:t>
      </w:r>
      <w:r>
        <w:rPr>
          <w:color w:val="000000"/>
        </w:rPr>
        <w:t>”</w:t>
      </w:r>
      <w:r>
        <w:rPr>
          <w:rFonts w:ascii="Times New Roman;serif" w:hAnsi="Times New Roman;serif"/>
          <w:b w:val="false"/>
          <w:color w:val="000000"/>
          <w:sz w:val="19"/>
        </w:rPr>
        <w:t>),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w:t>
      </w:r>
    </w:p>
    <w:p>
      <w:pPr>
        <w:pStyle w:val="TextBody"/>
        <w:bidi w:val="0"/>
        <w:spacing w:before="0" w:after="0"/>
        <w:jc w:val="both"/>
        <w:rPr/>
      </w:pPr>
      <w:r>
        <w:rPr/>
      </w:r>
    </w:p>
    <w:p>
      <w:pPr>
        <w:pStyle w:val="TextBody"/>
        <w:bidi w:val="0"/>
        <w:spacing w:lineRule="auto" w:line="228"/>
        <w:ind w:left="0" w:right="0" w:hanging="360"/>
        <w:jc w:val="both"/>
        <w:rPr/>
      </w:pPr>
      <w:r>
        <w:rPr>
          <w:rFonts w:ascii="Times New Roman;serif" w:hAnsi="Times New Roman;serif"/>
          <w:b/>
          <w:color w:val="000000"/>
          <w:sz w:val="19"/>
        </w:rPr>
        <w:t>(b)</w:t>
      </w:r>
      <w:r>
        <w:rPr>
          <w:rFonts w:ascii="Times New Roman;serif" w:hAnsi="Times New Roman;serif"/>
          <w:b w:val="false"/>
          <w:color w:val="000000"/>
          <w:sz w:val="19"/>
        </w:rPr>
        <w:t xml:space="preserve">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w:t>
      </w:r>
      <w:r>
        <w:rPr>
          <w:rFonts w:ascii="Times New Roman;serif" w:hAnsi="Times New Roman;serif"/>
          <w:b w:val="false"/>
          <w:i/>
          <w:color w:val="000000"/>
          <w:sz w:val="19"/>
        </w:rPr>
        <w:t>provided</w:t>
      </w:r>
      <w:r>
        <w:rPr>
          <w:rFonts w:ascii="Times New Roman;serif" w:hAnsi="Times New Roman;serif"/>
          <w:b w:val="false"/>
          <w:color w:val="000000"/>
          <w:sz w:val="19"/>
        </w:rPr>
        <w:t>,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erif" w:hAnsi="Times New Roman;serif"/>
          <w:b/>
          <w:i/>
          <w:color w:val="000000"/>
          <w:sz w:val="19"/>
        </w:rPr>
        <w:t>FINRA Dealer</w:t>
      </w:r>
      <w:r>
        <w:rPr>
          <w:color w:val="000000"/>
        </w:rPr>
        <w:t>”</w:t>
      </w:r>
      <w:r>
        <w:rPr>
          <w:rFonts w:ascii="Times New Roman;serif" w:hAnsi="Times New Roman;serif"/>
          <w:b w:val="false"/>
          <w:color w:val="000000"/>
          <w:sz w:val="19"/>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28" w:before="0" w:after="0"/>
        <w:jc w:val="both"/>
        <w:rPr>
          <w:rFonts w:ascii="Times New Roman;serif" w:hAnsi="Times New Roman;serif"/>
          <w:b w:val="false"/>
          <w:color w:val="000000"/>
          <w:sz w:val="19"/>
        </w:rPr>
      </w:pPr>
      <w:r>
        <w:rPr>
          <w:rFonts w:ascii="Times New Roman;serif" w:hAnsi="Times New Roman;serif"/>
          <w:b w:val="false"/>
          <w:color w:val="000000"/>
          <w:sz w:val="19"/>
        </w:rPr>
        <w:t>Recipient (as applicable), you agree to indemnify and hold the Company and/or the Service Recipient (as applicable) harmless from any failure by the Company or the applicable Service Recipient to withhold the proper amount.</w:t>
      </w:r>
    </w:p>
    <w:p>
      <w:pPr>
        <w:pStyle w:val="TextBody"/>
        <w:bidi w:val="0"/>
        <w:spacing w:before="0" w:after="0"/>
        <w:jc w:val="both"/>
        <w:rPr/>
      </w:pPr>
      <w:r>
        <w:rPr/>
      </w:r>
    </w:p>
    <w:p>
      <w:pPr>
        <w:pStyle w:val="TextBody"/>
        <w:bidi w:val="0"/>
        <w:spacing w:lineRule="auto" w:line="228" w:before="0" w:after="0"/>
        <w:ind w:left="0" w:right="0" w:hanging="360"/>
        <w:jc w:val="both"/>
        <w:rPr/>
      </w:pPr>
      <w:r>
        <w:rPr>
          <w:rFonts w:ascii="Times New Roman;serif" w:hAnsi="Times New Roman;serif"/>
          <w:b/>
          <w:color w:val="000000"/>
          <w:sz w:val="19"/>
        </w:rPr>
        <w:t>(c)</w:t>
      </w:r>
      <w:r>
        <w:rPr>
          <w:rFonts w:ascii="Times New Roman;serif" w:hAnsi="Times New Roman;serif"/>
          <w:b w:val="false"/>
          <w:color w:val="000000"/>
          <w:sz w:val="19"/>
        </w:rPr>
        <w:t>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w:t>
      </w:r>
    </w:p>
    <w:p>
      <w:pPr>
        <w:pStyle w:val="TextBody"/>
        <w:bidi w:val="0"/>
        <w:spacing w:before="0" w:after="0"/>
        <w:jc w:val="both"/>
        <w:rPr/>
      </w:pPr>
      <w:r>
        <w:rPr/>
      </w:r>
    </w:p>
    <w:p>
      <w:pPr>
        <w:pStyle w:val="TextBody"/>
        <w:bidi w:val="0"/>
        <w:spacing w:lineRule="auto" w:line="228" w:before="0" w:after="0"/>
        <w:ind w:left="0" w:right="0" w:hanging="360"/>
        <w:jc w:val="both"/>
        <w:rPr/>
      </w:pPr>
      <w:r>
        <w:rPr>
          <w:rFonts w:ascii="Times New Roman;serif" w:hAnsi="Times New Roman;serif"/>
          <w:b/>
          <w:color w:val="000000"/>
          <w:sz w:val="19"/>
        </w:rPr>
        <w:t>(d)</w:t>
      </w:r>
      <w:r>
        <w:rPr>
          <w:rFonts w:ascii="Times New Roman;serif" w:hAnsi="Times New Roman;serif"/>
          <w:b w:val="false"/>
          <w:color w:val="000000"/>
          <w:sz w:val="19"/>
        </w:rPr>
        <w:t>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w:t>
      </w:r>
    </w:p>
    <w:p>
      <w:pPr>
        <w:pStyle w:val="TextBody"/>
        <w:bidi w:val="0"/>
        <w:spacing w:before="0" w:after="0"/>
        <w:jc w:val="both"/>
        <w:rPr/>
      </w:pPr>
      <w:r>
        <w:rPr/>
      </w:r>
    </w:p>
    <w:p>
      <w:pPr>
        <w:pStyle w:val="TextBody"/>
        <w:bidi w:val="0"/>
        <w:spacing w:lineRule="auto" w:line="276" w:before="0" w:after="0"/>
        <w:ind w:left="0" w:right="0" w:hanging="360"/>
        <w:jc w:val="left"/>
        <w:rPr/>
      </w:pPr>
      <w:r>
        <w:rPr>
          <w:rFonts w:ascii="Times New Roman;serif" w:hAnsi="Times New Roman;serif"/>
          <w:b/>
          <w:color w:val="000000"/>
          <w:sz w:val="19"/>
        </w:rPr>
        <w:t xml:space="preserve">5.Date of Issuance. </w:t>
      </w:r>
      <w:r>
        <w:rPr>
          <w:rFonts w:ascii="Times New Roman;serif" w:hAnsi="Times New Roman;serif"/>
          <w:b w:val="false"/>
          <w:color w:val="000000"/>
          <w:sz w:val="19"/>
        </w:rPr>
        <w:t>In the event that one or more Restricted Stock Units vests, subject to the satisfaction of the Tax Liability set forth in Section 4, the Company will issue to you one share of Common Stock for each vested Restricted Stock Unit on the Settlement Date determined under the Grant Notice, but in all cases, except as may be required by Section 13, not later than December 31 of the calendar year in which the Settlement Date occurs.</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 xml:space="preserve">6.Transferability. </w:t>
      </w:r>
      <w:r>
        <w:rPr>
          <w:rFonts w:ascii="Times New Roman;serif" w:hAnsi="Times New Roman;serif"/>
          <w:b w:val="false"/>
          <w:color w:val="000000"/>
          <w:sz w:val="19"/>
        </w:rPr>
        <w:t xml:space="preserve">Except as otherwise provided in the Plan, your RSU Award is not transferable, except by will or by the applicable laws of descent and distribution.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 xml:space="preserve">7.Corporate Transaction. </w:t>
      </w:r>
      <w:r>
        <w:rPr>
          <w:rFonts w:ascii="Times New Roman;serif" w:hAnsi="Times New Roman;serif"/>
          <w:b w:val="false"/>
          <w:color w:val="000000"/>
          <w:sz w:val="19"/>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8.No Liability for Taxes</w:t>
      </w:r>
      <w:r>
        <w:rPr>
          <w:rFonts w:ascii="Times New Roman;serif" w:hAnsi="Times New Roman;serif"/>
          <w:b w:val="false"/>
          <w:color w:val="000000"/>
          <w:sz w:val="19"/>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9.Severability</w:t>
      </w:r>
      <w:r>
        <w:rPr>
          <w:rFonts w:ascii="Times New Roman;serif" w:hAnsi="Times New Roman;serif"/>
          <w:b w:val="false"/>
          <w:color w:val="000000"/>
          <w:sz w:val="19"/>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 xml:space="preserve">10.Other Documents. </w:t>
      </w:r>
      <w:r>
        <w:rPr>
          <w:rFonts w:ascii="Times New Roman;serif" w:hAnsi="Times New Roman;serif"/>
          <w:b w:val="false"/>
          <w:color w:val="000000"/>
          <w:sz w:val="19"/>
        </w:rPr>
        <w:t xml:space="preserve">You hereby acknowledge receipt of or the right to receive a document providing the information required by Rule 428(b)(1) promulgated under the Securities Act, which includes the Prospectus. In addition, you acknowledge receipt of the Company’s Trading Policy. </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Times New Roman;serif" w:hAnsi="Times New Roman;serif"/>
          <w:b/>
          <w:color w:val="000000"/>
          <w:sz w:val="19"/>
        </w:rPr>
        <w:t xml:space="preserve">11.Questions. </w:t>
      </w:r>
      <w:r>
        <w:rPr>
          <w:rFonts w:ascii="Times New Roman;serif" w:hAnsi="Times New Roman;serif"/>
          <w:b w:val="false"/>
          <w:color w:val="000000"/>
          <w:sz w:val="19"/>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before="0" w:after="0"/>
        <w:jc w:val="left"/>
        <w:rPr/>
      </w:pPr>
      <w:r>
        <w:rPr/>
      </w:r>
    </w:p>
    <w:p>
      <w:pPr>
        <w:pStyle w:val="TextBody"/>
        <w:bidi w:val="0"/>
        <w:spacing w:lineRule="auto" w:line="276"/>
        <w:ind w:left="0" w:right="0" w:hanging="360"/>
        <w:jc w:val="left"/>
        <w:rPr/>
      </w:pPr>
      <w:r>
        <w:rPr>
          <w:rFonts w:ascii="Times New Roman;serif" w:hAnsi="Times New Roman;serif"/>
          <w:b/>
          <w:color w:val="000000"/>
          <w:sz w:val="19"/>
        </w:rPr>
        <w:t>12.Clawback/Recovery</w:t>
      </w:r>
      <w:r>
        <w:rPr>
          <w:rFonts w:ascii="Times New Roman;serif" w:hAnsi="Times New Roman;serif"/>
          <w:b w:val="false"/>
          <w:color w:val="000000"/>
          <w:sz w:val="19"/>
        </w:rPr>
        <w:t xml:space="preserve">. The RSU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(including via inclusion in an employment, severance or similar agreement with you), to the extent applicable and permissible under Applicable Law. No recovery of compensation under such a clawback policy will be an event giving rise to your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rFonts w:ascii="Times New Roman;serif" w:hAnsi="Times New Roman;serif"/>
          <w:b/>
          <w:color w:val="000000"/>
          <w:sz w:val="19"/>
        </w:rPr>
        <w:t>13.Compliance with Section 409A of the Code</w:t>
      </w:r>
      <w:r>
        <w:rPr>
          <w:rFonts w:ascii="Times New Roman;serif" w:hAnsi="Times New Roman;serif"/>
          <w:b w:val="false"/>
          <w:i/>
          <w:color w:val="000000"/>
          <w:sz w:val="19"/>
        </w:rPr>
        <w:t>.</w:t>
      </w:r>
      <w:r>
        <w:rPr>
          <w:color w:val="000000"/>
        </w:rPr>
        <w:t xml:space="preserve"> </w:t>
      </w:r>
      <w:r>
        <w:rPr>
          <w:rFonts w:ascii="Times New Roman;serif" w:hAnsi="Times New Roman;serif"/>
          <w:b w:val="false"/>
          <w:color w:val="000000"/>
          <w:sz w:val="19"/>
        </w:rPr>
        <w:t>This RSU Award is intended to comply with U.S. Treasury Regulation Section 1.409A-3(a) and will be construed and administered in such a manner. Each installment of Restricted Stock Units that vests hereunder is intended to constitute a “separate payment” for purposes of Treasury Regulation Section 1.409A-2(b)(2). If you are a “specified employee” for purposes of Section 409A of the Code upon your “separation from service” (as defined in the Grant Notice), the issuance of any shares, cash or other property that would otherwise be made on the date of your separation from service (or within the first six months thereafter as a result of your separation from service) will not be made on the originally scheduled date(s) and will instead be issued in a lump-sum on the earlier of (i) the date that is six months and one day after the date of the separation from service, (ii) the date of your death or (iii) a 409A Change in Control (as defined in the Grant Notice), but if and only if such delay in the issuance is necessary to avoid the imposition of taxation on you in respect of the shares, cash or property under Code Section 409A.</w:t>
      </w:r>
      <w:r>
        <w:rPr>
          <w:color w:val="000000"/>
        </w:rPr>
        <w:t xml:space="preserve">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554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910"/>
        <w:gridCol w:w="910"/>
        <w:gridCol w:w="129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94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36"/>
        <w:gridCol w:w="736"/>
        <w:gridCol w:w="104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3"/>
        <w:gridCol w:w="1533"/>
        <w:gridCol w:w="1533"/>
        <w:gridCol w:w="1533"/>
        <w:gridCol w:w="1533"/>
        <w:gridCol w:w="2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Quarterly Report on Form 10-Q for the period ended September 30, 2025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s://www.sec.gov/Archives/edgar/data/0001788882/000119312521289291/d236036dex31.htm" TargetMode="External"/><Relationship Id="rId6" Type="http://schemas.openxmlformats.org/officeDocument/2006/relationships/hyperlink" Target="https://www.sec.gov/Archives/edgar/data/1788882/000162828020014581/exhibit41-sx1a1xformof.htm" TargetMode="External"/><Relationship Id="rId7" Type="http://schemas.openxmlformats.org/officeDocument/2006/relationships/hyperlink" Target="https://www.sec.gov/Archives/edgar/data/0001788882/000119312521289291/d236036dex41.htm" TargetMode="External"/><Relationship Id="rId8" Type="http://schemas.openxmlformats.org/officeDocument/2006/relationships/hyperlink" Target="https://www.sec.gov/Archives/edgar/data/1788882/000119312522018949/d295910dex41.htm" TargetMode="External"/><Relationship Id="rId9" Type="http://schemas.openxmlformats.org/officeDocument/2006/relationships/hyperlink" Target="https://www.sec.gov/Archives/edgar/data/1788882/000162828024044321/a45firstamendmenttoformofc.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21856</Words>
  <Characters>120007</Characters>
  <CharactersWithSpaces>140168</CharactersWithSpaces>
  <Paragraphs>3234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