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52070</wp:posOffset>
            </wp:positionV>
            <wp:extent cx="1466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16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6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172" w:lineRule="exact"/>
        <w:rPr>
          <w:sz w:val="24"/>
          <w:szCs w:val="24"/>
          <w:color w:val="auto"/>
        </w:rPr>
      </w:pPr>
    </w:p>
    <w:p>
      <w:pPr>
        <w:jc w:val="center"/>
        <w:ind w:left="4000" w:right="1420" w:hanging="2587"/>
        <w:spacing w:after="0" w:line="258" w:lineRule="auto"/>
        <w:tabs>
          <w:tab w:leader="none" w:pos="160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2021</w:t>
      </w:r>
    </w:p>
    <w:p>
      <w:pPr>
        <w:jc w:val="center"/>
        <w:ind w:right="20"/>
        <w:spacing w:after="0"/>
        <w:rPr>
          <w:sz w:val="20"/>
          <w:szCs w:val="20"/>
          <w:color w:val="auto"/>
        </w:rPr>
      </w:pPr>
      <w:r>
        <w:rPr>
          <w:rFonts w:ascii="Arial" w:cs="Arial" w:eastAsia="Arial" w:hAnsi="Arial"/>
          <w:sz w:val="16"/>
          <w:szCs w:val="16"/>
          <w:b w:val="1"/>
          <w:bCs w:val="1"/>
          <w:color w:val="auto"/>
        </w:rPr>
        <w:t>or</w:t>
      </w:r>
    </w:p>
    <w:p>
      <w:pPr>
        <w:jc w:val="center"/>
        <w:ind w:left="3540" w:right="1420" w:hanging="2133"/>
        <w:spacing w:after="0" w:line="582" w:lineRule="auto"/>
        <w:tabs>
          <w:tab w:leader="none" w:pos="1598"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from____________to____________</w:t>
      </w:r>
    </w:p>
    <w:p>
      <w:pPr>
        <w:spacing w:after="0" w:line="117" w:lineRule="exact"/>
        <w:rPr>
          <w:sz w:val="24"/>
          <w:szCs w:val="24"/>
          <w:color w:val="auto"/>
        </w:rPr>
      </w:pPr>
    </w:p>
    <w:tbl>
      <w:tblPr>
        <w:tblLayout w:type="fixed"/>
        <w:tblInd w:w="680" w:type="dxa"/>
        <w:tblCellMar>
          <w:top w:w="0" w:type="dxa"/>
          <w:left w:w="0" w:type="dxa"/>
          <w:bottom w:w="0" w:type="dxa"/>
          <w:right w:w="0" w:type="dxa"/>
        </w:tblCellMar>
      </w:tblPr>
      <w:tr>
        <w:trPr>
          <w:trHeight w:val="182"/>
        </w:trPr>
        <w:tc>
          <w:tcPr>
            <w:tcW w:w="2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0" w:type="dxa"/>
            <w:vAlign w:val="bottom"/>
            <w:gridSpan w:val="2"/>
          </w:tcPr>
          <w:p>
            <w:pPr>
              <w:jc w:val="center"/>
              <w:ind w:right="3248"/>
              <w:spacing w:after="0"/>
              <w:rPr>
                <w:sz w:val="20"/>
                <w:szCs w:val="20"/>
                <w:color w:val="auto"/>
              </w:rPr>
            </w:pPr>
            <w:r>
              <w:rPr>
                <w:rFonts w:ascii="Arial" w:cs="Arial" w:eastAsia="Arial" w:hAnsi="Arial"/>
                <w:sz w:val="14"/>
                <w:szCs w:val="14"/>
                <w:color w:val="auto"/>
                <w:w w:val="94"/>
              </w:rPr>
              <w:t>Commission File Number: 001-39658</w:t>
            </w:r>
          </w:p>
        </w:tc>
      </w:tr>
      <w:tr>
        <w:trPr>
          <w:trHeight w:val="417"/>
        </w:trPr>
        <w:tc>
          <w:tcPr>
            <w:tcW w:w="2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0" w:type="dxa"/>
            <w:vAlign w:val="bottom"/>
            <w:gridSpan w:val="2"/>
          </w:tcPr>
          <w:p>
            <w:pPr>
              <w:jc w:val="center"/>
              <w:ind w:right="3248"/>
              <w:spacing w:after="0"/>
              <w:rPr>
                <w:sz w:val="20"/>
                <w:szCs w:val="20"/>
                <w:color w:val="auto"/>
              </w:rPr>
            </w:pPr>
            <w:r>
              <w:rPr>
                <w:rFonts w:ascii="Arial" w:cs="Arial" w:eastAsia="Arial" w:hAnsi="Arial"/>
                <w:sz w:val="32"/>
                <w:szCs w:val="32"/>
                <w:b w:val="1"/>
                <w:bCs w:val="1"/>
                <w:color w:val="auto"/>
              </w:rPr>
              <w:t>ROOT, INC.</w:t>
            </w:r>
          </w:p>
        </w:tc>
      </w:tr>
      <w:tr>
        <w:trPr>
          <w:trHeight w:val="210"/>
        </w:trPr>
        <w:tc>
          <w:tcPr>
            <w:tcW w:w="2740" w:type="dxa"/>
            <w:vAlign w:val="bottom"/>
          </w:tcPr>
          <w:p>
            <w:pPr>
              <w:spacing w:after="0"/>
              <w:rPr>
                <w:sz w:val="18"/>
                <w:szCs w:val="18"/>
                <w:color w:val="auto"/>
              </w:rPr>
            </w:pPr>
          </w:p>
        </w:tc>
        <w:tc>
          <w:tcPr>
            <w:tcW w:w="6660" w:type="dxa"/>
            <w:vAlign w:val="bottom"/>
            <w:gridSpan w:val="3"/>
          </w:tcPr>
          <w:p>
            <w:pPr>
              <w:jc w:val="center"/>
              <w:ind w:right="2168"/>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73"/>
        </w:trPr>
        <w:tc>
          <w:tcPr>
            <w:tcW w:w="2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3300" w:type="dxa"/>
            <w:vAlign w:val="bottom"/>
          </w:tcPr>
          <w:p>
            <w:pPr>
              <w:spacing w:after="0"/>
              <w:rPr>
                <w:sz w:val="6"/>
                <w:szCs w:val="6"/>
                <w:color w:val="auto"/>
              </w:rPr>
            </w:pPr>
          </w:p>
        </w:tc>
      </w:tr>
      <w:tr>
        <w:trPr>
          <w:trHeight w:val="319"/>
        </w:trPr>
        <w:tc>
          <w:tcPr>
            <w:tcW w:w="2740" w:type="dxa"/>
            <w:vAlign w:val="bottom"/>
          </w:tcPr>
          <w:p>
            <w:pPr>
              <w:jc w:val="center"/>
              <w:ind w:right="288"/>
              <w:spacing w:after="0"/>
              <w:rPr>
                <w:sz w:val="20"/>
                <w:szCs w:val="20"/>
                <w:color w:val="auto"/>
              </w:rPr>
            </w:pPr>
            <w:r>
              <w:rPr>
                <w:rFonts w:ascii="Arial" w:cs="Arial" w:eastAsia="Arial" w:hAnsi="Arial"/>
                <w:sz w:val="14"/>
                <w:szCs w:val="14"/>
                <w:b w:val="1"/>
                <w:bCs w:val="1"/>
                <w:color w:val="auto"/>
                <w:w w:val="94"/>
              </w:rPr>
              <w:t>Delaware</w:t>
            </w:r>
          </w:p>
        </w:tc>
        <w:tc>
          <w:tcPr>
            <w:tcW w:w="666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84-2717903</w:t>
            </w:r>
          </w:p>
        </w:tc>
      </w:tr>
      <w:tr>
        <w:trPr>
          <w:trHeight w:val="192"/>
        </w:trPr>
        <w:tc>
          <w:tcPr>
            <w:tcW w:w="2740" w:type="dxa"/>
            <w:vAlign w:val="bottom"/>
          </w:tcPr>
          <w:p>
            <w:pPr>
              <w:jc w:val="center"/>
              <w:ind w:right="268"/>
              <w:spacing w:after="0"/>
              <w:rPr>
                <w:sz w:val="20"/>
                <w:szCs w:val="20"/>
                <w:color w:val="auto"/>
              </w:rPr>
            </w:pPr>
            <w:r>
              <w:rPr>
                <w:rFonts w:ascii="Arial" w:cs="Arial" w:eastAsia="Arial" w:hAnsi="Arial"/>
                <w:sz w:val="14"/>
                <w:szCs w:val="14"/>
                <w:b w:val="1"/>
                <w:bCs w:val="1"/>
                <w:color w:val="auto"/>
                <w:w w:val="93"/>
              </w:rPr>
              <w:t>(State or other jurisdiction of</w:t>
            </w:r>
          </w:p>
        </w:tc>
        <w:tc>
          <w:tcPr>
            <w:tcW w:w="10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300" w:type="dxa"/>
            <w:vAlign w:val="bottom"/>
          </w:tcPr>
          <w:p>
            <w:pPr>
              <w:jc w:val="center"/>
              <w:ind w:left="178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40" w:type="dxa"/>
            <w:vAlign w:val="bottom"/>
          </w:tcPr>
          <w:p>
            <w:pPr>
              <w:jc w:val="center"/>
              <w:ind w:right="268"/>
              <w:spacing w:after="0"/>
              <w:rPr>
                <w:sz w:val="20"/>
                <w:szCs w:val="20"/>
                <w:color w:val="auto"/>
              </w:rPr>
            </w:pPr>
            <w:r>
              <w:rPr>
                <w:rFonts w:ascii="Arial" w:cs="Arial" w:eastAsia="Arial" w:hAnsi="Arial"/>
                <w:sz w:val="14"/>
                <w:szCs w:val="14"/>
                <w:b w:val="1"/>
                <w:bCs w:val="1"/>
                <w:color w:val="auto"/>
                <w:w w:val="94"/>
              </w:rPr>
              <w:t>incorporation or organization)</w:t>
            </w:r>
          </w:p>
        </w:tc>
        <w:tc>
          <w:tcPr>
            <w:tcW w:w="10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300" w:type="dxa"/>
            <w:vAlign w:val="bottom"/>
          </w:tcPr>
          <w:p>
            <w:pPr>
              <w:jc w:val="center"/>
              <w:ind w:left="1808"/>
              <w:spacing w:after="0"/>
              <w:rPr>
                <w:sz w:val="20"/>
                <w:szCs w:val="20"/>
                <w:color w:val="auto"/>
              </w:rPr>
            </w:pPr>
            <w:r>
              <w:rPr>
                <w:rFonts w:ascii="Arial" w:cs="Arial" w:eastAsia="Arial" w:hAnsi="Arial"/>
                <w:sz w:val="14"/>
                <w:szCs w:val="14"/>
                <w:b w:val="1"/>
                <w:bCs w:val="1"/>
                <w:color w:val="auto"/>
                <w:w w:val="95"/>
              </w:rPr>
              <w:t>Identification Number)</w:t>
            </w:r>
          </w:p>
        </w:tc>
      </w:tr>
      <w:tr>
        <w:trPr>
          <w:trHeight w:val="192"/>
        </w:trPr>
        <w:tc>
          <w:tcPr>
            <w:tcW w:w="2740" w:type="dxa"/>
            <w:vAlign w:val="bottom"/>
          </w:tcPr>
          <w:p>
            <w:pPr>
              <w:jc w:val="center"/>
              <w:ind w:right="268"/>
              <w:spacing w:after="0"/>
              <w:rPr>
                <w:sz w:val="20"/>
                <w:szCs w:val="20"/>
                <w:color w:val="auto"/>
              </w:rPr>
            </w:pPr>
            <w:r>
              <w:rPr>
                <w:rFonts w:ascii="Arial" w:cs="Arial" w:eastAsia="Arial" w:hAnsi="Arial"/>
                <w:sz w:val="14"/>
                <w:szCs w:val="14"/>
                <w:b w:val="1"/>
                <w:bCs w:val="1"/>
                <w:color w:val="auto"/>
                <w:w w:val="93"/>
              </w:rPr>
              <w:t>80 E. Rich Street, Suite 500</w:t>
            </w:r>
          </w:p>
        </w:tc>
        <w:tc>
          <w:tcPr>
            <w:tcW w:w="666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43215</w:t>
            </w:r>
          </w:p>
        </w:tc>
      </w:tr>
      <w:tr>
        <w:trPr>
          <w:trHeight w:val="186"/>
        </w:trPr>
        <w:tc>
          <w:tcPr>
            <w:tcW w:w="2740" w:type="dxa"/>
            <w:vAlign w:val="bottom"/>
          </w:tcPr>
          <w:p>
            <w:pPr>
              <w:jc w:val="center"/>
              <w:ind w:right="268"/>
              <w:spacing w:after="0"/>
              <w:rPr>
                <w:sz w:val="20"/>
                <w:szCs w:val="20"/>
                <w:color w:val="auto"/>
              </w:rPr>
            </w:pPr>
            <w:r>
              <w:rPr>
                <w:rFonts w:ascii="Arial" w:cs="Arial" w:eastAsia="Arial" w:hAnsi="Arial"/>
                <w:sz w:val="14"/>
                <w:szCs w:val="14"/>
                <w:b w:val="1"/>
                <w:bCs w:val="1"/>
                <w:color w:val="auto"/>
                <w:w w:val="92"/>
              </w:rPr>
              <w:t>Columbus, Ohio</w:t>
            </w:r>
          </w:p>
        </w:tc>
        <w:tc>
          <w:tcPr>
            <w:tcW w:w="10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300" w:type="dxa"/>
            <w:vAlign w:val="bottom"/>
          </w:tcPr>
          <w:p>
            <w:pPr>
              <w:spacing w:after="0"/>
              <w:rPr>
                <w:sz w:val="16"/>
                <w:szCs w:val="16"/>
                <w:color w:val="auto"/>
              </w:rPr>
            </w:pPr>
          </w:p>
        </w:tc>
      </w:tr>
      <w:tr>
        <w:trPr>
          <w:trHeight w:val="216"/>
        </w:trPr>
        <w:tc>
          <w:tcPr>
            <w:tcW w:w="2740" w:type="dxa"/>
            <w:vAlign w:val="bottom"/>
          </w:tcPr>
          <w:p>
            <w:pPr>
              <w:jc w:val="center"/>
              <w:ind w:right="28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0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300" w:type="dxa"/>
            <w:vAlign w:val="bottom"/>
          </w:tcPr>
          <w:p>
            <w:pPr>
              <w:jc w:val="center"/>
              <w:ind w:left="1788"/>
              <w:spacing w:after="0"/>
              <w:rPr>
                <w:sz w:val="20"/>
                <w:szCs w:val="20"/>
                <w:color w:val="auto"/>
              </w:rPr>
            </w:pPr>
            <w:r>
              <w:rPr>
                <w:rFonts w:ascii="Arial" w:cs="Arial" w:eastAsia="Arial" w:hAnsi="Arial"/>
                <w:sz w:val="14"/>
                <w:szCs w:val="14"/>
                <w:b w:val="1"/>
                <w:bCs w:val="1"/>
                <w:color w:val="auto"/>
                <w:w w:val="98"/>
              </w:rPr>
              <w:t>(Zip Code)</w:t>
            </w:r>
          </w:p>
        </w:tc>
      </w:tr>
      <w:tr>
        <w:trPr>
          <w:trHeight w:val="318"/>
        </w:trPr>
        <w:tc>
          <w:tcPr>
            <w:tcW w:w="2740" w:type="dxa"/>
            <w:vAlign w:val="bottom"/>
          </w:tcPr>
          <w:p>
            <w:pPr>
              <w:spacing w:after="0"/>
              <w:rPr>
                <w:sz w:val="24"/>
                <w:szCs w:val="24"/>
                <w:color w:val="auto"/>
              </w:rPr>
            </w:pPr>
          </w:p>
        </w:tc>
        <w:tc>
          <w:tcPr>
            <w:tcW w:w="3360" w:type="dxa"/>
            <w:vAlign w:val="bottom"/>
            <w:gridSpan w:val="2"/>
          </w:tcPr>
          <w:p>
            <w:pPr>
              <w:jc w:val="right"/>
              <w:ind w:right="323"/>
              <w:spacing w:after="0"/>
              <w:rPr>
                <w:sz w:val="20"/>
                <w:szCs w:val="20"/>
                <w:color w:val="auto"/>
              </w:rPr>
            </w:pPr>
            <w:r>
              <w:rPr>
                <w:rFonts w:ascii="Arial" w:cs="Arial" w:eastAsia="Arial" w:hAnsi="Arial"/>
                <w:sz w:val="18"/>
                <w:szCs w:val="18"/>
                <w:b w:val="1"/>
                <w:bCs w:val="1"/>
                <w:color w:val="auto"/>
              </w:rPr>
              <w:t>(866) 980-9431</w:t>
            </w:r>
          </w:p>
        </w:tc>
        <w:tc>
          <w:tcPr>
            <w:tcW w:w="3300" w:type="dxa"/>
            <w:vAlign w:val="bottom"/>
          </w:tcPr>
          <w:p>
            <w:pPr>
              <w:spacing w:after="0"/>
              <w:rPr>
                <w:sz w:val="24"/>
                <w:szCs w:val="24"/>
                <w:color w:val="auto"/>
              </w:rPr>
            </w:pPr>
          </w:p>
        </w:tc>
      </w:tr>
      <w:tr>
        <w:trPr>
          <w:trHeight w:val="234"/>
        </w:trPr>
        <w:tc>
          <w:tcPr>
            <w:tcW w:w="2740" w:type="dxa"/>
            <w:vAlign w:val="bottom"/>
          </w:tcPr>
          <w:p>
            <w:pPr>
              <w:spacing w:after="0"/>
              <w:rPr>
                <w:sz w:val="20"/>
                <w:szCs w:val="20"/>
                <w:color w:val="auto"/>
              </w:rPr>
            </w:pPr>
          </w:p>
        </w:tc>
        <w:tc>
          <w:tcPr>
            <w:tcW w:w="6660" w:type="dxa"/>
            <w:vAlign w:val="bottom"/>
            <w:gridSpan w:val="3"/>
          </w:tcPr>
          <w:p>
            <w:pPr>
              <w:jc w:val="center"/>
              <w:ind w:right="1848"/>
              <w:spacing w:after="0"/>
              <w:rPr>
                <w:sz w:val="20"/>
                <w:szCs w:val="20"/>
                <w:color w:val="auto"/>
              </w:rPr>
            </w:pPr>
            <w:r>
              <w:rPr>
                <w:rFonts w:ascii="Arial" w:cs="Arial" w:eastAsia="Arial" w:hAnsi="Arial"/>
                <w:sz w:val="18"/>
                <w:szCs w:val="18"/>
                <w:b w:val="1"/>
                <w:bCs w:val="1"/>
                <w:color w:val="auto"/>
                <w:w w:val="89"/>
              </w:rPr>
              <w:t>(Registrant’s telephone number, including area code)</w:t>
            </w:r>
          </w:p>
        </w:tc>
      </w:tr>
    </w:tbl>
    <w:p>
      <w:pPr>
        <w:spacing w:after="0" w:line="144"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57150</wp:posOffset>
            </wp:positionV>
            <wp:extent cx="14655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308"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0575"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351155"/>
                    </a:xfrm>
                    <a:prstGeom prst="rect">
                      <a:avLst/>
                    </a:prstGeom>
                    <a:noFill/>
                  </pic:spPr>
                </pic:pic>
              </a:graphicData>
            </a:graphic>
          </wp:anchor>
        </w:drawing>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32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2"/>
              </w:rPr>
              <w:t>Trading Symbol(s)</w:t>
            </w:r>
          </w:p>
        </w:tc>
        <w:tc>
          <w:tcPr>
            <w:tcW w:w="41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41"/>
        </w:trPr>
        <w:tc>
          <w:tcPr>
            <w:tcW w:w="3800" w:type="dxa"/>
            <w:vAlign w:val="bottom"/>
          </w:tcPr>
          <w:p>
            <w:pPr>
              <w:jc w:val="center"/>
              <w:spacing w:after="0" w:line="141" w:lineRule="exact"/>
              <w:rPr>
                <w:sz w:val="20"/>
                <w:szCs w:val="20"/>
                <w:color w:val="auto"/>
              </w:rPr>
            </w:pPr>
            <w:r>
              <w:rPr>
                <w:rFonts w:ascii="Arial" w:cs="Arial" w:eastAsia="Arial" w:hAnsi="Arial"/>
                <w:sz w:val="14"/>
                <w:szCs w:val="14"/>
                <w:color w:val="auto"/>
                <w:w w:val="92"/>
              </w:rPr>
              <w:t>Class A common stock,</w:t>
            </w:r>
          </w:p>
        </w:tc>
        <w:tc>
          <w:tcPr>
            <w:tcW w:w="3320" w:type="dxa"/>
            <w:vAlign w:val="bottom"/>
          </w:tcPr>
          <w:p>
            <w:pPr>
              <w:jc w:val="center"/>
              <w:ind w:left="248"/>
              <w:spacing w:after="0" w:line="141" w:lineRule="exact"/>
              <w:rPr>
                <w:sz w:val="20"/>
                <w:szCs w:val="20"/>
                <w:color w:val="auto"/>
              </w:rPr>
            </w:pPr>
            <w:r>
              <w:rPr>
                <w:rFonts w:ascii="Arial" w:cs="Arial" w:eastAsia="Arial" w:hAnsi="Arial"/>
                <w:sz w:val="14"/>
                <w:szCs w:val="14"/>
                <w:color w:val="auto"/>
                <w:w w:val="98"/>
              </w:rPr>
              <w:t>ROOT</w:t>
            </w:r>
          </w:p>
        </w:tc>
        <w:tc>
          <w:tcPr>
            <w:tcW w:w="4140" w:type="dxa"/>
            <w:vAlign w:val="bottom"/>
          </w:tcPr>
          <w:p>
            <w:pPr>
              <w:jc w:val="center"/>
              <w:ind w:left="288"/>
              <w:spacing w:after="0" w:line="141" w:lineRule="exact"/>
              <w:rPr>
                <w:sz w:val="20"/>
                <w:szCs w:val="20"/>
                <w:color w:val="auto"/>
              </w:rPr>
            </w:pPr>
            <w:r>
              <w:rPr>
                <w:rFonts w:ascii="Arial" w:cs="Arial" w:eastAsia="Arial" w:hAnsi="Arial"/>
                <w:sz w:val="14"/>
                <w:szCs w:val="14"/>
                <w:color w:val="auto"/>
                <w:w w:val="93"/>
              </w:rPr>
              <w:t>Nasdaq Global Select Market</w:t>
            </w:r>
          </w:p>
        </w:tc>
      </w:tr>
    </w:tbl>
    <w:p>
      <w:pPr>
        <w:ind w:left="1080"/>
        <w:spacing w:after="0"/>
        <w:rPr>
          <w:sz w:val="20"/>
          <w:szCs w:val="20"/>
          <w:color w:val="auto"/>
        </w:rPr>
      </w:pPr>
      <w:r>
        <w:rPr>
          <w:rFonts w:ascii="Arial" w:cs="Arial" w:eastAsia="Arial" w:hAnsi="Arial"/>
          <w:sz w:val="14"/>
          <w:szCs w:val="14"/>
          <w:color w:val="auto"/>
        </w:rPr>
        <w:t>$0.0001 par value per share</w:t>
      </w:r>
    </w:p>
    <w:p>
      <w:pPr>
        <w:spacing w:after="0" w:line="165" w:lineRule="exact"/>
        <w:rPr>
          <w:sz w:val="24"/>
          <w:szCs w:val="24"/>
          <w:color w:val="auto"/>
        </w:rPr>
      </w:pPr>
    </w:p>
    <w:p>
      <w:pPr>
        <w:jc w:val="center"/>
        <w:ind w:right="6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ind w:right="80"/>
        <w:spacing w:after="0" w:line="205"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right="60" w:firstLine="324"/>
        <w:spacing w:after="0" w:line="20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ind w:right="40" w:firstLine="324"/>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224" w:right="319" w:bottom="1440" w:gutter="0" w:footer="0" w:header="0"/>
        </w:sectPr>
      </w:pPr>
    </w:p>
    <w:p>
      <w:pPr>
        <w:spacing w:after="0" w:line="145"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jc w:val="center"/>
        <w:ind w:right="450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sectPr>
          <w:pgSz w:w="11900" w:h="16838" w:orient="portrait"/>
          <w:cols w:equalWidth="0" w:num="2">
            <w:col w:w="4920" w:space="720"/>
            <w:col w:w="5620"/>
          </w:cols>
          <w:pgMar w:left="320" w:top="1224" w:right="319" w:bottom="1440" w:gutter="0" w:footer="0" w:header="0"/>
          <w:type w:val="continuous"/>
        </w:sectPr>
      </w:pPr>
    </w:p>
    <w:p>
      <w:pPr>
        <w:ind w:left="2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jc w:val="center"/>
        <w:ind w:right="3880"/>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67" w:lineRule="exact"/>
        <w:rPr>
          <w:sz w:val="24"/>
          <w:szCs w:val="24"/>
          <w:color w:val="auto"/>
        </w:rPr>
      </w:pPr>
    </w:p>
    <w:p>
      <w:pPr>
        <w:sectPr>
          <w:pgSz w:w="11900" w:h="16838" w:orient="portrait"/>
          <w:cols w:equalWidth="0" w:num="2">
            <w:col w:w="4920" w:space="720"/>
            <w:col w:w="5620"/>
          </w:cols>
          <w:pgMar w:left="320" w:top="1224" w:right="319" w:bottom="1440" w:gutter="0" w:footer="0" w:header="0"/>
          <w:type w:val="continuous"/>
        </w:sectPr>
      </w:pPr>
    </w:p>
    <w:p>
      <w:pPr>
        <w:ind w:left="56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60"/>
          </w:cols>
          <w:pgMar w:left="320" w:top="1224" w:right="319" w:bottom="1440" w:gutter="0" w:footer="0" w:header="0"/>
          <w:type w:val="continuous"/>
        </w:sectPr>
      </w:pPr>
    </w:p>
    <w:p>
      <w:pPr>
        <w:spacing w:after="0" w:line="323" w:lineRule="exact"/>
        <w:rPr>
          <w:sz w:val="24"/>
          <w:szCs w:val="24"/>
          <w:color w:val="auto"/>
        </w:rPr>
      </w:pPr>
    </w:p>
    <w:p>
      <w:pPr>
        <w:ind w:right="28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7"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right="60" w:firstLine="324"/>
        <w:spacing w:after="0" w:line="261" w:lineRule="auto"/>
        <w:rPr>
          <w:sz w:val="20"/>
          <w:szCs w:val="20"/>
          <w:color w:val="auto"/>
        </w:rPr>
      </w:pPr>
      <w:r>
        <w:rPr>
          <w:rFonts w:ascii="Arial" w:cs="Arial" w:eastAsia="Arial" w:hAnsi="Arial"/>
          <w:sz w:val="18"/>
          <w:szCs w:val="18"/>
          <w:color w:val="auto"/>
        </w:rPr>
        <w:t>As of April 28, 2021, the number of outstanding shares of the registrant’s Class A common stock, par value $0.0001 per share, was 86,893,126 and the number of outstanding shares of the registrant’s Class B common stock, par value $0.0001 per share, was 166,034,886.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4" w:right="319" w:bottom="1440" w:gutter="0" w:footer="0" w:header="0"/>
          <w:type w:val="continuous"/>
        </w:sectPr>
      </w:pPr>
    </w:p>
    <w:bookmarkStart w:id="1" w:name="page2"/>
    <w:bookmarkEnd w:id="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20" w:type="dxa"/>
            <w:vAlign w:val="bottom"/>
            <w:gridSpan w:val="12"/>
          </w:tcPr>
          <w:p>
            <w:pPr>
              <w:ind w:left="10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360" w:type="dxa"/>
            <w:vAlign w:val="bottom"/>
            <w:gridSpan w:val="23"/>
            <w:vMerge w:val="restart"/>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Special Note Regarding Forward-Looking Statements</w:t>
              </w:r>
            </w:hyperlink>
          </w:p>
        </w:tc>
        <w:tc>
          <w:tcPr>
            <w:tcW w:w="86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360" w:type="dxa"/>
            <w:vAlign w:val="bottom"/>
            <w:gridSpan w:val="23"/>
            <w:vMerge w:val="continue"/>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2260" w:type="dxa"/>
            <w:vAlign w:val="bottom"/>
            <w:tcBorders>
              <w:bottom w:val="single" w:sz="8" w:color="0000FF"/>
            </w:tcBorders>
            <w:gridSpan w:val="8"/>
          </w:tcPr>
          <w:p>
            <w:pPr>
              <w:spacing w:after="0"/>
              <w:rPr>
                <w:rFonts w:ascii="Arial" w:cs="Arial" w:eastAsia="Arial" w:hAnsi="Arial"/>
                <w:sz w:val="18"/>
                <w:szCs w:val="18"/>
                <w:b w:val="1"/>
                <w:bCs w:val="1"/>
                <w:color w:val="0000FF"/>
                <w:w w:val="94"/>
              </w:rPr>
            </w:pPr>
            <w:hyperlink w:anchor="page4">
              <w:r>
                <w:rPr>
                  <w:rFonts w:ascii="Arial" w:cs="Arial" w:eastAsia="Arial" w:hAnsi="Arial"/>
                  <w:sz w:val="18"/>
                  <w:szCs w:val="18"/>
                  <w:b w:val="1"/>
                  <w:bCs w:val="1"/>
                  <w:color w:val="0000FF"/>
                  <w:w w:val="94"/>
                </w:rPr>
                <w:t>Part I. Financial Information</w:t>
              </w:r>
            </w:hyperlink>
          </w:p>
        </w:tc>
        <w:tc>
          <w:tcPr>
            <w:tcW w:w="3560" w:type="dxa"/>
            <w:vAlign w:val="bottom"/>
            <w:gridSpan w:val="4"/>
          </w:tcPr>
          <w:p>
            <w:pPr>
              <w:spacing w:after="0"/>
              <w:rPr>
                <w:sz w:val="24"/>
                <w:szCs w:val="24"/>
                <w:color w:val="auto"/>
              </w:rPr>
            </w:pPr>
          </w:p>
        </w:tc>
        <w:tc>
          <w:tcPr>
            <w:tcW w:w="38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Item 1.</w:t>
              </w:r>
            </w:hyperlink>
          </w:p>
        </w:tc>
        <w:tc>
          <w:tcPr>
            <w:tcW w:w="480" w:type="dxa"/>
            <w:vAlign w:val="bottom"/>
            <w:gridSpan w:val="2"/>
          </w:tcPr>
          <w:p>
            <w:pPr>
              <w:spacing w:after="0"/>
              <w:rPr>
                <w:sz w:val="18"/>
                <w:szCs w:val="18"/>
                <w:color w:val="auto"/>
              </w:rPr>
            </w:pPr>
          </w:p>
        </w:tc>
        <w:tc>
          <w:tcPr>
            <w:tcW w:w="936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 Unaudited</w:t>
              </w:r>
            </w:hyperlink>
          </w:p>
        </w:tc>
        <w:tc>
          <w:tcPr>
            <w:tcW w:w="520" w:type="dxa"/>
            <w:vAlign w:val="bottom"/>
            <w:gridSpan w:val="4"/>
          </w:tcPr>
          <w:p>
            <w:pPr>
              <w:jc w:val="center"/>
              <w:ind w:left="250"/>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1</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2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Operations and Comprehensive Loss - Unaudited</w:t>
              </w:r>
            </w:hyperlink>
          </w:p>
        </w:tc>
        <w:tc>
          <w:tcPr>
            <w:tcW w:w="2940" w:type="dxa"/>
            <w:vAlign w:val="bottom"/>
            <w:gridSpan w:val="3"/>
          </w:tcPr>
          <w:p>
            <w:pPr>
              <w:spacing w:after="0"/>
              <w:rPr>
                <w:sz w:val="18"/>
                <w:szCs w:val="18"/>
                <w:color w:val="auto"/>
              </w:rPr>
            </w:pPr>
          </w:p>
        </w:tc>
        <w:tc>
          <w:tcPr>
            <w:tcW w:w="38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2</w:t>
              </w:r>
            </w:hyperlink>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60" w:type="dxa"/>
            <w:vAlign w:val="bottom"/>
            <w:gridSpan w:val="20"/>
          </w:tcPr>
          <w:p>
            <w:pPr>
              <w:spacing w:after="0"/>
              <w:rPr>
                <w:rFonts w:ascii="Arial" w:cs="Arial" w:eastAsia="Arial" w:hAnsi="Arial"/>
                <w:sz w:val="18"/>
                <w:szCs w:val="18"/>
                <w:color w:val="0000FF"/>
                <w:w w:val="91"/>
              </w:rPr>
            </w:pPr>
            <w:hyperlink w:anchor="page6">
              <w:r>
                <w:rPr>
                  <w:rFonts w:ascii="Arial" w:cs="Arial" w:eastAsia="Arial" w:hAnsi="Arial"/>
                  <w:sz w:val="18"/>
                  <w:szCs w:val="18"/>
                  <w:color w:val="0000FF"/>
                  <w:w w:val="91"/>
                </w:rPr>
                <w:t>Condensed Consolidated Statements of Redeemable Convertible Preferred Stock and Stockholders’ Equity (Deficit) - Unaudited</w:t>
              </w:r>
            </w:hyperlink>
          </w:p>
        </w:tc>
        <w:tc>
          <w:tcPr>
            <w:tcW w:w="520" w:type="dxa"/>
            <w:vAlign w:val="bottom"/>
            <w:gridSpan w:val="4"/>
          </w:tcPr>
          <w:p>
            <w:pPr>
              <w:jc w:val="center"/>
              <w:ind w:left="25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3</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40" w:type="dxa"/>
            <w:vAlign w:val="bottom"/>
            <w:tcBorders>
              <w:top w:val="single" w:sz="8" w:color="0000FF"/>
            </w:tcBorders>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 Unaudited</w:t>
              </w:r>
            </w:hyperlink>
          </w:p>
        </w:tc>
        <w:tc>
          <w:tcPr>
            <w:tcW w:w="1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4</w:t>
              </w:r>
            </w:hyperlink>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60" w:type="dxa"/>
            <w:vAlign w:val="bottom"/>
            <w:gridSpan w:val="20"/>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the Condensed Consolidated Financial Statements - Unaudited</w:t>
              </w:r>
            </w:hyperlink>
          </w:p>
        </w:tc>
        <w:tc>
          <w:tcPr>
            <w:tcW w:w="520" w:type="dxa"/>
            <w:vAlign w:val="bottom"/>
            <w:gridSpan w:val="4"/>
          </w:tcPr>
          <w:p>
            <w:pPr>
              <w:jc w:val="center"/>
              <w:ind w:left="250"/>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5</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Item 2.</w:t>
              </w:r>
            </w:hyperlink>
          </w:p>
        </w:tc>
        <w:tc>
          <w:tcPr>
            <w:tcW w:w="480" w:type="dxa"/>
            <w:vAlign w:val="bottom"/>
            <w:gridSpan w:val="2"/>
          </w:tcPr>
          <w:p>
            <w:pPr>
              <w:spacing w:after="0"/>
              <w:rPr>
                <w:sz w:val="18"/>
                <w:szCs w:val="18"/>
                <w:color w:val="auto"/>
              </w:rPr>
            </w:pPr>
          </w:p>
        </w:tc>
        <w:tc>
          <w:tcPr>
            <w:tcW w:w="6620" w:type="dxa"/>
            <w:vAlign w:val="bottom"/>
            <w:tcBorders>
              <w:bottom w:val="single" w:sz="8" w:color="0000FF"/>
            </w:tcBorders>
            <w:gridSpan w:val="18"/>
          </w:tcPr>
          <w:p>
            <w:pPr>
              <w:spacing w:after="0"/>
              <w:rPr>
                <w:rFonts w:ascii="Arial" w:cs="Arial" w:eastAsia="Arial" w:hAnsi="Arial"/>
                <w:sz w:val="18"/>
                <w:szCs w:val="18"/>
                <w:color w:val="0000FF"/>
                <w:w w:val="91"/>
              </w:rPr>
            </w:pPr>
            <w:hyperlink w:anchor="page21">
              <w:r>
                <w:rPr>
                  <w:rFonts w:ascii="Arial" w:cs="Arial" w:eastAsia="Arial" w:hAnsi="Arial"/>
                  <w:sz w:val="18"/>
                  <w:szCs w:val="18"/>
                  <w:color w:val="0000FF"/>
                  <w:w w:val="91"/>
                </w:rPr>
                <w:t>Management's Discussion And Analysis Of Financial Condition And Results Of Operations</w:t>
              </w:r>
            </w:hyperlink>
          </w:p>
        </w:tc>
        <w:tc>
          <w:tcPr>
            <w:tcW w:w="27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18</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Item 3.</w:t>
              </w:r>
            </w:hyperlink>
          </w:p>
        </w:tc>
        <w:tc>
          <w:tcPr>
            <w:tcW w:w="480" w:type="dxa"/>
            <w:vAlign w:val="bottom"/>
            <w:gridSpan w:val="2"/>
          </w:tcPr>
          <w:p>
            <w:pPr>
              <w:spacing w:after="0"/>
              <w:rPr>
                <w:sz w:val="18"/>
                <w:szCs w:val="18"/>
                <w:color w:val="auto"/>
              </w:rPr>
            </w:pPr>
          </w:p>
        </w:tc>
        <w:tc>
          <w:tcPr>
            <w:tcW w:w="4360" w:type="dxa"/>
            <w:vAlign w:val="bottom"/>
            <w:tcBorders>
              <w:bottom w:val="single" w:sz="8" w:color="0000FF"/>
            </w:tcBorders>
            <w:gridSpan w:val="12"/>
          </w:tcPr>
          <w:p>
            <w:pPr>
              <w:spacing w:after="0"/>
              <w:rPr>
                <w:rFonts w:ascii="Arial" w:cs="Arial" w:eastAsia="Arial" w:hAnsi="Arial"/>
                <w:sz w:val="18"/>
                <w:szCs w:val="18"/>
                <w:color w:val="0000FF"/>
                <w:w w:val="92"/>
              </w:rPr>
            </w:pPr>
            <w:hyperlink w:anchor="page35">
              <w:r>
                <w:rPr>
                  <w:rFonts w:ascii="Arial" w:cs="Arial" w:eastAsia="Arial" w:hAnsi="Arial"/>
                  <w:sz w:val="18"/>
                  <w:szCs w:val="18"/>
                  <w:color w:val="0000FF"/>
                  <w:w w:val="92"/>
                </w:rPr>
                <w:t>Quantitative and Qualitative Disclosures About Market Risk</w:t>
              </w:r>
            </w:hyperlink>
          </w:p>
        </w:tc>
        <w:tc>
          <w:tcPr>
            <w:tcW w:w="5000" w:type="dxa"/>
            <w:vAlign w:val="bottom"/>
            <w:gridSpan w:val="8"/>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32</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Item 4.</w:t>
              </w:r>
            </w:hyperlink>
          </w:p>
        </w:tc>
        <w:tc>
          <w:tcPr>
            <w:tcW w:w="480" w:type="dxa"/>
            <w:vAlign w:val="bottom"/>
            <w:gridSpan w:val="2"/>
          </w:tcPr>
          <w:p>
            <w:pPr>
              <w:spacing w:after="0"/>
              <w:rPr>
                <w:sz w:val="18"/>
                <w:szCs w:val="18"/>
                <w:color w:val="auto"/>
              </w:rPr>
            </w:pPr>
          </w:p>
        </w:tc>
        <w:tc>
          <w:tcPr>
            <w:tcW w:w="9360" w:type="dxa"/>
            <w:vAlign w:val="bottom"/>
            <w:gridSpan w:val="20"/>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520" w:type="dxa"/>
            <w:vAlign w:val="bottom"/>
            <w:gridSpan w:val="4"/>
          </w:tcPr>
          <w:p>
            <w:pPr>
              <w:jc w:val="center"/>
              <w:ind w:left="25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33</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20" w:type="dxa"/>
            <w:vAlign w:val="bottom"/>
            <w:gridSpan w:val="11"/>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Part II. Other Information</w:t>
              </w:r>
            </w:hyperlink>
          </w:p>
        </w:tc>
        <w:tc>
          <w:tcPr>
            <w:tcW w:w="34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34</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1.</w:t>
              </w:r>
            </w:hyperlink>
          </w:p>
        </w:tc>
        <w:tc>
          <w:tcPr>
            <w:tcW w:w="360" w:type="dxa"/>
            <w:vAlign w:val="bottom"/>
          </w:tcPr>
          <w:p>
            <w:pPr>
              <w:spacing w:after="0"/>
              <w:rPr>
                <w:sz w:val="18"/>
                <w:szCs w:val="18"/>
                <w:color w:val="auto"/>
              </w:rPr>
            </w:pPr>
          </w:p>
        </w:tc>
        <w:tc>
          <w:tcPr>
            <w:tcW w:w="3640" w:type="dxa"/>
            <w:vAlign w:val="bottom"/>
            <w:gridSpan w:val="9"/>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2060" w:type="dxa"/>
            <w:vAlign w:val="bottom"/>
            <w:tcBorders>
              <w:top w:val="single" w:sz="8" w:color="0000FF"/>
            </w:tcBorders>
            <w:gridSpan w:val="6"/>
          </w:tcPr>
          <w:p>
            <w:pPr>
              <w:spacing w:after="0"/>
              <w:rPr>
                <w:sz w:val="18"/>
                <w:szCs w:val="18"/>
                <w:color w:val="auto"/>
              </w:rPr>
            </w:pPr>
          </w:p>
        </w:tc>
        <w:tc>
          <w:tcPr>
            <w:tcW w:w="3660" w:type="dxa"/>
            <w:vAlign w:val="bottom"/>
            <w:gridSpan w:val="5"/>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34</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1A.</w:t>
              </w:r>
            </w:hyperlink>
          </w:p>
        </w:tc>
        <w:tc>
          <w:tcPr>
            <w:tcW w:w="9360" w:type="dxa"/>
            <w:vAlign w:val="bottom"/>
            <w:gridSpan w:val="20"/>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Risk Factors</w:t>
              </w:r>
            </w:hyperlink>
          </w:p>
        </w:tc>
        <w:tc>
          <w:tcPr>
            <w:tcW w:w="520" w:type="dxa"/>
            <w:vAlign w:val="bottom"/>
            <w:gridSpan w:val="4"/>
          </w:tcPr>
          <w:p>
            <w:pPr>
              <w:jc w:val="center"/>
              <w:ind w:left="25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35</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Item 2.</w:t>
              </w:r>
            </w:hyperlink>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4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Unregistered Sales of Equity Securities and Use of Proceeds</w:t>
              </w:r>
            </w:hyperlink>
          </w:p>
        </w:tc>
        <w:tc>
          <w:tcPr>
            <w:tcW w:w="5020" w:type="dxa"/>
            <w:vAlign w:val="bottom"/>
            <w:gridSpan w:val="9"/>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36</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Item 3.</w:t>
              </w:r>
            </w:hyperlink>
          </w:p>
        </w:tc>
        <w:tc>
          <w:tcPr>
            <w:tcW w:w="480" w:type="dxa"/>
            <w:vAlign w:val="bottom"/>
            <w:gridSpan w:val="2"/>
          </w:tcPr>
          <w:p>
            <w:pPr>
              <w:spacing w:after="0"/>
              <w:rPr>
                <w:sz w:val="18"/>
                <w:szCs w:val="18"/>
                <w:color w:val="auto"/>
              </w:rPr>
            </w:pPr>
          </w:p>
        </w:tc>
        <w:tc>
          <w:tcPr>
            <w:tcW w:w="232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Defaults Upon Senior Securities</w:t>
              </w:r>
            </w:hyperlink>
          </w:p>
        </w:tc>
        <w:tc>
          <w:tcPr>
            <w:tcW w:w="7040" w:type="dxa"/>
            <w:vAlign w:val="bottom"/>
            <w:gridSpan w:val="14"/>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38</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3"/>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4.</w:t>
              </w:r>
            </w:hyperlink>
          </w:p>
        </w:tc>
        <w:tc>
          <w:tcPr>
            <w:tcW w:w="9360" w:type="dxa"/>
            <w:vAlign w:val="bottom"/>
            <w:gridSpan w:val="20"/>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Mine Safety Disclosures</w:t>
              </w:r>
            </w:hyperlink>
          </w:p>
        </w:tc>
        <w:tc>
          <w:tcPr>
            <w:tcW w:w="520" w:type="dxa"/>
            <w:vAlign w:val="bottom"/>
            <w:gridSpan w:val="4"/>
          </w:tcPr>
          <w:p>
            <w:pPr>
              <w:jc w:val="center"/>
              <w:ind w:left="25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39</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43">
              <w:r>
                <w:rPr>
                  <w:rFonts w:ascii="Arial" w:cs="Arial" w:eastAsia="Arial" w:hAnsi="Arial"/>
                  <w:sz w:val="18"/>
                  <w:szCs w:val="18"/>
                  <w:color w:val="0000FF"/>
                  <w:w w:val="90"/>
                </w:rPr>
                <w:t>Item 5.</w:t>
              </w:r>
            </w:hyperlink>
          </w:p>
        </w:tc>
        <w:tc>
          <w:tcPr>
            <w:tcW w:w="480" w:type="dxa"/>
            <w:vAlign w:val="bottom"/>
            <w:tcBorders>
              <w:top w:val="single" w:sz="8" w:color="0000FF"/>
            </w:tcBorders>
            <w:gridSpan w:val="2"/>
          </w:tcPr>
          <w:p>
            <w:pPr>
              <w:spacing w:after="0"/>
              <w:rPr>
                <w:sz w:val="18"/>
                <w:szCs w:val="18"/>
                <w:color w:val="auto"/>
              </w:rPr>
            </w:pPr>
          </w:p>
        </w:tc>
        <w:tc>
          <w:tcPr>
            <w:tcW w:w="1760" w:type="dxa"/>
            <w:vAlign w:val="bottom"/>
            <w:tcBorders>
              <w:top w:val="single" w:sz="8" w:color="0000FF"/>
            </w:tcBorders>
            <w:gridSpan w:val="5"/>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Other Information</w:t>
              </w:r>
            </w:hyperlink>
          </w:p>
        </w:tc>
        <w:tc>
          <w:tcPr>
            <w:tcW w:w="7600" w:type="dxa"/>
            <w:vAlign w:val="bottom"/>
            <w:gridSpan w:val="15"/>
          </w:tcPr>
          <w:p>
            <w:pPr>
              <w:spacing w:after="0"/>
              <w:rPr>
                <w:sz w:val="18"/>
                <w:szCs w:val="18"/>
                <w:color w:val="auto"/>
              </w:rPr>
            </w:pPr>
          </w:p>
        </w:tc>
        <w:tc>
          <w:tcPr>
            <w:tcW w:w="520" w:type="dxa"/>
            <w:vAlign w:val="bottom"/>
            <w:gridSpan w:val="4"/>
          </w:tcPr>
          <w:p>
            <w:pPr>
              <w:jc w:val="center"/>
              <w:ind w:left="250"/>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40</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Item 6.</w:t>
              </w:r>
            </w:hyperlink>
          </w:p>
        </w:tc>
        <w:tc>
          <w:tcPr>
            <w:tcW w:w="480" w:type="dxa"/>
            <w:vAlign w:val="bottom"/>
            <w:gridSpan w:val="2"/>
          </w:tcPr>
          <w:p>
            <w:pPr>
              <w:spacing w:after="0"/>
              <w:rPr>
                <w:sz w:val="18"/>
                <w:szCs w:val="18"/>
                <w:color w:val="auto"/>
              </w:rPr>
            </w:pPr>
          </w:p>
        </w:tc>
        <w:tc>
          <w:tcPr>
            <w:tcW w:w="6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Exhibits</w:t>
              </w:r>
            </w:hyperlink>
          </w:p>
        </w:tc>
        <w:tc>
          <w:tcPr>
            <w:tcW w:w="720" w:type="dxa"/>
            <w:vAlign w:val="bottom"/>
            <w:tcBorders>
              <w:top w:val="single" w:sz="8" w:color="0000FF"/>
            </w:tcBorders>
            <w:gridSpan w:val="3"/>
          </w:tcPr>
          <w:p>
            <w:pPr>
              <w:spacing w:after="0"/>
              <w:rPr>
                <w:sz w:val="18"/>
                <w:szCs w:val="18"/>
                <w:color w:val="auto"/>
              </w:rPr>
            </w:pPr>
          </w:p>
        </w:tc>
        <w:tc>
          <w:tcPr>
            <w:tcW w:w="8040" w:type="dxa"/>
            <w:vAlign w:val="bottom"/>
            <w:gridSpan w:val="16"/>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41</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60" w:type="dxa"/>
            <w:vAlign w:val="bottom"/>
            <w:gridSpan w:val="20"/>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Signatures</w:t>
              </w:r>
            </w:hyperlink>
          </w:p>
        </w:tc>
        <w:tc>
          <w:tcPr>
            <w:tcW w:w="520" w:type="dxa"/>
            <w:vAlign w:val="bottom"/>
            <w:gridSpan w:val="4"/>
          </w:tcPr>
          <w:p>
            <w:pPr>
              <w:jc w:val="center"/>
              <w:ind w:left="25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43</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0"/>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0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existing customers, acquire new customers and expand our customer reach;</w:t>
      </w:r>
    </w:p>
    <w:p>
      <w:pPr>
        <w:spacing w:after="0" w:line="171" w:lineRule="exact"/>
        <w:rPr>
          <w:rFonts w:ascii="Arial" w:cs="Arial" w:eastAsia="Arial" w:hAnsi="Arial"/>
          <w:sz w:val="18"/>
          <w:szCs w:val="18"/>
          <w:color w:val="auto"/>
        </w:rPr>
      </w:pPr>
    </w:p>
    <w:p>
      <w:pPr>
        <w:ind w:left="660" w:right="40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future financial performance, including total revenue, gross profit/(loss), adjusted gross profit/(loss), direct contribution, direct loss ratio, marketing costs, direct loss adjustment expense, or LAE, ratio, quota share levels and expansion of our renewal premium base;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financial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goal to be licensed in all states in the United States and the timing of obtaining additional licenses and launching in new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and efficiency of our telematics and behavioral data, and our ability to gather and leverage additional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materially improve retention rates and our ability to realize benefits from retaining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underwrite risks accurately and charge profitable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business model and improve our capital and marketing efficiency;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drive improved conversion and decrease the cost of customer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enhance our brand 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the growth of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our product offerings, introduce new products and expand into additional insurance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cross sell our products and attain greater value from each customer;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operating history and ability to attain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performance of the markets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a “capital-light” business and obtain and maintain reinsurance contracts;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economies of scale;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distribution channels through additional partnership relationships, digital media and referrals;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any costs associated therewith;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domestically and internationally;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4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risk-based capital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 that currently apply or become applicable to our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You should not rely on forward-looking statements as predictions of future events. The outcome of the events described in these forward-looking statements is subject to risks, uncertainties and other factors described under the heading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2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16" w:lineRule="exact"/>
        <w:rPr>
          <w:sz w:val="20"/>
          <w:szCs w:val="20"/>
          <w:color w:val="auto"/>
        </w:rPr>
      </w:pPr>
    </w:p>
    <w:p>
      <w:pPr>
        <w:ind w:right="180" w:firstLine="324"/>
        <w:spacing w:after="0" w:line="235" w:lineRule="auto"/>
        <w:rPr>
          <w:sz w:val="20"/>
          <w:szCs w:val="20"/>
          <w:color w:val="auto"/>
        </w:rPr>
      </w:pPr>
      <w:r>
        <w:rPr>
          <w:rFonts w:ascii="Arial" w:cs="Arial" w:eastAsia="Arial" w:hAnsi="Arial"/>
          <w:sz w:val="18"/>
          <w:szCs w:val="18"/>
          <w:color w:val="auto"/>
        </w:rPr>
        <w:t>Unless the context otherwise indicates, references in this report to the terms “Root,” “the Company,” “we,” “our” and “us” refer to Root, Inc. and its subsidiaries.</w:t>
      </w:r>
    </w:p>
    <w:p>
      <w:pPr>
        <w:spacing w:after="0" w:line="189" w:lineRule="exact"/>
        <w:rPr>
          <w:sz w:val="20"/>
          <w:szCs w:val="20"/>
          <w:color w:val="auto"/>
        </w:rPr>
      </w:pPr>
    </w:p>
    <w:p>
      <w:pPr>
        <w:ind w:firstLine="324"/>
        <w:spacing w:after="0" w:line="224" w:lineRule="auto"/>
        <w:rPr>
          <w:sz w:val="20"/>
          <w:szCs w:val="20"/>
          <w:color w:val="auto"/>
        </w:rPr>
      </w:pPr>
      <w:r>
        <w:rPr>
          <w:rFonts w:ascii="Arial" w:cs="Arial" w:eastAsia="Arial" w:hAnsi="Arial"/>
          <w:sz w:val="18"/>
          <w:szCs w:val="18"/>
          <w:color w:val="auto"/>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webcasts, press releases and conference 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3"/>
          </w:tcPr>
          <w:p>
            <w:pPr>
              <w:jc w:val="right"/>
              <w:ind w:right="15"/>
              <w:spacing w:after="0"/>
              <w:rPr>
                <w:sz w:val="20"/>
                <w:szCs w:val="20"/>
                <w:color w:val="auto"/>
              </w:rPr>
            </w:pPr>
            <w:r>
              <w:rPr>
                <w:rFonts w:ascii="Arial" w:cs="Arial" w:eastAsia="Arial" w:hAnsi="Arial"/>
                <w:sz w:val="14"/>
                <w:szCs w:val="14"/>
                <w:b w:val="1"/>
                <w:bCs w:val="1"/>
                <w:color w:val="auto"/>
              </w:rPr>
              <w:t>As of</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8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5"/>
                <w:szCs w:val="15"/>
                <w:color w:val="auto"/>
              </w:rPr>
            </w:pPr>
          </w:p>
        </w:tc>
        <w:tc>
          <w:tcPr>
            <w:tcW w:w="128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0"/>
        </w:trPr>
        <w:tc>
          <w:tcPr>
            <w:tcW w:w="8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(in millions, except par value )</w:t>
            </w:r>
          </w:p>
        </w:tc>
        <w:tc>
          <w:tcPr>
            <w:tcW w:w="0" w:type="dxa"/>
            <w:vAlign w:val="bottom"/>
          </w:tcPr>
          <w:p>
            <w:pPr>
              <w:spacing w:after="0"/>
              <w:rPr>
                <w:sz w:val="1"/>
                <w:szCs w:val="1"/>
                <w:color w:val="auto"/>
              </w:rPr>
            </w:pPr>
          </w:p>
        </w:tc>
      </w:tr>
      <w:tr>
        <w:trPr>
          <w:trHeight w:val="26"/>
        </w:trPr>
        <w:tc>
          <w:tcPr>
            <w:tcW w:w="8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140"/>
              <w:spacing w:after="0"/>
              <w:rPr>
                <w:sz w:val="20"/>
                <w:szCs w:val="20"/>
                <w:color w:val="auto"/>
              </w:rPr>
            </w:pPr>
            <w:r>
              <w:rPr>
                <w:rFonts w:ascii="Arial" w:cs="Arial" w:eastAsia="Arial" w:hAnsi="Arial"/>
                <w:sz w:val="17"/>
                <w:szCs w:val="17"/>
                <w:color w:val="auto"/>
              </w:rPr>
              <w:t>Investments: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60" w:type="dxa"/>
            <w:vAlign w:val="bottom"/>
            <w:shd w:val="clear" w:color="auto" w:fill="CCEEFF"/>
          </w:tcPr>
          <w:p>
            <w:pPr>
              <w:ind w:left="240"/>
              <w:spacing w:after="0" w:line="162" w:lineRule="exact"/>
              <w:rPr>
                <w:sz w:val="20"/>
                <w:szCs w:val="20"/>
                <w:color w:val="auto"/>
              </w:rPr>
            </w:pPr>
            <w:r>
              <w:rPr>
                <w:rFonts w:ascii="Arial" w:cs="Arial" w:eastAsia="Arial" w:hAnsi="Arial"/>
                <w:sz w:val="17"/>
                <w:szCs w:val="17"/>
                <w:color w:val="auto"/>
                <w:w w:val="99"/>
              </w:rPr>
              <w:t>Fixed maturities available-for sale, at fair value (amortized cost: $134.2 and $215.4 at March 31, 2021 and</w:t>
            </w:r>
          </w:p>
        </w:tc>
        <w:tc>
          <w:tcPr>
            <w:tcW w:w="26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136.3</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221.0</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December 31, 2020, respectively)</w:t>
            </w:r>
          </w:p>
        </w:tc>
        <w:tc>
          <w:tcPr>
            <w:tcW w:w="2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240"/>
              <w:spacing w:after="0"/>
              <w:rPr>
                <w:sz w:val="20"/>
                <w:szCs w:val="20"/>
                <w:color w:val="auto"/>
              </w:rPr>
            </w:pPr>
            <w:r>
              <w:rPr>
                <w:rFonts w:ascii="Arial" w:cs="Arial" w:eastAsia="Arial" w:hAnsi="Arial"/>
                <w:sz w:val="17"/>
                <w:szCs w:val="17"/>
                <w:color w:val="auto"/>
                <w:w w:val="93"/>
              </w:rPr>
              <w:t>Short-term investments (amortized cost: $3.0 and $3.0 at March 31, 2021 and December 31, 2020, respectively)</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investments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10"/>
        </w:trPr>
        <w:tc>
          <w:tcPr>
            <w:tcW w:w="8160" w:type="dxa"/>
            <w:vAlign w:val="bottom"/>
          </w:tcPr>
          <w:p>
            <w:pPr>
              <w:ind w:left="360"/>
              <w:spacing w:after="0"/>
              <w:rPr>
                <w:sz w:val="20"/>
                <w:szCs w:val="20"/>
                <w:color w:val="auto"/>
              </w:rPr>
            </w:pPr>
            <w:r>
              <w:rPr>
                <w:rFonts w:ascii="Arial" w:cs="Arial" w:eastAsia="Arial" w:hAnsi="Arial"/>
                <w:sz w:val="17"/>
                <w:szCs w:val="17"/>
                <w:color w:val="auto"/>
              </w:rPr>
              <w:t>Total investments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224.5</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1,112.8</w:t>
            </w:r>
          </w:p>
        </w:tc>
        <w:tc>
          <w:tcPr>
            <w:tcW w:w="0" w:type="dxa"/>
            <w:vAlign w:val="bottom"/>
          </w:tcPr>
          <w:p>
            <w:pPr>
              <w:spacing w:after="0"/>
              <w:rPr>
                <w:sz w:val="1"/>
                <w:szCs w:val="1"/>
                <w:color w:val="auto"/>
              </w:rPr>
            </w:pPr>
          </w:p>
        </w:tc>
      </w:tr>
      <w:tr>
        <w:trPr>
          <w:trHeight w:val="216"/>
        </w:trPr>
        <w:tc>
          <w:tcPr>
            <w:tcW w:w="8160" w:type="dxa"/>
            <w:vAlign w:val="bottom"/>
          </w:tcPr>
          <w:p>
            <w:pPr>
              <w:ind w:left="140"/>
              <w:spacing w:after="0"/>
              <w:rPr>
                <w:sz w:val="20"/>
                <w:szCs w:val="20"/>
                <w:color w:val="auto"/>
              </w:rPr>
            </w:pPr>
            <w:r>
              <w:rPr>
                <w:rFonts w:ascii="Arial" w:cs="Arial" w:eastAsia="Arial" w:hAnsi="Arial"/>
                <w:sz w:val="17"/>
                <w:szCs w:val="17"/>
                <w:color w:val="auto"/>
              </w:rPr>
              <w:t>Restricted cash</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4"/>
              </w:rPr>
              <w:t>Premiums receivable, net of allowance of $2.0 and $3.5 at March 31, 2021 and December 31, 2020, respectively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130.1</w:t>
            </w:r>
          </w:p>
        </w:tc>
        <w:tc>
          <w:tcPr>
            <w:tcW w:w="0" w:type="dxa"/>
            <w:vAlign w:val="bottom"/>
          </w:tcPr>
          <w:p>
            <w:pPr>
              <w:spacing w:after="0"/>
              <w:rPr>
                <w:sz w:val="1"/>
                <w:szCs w:val="1"/>
                <w:color w:val="auto"/>
              </w:rPr>
            </w:pPr>
          </w:p>
        </w:tc>
      </w:tr>
      <w:tr>
        <w:trPr>
          <w:trHeight w:val="216"/>
        </w:trPr>
        <w:tc>
          <w:tcPr>
            <w:tcW w:w="8160" w:type="dxa"/>
            <w:vAlign w:val="bottom"/>
          </w:tcPr>
          <w:p>
            <w:pPr>
              <w:ind w:left="140"/>
              <w:spacing w:after="0"/>
              <w:rPr>
                <w:sz w:val="20"/>
                <w:szCs w:val="20"/>
                <w:color w:val="auto"/>
              </w:rPr>
            </w:pPr>
            <w:r>
              <w:rPr>
                <w:rFonts w:ascii="Arial" w:cs="Arial" w:eastAsia="Arial" w:hAnsi="Arial"/>
                <w:sz w:val="17"/>
                <w:szCs w:val="17"/>
                <w:color w:val="auto"/>
              </w:rPr>
              <w:t>Reinsurance recoverable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124.8</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reinsurance premiums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112.8</w:t>
            </w:r>
          </w:p>
        </w:tc>
        <w:tc>
          <w:tcPr>
            <w:tcW w:w="0" w:type="dxa"/>
            <w:vAlign w:val="bottom"/>
          </w:tcPr>
          <w:p>
            <w:pPr>
              <w:spacing w:after="0"/>
              <w:rPr>
                <w:sz w:val="1"/>
                <w:szCs w:val="1"/>
                <w:color w:val="auto"/>
              </w:rPr>
            </w:pPr>
          </w:p>
        </w:tc>
      </w:tr>
      <w:tr>
        <w:trPr>
          <w:trHeight w:val="216"/>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assets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w:t>
            </w:r>
          </w:p>
        </w:tc>
        <w:tc>
          <w:tcPr>
            <w:tcW w:w="0" w:type="dxa"/>
            <w:vAlign w:val="bottom"/>
          </w:tcPr>
          <w:p>
            <w:pPr>
              <w:spacing w:after="0"/>
              <w:rPr>
                <w:sz w:val="1"/>
                <w:szCs w:val="1"/>
                <w:color w:val="auto"/>
              </w:rPr>
            </w:pPr>
          </w:p>
        </w:tc>
      </w:tr>
      <w:tr>
        <w:trPr>
          <w:trHeight w:val="234"/>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1,704.2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1,762.3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140"/>
              <w:spacing w:after="0"/>
              <w:rPr>
                <w:sz w:val="20"/>
                <w:szCs w:val="20"/>
                <w:color w:val="auto"/>
              </w:rPr>
            </w:pPr>
            <w:r>
              <w:rPr>
                <w:rFonts w:ascii="Arial" w:cs="Arial" w:eastAsia="Arial" w:hAnsi="Arial"/>
                <w:sz w:val="17"/>
                <w:szCs w:val="17"/>
                <w:color w:val="auto"/>
              </w:rPr>
              <w:t>Loss and loss adjustment expense reserves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240.7</w:t>
            </w:r>
          </w:p>
        </w:tc>
        <w:tc>
          <w:tcPr>
            <w:tcW w:w="1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237.2</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Unearned premiums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0" w:type="dxa"/>
            <w:vAlign w:val="bottom"/>
          </w:tcPr>
          <w:p>
            <w:pPr>
              <w:spacing w:after="0"/>
              <w:rPr>
                <w:sz w:val="1"/>
                <w:szCs w:val="1"/>
                <w:color w:val="auto"/>
              </w:rPr>
            </w:pPr>
          </w:p>
        </w:tc>
      </w:tr>
      <w:tr>
        <w:trPr>
          <w:trHeight w:val="216"/>
        </w:trPr>
        <w:tc>
          <w:tcPr>
            <w:tcW w:w="8160" w:type="dxa"/>
            <w:vAlign w:val="bottom"/>
          </w:tcPr>
          <w:p>
            <w:pPr>
              <w:ind w:left="140"/>
              <w:spacing w:after="0"/>
              <w:rPr>
                <w:sz w:val="20"/>
                <w:szCs w:val="20"/>
                <w:color w:val="auto"/>
              </w:rPr>
            </w:pPr>
            <w:r>
              <w:rPr>
                <w:rFonts w:ascii="Arial" w:cs="Arial" w:eastAsia="Arial" w:hAnsi="Arial"/>
                <w:sz w:val="17"/>
                <w:szCs w:val="17"/>
                <w:color w:val="auto"/>
              </w:rPr>
              <w:t>Long-term debt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188.2</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Reinsurance premiums payable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216"/>
        </w:trPr>
        <w:tc>
          <w:tcPr>
            <w:tcW w:w="8160" w:type="dxa"/>
            <w:vAlign w:val="bottom"/>
          </w:tcPr>
          <w:p>
            <w:pPr>
              <w:ind w:left="140"/>
              <w:spacing w:after="0"/>
              <w:rPr>
                <w:sz w:val="20"/>
                <w:szCs w:val="20"/>
                <w:color w:val="auto"/>
              </w:rPr>
            </w:pPr>
            <w:r>
              <w:rPr>
                <w:rFonts w:ascii="Arial" w:cs="Arial" w:eastAsia="Arial" w:hAnsi="Arial"/>
                <w:sz w:val="17"/>
                <w:szCs w:val="17"/>
                <w:color w:val="auto"/>
              </w:rPr>
              <w:t>Accounts payable and accrued expenses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10"/>
        </w:trPr>
        <w:tc>
          <w:tcPr>
            <w:tcW w:w="8160" w:type="dxa"/>
            <w:vAlign w:val="bottom"/>
          </w:tcPr>
          <w:p>
            <w:pPr>
              <w:ind w:left="240"/>
              <w:spacing w:after="0"/>
              <w:rPr>
                <w:sz w:val="20"/>
                <w:szCs w:val="20"/>
                <w:color w:val="auto"/>
              </w:rPr>
            </w:pPr>
            <w:r>
              <w:rPr>
                <w:rFonts w:ascii="Arial" w:cs="Arial" w:eastAsia="Arial" w:hAnsi="Arial"/>
                <w:sz w:val="17"/>
                <w:szCs w:val="17"/>
                <w:color w:val="auto"/>
              </w:rPr>
              <w:t>Total liabilities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769.9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729.9</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10)</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60" w:type="dxa"/>
            <w:vAlign w:val="bottom"/>
            <w:shd w:val="clear" w:color="auto" w:fill="CCEEFF"/>
          </w:tcPr>
          <w:p>
            <w:pPr>
              <w:ind w:left="140"/>
              <w:spacing w:after="0" w:line="162" w:lineRule="exact"/>
              <w:rPr>
                <w:sz w:val="20"/>
                <w:szCs w:val="20"/>
                <w:color w:val="auto"/>
              </w:rPr>
            </w:pPr>
            <w:r>
              <w:rPr>
                <w:rFonts w:ascii="Arial" w:cs="Arial" w:eastAsia="Arial" w:hAnsi="Arial"/>
                <w:sz w:val="17"/>
                <w:szCs w:val="17"/>
                <w:color w:val="auto"/>
                <w:w w:val="91"/>
              </w:rPr>
              <w:t>Preferred stock, $0.0001 par value, 100.0 shares authorized, zero shares issued and outstanding at March 31, 2021</w:t>
            </w:r>
          </w:p>
        </w:tc>
        <w:tc>
          <w:tcPr>
            <w:tcW w:w="26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and December 31, 2020, respectively</w:t>
            </w:r>
          </w:p>
        </w:tc>
        <w:tc>
          <w:tcPr>
            <w:tcW w:w="26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60" w:type="dxa"/>
            <w:vAlign w:val="bottom"/>
          </w:tcPr>
          <w:p>
            <w:pPr>
              <w:ind w:left="140"/>
              <w:spacing w:after="0" w:line="162" w:lineRule="exact"/>
              <w:rPr>
                <w:sz w:val="20"/>
                <w:szCs w:val="20"/>
                <w:color w:val="auto"/>
              </w:rPr>
            </w:pPr>
            <w:r>
              <w:rPr>
                <w:rFonts w:ascii="Arial" w:cs="Arial" w:eastAsia="Arial" w:hAnsi="Arial"/>
                <w:sz w:val="17"/>
                <w:szCs w:val="17"/>
                <w:color w:val="auto"/>
                <w:w w:val="89"/>
              </w:rPr>
              <w:t>Class A common stock, $0.0001 par value, 1,000.0 shares authorized, 86.5 and 59.4 shares issued and outstanding at</w:t>
            </w:r>
          </w:p>
        </w:tc>
        <w:tc>
          <w:tcPr>
            <w:tcW w:w="260" w:type="dxa"/>
            <w:vAlign w:val="bottom"/>
          </w:tcPr>
          <w:p>
            <w:pPr>
              <w:spacing w:after="0"/>
              <w:rPr>
                <w:sz w:val="14"/>
                <w:szCs w:val="14"/>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8160" w:type="dxa"/>
            <w:vAlign w:val="bottom"/>
          </w:tcPr>
          <w:p>
            <w:pPr>
              <w:ind w:left="300"/>
              <w:spacing w:after="0"/>
              <w:rPr>
                <w:sz w:val="20"/>
                <w:szCs w:val="20"/>
                <w:color w:val="auto"/>
              </w:rPr>
            </w:pPr>
            <w:r>
              <w:rPr>
                <w:rFonts w:ascii="Arial" w:cs="Arial" w:eastAsia="Arial" w:hAnsi="Arial"/>
                <w:sz w:val="17"/>
                <w:szCs w:val="17"/>
                <w:color w:val="auto"/>
              </w:rPr>
              <w:t>March 31, 2021 and December 31, 2020, respectively</w:t>
            </w:r>
          </w:p>
        </w:tc>
        <w:tc>
          <w:tcPr>
            <w:tcW w:w="2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60" w:type="dxa"/>
            <w:vAlign w:val="bottom"/>
            <w:shd w:val="clear" w:color="auto" w:fill="CCEEFF"/>
          </w:tcPr>
          <w:p>
            <w:pPr>
              <w:ind w:left="140"/>
              <w:spacing w:after="0" w:line="162" w:lineRule="exact"/>
              <w:rPr>
                <w:sz w:val="20"/>
                <w:szCs w:val="20"/>
                <w:color w:val="auto"/>
              </w:rPr>
            </w:pPr>
            <w:r>
              <w:rPr>
                <w:rFonts w:ascii="Arial" w:cs="Arial" w:eastAsia="Arial" w:hAnsi="Arial"/>
                <w:sz w:val="17"/>
                <w:szCs w:val="17"/>
                <w:color w:val="auto"/>
                <w:w w:val="89"/>
              </w:rPr>
              <w:t>Class B common stock, $0.0001 par value, 269.0 shares authorized, 166.4 and 192.2 shares issued and outstanding at</w:t>
            </w:r>
          </w:p>
        </w:tc>
        <w:tc>
          <w:tcPr>
            <w:tcW w:w="26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March 31, 2021 and December 31, 2020, respectively</w:t>
            </w:r>
          </w:p>
        </w:tc>
        <w:tc>
          <w:tcPr>
            <w:tcW w:w="26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140"/>
              <w:spacing w:after="0"/>
              <w:rPr>
                <w:sz w:val="20"/>
                <w:szCs w:val="20"/>
                <w:color w:val="auto"/>
              </w:rPr>
            </w:pPr>
            <w:r>
              <w:rPr>
                <w:rFonts w:ascii="Arial" w:cs="Arial" w:eastAsia="Arial" w:hAnsi="Arial"/>
                <w:sz w:val="17"/>
                <w:szCs w:val="17"/>
                <w:color w:val="auto"/>
              </w:rPr>
              <w:t>Treasury stock, at cost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Additional paid-in capital</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1,775.6</w:t>
            </w:r>
          </w:p>
        </w:tc>
        <w:tc>
          <w:tcPr>
            <w:tcW w:w="0" w:type="dxa"/>
            <w:vAlign w:val="bottom"/>
          </w:tcPr>
          <w:p>
            <w:pPr>
              <w:spacing w:after="0"/>
              <w:rPr>
                <w:sz w:val="1"/>
                <w:szCs w:val="1"/>
                <w:color w:val="auto"/>
              </w:rPr>
            </w:pPr>
          </w:p>
        </w:tc>
      </w:tr>
      <w:tr>
        <w:trPr>
          <w:trHeight w:val="216"/>
        </w:trPr>
        <w:tc>
          <w:tcPr>
            <w:tcW w:w="8160" w:type="dxa"/>
            <w:vAlign w:val="bottom"/>
          </w:tcPr>
          <w:p>
            <w:pPr>
              <w:ind w:left="140"/>
              <w:spacing w:after="0"/>
              <w:rPr>
                <w:sz w:val="20"/>
                <w:szCs w:val="20"/>
                <w:color w:val="auto"/>
              </w:rPr>
            </w:pPr>
            <w:r>
              <w:rPr>
                <w:rFonts w:ascii="Arial" w:cs="Arial" w:eastAsia="Arial" w:hAnsi="Arial"/>
                <w:sz w:val="17"/>
                <w:szCs w:val="17"/>
                <w:color w:val="auto"/>
              </w:rPr>
              <w:t>Accumulated other comprehensive income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loss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(847.6)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(748.0)</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Total stockholders’ equity</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934.3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1,032.4</w:t>
            </w:r>
          </w:p>
        </w:tc>
        <w:tc>
          <w:tcPr>
            <w:tcW w:w="0" w:type="dxa"/>
            <w:vAlign w:val="bottom"/>
          </w:tcPr>
          <w:p>
            <w:pPr>
              <w:spacing w:after="0"/>
              <w:rPr>
                <w:sz w:val="1"/>
                <w:szCs w:val="1"/>
                <w:color w:val="auto"/>
              </w:rPr>
            </w:pPr>
          </w:p>
        </w:tc>
      </w:tr>
      <w:tr>
        <w:trPr>
          <w:trHeight w:val="235"/>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liabilities and stockholders’ equity</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1,704.2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1,762.3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 w:name="page6"/>
    <w:bookmarkEnd w:id="5"/>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6"/>
              </w:rPr>
              <w:t>(in millions, except per share data)</w:t>
            </w:r>
          </w:p>
        </w:tc>
        <w:tc>
          <w:tcPr>
            <w:tcW w:w="0" w:type="dxa"/>
            <w:vAlign w:val="bottom"/>
          </w:tcPr>
          <w:p>
            <w:pPr>
              <w:spacing w:after="0"/>
              <w:rPr>
                <w:sz w:val="1"/>
                <w:szCs w:val="1"/>
                <w:color w:val="auto"/>
              </w:rPr>
            </w:pPr>
          </w:p>
        </w:tc>
      </w:tr>
      <w:tr>
        <w:trPr>
          <w:trHeight w:val="231"/>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Net premiums earned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Net realized gains on investments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 and other income</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844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Loss and loss adjustment expenses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Other insurance expense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development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comprehensive loss: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Changes in net unrealized losses on investments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per common share: basic and diluted (both Class A and B)</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40" w:type="dxa"/>
            <w:vAlign w:val="bottom"/>
            <w:vMerge w:val="continue"/>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(0.40)</w:t>
            </w:r>
          </w:p>
        </w:tc>
        <w:tc>
          <w:tcPr>
            <w:tcW w:w="8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8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ROOT, INC. AND SUBSIDIARIES</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jc w:val="center"/>
        <w:spacing w:after="0"/>
        <w:rPr>
          <w:sz w:val="20"/>
          <w:szCs w:val="20"/>
          <w:color w:val="auto"/>
        </w:rPr>
      </w:pPr>
      <w:r>
        <w:rPr>
          <w:rFonts w:ascii="Arial" w:cs="Arial" w:eastAsia="Arial" w:hAnsi="Arial"/>
          <w:sz w:val="18"/>
          <w:szCs w:val="18"/>
          <w:b w:val="1"/>
          <w:bCs w:val="1"/>
          <w:color w:val="auto"/>
        </w:rPr>
        <w:t>EQUITY (DEFICIT)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5"/>
          </w:tcPr>
          <w:p>
            <w:pPr>
              <w:jc w:val="center"/>
              <w:ind w:left="130"/>
              <w:spacing w:after="0"/>
              <w:rPr>
                <w:sz w:val="20"/>
                <w:szCs w:val="20"/>
                <w:color w:val="auto"/>
              </w:rPr>
            </w:pPr>
            <w:r>
              <w:rPr>
                <w:rFonts w:ascii="Arial" w:cs="Arial" w:eastAsia="Arial" w:hAnsi="Arial"/>
                <w:sz w:val="13"/>
                <w:szCs w:val="13"/>
                <w:b w:val="1"/>
                <w:bCs w:val="1"/>
                <w:color w:val="auto"/>
                <w:w w:val="86"/>
              </w:rPr>
              <w:t>Redeemable</w:t>
            </w:r>
          </w:p>
        </w:tc>
        <w:tc>
          <w:tcPr>
            <w:tcW w:w="2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60" w:type="dxa"/>
            <w:vAlign w:val="bottom"/>
            <w:gridSpan w:val="11"/>
            <w:vMerge w:val="restart"/>
          </w:tcPr>
          <w:p>
            <w:pPr>
              <w:jc w:val="center"/>
              <w:ind w:right="200"/>
              <w:spacing w:after="0"/>
              <w:rPr>
                <w:sz w:val="20"/>
                <w:szCs w:val="20"/>
                <w:color w:val="auto"/>
              </w:rPr>
            </w:pPr>
            <w:r>
              <w:rPr>
                <w:rFonts w:ascii="Arial" w:cs="Arial" w:eastAsia="Arial" w:hAnsi="Arial"/>
                <w:sz w:val="13"/>
                <w:szCs w:val="13"/>
                <w:b w:val="1"/>
                <w:bCs w:val="1"/>
                <w:color w:val="auto"/>
                <w:w w:val="86"/>
              </w:rPr>
              <w:t>Class A and Class B Common</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1360" w:type="dxa"/>
            <w:vAlign w:val="bottom"/>
            <w:tcBorders>
              <w:right w:val="single" w:sz="8" w:color="auto"/>
            </w:tcBorders>
            <w:gridSpan w:val="8"/>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Convertible Preferred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60" w:type="dxa"/>
            <w:vAlign w:val="bottom"/>
            <w:gridSpan w:val="11"/>
            <w:vMerge w:val="continue"/>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6"/>
            <w:vMerge w:val="restart"/>
          </w:tcPr>
          <w:p>
            <w:pPr>
              <w:ind w:left="140"/>
              <w:spacing w:after="0"/>
              <w:rPr>
                <w:sz w:val="20"/>
                <w:szCs w:val="20"/>
                <w:color w:val="auto"/>
              </w:rPr>
            </w:pPr>
            <w:r>
              <w:rPr>
                <w:rFonts w:ascii="Arial" w:cs="Arial" w:eastAsia="Arial" w:hAnsi="Arial"/>
                <w:sz w:val="13"/>
                <w:szCs w:val="13"/>
                <w:b w:val="1"/>
                <w:bCs w:val="1"/>
                <w:color w:val="auto"/>
              </w:rPr>
              <w:t>Treasury Stock</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4"/>
            <w:vMerge w:val="restart"/>
          </w:tcPr>
          <w:p>
            <w:pPr>
              <w:jc w:val="center"/>
              <w:ind w:right="140"/>
              <w:spacing w:after="0"/>
              <w:rPr>
                <w:sz w:val="20"/>
                <w:szCs w:val="20"/>
                <w:color w:val="auto"/>
              </w:rPr>
            </w:pPr>
            <w:r>
              <w:rPr>
                <w:rFonts w:ascii="Arial" w:cs="Arial" w:eastAsia="Arial" w:hAnsi="Arial"/>
                <w:sz w:val="13"/>
                <w:szCs w:val="13"/>
                <w:b w:val="1"/>
                <w:bCs w:val="1"/>
                <w:color w:val="auto"/>
                <w:w w:val="85"/>
              </w:rPr>
              <w:t>Accumulated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5"/>
          </w:tcPr>
          <w:p>
            <w:pPr>
              <w:jc w:val="center"/>
              <w:ind w:left="130"/>
              <w:spacing w:after="0" w:line="122" w:lineRule="exact"/>
              <w:rPr>
                <w:sz w:val="20"/>
                <w:szCs w:val="20"/>
                <w:color w:val="auto"/>
              </w:rPr>
            </w:pPr>
            <w:r>
              <w:rPr>
                <w:rFonts w:ascii="Arial" w:cs="Arial" w:eastAsia="Arial" w:hAnsi="Arial"/>
                <w:sz w:val="13"/>
                <w:szCs w:val="13"/>
                <w:b w:val="1"/>
                <w:bCs w:val="1"/>
                <w:color w:val="auto"/>
                <w:w w:val="84"/>
              </w:rPr>
              <w:t>Stock</w:t>
            </w: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4"/>
              </w:rPr>
              <w:t>Stock</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6"/>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3"/>
          </w:tcPr>
          <w:p>
            <w:pPr>
              <w:jc w:val="center"/>
              <w:ind w:right="320"/>
              <w:spacing w:after="0" w:line="54" w:lineRule="exact"/>
              <w:rPr>
                <w:sz w:val="20"/>
                <w:szCs w:val="20"/>
                <w:color w:val="auto"/>
              </w:rPr>
            </w:pPr>
            <w:r>
              <w:rPr>
                <w:rFonts w:ascii="Arial" w:cs="Arial" w:eastAsia="Arial" w:hAnsi="Arial"/>
                <w:sz w:val="6"/>
                <w:szCs w:val="6"/>
                <w:b w:val="1"/>
                <w:bCs w:val="1"/>
                <w:color w:val="auto"/>
              </w:rPr>
              <w:t>Other</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jc w:val="center"/>
              <w:ind w:right="51"/>
              <w:spacing w:after="0" w:line="54"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128"/>
        </w:trPr>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87"/>
              </w:rPr>
              <w:t>Shares</w:t>
            </w:r>
          </w:p>
        </w:tc>
        <w:tc>
          <w:tcPr>
            <w:tcW w:w="20" w:type="dxa"/>
            <w:vAlign w:val="bottom"/>
          </w:tcPr>
          <w:p>
            <w:pPr>
              <w:spacing w:after="0"/>
              <w:rPr>
                <w:sz w:val="11"/>
                <w:szCs w:val="11"/>
                <w:color w:val="auto"/>
              </w:rPr>
            </w:pPr>
          </w:p>
        </w:tc>
        <w:tc>
          <w:tcPr>
            <w:tcW w:w="680" w:type="dxa"/>
            <w:vAlign w:val="bottom"/>
            <w:tcBorders>
              <w:right w:val="single" w:sz="8" w:color="auto"/>
            </w:tcBorders>
            <w:gridSpan w:val="4"/>
            <w:vMerge w:val="restart"/>
          </w:tcPr>
          <w:p>
            <w:pPr>
              <w:jc w:val="right"/>
              <w:ind w:right="18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1"/>
                <w:szCs w:val="11"/>
                <w:color w:val="auto"/>
              </w:rPr>
            </w:pPr>
          </w:p>
        </w:tc>
        <w:tc>
          <w:tcPr>
            <w:tcW w:w="640" w:type="dxa"/>
            <w:vAlign w:val="bottom"/>
            <w:gridSpan w:val="3"/>
          </w:tcPr>
          <w:p>
            <w:pPr>
              <w:ind w:left="60"/>
              <w:spacing w:after="0" w:line="129" w:lineRule="exact"/>
              <w:rPr>
                <w:sz w:val="20"/>
                <w:szCs w:val="20"/>
                <w:color w:val="auto"/>
              </w:rPr>
            </w:pPr>
            <w:r>
              <w:rPr>
                <w:rFonts w:ascii="Arial" w:cs="Arial" w:eastAsia="Arial" w:hAnsi="Arial"/>
                <w:sz w:val="13"/>
                <w:szCs w:val="13"/>
                <w:b w:val="1"/>
                <w:bCs w:val="1"/>
                <w:color w:val="auto"/>
              </w:rPr>
              <w:t>Class A</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83"/>
              </w:rPr>
              <w:t>Class B</w:t>
            </w:r>
          </w:p>
        </w:tc>
        <w:tc>
          <w:tcPr>
            <w:tcW w:w="20" w:type="dxa"/>
            <w:vAlign w:val="bottom"/>
          </w:tcPr>
          <w:p>
            <w:pPr>
              <w:spacing w:after="0"/>
              <w:rPr>
                <w:sz w:val="11"/>
                <w:szCs w:val="11"/>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1"/>
                <w:szCs w:val="11"/>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87"/>
              </w:rPr>
              <w:t>Shares</w:t>
            </w:r>
          </w:p>
        </w:tc>
        <w:tc>
          <w:tcPr>
            <w:tcW w:w="80" w:type="dxa"/>
            <w:vAlign w:val="bottom"/>
          </w:tcPr>
          <w:p>
            <w:pPr>
              <w:spacing w:after="0"/>
              <w:rPr>
                <w:sz w:val="11"/>
                <w:szCs w:val="11"/>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1"/>
                <w:szCs w:val="11"/>
                <w:color w:val="auto"/>
              </w:rPr>
            </w:pPr>
          </w:p>
        </w:tc>
        <w:tc>
          <w:tcPr>
            <w:tcW w:w="1000" w:type="dxa"/>
            <w:vAlign w:val="bottom"/>
            <w:gridSpan w:val="4"/>
          </w:tcPr>
          <w:p>
            <w:pPr>
              <w:ind w:left="20"/>
              <w:spacing w:after="0" w:line="129" w:lineRule="exact"/>
              <w:rPr>
                <w:sz w:val="20"/>
                <w:szCs w:val="20"/>
                <w:color w:val="auto"/>
              </w:rPr>
            </w:pPr>
            <w:r>
              <w:rPr>
                <w:rFonts w:ascii="Arial" w:cs="Arial" w:eastAsia="Arial" w:hAnsi="Arial"/>
                <w:sz w:val="13"/>
                <w:szCs w:val="13"/>
                <w:b w:val="1"/>
                <w:bCs w:val="1"/>
                <w:color w:val="auto"/>
                <w:w w:val="96"/>
              </w:rPr>
              <w:t>Additional Paid-</w:t>
            </w:r>
          </w:p>
        </w:tc>
        <w:tc>
          <w:tcPr>
            <w:tcW w:w="1040" w:type="dxa"/>
            <w:vAlign w:val="bottom"/>
            <w:gridSpan w:val="5"/>
          </w:tcPr>
          <w:p>
            <w:pPr>
              <w:jc w:val="center"/>
              <w:ind w:right="60"/>
              <w:spacing w:after="0" w:line="129" w:lineRule="exact"/>
              <w:rPr>
                <w:sz w:val="20"/>
                <w:szCs w:val="20"/>
                <w:color w:val="auto"/>
              </w:rPr>
            </w:pPr>
            <w:r>
              <w:rPr>
                <w:rFonts w:ascii="Arial" w:cs="Arial" w:eastAsia="Arial" w:hAnsi="Arial"/>
                <w:sz w:val="13"/>
                <w:szCs w:val="13"/>
                <w:b w:val="1"/>
                <w:bCs w:val="1"/>
                <w:color w:val="auto"/>
                <w:w w:val="84"/>
              </w:rPr>
              <w:t>Comprehensive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31"/>
              <w:spacing w:after="0" w:line="129"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right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2"/>
              </w:rPr>
              <w:t>Shares</w:t>
            </w:r>
          </w:p>
        </w:tc>
        <w:tc>
          <w:tcPr>
            <w:tcW w:w="20" w:type="dxa"/>
            <w:vAlign w:val="bottom"/>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2"/>
              </w:rPr>
              <w:t>in Capital</w:t>
            </w:r>
          </w:p>
        </w:tc>
        <w:tc>
          <w:tcPr>
            <w:tcW w:w="80" w:type="dxa"/>
            <w:vAlign w:val="bottom"/>
          </w:tcPr>
          <w:p>
            <w:pPr>
              <w:spacing w:after="0"/>
              <w:rPr>
                <w:sz w:val="14"/>
                <w:szCs w:val="14"/>
                <w:color w:val="auto"/>
              </w:rPr>
            </w:pPr>
          </w:p>
        </w:tc>
        <w:tc>
          <w:tcPr>
            <w:tcW w:w="9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6"/>
              </w:rPr>
              <w:t>Income (Loss)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240"/>
              <w:spacing w:after="0"/>
              <w:rPr>
                <w:sz w:val="20"/>
                <w:szCs w:val="20"/>
                <w:color w:val="auto"/>
              </w:rPr>
            </w:pPr>
            <w:r>
              <w:rPr>
                <w:rFonts w:ascii="Arial" w:cs="Arial" w:eastAsia="Arial" w:hAnsi="Arial"/>
                <w:sz w:val="13"/>
                <w:szCs w:val="13"/>
                <w:b w:val="1"/>
                <w:bCs w:val="1"/>
                <w:color w:val="auto"/>
              </w:rPr>
              <w:t>Loss</w:t>
            </w:r>
          </w:p>
        </w:tc>
        <w:tc>
          <w:tcPr>
            <w:tcW w:w="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5"/>
          </w:tcPr>
          <w:p>
            <w:pPr>
              <w:jc w:val="right"/>
              <w:ind w:right="380"/>
              <w:spacing w:after="0"/>
              <w:rPr>
                <w:sz w:val="20"/>
                <w:szCs w:val="20"/>
                <w:color w:val="auto"/>
              </w:rPr>
            </w:pPr>
            <w:r>
              <w:rPr>
                <w:rFonts w:ascii="Arial" w:cs="Arial" w:eastAsia="Arial" w:hAnsi="Arial"/>
                <w:sz w:val="13"/>
                <w:szCs w:val="13"/>
                <w:b w:val="1"/>
                <w:bCs w:val="1"/>
                <w:color w:val="auto"/>
                <w:w w:val="84"/>
              </w:rPr>
              <w:t>(in millions)</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Balance—January 1, 2021</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3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8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192.2</w:t>
            </w:r>
          </w:p>
        </w:tc>
        <w:tc>
          <w:tcPr>
            <w:tcW w:w="8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4"/>
                <w:szCs w:val="14"/>
                <w:color w:val="auto"/>
                <w:w w:val="97"/>
              </w:rPr>
              <w:t>(0.8)</w:t>
            </w:r>
          </w:p>
        </w:tc>
        <w:tc>
          <w:tcPr>
            <w:tcW w:w="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1,775.6</w:t>
            </w: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(748.0)</w:t>
            </w:r>
          </w:p>
        </w:tc>
        <w:tc>
          <w:tcPr>
            <w:tcW w:w="8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1,032.4</w:t>
            </w:r>
          </w:p>
        </w:tc>
        <w:tc>
          <w:tcPr>
            <w:tcW w:w="0" w:type="dxa"/>
            <w:vAlign w:val="bottom"/>
          </w:tcPr>
          <w:p>
            <w:pPr>
              <w:spacing w:after="0"/>
              <w:rPr>
                <w:sz w:val="1"/>
                <w:szCs w:val="1"/>
                <w:color w:val="auto"/>
              </w:rPr>
            </w:pPr>
          </w:p>
        </w:tc>
      </w:tr>
      <w:tr>
        <w:trPr>
          <w:trHeight w:val="186"/>
        </w:trPr>
        <w:tc>
          <w:tcPr>
            <w:tcW w:w="2380" w:type="dxa"/>
            <w:vAlign w:val="bottom"/>
          </w:tcPr>
          <w:p>
            <w:pPr>
              <w:ind w:left="20"/>
              <w:spacing w:after="0"/>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192"/>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Changes in other comprehensive loss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6"/>
        </w:trPr>
        <w:tc>
          <w:tcPr>
            <w:tcW w:w="2380" w:type="dxa"/>
            <w:vAlign w:val="bottom"/>
          </w:tcPr>
          <w:p>
            <w:pPr>
              <w:ind w:left="20"/>
              <w:spacing w:after="0"/>
              <w:rPr>
                <w:sz w:val="20"/>
                <w:szCs w:val="20"/>
                <w:color w:val="auto"/>
              </w:rPr>
            </w:pPr>
            <w:r>
              <w:rPr>
                <w:rFonts w:ascii="Arial" w:cs="Arial" w:eastAsia="Arial" w:hAnsi="Arial"/>
                <w:sz w:val="14"/>
                <w:szCs w:val="14"/>
                <w:color w:val="auto"/>
              </w:rPr>
              <w:t>Conversion of Class B to Class A</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26.1</w:t>
            </w:r>
          </w:p>
        </w:tc>
        <w:tc>
          <w:tcPr>
            <w:tcW w:w="8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(26.1)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3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9"/>
              </w:rPr>
              <w:t>Common stock—option exercises and</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w w:val="99"/>
              </w:rPr>
              <w:t>restricted stock units vesting, net of</w:t>
            </w:r>
          </w:p>
        </w:tc>
        <w:tc>
          <w:tcPr>
            <w:tcW w:w="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1"/>
                <w:szCs w:val="11"/>
                <w:color w:val="auto"/>
              </w:rPr>
            </w:pP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9"/>
              </w:rPr>
              <w:t>shares withheld for employee taxes</w:t>
            </w: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tcBorders>
              <w:right w:val="single" w:sz="8" w:color="auto"/>
            </w:tcBorders>
            <w:gridSpan w:val="2"/>
            <w:vMerge w:val="continue"/>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20"/>
              <w:spacing w:after="0" w:line="135" w:lineRule="exact"/>
              <w:rPr>
                <w:sz w:val="20"/>
                <w:szCs w:val="20"/>
                <w:color w:val="auto"/>
              </w:rPr>
            </w:pPr>
            <w:r>
              <w:rPr>
                <w:rFonts w:ascii="Arial" w:cs="Arial" w:eastAsia="Arial" w:hAnsi="Arial"/>
                <w:sz w:val="14"/>
                <w:szCs w:val="14"/>
                <w:color w:val="auto"/>
                <w:w w:val="94"/>
              </w:rPr>
              <w:t>Reclassification of early-exercised stock</w:t>
            </w:r>
          </w:p>
        </w:tc>
        <w:tc>
          <w:tcPr>
            <w:tcW w:w="8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6"/>
        </w:trPr>
        <w:tc>
          <w:tcPr>
            <w:tcW w:w="2380" w:type="dxa"/>
            <w:vAlign w:val="bottom"/>
          </w:tcPr>
          <w:p>
            <w:pPr>
              <w:ind w:left="180"/>
              <w:spacing w:after="0"/>
              <w:rPr>
                <w:sz w:val="20"/>
                <w:szCs w:val="20"/>
                <w:color w:val="auto"/>
              </w:rPr>
            </w:pPr>
            <w:r>
              <w:rPr>
                <w:rFonts w:ascii="Arial" w:cs="Arial" w:eastAsia="Arial" w:hAnsi="Arial"/>
                <w:sz w:val="14"/>
                <w:szCs w:val="14"/>
                <w:color w:val="auto"/>
              </w:rPr>
              <w:t>option from liabilities</w:t>
            </w: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3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Common stock—share-based</w:t>
            </w: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expense</w:t>
            </w: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tcBorders>
              <w:right w:val="single" w:sz="8" w:color="auto"/>
            </w:tcBorders>
            <w:gridSpan w:val="2"/>
            <w:vMerge w:val="continue"/>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80" w:type="dxa"/>
            <w:vAlign w:val="bottom"/>
          </w:tcPr>
          <w:p>
            <w:pPr>
              <w:ind w:left="20"/>
              <w:spacing w:after="0"/>
              <w:rPr>
                <w:sz w:val="20"/>
                <w:szCs w:val="20"/>
                <w:color w:val="auto"/>
              </w:rPr>
            </w:pPr>
            <w:r>
              <w:rPr>
                <w:rFonts w:ascii="Arial" w:cs="Arial" w:eastAsia="Arial" w:hAnsi="Arial"/>
                <w:sz w:val="14"/>
                <w:szCs w:val="14"/>
                <w:color w:val="auto"/>
              </w:rPr>
              <w:t>Balance—March 31, 2021</w:t>
            </w: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86.5</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166.4</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73"/>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color w:val="auto"/>
                <w:w w:val="97"/>
              </w:rPr>
              <w:t>(0.8)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1,780.6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74"/>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(847.6)</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934.3</w:t>
            </w: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Balance—January 1, 2020</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158.9</w:t>
            </w:r>
          </w:p>
        </w:tc>
        <w:tc>
          <w:tcPr>
            <w:tcW w:w="3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5"/>
              </w:rPr>
              <w:t>560.4</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44.4</w:t>
            </w:r>
          </w:p>
        </w:tc>
        <w:tc>
          <w:tcPr>
            <w:tcW w:w="3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0"/>
              </w:rPr>
              <w:t>(0.1)</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10.5</w:t>
            </w:r>
          </w:p>
        </w:tc>
        <w:tc>
          <w:tcPr>
            <w:tcW w:w="24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(385.0)</w:t>
            </w:r>
          </w:p>
        </w:tc>
        <w:tc>
          <w:tcPr>
            <w:tcW w:w="8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(374.0)</w:t>
            </w:r>
          </w:p>
        </w:tc>
        <w:tc>
          <w:tcPr>
            <w:tcW w:w="0" w:type="dxa"/>
            <w:vAlign w:val="bottom"/>
          </w:tcPr>
          <w:p>
            <w:pPr>
              <w:spacing w:after="0"/>
              <w:rPr>
                <w:sz w:val="1"/>
                <w:szCs w:val="1"/>
                <w:color w:val="auto"/>
              </w:rPr>
            </w:pPr>
          </w:p>
        </w:tc>
      </w:tr>
      <w:tr>
        <w:trPr>
          <w:trHeight w:val="186"/>
        </w:trPr>
        <w:tc>
          <w:tcPr>
            <w:tcW w:w="2380" w:type="dxa"/>
            <w:vAlign w:val="bottom"/>
          </w:tcPr>
          <w:p>
            <w:pPr>
              <w:ind w:left="20"/>
              <w:spacing w:after="0"/>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192"/>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Changes in other comprehensive loss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6"/>
        </w:trPr>
        <w:tc>
          <w:tcPr>
            <w:tcW w:w="2380" w:type="dxa"/>
            <w:vAlign w:val="bottom"/>
          </w:tcPr>
          <w:p>
            <w:pPr>
              <w:ind w:left="20"/>
              <w:spacing w:after="0"/>
              <w:rPr>
                <w:sz w:val="20"/>
                <w:szCs w:val="20"/>
                <w:color w:val="auto"/>
              </w:rPr>
            </w:pPr>
            <w:r>
              <w:rPr>
                <w:rFonts w:ascii="Arial" w:cs="Arial" w:eastAsia="Arial" w:hAnsi="Arial"/>
                <w:sz w:val="14"/>
                <w:szCs w:val="14"/>
                <w:color w:val="auto"/>
                <w:w w:val="93"/>
              </w:rPr>
              <w:t>Tender offer and subsequent conversion</w:t>
            </w: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5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80" w:type="dxa"/>
            <w:vAlign w:val="bottom"/>
            <w:gridSpan w:val="4"/>
          </w:tcPr>
          <w:p>
            <w:pPr>
              <w:jc w:val="right"/>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25.1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92"/>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stock—option exercises</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0.4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5"/>
        </w:trPr>
        <w:tc>
          <w:tcPr>
            <w:tcW w:w="2380" w:type="dxa"/>
            <w:vAlign w:val="bottom"/>
          </w:tcPr>
          <w:p>
            <w:pPr>
              <w:ind w:left="20"/>
              <w:spacing w:after="0" w:line="135" w:lineRule="exact"/>
              <w:rPr>
                <w:sz w:val="20"/>
                <w:szCs w:val="20"/>
                <w:color w:val="auto"/>
              </w:rPr>
            </w:pPr>
            <w:r>
              <w:rPr>
                <w:rFonts w:ascii="Arial" w:cs="Arial" w:eastAsia="Arial" w:hAnsi="Arial"/>
                <w:sz w:val="14"/>
                <w:szCs w:val="14"/>
                <w:color w:val="auto"/>
              </w:rPr>
              <w:t>Common stock—share-based</w:t>
            </w:r>
          </w:p>
        </w:tc>
        <w:tc>
          <w:tcPr>
            <w:tcW w:w="80" w:type="dxa"/>
            <w:vAlign w:val="bottom"/>
          </w:tcPr>
          <w:p>
            <w:pPr>
              <w:spacing w:after="0"/>
              <w:rPr>
                <w:sz w:val="11"/>
                <w:szCs w:val="11"/>
                <w:color w:val="auto"/>
              </w:rPr>
            </w:pPr>
          </w:p>
        </w:tc>
        <w:tc>
          <w:tcPr>
            <w:tcW w:w="5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Borders>
              <w:right w:val="single" w:sz="8" w:color="auto"/>
            </w:tcBorders>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5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gridSpan w:val="2"/>
            <w:vMerge w:val="restart"/>
          </w:tcPr>
          <w:p>
            <w:pPr>
              <w:ind w:lef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6"/>
        </w:trPr>
        <w:tc>
          <w:tcPr>
            <w:tcW w:w="2380" w:type="dxa"/>
            <w:vAlign w:val="bottom"/>
          </w:tcPr>
          <w:p>
            <w:pPr>
              <w:ind w:left="180"/>
              <w:spacing w:after="0"/>
              <w:rPr>
                <w:sz w:val="20"/>
                <w:szCs w:val="20"/>
                <w:color w:val="auto"/>
              </w:rPr>
            </w:pPr>
            <w:r>
              <w:rPr>
                <w:rFonts w:ascii="Arial" w:cs="Arial" w:eastAsia="Arial" w:hAnsi="Arial"/>
                <w:sz w:val="14"/>
                <w:szCs w:val="14"/>
                <w:color w:val="auto"/>
              </w:rPr>
              <w:t>compensation expense</w:t>
            </w: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right w:val="single" w:sz="8" w:color="auto"/>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Balance—March 31, 2020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161.8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5"/>
              </w:rPr>
              <w:t>560.4</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41.9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gridSpan w:val="2"/>
            <w:shd w:val="clear" w:color="auto" w:fill="CCEEFF"/>
          </w:tcPr>
          <w:p>
            <w:pPr>
              <w:ind w:left="160"/>
              <w:spacing w:after="0"/>
              <w:rPr>
                <w:sz w:val="20"/>
                <w:szCs w:val="20"/>
                <w:color w:val="auto"/>
              </w:rPr>
            </w:pPr>
            <w:r>
              <w:rPr>
                <w:rFonts w:ascii="Arial" w:cs="Arial" w:eastAsia="Arial" w:hAnsi="Arial"/>
                <w:sz w:val="14"/>
                <w:szCs w:val="14"/>
                <w:color w:val="auto"/>
                <w:w w:val="90"/>
              </w:rPr>
              <w:t>(0.1)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(455.4)</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40" w:type="dxa"/>
            <w:vAlign w:val="bottom"/>
            <w:tcBorders>
              <w:top w:val="single" w:sz="8" w:color="auto"/>
            </w:tcBorders>
          </w:tcPr>
          <w:p>
            <w:pPr>
              <w:spacing w:after="0"/>
              <w:rPr>
                <w:sz w:val="15"/>
                <w:szCs w:val="15"/>
                <w:color w:val="auto"/>
              </w:rPr>
            </w:pPr>
          </w:p>
        </w:tc>
        <w:tc>
          <w:tcPr>
            <w:tcW w:w="2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top w:val="single" w:sz="8" w:color="auto"/>
              <w:bottom w:val="single" w:sz="8" w:color="auto"/>
            </w:tcBorders>
          </w:tcPr>
          <w:p>
            <w:pPr>
              <w:spacing w:after="0"/>
              <w:rPr>
                <w:sz w:val="15"/>
                <w:szCs w:val="15"/>
                <w:color w:val="auto"/>
              </w:rPr>
            </w:pPr>
          </w:p>
        </w:tc>
      </w:tr>
      <w:tr>
        <w:trPr>
          <w:trHeight w:val="181"/>
        </w:trPr>
        <w:tc>
          <w:tcPr>
            <w:tcW w:w="81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r>
      <w:tr>
        <w:trPr>
          <w:trHeight w:val="183"/>
        </w:trPr>
        <w:tc>
          <w:tcPr>
            <w:tcW w:w="8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60" w:type="dxa"/>
            <w:vAlign w:val="bottom"/>
            <w:gridSpan w:val="3"/>
          </w:tcPr>
          <w:p>
            <w:pPr>
              <w:jc w:val="right"/>
              <w:ind w:right="582"/>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tcPr>
          <w:p>
            <w:pPr>
              <w:jc w:val="right"/>
              <w:ind w:right="744"/>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18"/>
                <w:szCs w:val="18"/>
                <w:color w:val="auto"/>
              </w:rPr>
            </w:pP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(105.6)</w:t>
            </w: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Tender offer</w:t>
            </w: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Bad debt expense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Payment-in-kind interest expense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Realized gains on investments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Premiums receivable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Reinsurance recoverable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reinsurance premiums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Losses and loss adjustment expenses reserves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Unearned premiums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Reinsurance premiums payable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Accounts payable and accrued expenses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operating activities</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r>
      <w:tr>
        <w:trPr>
          <w:trHeight w:val="19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9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(100.8)</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maturities, call and pay downs of investments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Sales of investments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Capitalization of internally developed software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Purchases of fixed assets</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w:t>
            </w:r>
          </w:p>
        </w:tc>
      </w:tr>
      <w:tr>
        <w:trPr>
          <w:trHeight w:val="193"/>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exercise of stock options and restricted stock units, net of tax proceeds/(withholding)</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Debt issuance costs</w:t>
            </w:r>
          </w:p>
        </w:tc>
        <w:tc>
          <w:tcPr>
            <w:tcW w:w="9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long-term debt</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0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r>
      <w:tr>
        <w:trPr>
          <w:trHeight w:val="21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(154.0)</w:t>
            </w:r>
          </w:p>
        </w:tc>
      </w:tr>
      <w:tr>
        <w:trPr>
          <w:trHeight w:val="21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1,113.8</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416.6</w:t>
            </w:r>
          </w:p>
        </w:tc>
      </w:tr>
      <w:tr>
        <w:trPr>
          <w:trHeight w:val="23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1,107.3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8" w:name="page9"/>
    <w:bookmarkEnd w:id="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ROOT,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UNAUDITED</w:t>
      </w:r>
    </w:p>
    <w:p>
      <w:pPr>
        <w:spacing w:after="0" w:line="15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7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Root, Inc. is a holding company which, directly or indirectly, maintains 100% ownership of each of its subsidiaries, including, among others, Root Insurance Company, an Ohio-domiciled insurance company, and Root Property &amp; Casualty, a Delaware-domiciled insurance company (together with Root, Inc. “We,” “us” or “our”). We were formed in 2015 and began writing personal auto insurance in July 2016.</w:t>
      </w:r>
    </w:p>
    <w:p>
      <w:pPr>
        <w:spacing w:after="0" w:line="18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are a technology company operating a direct-to-consumer model with more than 75% of our personal insurance customers acquired through mobile applications. We offer auto and renters insurance products underwritten by Root Insurance Company.</w:t>
      </w:r>
    </w:p>
    <w:p>
      <w:pPr>
        <w:spacing w:after="0" w:line="16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71"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—In our opinion, all adjustments necessary for a fair presentation of the condensed consolidated financial statements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All such adjustments are of a normal and recurring nature. These condensed consolidated financial statements are unaudited and, accordingly, should be read in conjunction with the consolidated financial statements and notes included in the Annual Report on Form 10-K filed with the SEC on March 4, 2021.</w:t>
      </w:r>
    </w:p>
    <w:p>
      <w:pPr>
        <w:spacing w:after="0" w:line="126" w:lineRule="exact"/>
        <w:rPr>
          <w:sz w:val="20"/>
          <w:szCs w:val="20"/>
          <w:color w:val="auto"/>
        </w:rPr>
      </w:pPr>
    </w:p>
    <w:p>
      <w:pPr>
        <w:ind w:right="140" w:firstLine="324"/>
        <w:spacing w:after="0" w:line="266" w:lineRule="auto"/>
        <w:rPr>
          <w:sz w:val="20"/>
          <w:szCs w:val="20"/>
          <w:color w:val="auto"/>
        </w:rPr>
      </w:pPr>
      <w:r>
        <w:rPr>
          <w:rFonts w:ascii="Arial" w:cs="Arial" w:eastAsia="Arial" w:hAnsi="Arial"/>
          <w:sz w:val="18"/>
          <w:szCs w:val="18"/>
          <w:b w:val="1"/>
          <w:bCs w:val="1"/>
          <w:color w:val="auto"/>
        </w:rPr>
        <w:t>Basis of Consolidation</w:t>
      </w:r>
      <w:r>
        <w:rPr>
          <w:rFonts w:ascii="Arial" w:cs="Arial" w:eastAsia="Arial" w:hAnsi="Arial"/>
          <w:sz w:val="18"/>
          <w:szCs w:val="18"/>
          <w:color w:val="auto"/>
        </w:rPr>
        <w:t>—The unaudited condensed consolidated financial statements include the accounts of Root, Inc. and its subsidiaries,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wholly owned. These financial statements have been prepared in accordance with accounting principles generally accepted in the United States, or GAAP. All intercompany accounts and transactions have been eliminated.</w:t>
      </w:r>
    </w:p>
    <w:p>
      <w:pPr>
        <w:spacing w:after="0" w:line="122"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—The preparation of the unaudited condensed consolidated financial statements requires management to make certain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and liabilities and disclosure of contingent assets and liabilities at the date of the unaudited condensed consolidated financial statements and the reported amounts of revenue and expenses during the reporting period. Actual results could differ from those estimates. Significant estimates reflected in our unaudited condensed consolidated financial statements include, but are not limited to, reserves for loss and loss adjustment expense, premium write-offs and valuation allowances for income taxes.</w:t>
      </w:r>
    </w:p>
    <w:p>
      <w:pPr>
        <w:spacing w:after="0" w:line="16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b w:val="1"/>
          <w:bCs w:val="1"/>
          <w:color w:val="auto"/>
        </w:rPr>
        <w:t>COVID-19</w:t>
      </w:r>
      <w:r>
        <w:rPr>
          <w:rFonts w:ascii="Arial" w:cs="Arial" w:eastAsia="Arial" w:hAnsi="Arial"/>
          <w:sz w:val="17"/>
          <w:szCs w:val="17"/>
          <w:color w:val="auto"/>
        </w:rPr>
        <w:t>—In March 2020, the World Health Organization declared COVID-19 to be a global pandemic. The pandemic and related measures taken</w:t>
      </w:r>
      <w:r>
        <w:rPr>
          <w:rFonts w:ascii="Arial" w:cs="Arial" w:eastAsia="Arial" w:hAnsi="Arial"/>
          <w:sz w:val="17"/>
          <w:szCs w:val="17"/>
          <w:b w:val="1"/>
          <w:bCs w:val="1"/>
          <w:color w:val="auto"/>
        </w:rPr>
        <w:t xml:space="preserve"> </w:t>
      </w:r>
      <w:r>
        <w:rPr>
          <w:rFonts w:ascii="Arial" w:cs="Arial" w:eastAsia="Arial" w:hAnsi="Arial"/>
          <w:sz w:val="17"/>
          <w:szCs w:val="17"/>
          <w:color w:val="auto"/>
        </w:rPr>
        <w:t>to contain the spread of COVID-19, such as government-mandated business closures, orders to “shelter in place” and travel and transportation restrictions, have negatively affected the U.S. and global economies, disrupted global supply chains, and led to unprecedented levels of unemployment. We, and other businesses within the insurance industry, have been impacted by certain individual state bulletins that were issued in 2020 and outlined COVID-19 premium relief efforts, including restrictions on the ability to cancel policies for non-payment, requirements to defer insurance premium payments for up to 60 days and restrictions on increasing policy premiums. The COVID-19 pandemic has impacted and may further impact the broader economic environment, including negatively impacting unemployment levels, economic growth, the proper functioning of financial and capital markets and interest rates. As the COVID-19 pandemic continues to develop, there is uncertainty around the severity and duration of the pandemic and the pandemic’s potential impact on our business and our financial performance. Accordingly, we cannot predict the impact that it may have on our future results of operations and financial condition.</w:t>
      </w:r>
    </w:p>
    <w:p>
      <w:pPr>
        <w:spacing w:after="0" w:line="17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7"/>
          <w:szCs w:val="17"/>
          <w:b w:val="1"/>
          <w:bCs w:val="1"/>
          <w:color w:val="auto"/>
        </w:rPr>
        <w:t>Recently Adopted Financial Accounting Standards</w:t>
      </w:r>
      <w:r>
        <w:rPr>
          <w:rFonts w:ascii="Arial" w:cs="Arial" w:eastAsia="Arial" w:hAnsi="Arial"/>
          <w:sz w:val="17"/>
          <w:szCs w:val="17"/>
          <w:color w:val="auto"/>
        </w:rPr>
        <w:t>—In February 2016, the FASB issued Accounting Standards Update No. 2016-02,</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Leases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(Topic 842)</w:t>
      </w:r>
      <w:r>
        <w:rPr>
          <w:rFonts w:ascii="Arial" w:cs="Arial" w:eastAsia="Arial" w:hAnsi="Arial"/>
          <w:sz w:val="17"/>
          <w:szCs w:val="17"/>
          <w:color w:val="auto"/>
        </w:rPr>
        <w:t>. The main provision of ASU 2016-02 requires the recognition of right-of-use lease assets and lease liabilities by lessees for those leases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classified as operating leases under previous GAAP. The guidance also requires disclosures that meet the objective of enabling financial statement users to assess the amount, timing, and uncertainty of related cash flows. We adopted ASU 2016-02 on January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44"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We elected various practical expedients which include not applying the amended lease accounting guidance to comparative periods; including the carry forward of our leases without reassessing whether any contracts are leases or contain leases, lease classification and initial direct costs; and excluding leases with a term of 12 months or less from lease liability and right-of-use asset recognition. We did not elect the hindsight practical expedient.</w:t>
      </w:r>
    </w:p>
    <w:p>
      <w:pPr>
        <w:spacing w:after="0" w:line="134" w:lineRule="exact"/>
        <w:rPr>
          <w:sz w:val="20"/>
          <w:szCs w:val="20"/>
          <w:color w:val="auto"/>
        </w:rPr>
      </w:pPr>
    </w:p>
    <w:p>
      <w:pPr>
        <w:ind w:right="20" w:firstLine="324"/>
        <w:spacing w:after="0" w:line="231" w:lineRule="auto"/>
        <w:rPr>
          <w:sz w:val="20"/>
          <w:szCs w:val="20"/>
          <w:color w:val="auto"/>
        </w:rPr>
      </w:pPr>
      <w:r>
        <w:rPr>
          <w:rFonts w:ascii="Arial" w:cs="Arial" w:eastAsia="Arial" w:hAnsi="Arial"/>
          <w:sz w:val="18"/>
          <w:szCs w:val="18"/>
          <w:color w:val="auto"/>
        </w:rPr>
        <w:t>Our lease agreements contain lease components and non-lease components, both of which we have elected to account for as a single lease component for our real estate asset class. Operating lease expense for operating lease right of use assets is recognized on a straight-line basis over the lease term, which may include options to extend or terminate the lease when it is reasonably certain to do so and there is a significant economic incentive to exercise that option.</w:t>
      </w:r>
    </w:p>
    <w:p>
      <w:pPr>
        <w:spacing w:after="0" w:line="189" w:lineRule="exact"/>
        <w:rPr>
          <w:sz w:val="20"/>
          <w:szCs w:val="20"/>
          <w:color w:val="auto"/>
        </w:rPr>
      </w:pPr>
    </w:p>
    <w:p>
      <w:pPr>
        <w:ind w:firstLine="324"/>
        <w:spacing w:after="0"/>
        <w:rPr>
          <w:sz w:val="20"/>
          <w:szCs w:val="20"/>
          <w:color w:val="auto"/>
        </w:rPr>
      </w:pPr>
      <w:r>
        <w:rPr>
          <w:rFonts w:ascii="Arial" w:cs="Arial" w:eastAsia="Arial" w:hAnsi="Arial"/>
          <w:sz w:val="18"/>
          <w:szCs w:val="18"/>
          <w:color w:val="auto"/>
        </w:rPr>
        <w:t>Upon adoption of ASU 2016-02, we recognized an operating lease liability of $16.2 million and corresponding right of use asset of $9.9 million, which includes the effect of $6.3 million from reclassifying previously recognized deferred rent and lease exit liabilities as an offset, in accordance with the transition guidance. These lease assets and liabilities are recorded as other assets and other liabilities on the condensed consolidated balance sheets. This transition adjustment was reflected as a non-cash transaction in our condensed consolidated statements of cash flows. The transition did not have a material impact on our results of operations, liquidity or debt covenant compliance under our current debt agreements. For additional information refer to Note 6, “Leases.”</w:t>
      </w:r>
    </w:p>
    <w:p>
      <w:pPr>
        <w:spacing w:after="0" w:line="172" w:lineRule="exact"/>
        <w:rPr>
          <w:sz w:val="20"/>
          <w:szCs w:val="20"/>
          <w:color w:val="auto"/>
        </w:rPr>
      </w:pPr>
    </w:p>
    <w:p>
      <w:pPr>
        <w:ind w:right="60" w:firstLine="324"/>
        <w:spacing w:after="0" w:line="279" w:lineRule="auto"/>
        <w:rPr>
          <w:sz w:val="20"/>
          <w:szCs w:val="20"/>
          <w:color w:val="auto"/>
        </w:rPr>
      </w:pPr>
      <w:r>
        <w:rPr>
          <w:rFonts w:ascii="Arial" w:cs="Arial" w:eastAsia="Arial" w:hAnsi="Arial"/>
          <w:sz w:val="16"/>
          <w:szCs w:val="16"/>
          <w:b w:val="1"/>
          <w:bCs w:val="1"/>
          <w:color w:val="auto"/>
        </w:rPr>
        <w:t>Upcoming Accounting Pronouncements—</w:t>
      </w:r>
      <w:r>
        <w:rPr>
          <w:rFonts w:ascii="Arial" w:cs="Arial" w:eastAsia="Arial" w:hAnsi="Arial"/>
          <w:sz w:val="16"/>
          <w:szCs w:val="16"/>
          <w:color w:val="auto"/>
        </w:rPr>
        <w:t>We currently qualify as an "emerging growth company" under the Jumpstart Our Business Startups Act of</w:t>
      </w:r>
      <w:r>
        <w:rPr>
          <w:rFonts w:ascii="Arial" w:cs="Arial" w:eastAsia="Arial" w:hAnsi="Arial"/>
          <w:sz w:val="16"/>
          <w:szCs w:val="16"/>
          <w:b w:val="1"/>
          <w:bCs w:val="1"/>
          <w:color w:val="auto"/>
        </w:rPr>
        <w:t xml:space="preserve"> </w:t>
      </w:r>
      <w:r>
        <w:rPr>
          <w:rFonts w:ascii="Arial" w:cs="Arial" w:eastAsia="Arial" w:hAnsi="Arial"/>
          <w:sz w:val="16"/>
          <w:szCs w:val="16"/>
          <w:color w:val="auto"/>
        </w:rPr>
        <w:t>2012, whereby we have the option to adopt new or revised accounting guidance within the same time periods as private companies. We have elected this option, but may ultimately determine it is preferable to take advantage of early adoption provisions offered within the applicable guidance.</w:t>
      </w:r>
    </w:p>
    <w:p>
      <w:pPr>
        <w:spacing w:after="0" w:line="15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 amends previous guidance on the impairment of financial instruments by adding an impairment model that allows an entity to</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expected credit losses as an allowance rather than impairing as they are incurred. The new guidance is intended to reduce complexity of credit impairment models and result in a more timely recognition of expected credit losses. The effective date of ASU 2016-13 is for reporting periods beginning after December 15, 2022. We are currently evaluating the impact of ASU 2016-13.</w:t>
      </w:r>
    </w:p>
    <w:p>
      <w:pPr>
        <w:spacing w:after="0" w:line="184"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7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amortized cost and fair value of short-term investments and available-for-sale fixed maturity securities at March 31, 2021 and December 31, 2020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53"/>
              <w:spacing w:after="0"/>
              <w:rPr>
                <w:sz w:val="20"/>
                <w:szCs w:val="20"/>
                <w:color w:val="auto"/>
              </w:rPr>
            </w:pPr>
            <w:r>
              <w:rPr>
                <w:rFonts w:ascii="Arial" w:cs="Arial" w:eastAsia="Arial" w:hAnsi="Arial"/>
                <w:sz w:val="14"/>
                <w:szCs w:val="14"/>
                <w:b w:val="1"/>
                <w:bCs w:val="1"/>
                <w:color w:val="auto"/>
                <w:w w:val="94"/>
              </w:rPr>
              <w:t>March 31, 2021</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Gross Unrealized Gains</w:t>
            </w: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Gross Unrealized Losses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gridSpan w:val="3"/>
          </w:tcPr>
          <w:p>
            <w:pPr>
              <w:jc w:val="center"/>
              <w:ind w:left="33"/>
              <w:spacing w:after="0"/>
              <w:rPr>
                <w:sz w:val="20"/>
                <w:szCs w:val="20"/>
                <w:color w:val="auto"/>
              </w:rPr>
            </w:pPr>
            <w:r>
              <w:rPr>
                <w:rFonts w:ascii="Arial" w:cs="Arial" w:eastAsia="Arial" w:hAnsi="Arial"/>
                <w:sz w:val="14"/>
                <w:szCs w:val="14"/>
                <w:b w:val="1"/>
                <w:bCs w:val="1"/>
                <w:color w:val="auto"/>
                <w:w w:val="93"/>
              </w:rPr>
              <w:t>(dollars in millions)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U.S. Treasury securities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560" w:type="dxa"/>
            <w:vAlign w:val="bottom"/>
          </w:tcPr>
          <w:p>
            <w:pPr>
              <w:jc w:val="right"/>
              <w:ind w:right="37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Commercial mortgage backed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debt obligations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4700" w:type="dxa"/>
            <w:vAlign w:val="bottom"/>
          </w:tcPr>
          <w:p>
            <w:pPr>
              <w:ind w:left="240"/>
              <w:spacing w:after="0"/>
              <w:rPr>
                <w:sz w:val="20"/>
                <w:szCs w:val="20"/>
                <w:color w:val="auto"/>
              </w:rPr>
            </w:pPr>
            <w:r>
              <w:rPr>
                <w:rFonts w:ascii="Arial" w:cs="Arial" w:eastAsia="Arial" w:hAnsi="Arial"/>
                <w:sz w:val="18"/>
                <w:szCs w:val="18"/>
                <w:color w:val="auto"/>
              </w:rPr>
              <w:t>Total fixed maturities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December 31, 2020</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Gross Unrealized Gains</w:t>
            </w: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Gross Unrealized Losses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gridSpan w:val="3"/>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U.S. Treasury securities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560" w:type="dxa"/>
            <w:vAlign w:val="bottom"/>
          </w:tcPr>
          <w:p>
            <w:pPr>
              <w:jc w:val="right"/>
              <w:ind w:right="37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Commercial mortgage backed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debt obligations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3"/>
        </w:trPr>
        <w:tc>
          <w:tcPr>
            <w:tcW w:w="4700" w:type="dxa"/>
            <w:vAlign w:val="bottom"/>
          </w:tcPr>
          <w:p>
            <w:pPr>
              <w:ind w:left="240"/>
              <w:spacing w:after="0"/>
              <w:rPr>
                <w:sz w:val="20"/>
                <w:szCs w:val="20"/>
                <w:color w:val="auto"/>
              </w:rPr>
            </w:pPr>
            <w:r>
              <w:rPr>
                <w:rFonts w:ascii="Arial" w:cs="Arial" w:eastAsia="Arial" w:hAnsi="Arial"/>
                <w:sz w:val="18"/>
                <w:szCs w:val="18"/>
                <w:color w:val="auto"/>
              </w:rPr>
              <w:t>Total fixed maturities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221.0</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224.0</w:t>
            </w:r>
          </w:p>
        </w:tc>
      </w:tr>
      <w:tr>
        <w:trPr>
          <w:trHeight w:val="21"/>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tables reflect the gross unrealized losses and fair value of bonds, aggregated by investment category and length of time that individual securities have been in a continuous unrealized loss position at March 31, 2021 and December 31,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March 31, 2021</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ind w:left="40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6"/>
                <w:szCs w:val="16"/>
                <w:color w:val="auto"/>
              </w:rPr>
            </w:pPr>
          </w:p>
        </w:tc>
        <w:tc>
          <w:tcPr>
            <w:tcW w:w="2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12 Months or More</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4"/>
              <w:spacing w:after="0" w:line="130"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40" w:type="dxa"/>
            <w:vAlign w:val="bottom"/>
            <w:tcBorders>
              <w:top w:val="single" w:sz="8" w:color="auto"/>
            </w:tcBorders>
          </w:tcPr>
          <w:p>
            <w:pPr>
              <w:jc w:val="center"/>
              <w:ind w:left="159"/>
              <w:spacing w:after="0" w:line="130"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4"/>
              <w:spacing w:after="0" w:line="130"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tcPr>
          <w:p>
            <w:pPr>
              <w:jc w:val="center"/>
              <w:ind w:left="179"/>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83"/>
        </w:trPr>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Bonds: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Arial" w:cs="Arial" w:eastAsia="Arial" w:hAnsi="Arial"/>
                <w:sz w:val="18"/>
                <w:szCs w:val="18"/>
                <w:color w:val="auto"/>
              </w:rPr>
              <w:t>U.S. Treasury securities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64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64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ind w:left="64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ind w:left="64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5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bonds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7"/>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7"/>
              </w:rPr>
              <w:t>(0.3)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ind w:left="40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6"/>
                <w:szCs w:val="16"/>
                <w:color w:val="auto"/>
              </w:rPr>
            </w:pPr>
          </w:p>
        </w:tc>
        <w:tc>
          <w:tcPr>
            <w:tcW w:w="2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12 Months or More</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4"/>
              <w:spacing w:after="0" w:line="130"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40" w:type="dxa"/>
            <w:vAlign w:val="bottom"/>
            <w:tcBorders>
              <w:top w:val="single" w:sz="8" w:color="auto"/>
            </w:tcBorders>
          </w:tcPr>
          <w:p>
            <w:pPr>
              <w:jc w:val="center"/>
              <w:ind w:left="159"/>
              <w:spacing w:after="0" w:line="130"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4"/>
              <w:spacing w:after="0" w:line="130"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tcPr>
          <w:p>
            <w:pPr>
              <w:jc w:val="center"/>
              <w:ind w:left="179"/>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83"/>
        </w:trPr>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Bonds: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Arial" w:cs="Arial" w:eastAsia="Arial" w:hAnsi="Arial"/>
                <w:sz w:val="18"/>
                <w:szCs w:val="18"/>
                <w:color w:val="auto"/>
              </w:rPr>
              <w:t>U.S. Treasury securities and agencies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ind w:left="64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ind w:left="64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debt obligations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60" w:type="dxa"/>
            <w:vAlign w:val="bottom"/>
          </w:tcPr>
          <w:p>
            <w:pPr>
              <w:ind w:left="240"/>
              <w:spacing w:after="0"/>
              <w:rPr>
                <w:sz w:val="20"/>
                <w:szCs w:val="20"/>
                <w:color w:val="auto"/>
              </w:rPr>
            </w:pPr>
            <w:r>
              <w:rPr>
                <w:rFonts w:ascii="Arial" w:cs="Arial" w:eastAsia="Arial" w:hAnsi="Arial"/>
                <w:sz w:val="18"/>
                <w:szCs w:val="18"/>
                <w:color w:val="auto"/>
              </w:rPr>
              <w:t>Total bonds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other-than-temporary impairments recognized in the three months ended March 31, 2021 or 2020, respectively.</w:t>
      </w:r>
    </w:p>
    <w:p>
      <w:pPr>
        <w:spacing w:after="0" w:line="225"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The following table reflects the gross and net realized gains and losses on short-term investments and fixed maturities that have been included in the condensed consolidated statements of operations and comprehensive loss for the three months ended March 31, 2021 and 2020:</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187"/>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r>
      <w:tr>
        <w:trPr>
          <w:trHeight w:val="183"/>
        </w:trPr>
        <w:tc>
          <w:tcPr>
            <w:tcW w:w="8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2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w w:val="95"/>
              </w:rPr>
              <w:t>(dollars in millions)</w:t>
            </w:r>
          </w:p>
        </w:tc>
        <w:tc>
          <w:tcPr>
            <w:tcW w:w="440" w:type="dxa"/>
            <w:vAlign w:val="bottom"/>
          </w:tcPr>
          <w:p>
            <w:pPr>
              <w:spacing w:after="0"/>
              <w:rPr>
                <w:sz w:val="15"/>
                <w:szCs w:val="15"/>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gains on investments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center"/>
              <w:ind w:left="135"/>
              <w:spacing w:after="0"/>
              <w:rPr>
                <w:sz w:val="20"/>
                <w:szCs w:val="20"/>
                <w:color w:val="auto"/>
              </w:rPr>
            </w:pPr>
            <w:r>
              <w:rPr>
                <w:rFonts w:ascii="Arial" w:cs="Arial" w:eastAsia="Arial" w:hAnsi="Arial"/>
                <w:sz w:val="18"/>
                <w:szCs w:val="18"/>
                <w:color w:val="auto"/>
                <w:w w:val="87"/>
              </w:rPr>
              <w:t>2.5</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Realized losses on investments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115"/>
              <w:spacing w:after="0"/>
              <w:rPr>
                <w:sz w:val="20"/>
                <w:szCs w:val="20"/>
                <w:color w:val="auto"/>
              </w:rPr>
            </w:pPr>
            <w:r>
              <w:rPr>
                <w:rFonts w:ascii="Arial" w:cs="Arial" w:eastAsia="Arial" w:hAnsi="Arial"/>
                <w:sz w:val="18"/>
                <w:szCs w:val="18"/>
                <w:color w:val="auto"/>
                <w:w w:val="97"/>
              </w:rPr>
              <w:t>(0.1)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realized gains on investments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center"/>
              <w:ind w:left="135"/>
              <w:spacing w:after="0"/>
              <w:rPr>
                <w:sz w:val="20"/>
                <w:szCs w:val="20"/>
                <w:color w:val="auto"/>
              </w:rPr>
            </w:pPr>
            <w:r>
              <w:rPr>
                <w:rFonts w:ascii="Arial" w:cs="Arial" w:eastAsia="Arial" w:hAnsi="Arial"/>
                <w:sz w:val="18"/>
                <w:szCs w:val="18"/>
                <w:color w:val="auto"/>
                <w:w w:val="87"/>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amortized cost and fair value of short-term investments and fixed maturity securities by contractual maturity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right="34"/>
              <w:spacing w:after="0"/>
              <w:rPr>
                <w:sz w:val="20"/>
                <w:szCs w:val="20"/>
                <w:color w:val="auto"/>
              </w:rPr>
            </w:pPr>
            <w:r>
              <w:rPr>
                <w:rFonts w:ascii="Arial" w:cs="Arial" w:eastAsia="Arial" w:hAnsi="Arial"/>
                <w:sz w:val="14"/>
                <w:szCs w:val="14"/>
                <w:b w:val="1"/>
                <w:bCs w:val="1"/>
                <w:color w:val="auto"/>
                <w:w w:val="94"/>
              </w:rPr>
              <w:t>March 31, 2021</w:t>
            </w:r>
          </w:p>
        </w:tc>
        <w:tc>
          <w:tcPr>
            <w:tcW w:w="0" w:type="dxa"/>
            <w:vAlign w:val="bottom"/>
          </w:tcPr>
          <w:p>
            <w:pPr>
              <w:spacing w:after="0"/>
              <w:rPr>
                <w:sz w:val="1"/>
                <w:szCs w:val="1"/>
                <w:color w:val="auto"/>
              </w:rPr>
            </w:pPr>
          </w:p>
        </w:tc>
      </w:tr>
      <w:tr>
        <w:trPr>
          <w:trHeight w:val="187"/>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2"/>
        </w:trPr>
        <w:tc>
          <w:tcPr>
            <w:tcW w:w="6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6"/>
          </w:tcPr>
          <w:p>
            <w:pPr>
              <w:jc w:val="center"/>
              <w:ind w:right="54"/>
              <w:spacing w:after="0"/>
              <w:rPr>
                <w:sz w:val="20"/>
                <w:szCs w:val="20"/>
                <w:color w:val="auto"/>
              </w:rPr>
            </w:pPr>
            <w:r>
              <w:rPr>
                <w:rFonts w:ascii="Arial" w:cs="Arial" w:eastAsia="Arial" w:hAnsi="Arial"/>
                <w:sz w:val="14"/>
                <w:szCs w:val="14"/>
                <w:b w:val="1"/>
                <w:bCs w:val="1"/>
                <w:color w:val="auto"/>
                <w:w w:val="93"/>
              </w:rPr>
              <w:t>(dollars in millions)</w:t>
            </w: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98.8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five years through 10 years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10 years</w:t>
            </w: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gridSpan w:val="3"/>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680" w:type="dxa"/>
            <w:vAlign w:val="bottom"/>
            <w:gridSpan w:val="10"/>
          </w:tcPr>
          <w:p>
            <w:pPr>
              <w:jc w:val="right"/>
              <w:ind w:right="240"/>
              <w:spacing w:after="0"/>
              <w:rPr>
                <w:sz w:val="20"/>
                <w:szCs w:val="20"/>
                <w:color w:val="auto"/>
              </w:rPr>
            </w:pPr>
            <w:r>
              <w:rPr>
                <w:rFonts w:ascii="Arial" w:cs="Arial" w:eastAsia="Arial" w:hAnsi="Arial"/>
                <w:sz w:val="18"/>
                <w:szCs w:val="18"/>
                <w:color w:val="auto"/>
                <w:w w:val="93"/>
              </w:rPr>
              <w:t>The following table sets forth the components of net investment income for the three months ended March 31, 2021 and 2020:</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ind w:right="34"/>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87"/>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6"/>
          </w:tcPr>
          <w:p>
            <w:pPr>
              <w:jc w:val="center"/>
              <w:ind w:right="54"/>
              <w:spacing w:after="0"/>
              <w:rPr>
                <w:sz w:val="20"/>
                <w:szCs w:val="20"/>
                <w:color w:val="auto"/>
              </w:rPr>
            </w:pPr>
            <w:r>
              <w:rPr>
                <w:rFonts w:ascii="Arial" w:cs="Arial" w:eastAsia="Arial" w:hAnsi="Arial"/>
                <w:sz w:val="14"/>
                <w:szCs w:val="14"/>
                <w:b w:val="1"/>
                <w:bCs w:val="1"/>
                <w:color w:val="auto"/>
                <w:w w:val="93"/>
              </w:rPr>
              <w:t>(dollars in millions)</w:t>
            </w: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bonds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on deposits and cash equivalents</w:t>
            </w: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expense</w:t>
            </w: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gridSpan w:val="3"/>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680" w:type="dxa"/>
            <w:vAlign w:val="bottom"/>
            <w:gridSpan w:val="10"/>
          </w:tcPr>
          <w:p>
            <w:pPr>
              <w:ind w:left="340"/>
              <w:spacing w:after="0"/>
              <w:rPr>
                <w:sz w:val="20"/>
                <w:szCs w:val="20"/>
                <w:color w:val="auto"/>
              </w:rPr>
            </w:pPr>
            <w:r>
              <w:rPr>
                <w:rFonts w:ascii="Arial" w:cs="Arial" w:eastAsia="Arial" w:hAnsi="Arial"/>
                <w:sz w:val="18"/>
                <w:szCs w:val="18"/>
                <w:color w:val="auto"/>
              </w:rPr>
              <w:t>The following tables summarize the credit ratings of investments at March 31, 2021 and December 31, 2020:</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6"/>
              </w:rPr>
              <w:t>March 31, 2021</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1320" w:type="dxa"/>
            <w:vAlign w:val="bottom"/>
          </w:tcPr>
          <w:p>
            <w:pPr>
              <w:jc w:val="right"/>
              <w:ind w:right="434"/>
              <w:spacing w:after="0" w:line="135"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4"/>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S&amp;P Global rating or equivalent</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(dollars in millions)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53.1 %</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AA+, AA, AA-, A-1</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 A, 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BBB+, BBB, BBB-</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1"/>
                <w:szCs w:val="11"/>
                <w:color w:val="auto"/>
              </w:rPr>
            </w:pPr>
          </w:p>
        </w:tc>
        <w:tc>
          <w:tcPr>
            <w:tcW w:w="14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Fair Value</w:t>
            </w:r>
          </w:p>
        </w:tc>
        <w:tc>
          <w:tcPr>
            <w:tcW w:w="1700" w:type="dxa"/>
            <w:vAlign w:val="bottom"/>
          </w:tcPr>
          <w:p>
            <w:pPr>
              <w:jc w:val="right"/>
              <w:ind w:right="435"/>
              <w:spacing w:after="0" w:line="135"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4"/>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S&amp;P Global rating or equivalent</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53.0 %</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AA+, AA, AA-, A-1</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 A, 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BBB+, BBB, BBB-</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40"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provide information about our financial assets measured and reported at fair value as of March 31, 2021 and December 31, 2020:</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right="516"/>
              <w:spacing w:after="0"/>
              <w:rPr>
                <w:sz w:val="20"/>
                <w:szCs w:val="20"/>
                <w:color w:val="auto"/>
              </w:rPr>
            </w:pPr>
            <w:r>
              <w:rPr>
                <w:rFonts w:ascii="Arial" w:cs="Arial" w:eastAsia="Arial" w:hAnsi="Arial"/>
                <w:sz w:val="14"/>
                <w:szCs w:val="14"/>
                <w:b w:val="1"/>
                <w:bCs w:val="1"/>
                <w:color w:val="auto"/>
                <w:w w:val="94"/>
              </w:rPr>
              <w:t>March 31, 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3"/>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4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20" w:type="dxa"/>
            <w:vAlign w:val="bottom"/>
            <w:gridSpan w:val="3"/>
          </w:tcPr>
          <w:p>
            <w:pPr>
              <w:jc w:val="center"/>
              <w:ind w:right="496"/>
              <w:spacing w:after="0"/>
              <w:rPr>
                <w:sz w:val="20"/>
                <w:szCs w:val="20"/>
                <w:color w:val="auto"/>
              </w:rPr>
            </w:pPr>
            <w:r>
              <w:rPr>
                <w:rFonts w:ascii="Arial" w:cs="Arial" w:eastAsia="Arial" w:hAnsi="Arial"/>
                <w:sz w:val="14"/>
                <w:szCs w:val="14"/>
                <w:b w:val="1"/>
                <w:bCs w:val="1"/>
                <w:color w:val="auto"/>
                <w:w w:val="93"/>
              </w:rPr>
              <w:t>(dollars in millions)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Fixed maturities: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 and agencies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Municipal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Residential mortgage-backed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mortgage-backed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Other debt obligations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fixed maturities</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equivalents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485.7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r>
        <w:trPr>
          <w:trHeight w:val="223"/>
        </w:trPr>
        <w:tc>
          <w:tcPr>
            <w:tcW w:w="4700" w:type="dxa"/>
            <w:vAlign w:val="bottom"/>
          </w:tcPr>
          <w:p>
            <w:pPr>
              <w:ind w:left="460"/>
              <w:spacing w:after="0"/>
              <w:rPr>
                <w:sz w:val="20"/>
                <w:szCs w:val="20"/>
                <w:color w:val="auto"/>
              </w:rPr>
            </w:pPr>
            <w:r>
              <w:rPr>
                <w:rFonts w:ascii="Arial" w:cs="Arial" w:eastAsia="Arial" w:hAnsi="Arial"/>
                <w:sz w:val="18"/>
                <w:szCs w:val="18"/>
                <w:b w:val="1"/>
                <w:bCs w:val="1"/>
                <w:color w:val="auto"/>
              </w:rPr>
              <w:t>Total assets at fair value</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503.9</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47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right="496"/>
              <w:spacing w:after="0"/>
              <w:rPr>
                <w:sz w:val="20"/>
                <w:szCs w:val="20"/>
                <w:color w:val="auto"/>
              </w:rPr>
            </w:pPr>
            <w:r>
              <w:rPr>
                <w:rFonts w:ascii="Arial" w:cs="Arial" w:eastAsia="Arial" w:hAnsi="Arial"/>
                <w:sz w:val="14"/>
                <w:szCs w:val="14"/>
                <w:b w:val="1"/>
                <w:bCs w:val="1"/>
                <w:color w:val="auto"/>
                <w:w w:val="91"/>
              </w:rPr>
              <w:t>December 31, 2020</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7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3"/>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4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20" w:type="dxa"/>
            <w:vAlign w:val="bottom"/>
            <w:gridSpan w:val="3"/>
          </w:tcPr>
          <w:p>
            <w:pPr>
              <w:jc w:val="center"/>
              <w:ind w:right="496"/>
              <w:spacing w:after="0"/>
              <w:rPr>
                <w:sz w:val="20"/>
                <w:szCs w:val="20"/>
                <w:color w:val="auto"/>
              </w:rPr>
            </w:pPr>
            <w:r>
              <w:rPr>
                <w:rFonts w:ascii="Arial" w:cs="Arial" w:eastAsia="Arial" w:hAnsi="Arial"/>
                <w:sz w:val="14"/>
                <w:szCs w:val="14"/>
                <w:b w:val="1"/>
                <w:bCs w:val="1"/>
                <w:color w:val="auto"/>
                <w:w w:val="93"/>
              </w:rPr>
              <w:t>(dollars in millions)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Fixed maturities: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 and agencies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Municipal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Residential mortgage-backed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mortgage-backed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Other debt obligations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fixed maturities</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equivalents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568.4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23"/>
        </w:trPr>
        <w:tc>
          <w:tcPr>
            <w:tcW w:w="4700" w:type="dxa"/>
            <w:vAlign w:val="bottom"/>
          </w:tcPr>
          <w:p>
            <w:pPr>
              <w:ind w:left="460"/>
              <w:spacing w:after="0"/>
              <w:rPr>
                <w:sz w:val="20"/>
                <w:szCs w:val="20"/>
                <w:color w:val="auto"/>
              </w:rPr>
            </w:pPr>
            <w:r>
              <w:rPr>
                <w:rFonts w:ascii="Arial" w:cs="Arial" w:eastAsia="Arial" w:hAnsi="Arial"/>
                <w:sz w:val="18"/>
                <w:szCs w:val="18"/>
                <w:b w:val="1"/>
                <w:bCs w:val="1"/>
                <w:color w:val="auto"/>
              </w:rPr>
              <w:t>Total assets at fair value</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587.6</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792.4</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estimate the fair value of all our different classes of Level 2 fixed maturities and short-term investments by using quoted prices from a combination of an independent pricing vendor or broker/dealer, pricing models, quoted prices of securities with similar characteristics or discounted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44" w:lineRule="exact"/>
        <w:rPr>
          <w:sz w:val="20"/>
          <w:szCs w:val="20"/>
          <w:color w:val="auto"/>
        </w:rPr>
      </w:pPr>
    </w:p>
    <w:p>
      <w:pPr>
        <w:jc w:val="both"/>
        <w:ind w:right="220" w:firstLine="324"/>
        <w:spacing w:after="0" w:line="311" w:lineRule="auto"/>
        <w:rPr>
          <w:sz w:val="20"/>
          <w:szCs w:val="20"/>
          <w:color w:val="auto"/>
        </w:rPr>
      </w:pPr>
      <w:r>
        <w:rPr>
          <w:rFonts w:ascii="Arial" w:cs="Arial" w:eastAsia="Arial" w:hAnsi="Arial"/>
          <w:sz w:val="16"/>
          <w:szCs w:val="16"/>
          <w:color w:val="auto"/>
        </w:rPr>
        <w:t>The carrying amount of long-term debt is recorded at historical amounts. The fair value of outstanding long-term debt is classified within Level 2 of the fair value hierarchy. The fair value is based on a model referencing observable interest rates and spreads to project and discount cash flows to present value. As of March 31, 2021 and December 31, 2020 the carrying amounts and fair values of these financial instruments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97"/>
              </w:rPr>
              <w:t>Carrying Amount</w:t>
            </w:r>
          </w:p>
        </w:tc>
        <w:tc>
          <w:tcPr>
            <w:tcW w:w="180" w:type="dxa"/>
            <w:vAlign w:val="bottom"/>
          </w:tcPr>
          <w:p>
            <w:pPr>
              <w:spacing w:after="0"/>
              <w:rPr>
                <w:sz w:val="14"/>
                <w:szCs w:val="14"/>
                <w:color w:val="auto"/>
              </w:rPr>
            </w:pPr>
          </w:p>
        </w:tc>
        <w:tc>
          <w:tcPr>
            <w:tcW w:w="178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4"/>
              </w:rPr>
              <w:t>Estimated Fair Value as of</w:t>
            </w:r>
          </w:p>
        </w:tc>
        <w:tc>
          <w:tcPr>
            <w:tcW w:w="300" w:type="dxa"/>
            <w:vAlign w:val="bottom"/>
          </w:tcPr>
          <w:p>
            <w:pPr>
              <w:spacing w:after="0"/>
              <w:rPr>
                <w:sz w:val="14"/>
                <w:szCs w:val="14"/>
                <w:color w:val="auto"/>
              </w:rPr>
            </w:pPr>
          </w:p>
        </w:tc>
        <w:tc>
          <w:tcPr>
            <w:tcW w:w="1640" w:type="dxa"/>
            <w:vAlign w:val="bottom"/>
          </w:tcPr>
          <w:p>
            <w:pPr>
              <w:jc w:val="center"/>
              <w:ind w:right="164"/>
              <w:spacing w:after="0"/>
              <w:rPr>
                <w:sz w:val="20"/>
                <w:szCs w:val="20"/>
                <w:color w:val="auto"/>
              </w:rPr>
            </w:pPr>
            <w:r>
              <w:rPr>
                <w:rFonts w:ascii="Arial" w:cs="Arial" w:eastAsia="Arial" w:hAnsi="Arial"/>
                <w:sz w:val="14"/>
                <w:szCs w:val="14"/>
                <w:b w:val="1"/>
                <w:bCs w:val="1"/>
                <w:color w:val="auto"/>
                <w:w w:val="97"/>
              </w:rPr>
              <w:t>Carrying Amount</w:t>
            </w:r>
          </w:p>
        </w:tc>
        <w:tc>
          <w:tcPr>
            <w:tcW w:w="200" w:type="dxa"/>
            <w:vAlign w:val="bottom"/>
          </w:tcPr>
          <w:p>
            <w:pPr>
              <w:spacing w:after="0"/>
              <w:rPr>
                <w:sz w:val="14"/>
                <w:szCs w:val="14"/>
                <w:color w:val="auto"/>
              </w:rPr>
            </w:pPr>
          </w:p>
        </w:tc>
        <w:tc>
          <w:tcPr>
            <w:tcW w:w="17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4"/>
              </w:rPr>
              <w:t>Estimated Fair Value as of</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tcPr>
          <w:p>
            <w:pPr>
              <w:jc w:val="center"/>
              <w:ind w:right="164"/>
              <w:spacing w:after="0" w:line="135" w:lineRule="exact"/>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3"/>
              </w:rPr>
              <w:t>as of March 31, 2021</w:t>
            </w: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March 31, 2021</w:t>
            </w: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20" w:type="dxa"/>
            <w:vAlign w:val="bottom"/>
            <w:gridSpan w:val="3"/>
          </w:tcPr>
          <w:p>
            <w:pPr>
              <w:jc w:val="right"/>
              <w:ind w:right="1244"/>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192.2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211.5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188.2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other short-term financial instruments approximates their fair value due to their short-term nature.</w:t>
      </w:r>
    </w:p>
    <w:p>
      <w:pPr>
        <w:spacing w:after="0" w:line="16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LOSS AND LOSS ADJUSTMENT EXPENSE RESERVES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provides a reconciliation of the beginning and ending reserve balances for loss and LAE, net of reinsurance: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187"/>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r>
      <w:tr>
        <w:trPr>
          <w:trHeight w:val="183"/>
        </w:trPr>
        <w:tc>
          <w:tcPr>
            <w:tcW w:w="8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0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w w:val="95"/>
              </w:rPr>
              <w:t>(dollars in millions)</w:t>
            </w:r>
          </w:p>
        </w:tc>
        <w:tc>
          <w:tcPr>
            <w:tcW w:w="560" w:type="dxa"/>
            <w:vAlign w:val="bottom"/>
          </w:tcPr>
          <w:p>
            <w:pPr>
              <w:spacing w:after="0"/>
              <w:rPr>
                <w:sz w:val="15"/>
                <w:szCs w:val="15"/>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and LAE reserves, January 1</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Reinsurance recoverable on unpaid losses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and LAE reserves, January 1</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r>
      <w:tr>
        <w:trPr>
          <w:trHeight w:val="209"/>
        </w:trPr>
        <w:tc>
          <w:tcPr>
            <w:tcW w:w="8020" w:type="dxa"/>
            <w:vAlign w:val="bottom"/>
          </w:tcPr>
          <w:p>
            <w:pPr>
              <w:ind w:left="20"/>
              <w:spacing w:after="0"/>
              <w:rPr>
                <w:sz w:val="20"/>
                <w:szCs w:val="20"/>
                <w:color w:val="auto"/>
              </w:rPr>
            </w:pPr>
            <w:r>
              <w:rPr>
                <w:rFonts w:ascii="Arial" w:cs="Arial" w:eastAsia="Arial" w:hAnsi="Arial"/>
                <w:sz w:val="18"/>
                <w:szCs w:val="18"/>
                <w:color w:val="auto"/>
              </w:rPr>
              <w:t>Net incurred loss and LAE related to:</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incurred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color w:val="auto"/>
              </w:rPr>
              <w:t>Net paid loss and LAE related to:</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paid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loss and LAE reserves, March 31</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153.4</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reinsurance recoverable on unpaid losses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Gross loss and LAE reserves, March 31</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Incurred losses and LAE attributable to prior accident years was a decrease of $9.9 million and an increase of $7.9 million for the three months ended March 31, 2021 and 2020, respectively. For the three months ended March 31, 2021, the development of incurred losses related to prior periods was primarily related to lower-than-expected reported losses on bodily injury and uninsured motorist bodily injury claims and greater than expected recoveries from subrogation and salvage from 2020. For the three months ended March 31, 2020, the development of incurred losses and related to prior periods was primarily related to higher-than-expected reported losses on bodily injury and collision coverages from 2019.</w:t>
      </w:r>
    </w:p>
    <w:p>
      <w:pPr>
        <w:spacing w:after="0" w:line="11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ind w:right="140" w:firstLine="324"/>
        <w:spacing w:after="0" w:line="235" w:lineRule="auto"/>
        <w:rPr>
          <w:sz w:val="20"/>
          <w:szCs w:val="20"/>
          <w:color w:val="auto"/>
        </w:rPr>
      </w:pPr>
      <w:r>
        <w:rPr>
          <w:rFonts w:ascii="Arial" w:cs="Arial" w:eastAsia="Arial" w:hAnsi="Arial"/>
          <w:sz w:val="18"/>
          <w:szCs w:val="18"/>
          <w:color w:val="auto"/>
        </w:rPr>
        <w:t>We primarily have operating leases for offices that support our corporate, claims and customer service functions. We determine if an arrangement is a lease at inception by evaluating whether the arrangement conveys the right to use an identified asset and whether we obtain substantially all of the economic benefits from and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ability to direct the use of the asset. Our lease agreements do not contain any material residual value guarantees or material restrictive covenants.</w:t>
      </w:r>
    </w:p>
    <w:p>
      <w:pPr>
        <w:spacing w:after="0" w:line="237" w:lineRule="exact"/>
        <w:rPr>
          <w:sz w:val="20"/>
          <w:szCs w:val="20"/>
          <w:color w:val="auto"/>
        </w:rPr>
      </w:pPr>
    </w:p>
    <w:p>
      <w:pPr>
        <w:ind w:right="40" w:firstLine="324"/>
        <w:spacing w:after="0" w:line="255" w:lineRule="auto"/>
        <w:rPr>
          <w:sz w:val="20"/>
          <w:szCs w:val="20"/>
          <w:color w:val="auto"/>
        </w:rPr>
      </w:pPr>
      <w:r>
        <w:rPr>
          <w:rFonts w:ascii="Arial" w:cs="Arial" w:eastAsia="Arial" w:hAnsi="Arial"/>
          <w:sz w:val="16"/>
          <w:szCs w:val="16"/>
          <w:color w:val="auto"/>
        </w:rPr>
        <w:t>Operating lease right-of-use assets and corresponding operating lease liabilities are recognized upon the commencement date based primarily on the present value of lease payments over the lease term. We use the implicit rate of the lease, if it is readily determinable, in determining the present value of lease payments. Our leases generally do not provide an implicit rate. Therefore, we use a collateralized incremental borrowing rate that incorporates information available at commencement date, including our company-specific interest rates from recent debt issuances, which we adjust to remove the LIBOR component in order to obtain our company-specific interest rate risk. We also leverage commercial mortgage-backed securities, or CMBS rates, for transactions with similar values, origination dates, geographies and property types as the respective lease, which are adjusted using linear interpolation if the lease term falls between the published CMBS terms. As of March 31, 2021, our leases had a weighted-average discount rate of 10.8%. Our leases have remaining lease terms from less than 1 year up to approximately 7 years with a weighted-average remaining lease term of 5.1 years as of March 31, 2021.</w:t>
      </w:r>
    </w:p>
    <w:p>
      <w:pPr>
        <w:spacing w:after="0" w:line="191" w:lineRule="exact"/>
        <w:rPr>
          <w:sz w:val="20"/>
          <w:szCs w:val="20"/>
          <w:color w:val="auto"/>
        </w:rPr>
      </w:pPr>
    </w:p>
    <w:p>
      <w:pPr>
        <w:ind w:right="20" w:firstLine="324"/>
        <w:spacing w:after="0" w:line="228" w:lineRule="auto"/>
        <w:rPr>
          <w:sz w:val="20"/>
          <w:szCs w:val="20"/>
          <w:color w:val="auto"/>
        </w:rPr>
      </w:pPr>
      <w:r>
        <w:rPr>
          <w:rFonts w:ascii="Arial" w:cs="Arial" w:eastAsia="Arial" w:hAnsi="Arial"/>
          <w:sz w:val="18"/>
          <w:szCs w:val="18"/>
          <w:color w:val="auto"/>
        </w:rPr>
        <w:t>As of March 31, 2021, we recognized an operating lease liability of $15.8 million and corresponding right-of-use asset of $9.7 million. Operating lease liabilities are included in other liabilities and operating lease right-of-use assets are included in other assets in our condensed consolidated balance sheets. For the three months ended March 31, 2021, we recognized operating lease costs of $0.8 million. Variable lease expense and short-term lease expense recognized during the three months ended March 31, 2021 were not material. Moreover, we recognized operating cash flows paid for amounts included in the measurement of operating lease liabilities of $0.9 million.</w:t>
      </w:r>
    </w:p>
    <w:p>
      <w:pPr>
        <w:spacing w:after="0" w:line="205" w:lineRule="exact"/>
        <w:rPr>
          <w:sz w:val="20"/>
          <w:szCs w:val="20"/>
          <w:color w:val="auto"/>
        </w:rPr>
      </w:pPr>
    </w:p>
    <w:p>
      <w:pPr>
        <w:ind w:right="200" w:firstLine="324"/>
        <w:spacing w:after="0" w:line="246" w:lineRule="auto"/>
        <w:rPr>
          <w:sz w:val="20"/>
          <w:szCs w:val="20"/>
          <w:color w:val="auto"/>
        </w:rPr>
      </w:pPr>
      <w:r>
        <w:rPr>
          <w:rFonts w:ascii="Arial" w:cs="Arial" w:eastAsia="Arial" w:hAnsi="Arial"/>
          <w:sz w:val="18"/>
          <w:szCs w:val="18"/>
          <w:color w:val="auto"/>
        </w:rPr>
        <w:t>We may also sublease portions of our offices, resulting in sublease income. Sublease income and the related assets and cash flows are not material to our condensed consolidated financial statements as of and for the three months ended March 31, 2021.</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lease payments as of March 31, 2021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Operating Leases</w:t>
            </w:r>
          </w:p>
        </w:tc>
      </w:tr>
      <w:tr>
        <w:trPr>
          <w:trHeight w:val="187"/>
        </w:trPr>
        <w:tc>
          <w:tcPr>
            <w:tcW w:w="9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213"/>
              <w:spacing w:after="0"/>
              <w:rPr>
                <w:sz w:val="20"/>
                <w:szCs w:val="20"/>
                <w:color w:val="auto"/>
              </w:rPr>
            </w:pPr>
            <w:r>
              <w:rPr>
                <w:rFonts w:ascii="Arial" w:cs="Arial" w:eastAsia="Arial" w:hAnsi="Arial"/>
                <w:sz w:val="14"/>
                <w:szCs w:val="14"/>
                <w:b w:val="1"/>
                <w:bCs w:val="1"/>
                <w:color w:val="auto"/>
                <w:w w:val="99"/>
              </w:rPr>
              <w:t>(dollars in millions)</w:t>
            </w:r>
          </w:p>
        </w:tc>
      </w:tr>
      <w:tr>
        <w:trPr>
          <w:trHeight w:val="231"/>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and thereafter</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23"/>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60" w:firstLine="324"/>
        <w:spacing w:after="0" w:line="253" w:lineRule="auto"/>
        <w:rPr>
          <w:sz w:val="20"/>
          <w:szCs w:val="20"/>
          <w:color w:val="auto"/>
        </w:rPr>
      </w:pPr>
      <w:r>
        <w:rPr>
          <w:rFonts w:ascii="Arial" w:cs="Arial" w:eastAsia="Arial" w:hAnsi="Arial"/>
          <w:sz w:val="18"/>
          <w:szCs w:val="18"/>
          <w:color w:val="auto"/>
        </w:rPr>
        <w:t>As previously disclosed in our 2020 Annual Report on Form 10-K under the prior lease accounting guidance, the following table summarizes, by remaining maturity, future commitments related to operating leases and other arrangements as of 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Operating Leases</w:t>
            </w:r>
          </w:p>
        </w:tc>
      </w:tr>
      <w:tr>
        <w:trPr>
          <w:trHeight w:val="187"/>
        </w:trPr>
        <w:tc>
          <w:tcPr>
            <w:tcW w:w="9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214"/>
              <w:spacing w:after="0"/>
              <w:rPr>
                <w:sz w:val="20"/>
                <w:szCs w:val="20"/>
                <w:color w:val="auto"/>
              </w:rPr>
            </w:pPr>
            <w:r>
              <w:rPr>
                <w:rFonts w:ascii="Arial" w:cs="Arial" w:eastAsia="Arial" w:hAnsi="Arial"/>
                <w:sz w:val="14"/>
                <w:szCs w:val="14"/>
                <w:b w:val="1"/>
                <w:bCs w:val="1"/>
                <w:color w:val="auto"/>
                <w:w w:val="99"/>
              </w:rPr>
              <w:t>(dollars in millions)</w:t>
            </w:r>
          </w:p>
        </w:tc>
      </w:tr>
      <w:tr>
        <w:trPr>
          <w:trHeight w:val="231"/>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and thereafter</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4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Term Loan A is a term loan we have outstanding with a group of syndicated financial institutions which matures on October 15, 2021. Interest is paid monthly and is determined on a floating interest rate calculated on the 1-month LIBOR plus an applicable margin of 4%. As a part of the amended Term Loan A, the syndicate committed, pro rata, to a new $100 million revolving loan. Commitment fees accrue at 0.50% per annum on the daily amount of unused revolver and is paid quarterly. For any amounts drawn on the revolving loan, interest accrues and is paid consistent with Term Loan A. In addition, there is a letter of credit fee of 4% per annum on the average daily amount of issued letters of credit against the revolver and a 0.125% per annum fronting fee based on the average daily amount of letter of credit exposure. We have no letters of credit outstanding or amounts drawn against the revolving loan as of March 31, 2021.</w:t>
      </w:r>
    </w:p>
    <w:p>
      <w:pPr>
        <w:spacing w:after="0" w:line="1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Term Loan B is a note we issued to a private equity investor that matures on November 25, 2024. Interest is determined on a floating interest rate calculated on the 3-month LIBOR plus an applicable margin of 10.5%. We currently pay interest pursuant to the terms of the loan agreements and have the option to pay-in-kind, or PIK, on Term Loan B until October 15, 2021. PIK interest is added to the principal balance every 3 months until we no longer PIK interest, at which point interest is paid quarterly. We have elected to PIK interest on Term Loan B from the original date of closing through March 31, 2021. Deferred PIK interest was $2.4 million and $2.2 million for the three months ended March 31, 2021 and 2020, respectively. Deferred PIK interest is recognized as interest expense on the condensed consolidated statements of operations and comprehensive loss.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carrying value of long-term debt as of March 31, 2021 and December 31,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December 31, 2020</w:t>
            </w:r>
          </w:p>
        </w:tc>
      </w:tr>
      <w:tr>
        <w:trPr>
          <w:trHeight w:val="187"/>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20" w:type="dxa"/>
            <w:vAlign w:val="bottom"/>
            <w:gridSpan w:val="4"/>
          </w:tcPr>
          <w:p>
            <w:pPr>
              <w:jc w:val="right"/>
              <w:ind w:right="1093"/>
              <w:spacing w:after="0"/>
              <w:rPr>
                <w:sz w:val="20"/>
                <w:szCs w:val="20"/>
                <w:color w:val="auto"/>
              </w:rPr>
            </w:pPr>
            <w:r>
              <w:rPr>
                <w:rFonts w:ascii="Arial" w:cs="Arial" w:eastAsia="Arial" w:hAnsi="Arial"/>
                <w:sz w:val="14"/>
                <w:szCs w:val="14"/>
                <w:b w:val="1"/>
                <w:bCs w:val="1"/>
                <w:color w:val="auto"/>
              </w:rPr>
              <w:t>(dollars in millions)</w:t>
            </w:r>
          </w:p>
        </w:tc>
      </w:tr>
      <w:tr>
        <w:trPr>
          <w:trHeight w:val="231"/>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3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Term Loan B</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7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r>
      <w:tr>
        <w:trPr>
          <w:trHeight w:val="257"/>
        </w:trPr>
        <w:tc>
          <w:tcPr>
            <w:tcW w:w="7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payable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 and debt issuance costs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248"/>
        </w:trPr>
        <w:tc>
          <w:tcPr>
            <w:tcW w:w="7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consolidated effective tax rate was 0.0% for both of the three months ended March 31, 2021 and 2020. The difference between these rates and the U.S. federal income tax rate of 21% was primarily due to a full valuation allowance on our U.S. deferred tax assets.</w:t>
      </w:r>
    </w:p>
    <w:p>
      <w:pPr>
        <w:spacing w:after="0" w:line="17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As of March 31, 2021 and December 31, 2020, we did not have any unrecognized tax benefits for uncertain tax positions and had no interest or penalties related to uncertain tax positions.</w:t>
      </w:r>
    </w:p>
    <w:p>
      <w:pPr>
        <w:spacing w:after="0" w:line="200" w:lineRule="exact"/>
        <w:rPr>
          <w:sz w:val="20"/>
          <w:szCs w:val="20"/>
          <w:color w:val="auto"/>
        </w:rPr>
      </w:pPr>
    </w:p>
    <w:p>
      <w:pPr>
        <w:spacing w:after="0" w:line="209"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ind w:right="200" w:firstLine="324"/>
        <w:spacing w:after="0" w:line="248" w:lineRule="auto"/>
        <w:rPr>
          <w:sz w:val="20"/>
          <w:szCs w:val="20"/>
          <w:color w:val="auto"/>
        </w:rPr>
      </w:pPr>
      <w:r>
        <w:rPr>
          <w:rFonts w:ascii="Arial" w:cs="Arial" w:eastAsia="Arial" w:hAnsi="Arial"/>
          <w:sz w:val="18"/>
          <w:szCs w:val="18"/>
          <w:color w:val="auto"/>
        </w:rPr>
        <w:t>We maintain an equity incentive plan, the 2020 Equity Incentive Plan, or the 2020 Plan, for the issuance and grant of equity awards (restricted stock, restricted stock units, or RSUs, and incentive and nonqualified stock options) to our officers, directors, employees and certain advisors. As of March 31, 2021, we had 30.0 million common shares authorized and available for issuance under the 2020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displays share-based compensation expense recorded in the condensed consolidated statements of operations and comprehensive loss: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Loss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insurance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Technology and development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share-based compensation expense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total share-based compensation expense by type of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Restricted stock unit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 option expense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share-based compensation expense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181"/>
        </w:trPr>
        <w:tc>
          <w:tcPr>
            <w:tcW w:w="360" w:type="dxa"/>
            <w:vAlign w:val="bottom"/>
          </w:tcPr>
          <w:p>
            <w:pPr>
              <w:spacing w:after="0"/>
              <w:rPr>
                <w:sz w:val="15"/>
                <w:szCs w:val="15"/>
                <w:color w:val="auto"/>
              </w:rPr>
            </w:pPr>
          </w:p>
        </w:tc>
        <w:tc>
          <w:tcPr>
            <w:tcW w:w="188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3"/>
              </w:rPr>
              <w:t>(dollars in millions)</w:t>
            </w:r>
          </w:p>
        </w:tc>
        <w:tc>
          <w:tcPr>
            <w:tcW w:w="980" w:type="dxa"/>
            <w:vAlign w:val="bottom"/>
          </w:tcPr>
          <w:p>
            <w:pPr>
              <w:spacing w:after="0"/>
              <w:rPr>
                <w:sz w:val="15"/>
                <w:szCs w:val="15"/>
                <w:color w:val="auto"/>
              </w:rPr>
            </w:pPr>
          </w:p>
        </w:tc>
      </w:tr>
      <w:tr>
        <w:trPr>
          <w:trHeight w:val="461"/>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23"/>
        </w:trPr>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838"/>
        </w:trPr>
        <w:tc>
          <w:tcPr>
            <w:tcW w:w="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center"/>
              <w:ind w:right="273"/>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87"/>
        </w:trPr>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181"/>
        </w:trPr>
        <w:tc>
          <w:tcPr>
            <w:tcW w:w="360" w:type="dxa"/>
            <w:vAlign w:val="bottom"/>
          </w:tcPr>
          <w:p>
            <w:pPr>
              <w:spacing w:after="0"/>
              <w:rPr>
                <w:sz w:val="15"/>
                <w:szCs w:val="15"/>
                <w:color w:val="auto"/>
              </w:rPr>
            </w:pPr>
          </w:p>
        </w:tc>
        <w:tc>
          <w:tcPr>
            <w:tcW w:w="188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3"/>
              </w:rPr>
              <w:t>(dollars in millions)</w:t>
            </w:r>
          </w:p>
        </w:tc>
        <w:tc>
          <w:tcPr>
            <w:tcW w:w="980" w:type="dxa"/>
            <w:vAlign w:val="bottom"/>
          </w:tcPr>
          <w:p>
            <w:pPr>
              <w:spacing w:after="0"/>
              <w:rPr>
                <w:sz w:val="15"/>
                <w:szCs w:val="15"/>
                <w:color w:val="auto"/>
              </w:rPr>
            </w:pPr>
          </w:p>
        </w:tc>
      </w:tr>
      <w:tr>
        <w:trPr>
          <w:trHeight w:val="461"/>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4"/>
                <w:szCs w:val="24"/>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r>
      <w:tr>
        <w:trPr>
          <w:trHeight w:val="223"/>
        </w:trPr>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00" w:space="720"/>
            <w:col w:w="3220"/>
          </w:cols>
          <w:pgMar w:left="320" w:top="1440" w:right="339" w:bottom="1440" w:gutter="0" w:footer="0" w:header="0"/>
          <w:type w:val="continuous"/>
        </w:sectPr>
      </w:pPr>
    </w:p>
    <w:p>
      <w:pPr>
        <w:spacing w:after="0" w:line="2"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In March 2020, a current investor completed a tender offer for common stock from vested shareholders, many of whom were employees or members of the Board of Directors. To encourage participation, the tender offer was made at a price in excess of the fair value of our common stock. As a result, we recognized $25.1 million of share-based compensation expense during the three months ended March 31, 2020.</w:t>
      </w:r>
    </w:p>
    <w:p>
      <w:pPr>
        <w:spacing w:after="0" w:line="111"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As of March 31, 2021, there was $7.6 million and $8.6 million of unrecognized compensation cost related to unvested stocks options and restricted stock units, respectively. The remaining costs are expected to be recognized over a period of six and four years, respectively.</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RSU activity for the three months ended March 31, 2021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March 31, 2021</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220" w:type="dxa"/>
            <w:vAlign w:val="bottom"/>
          </w:tcPr>
          <w:p>
            <w:pPr>
              <w:spacing w:after="0"/>
              <w:rPr>
                <w:sz w:val="11"/>
                <w:szCs w:val="11"/>
                <w:color w:val="auto"/>
              </w:rPr>
            </w:pPr>
          </w:p>
        </w:tc>
        <w:tc>
          <w:tcPr>
            <w:tcW w:w="14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35"/>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Restricted Stock Units</w:t>
            </w:r>
          </w:p>
        </w:tc>
        <w:tc>
          <w:tcPr>
            <w:tcW w:w="15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Number of Shares</w:t>
            </w:r>
          </w:p>
        </w:tc>
        <w:tc>
          <w:tcPr>
            <w:tcW w:w="260" w:type="dxa"/>
            <w:vAlign w:val="bottom"/>
          </w:tcPr>
          <w:p>
            <w:pPr>
              <w:spacing w:after="0"/>
              <w:rPr>
                <w:sz w:val="11"/>
                <w:szCs w:val="11"/>
                <w:color w:val="auto"/>
              </w:rPr>
            </w:pPr>
          </w:p>
        </w:tc>
        <w:tc>
          <w:tcPr>
            <w:tcW w:w="142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w w:val="98"/>
              </w:rPr>
              <w:t>Grant Date Fair</w:t>
            </w:r>
          </w:p>
        </w:tc>
        <w:tc>
          <w:tcPr>
            <w:tcW w:w="2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3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Value per Share</w:t>
            </w:r>
          </w:p>
        </w:tc>
        <w:tc>
          <w:tcPr>
            <w:tcW w:w="220" w:type="dxa"/>
            <w:vAlign w:val="bottom"/>
          </w:tcPr>
          <w:p>
            <w:pPr>
              <w:spacing w:after="0"/>
              <w:rPr>
                <w:sz w:val="16"/>
                <w:szCs w:val="16"/>
                <w:color w:val="auto"/>
              </w:rPr>
            </w:pPr>
          </w:p>
        </w:tc>
        <w:tc>
          <w:tcPr>
            <w:tcW w:w="1420" w:type="dxa"/>
            <w:vAlign w:val="bottom"/>
          </w:tcPr>
          <w:p>
            <w:pPr>
              <w:jc w:val="right"/>
              <w:ind w:right="5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6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8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(in millions, except exercise price and term amounts)</w:t>
            </w:r>
          </w:p>
        </w:tc>
        <w:tc>
          <w:tcPr>
            <w:tcW w:w="0" w:type="dxa"/>
            <w:vAlign w:val="bottom"/>
          </w:tcPr>
          <w:p>
            <w:pPr>
              <w:spacing w:after="0"/>
              <w:rPr>
                <w:sz w:val="1"/>
                <w:szCs w:val="1"/>
                <w:color w:val="auto"/>
              </w:rPr>
            </w:pPr>
          </w:p>
        </w:tc>
      </w:tr>
      <w:tr>
        <w:trPr>
          <w:trHeight w:val="231"/>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18.41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16.02</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17.27</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 expired or canceled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21.49</w:t>
            </w:r>
          </w:p>
        </w:tc>
        <w:tc>
          <w:tcPr>
            <w:tcW w:w="2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at March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17.75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option activity for the three months ended March 31, 2021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2"/>
          </w:tcPr>
          <w:p>
            <w:pPr>
              <w:jc w:val="right"/>
              <w:ind w:right="1101"/>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w w:val="95"/>
              </w:rPr>
              <w:t>Weighted-Average</w:t>
            </w: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Weighted-Average</w:t>
            </w:r>
          </w:p>
        </w:tc>
        <w:tc>
          <w:tcPr>
            <w:tcW w:w="180" w:type="dxa"/>
            <w:vAlign w:val="bottom"/>
          </w:tcPr>
          <w:p>
            <w:pPr>
              <w:spacing w:after="0"/>
              <w:rPr>
                <w:sz w:val="11"/>
                <w:szCs w:val="11"/>
                <w:color w:val="auto"/>
              </w:rPr>
            </w:pPr>
          </w:p>
        </w:tc>
        <w:tc>
          <w:tcPr>
            <w:tcW w:w="14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35"/>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15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Number of Shares</w:t>
            </w:r>
          </w:p>
        </w:tc>
        <w:tc>
          <w:tcPr>
            <w:tcW w:w="24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Remaining Contractual</w:t>
            </w:r>
          </w:p>
        </w:tc>
        <w:tc>
          <w:tcPr>
            <w:tcW w:w="18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68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Exercise Price</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 (in Years)</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4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380" w:type="dxa"/>
            <w:vAlign w:val="bottom"/>
            <w:gridSpan w:val="3"/>
          </w:tcPr>
          <w:p>
            <w:pPr>
              <w:ind w:left="100"/>
              <w:spacing w:after="0"/>
              <w:rPr>
                <w:sz w:val="20"/>
                <w:szCs w:val="20"/>
                <w:color w:val="auto"/>
              </w:rPr>
            </w:pPr>
            <w:r>
              <w:rPr>
                <w:rFonts w:ascii="Arial" w:cs="Arial" w:eastAsia="Arial" w:hAnsi="Arial"/>
                <w:sz w:val="14"/>
                <w:szCs w:val="14"/>
                <w:b w:val="1"/>
                <w:bCs w:val="1"/>
                <w:color w:val="auto"/>
                <w:w w:val="92"/>
              </w:rPr>
              <w:t>(in millions, except exercise price and term amounts)</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and exercisable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2.39</w:t>
            </w: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2.00</w:t>
            </w: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expired or canceled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ind w:right="37"/>
              <w:spacing w:after="0"/>
              <w:rPr>
                <w:sz w:val="20"/>
                <w:szCs w:val="20"/>
                <w:color w:val="auto"/>
              </w:rPr>
            </w:pPr>
            <w:r>
              <w:rPr>
                <w:rFonts w:ascii="Arial" w:cs="Arial" w:eastAsia="Arial" w:hAnsi="Arial"/>
                <w:sz w:val="18"/>
                <w:szCs w:val="18"/>
                <w:color w:val="auto"/>
              </w:rPr>
              <w:t>4.80</w:t>
            </w:r>
          </w:p>
        </w:tc>
        <w:tc>
          <w:tcPr>
            <w:tcW w:w="16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exercisable at March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2.24</w:t>
            </w:r>
          </w:p>
        </w:tc>
        <w:tc>
          <w:tcPr>
            <w:tcW w:w="1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7.17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we are party to litigation and legal proceedings relating to our business operations. Except as disclosed below, we do not believe that we are party to any current or pending legal action that could reasonably be expected to have a material adverse effect on our financial condition or results of operations and cash flow.</w:t>
      </w:r>
    </w:p>
    <w:p>
      <w:pPr>
        <w:spacing w:after="0" w:line="13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On March 19, 2021, a purported class action complaint was filed against the Company and certain of its current officers and directors in the U.S. District Court for the Southern District of Ohio (Case No. 2:21-cv-01197) on behalf of certain Root shareholders. The complaint alleges that defendants made false or misleading statements and omissions of purportedly material fact, in violation of Sections 10(b) and 20(a) of the Securities Exchange Act of 1934 and Rule 10b-5 thereunder, and of Sections 11 and 15 of the Securities Act, in connection with and following the Company’s IPO. The complaint seeks unspecified damages. The Company believes that the claims in this lawsuit are without merit and intends to defend against them vigorously. The lawsuit is in the early stages and, at this time, we are unable to predict the outcome and we cannot estimate the likelihood or magnitude of our possible or potential loss contingency.</w:t>
      </w:r>
    </w:p>
    <w:p>
      <w:pPr>
        <w:spacing w:after="0" w:line="14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March 25, 2021, a purported class action complaint was filed against the Company, certain of its current officers and directors, Goldman Sachs &amp; Co. LLC, Morgan Stanley &amp; Co. LLC, Barclays Capital Inc. and Wells Fargo Securities, LLC, in the U.S. District Court for the Southern District of Ohio (Case No. 2:21-cv-01301) on behalf of certain Root shareholders. The complaint alleges that defendants made false or misleading statements and omissions of purportedly material fact, in violation of Sections 11 and 15 of the Securities Act, in connection with the Company’s IPO. The complaint seeks unspecified damages. The Company believes that the claims in this lawsuit are without merit and intends to defend against them vigorously. The lawsuit is in the early stages and, at this time, we are unable to predict the outcome and we cannot estimate the likelihood or magnitude of our possible or potential loss contingency.</w:t>
      </w:r>
    </w:p>
    <w:p>
      <w:pPr>
        <w:spacing w:after="0" w:line="14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are contingently liable for possible future assessments under regulatory requirements for insolvencies and impairments of unaffiliated insurance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40"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 AND ACCUMULATED OTHER COMPREHENSIVE INCOME</w:t>
      </w:r>
    </w:p>
    <w:p>
      <w:pPr>
        <w:spacing w:after="0" w:line="17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presents the changes in our accumulated other comprehensive income (loss), or AOCI, for the three months ended March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4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240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unrealized losses on investments:</w:t>
            </w: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Accumulated other comprehensive income beginning balance</w:t>
            </w:r>
          </w:p>
        </w:tc>
        <w:tc>
          <w:tcPr>
            <w:tcW w:w="900" w:type="dxa"/>
            <w:vAlign w:val="bottom"/>
          </w:tcPr>
          <w:p>
            <w:pPr>
              <w:jc w:val="right"/>
              <w:ind w:right="701"/>
              <w:spacing w:after="0"/>
              <w:rPr>
                <w:sz w:val="20"/>
                <w:szCs w:val="20"/>
                <w:color w:val="auto"/>
              </w:rPr>
            </w:pPr>
            <w:r>
              <w:rPr>
                <w:rFonts w:ascii="Arial" w:cs="Arial" w:eastAsia="Arial" w:hAnsi="Arial"/>
                <w:sz w:val="18"/>
                <w:szCs w:val="18"/>
                <w:color w:val="auto"/>
                <w:w w:val="99"/>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5.6</w:t>
            </w:r>
          </w:p>
        </w:tc>
        <w:tc>
          <w:tcPr>
            <w:tcW w:w="80" w:type="dxa"/>
            <w:vAlign w:val="bottom"/>
          </w:tcPr>
          <w:p>
            <w:pPr>
              <w:spacing w:after="0"/>
              <w:rPr>
                <w:sz w:val="19"/>
                <w:szCs w:val="19"/>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realized gains on investments reclassified from AOCI to net loss</w:t>
            </w: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(2.4)</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loss</w:t>
            </w:r>
          </w:p>
        </w:tc>
        <w:tc>
          <w:tcPr>
            <w:tcW w:w="9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(3.5)</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Accumulated other comprehensive income (loss) ending balance</w:t>
            </w:r>
          </w:p>
        </w:tc>
        <w:tc>
          <w:tcPr>
            <w:tcW w:w="900" w:type="dxa"/>
            <w:vAlign w:val="bottom"/>
            <w:tcBorders>
              <w:bottom w:val="single" w:sz="8" w:color="auto"/>
            </w:tcBorders>
          </w:tcPr>
          <w:p>
            <w:pPr>
              <w:jc w:val="right"/>
              <w:ind w:right="70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2.1</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w:t>
            </w:r>
          </w:p>
        </w:tc>
        <w:tc>
          <w:tcPr>
            <w:tcW w:w="0" w:type="dxa"/>
            <w:vAlign w:val="bottom"/>
          </w:tcPr>
          <w:p>
            <w:pPr>
              <w:spacing w:after="0"/>
              <w:rPr>
                <w:sz w:val="1"/>
                <w:szCs w:val="1"/>
                <w:color w:val="auto"/>
              </w:rPr>
            </w:pPr>
          </w:p>
        </w:tc>
      </w:tr>
      <w:tr>
        <w:trPr>
          <w:trHeight w:val="21"/>
        </w:trPr>
        <w:tc>
          <w:tcPr>
            <w:tcW w:w="440" w:type="dxa"/>
            <w:vAlign w:val="bottom"/>
            <w:vMerge w:val="restart"/>
          </w:tcPr>
          <w:p>
            <w:pPr>
              <w:spacing w:after="0"/>
              <w:rPr>
                <w:sz w:val="20"/>
                <w:szCs w:val="20"/>
                <w:color w:val="auto"/>
              </w:rPr>
            </w:pPr>
            <w:r>
              <w:rPr>
                <w:rFonts w:ascii="Arial" w:cs="Arial" w:eastAsia="Arial" w:hAnsi="Arial"/>
                <w:sz w:val="18"/>
                <w:szCs w:val="18"/>
                <w:b w:val="1"/>
                <w:bCs w:val="1"/>
                <w:color w:val="auto"/>
              </w:rPr>
              <w:t>12.</w:t>
            </w:r>
          </w:p>
        </w:tc>
        <w:tc>
          <w:tcPr>
            <w:tcW w:w="80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LOSS PER SHARE</w:t>
            </w: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40" w:type="dxa"/>
            <w:vAlign w:val="bottom"/>
            <w:vMerge w:val="continue"/>
          </w:tcPr>
          <w:p>
            <w:pPr>
              <w:spacing w:after="0"/>
              <w:rPr>
                <w:sz w:val="24"/>
                <w:szCs w:val="24"/>
                <w:color w:val="auto"/>
              </w:rPr>
            </w:pPr>
          </w:p>
        </w:tc>
        <w:tc>
          <w:tcPr>
            <w:tcW w:w="80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following table displays the computation of basic and diluted loss per share of common stock for the three months ended March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Pr>
          <w:p>
            <w:pPr>
              <w:spacing w:after="0"/>
              <w:rPr>
                <w:sz w:val="16"/>
                <w:szCs w:val="16"/>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20" w:type="dxa"/>
            <w:vAlign w:val="bottom"/>
          </w:tcPr>
          <w:p>
            <w:pPr>
              <w:spacing w:after="0"/>
              <w:rPr>
                <w:sz w:val="15"/>
                <w:szCs w:val="15"/>
                <w:color w:val="auto"/>
              </w:rPr>
            </w:pPr>
          </w:p>
        </w:tc>
        <w:tc>
          <w:tcPr>
            <w:tcW w:w="3220" w:type="dxa"/>
            <w:vAlign w:val="bottom"/>
            <w:gridSpan w:val="5"/>
          </w:tcPr>
          <w:p>
            <w:pPr>
              <w:jc w:val="right"/>
              <w:ind w:right="330"/>
              <w:spacing w:after="0"/>
              <w:rPr>
                <w:sz w:val="20"/>
                <w:szCs w:val="20"/>
                <w:color w:val="auto"/>
              </w:rPr>
            </w:pPr>
            <w:r>
              <w:rPr>
                <w:rFonts w:ascii="Arial" w:cs="Arial" w:eastAsia="Arial" w:hAnsi="Arial"/>
                <w:sz w:val="14"/>
                <w:szCs w:val="14"/>
                <w:b w:val="1"/>
                <w:bCs w:val="1"/>
                <w:color w:val="auto"/>
              </w:rPr>
              <w:t>(in millions, except per share amounts)</w:t>
            </w:r>
          </w:p>
        </w:tc>
        <w:tc>
          <w:tcPr>
            <w:tcW w:w="0" w:type="dxa"/>
            <w:vAlign w:val="bottom"/>
          </w:tcPr>
          <w:p>
            <w:pPr>
              <w:spacing w:after="0"/>
              <w:rPr>
                <w:sz w:val="1"/>
                <w:szCs w:val="1"/>
                <w:color w:val="auto"/>
              </w:rPr>
            </w:pPr>
          </w:p>
        </w:tc>
      </w:tr>
      <w:tr>
        <w:trPr>
          <w:trHeight w:val="25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3"/>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(105.6)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Borders>
              <w:bottom w:val="single" w:sz="8" w:color="CCEEFF"/>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247.1</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common share: basic and diluted</w:t>
            </w: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3"/>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We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102"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As of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2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183"/>
        </w:trPr>
        <w:tc>
          <w:tcPr>
            <w:tcW w:w="8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gridSpan w:val="3"/>
          </w:tcPr>
          <w:p>
            <w:pPr>
              <w:ind w:left="20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5"/>
                <w:szCs w:val="15"/>
                <w:color w:val="auto"/>
              </w:rPr>
            </w:pPr>
          </w:p>
        </w:tc>
      </w:tr>
      <w:tr>
        <w:trPr>
          <w:trHeight w:val="231"/>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Nonvested shares subject to repurchase</w:t>
            </w: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Redeemable convertible preferred stock (as converted to common stock)</w:t>
            </w:r>
          </w:p>
        </w:tc>
        <w:tc>
          <w:tcPr>
            <w:tcW w:w="11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161.8</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redeemable convertible preferred stock (as converted to common stock)</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90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5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181.5</w:t>
            </w:r>
          </w:p>
        </w:tc>
      </w:tr>
      <w:tr>
        <w:trPr>
          <w:trHeight w:val="20"/>
        </w:trPr>
        <w:tc>
          <w:tcPr>
            <w:tcW w:w="8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40"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GEOGRAPHICAL BREAKDOWN OF DIRECT WRITTEN PREMIUM</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Direct written premium, or DWP, by state is as follows for the three months ended March 31, 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95"/>
              </w:rPr>
              <w:t>Three Months Ended March 31,</w:t>
            </w:r>
          </w:p>
        </w:tc>
        <w:tc>
          <w:tcPr>
            <w:tcW w:w="980" w:type="dxa"/>
            <w:vAlign w:val="bottom"/>
            <w:tcBorders>
              <w:bottom w:val="single" w:sz="8" w:color="auto"/>
            </w:tcBorders>
          </w:tcPr>
          <w:p>
            <w:pPr>
              <w:spacing w:after="0"/>
              <w:rPr>
                <w:sz w:val="16"/>
                <w:szCs w:val="16"/>
                <w:color w:val="auto"/>
              </w:rPr>
            </w:pPr>
          </w:p>
        </w:tc>
      </w:tr>
      <w:tr>
        <w:trPr>
          <w:trHeight w:val="187"/>
        </w:trPr>
        <w:tc>
          <w:tcPr>
            <w:tcW w:w="6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6"/>
                <w:szCs w:val="16"/>
                <w:color w:val="auto"/>
              </w:rPr>
            </w:pPr>
          </w:p>
        </w:tc>
      </w:tr>
      <w:tr>
        <w:trPr>
          <w:trHeight w:val="181"/>
        </w:trPr>
        <w:tc>
          <w:tcPr>
            <w:tcW w:w="64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 of DWP</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 of DWP</w:t>
            </w:r>
          </w:p>
        </w:tc>
      </w:tr>
      <w:tr>
        <w:trPr>
          <w:trHeight w:val="212"/>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State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(dollars in millions)</w:t>
            </w:r>
          </w:p>
        </w:tc>
        <w:tc>
          <w:tcPr>
            <w:tcW w:w="980" w:type="dxa"/>
            <w:vAlign w:val="bottom"/>
          </w:tcPr>
          <w:p>
            <w:pPr>
              <w:spacing w:after="0"/>
              <w:rPr>
                <w:sz w:val="18"/>
                <w:szCs w:val="18"/>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20.9 %</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Georgia</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11.1</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Louisiana</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4.1</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Utah</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3.7</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Missouri</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4.6</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Kentucky</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7.0</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Arizona</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5.2</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others states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33.7</w:t>
            </w:r>
          </w:p>
        </w:tc>
      </w:tr>
      <w:tr>
        <w:trPr>
          <w:trHeight w:val="223"/>
        </w:trPr>
        <w:tc>
          <w:tcPr>
            <w:tcW w:w="6460" w:type="dxa"/>
            <w:vAlign w:val="bottom"/>
          </w:tcPr>
          <w:p>
            <w:pPr>
              <w:ind w:left="1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6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firstLine="324"/>
        <w:spacing w:after="0" w:line="25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for the fiscal year ended December 31, 2020 included in the Annual Report on Form 10-K filed with the SEC on March 4, 2021, or the 2020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and in the 2020 10-K for a discussion of important factors that could cause our actual results to differ materially from those anticipated in these forward-looking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Root is a technology company revolutionizing personal insurance with a pricing model based upon fairness and a modern customer experience. We operate a direct-to-consumer model in which we acquire the majority of our customers through mobile applications.</w:t>
      </w:r>
    </w:p>
    <w:p>
      <w:pPr>
        <w:spacing w:after="0" w:line="116" w:lineRule="exact"/>
        <w:rPr>
          <w:sz w:val="20"/>
          <w:szCs w:val="20"/>
          <w:color w:val="auto"/>
        </w:rPr>
      </w:pPr>
    </w:p>
    <w:p>
      <w:pPr>
        <w:jc w:val="both"/>
        <w:ind w:right="120" w:firstLine="324"/>
        <w:spacing w:after="0" w:line="279" w:lineRule="auto"/>
        <w:rPr>
          <w:sz w:val="20"/>
          <w:szCs w:val="20"/>
          <w:color w:val="auto"/>
        </w:rPr>
      </w:pPr>
      <w:r>
        <w:rPr>
          <w:rFonts w:ascii="Arial" w:cs="Arial" w:eastAsia="Arial" w:hAnsi="Arial"/>
          <w:sz w:val="17"/>
          <w:szCs w:val="17"/>
          <w:color w:val="auto"/>
        </w:rPr>
        <w:t>We believe the $260 billion U.S. auto insurance market is ripe for disruption. Auto insurance is required for the vast majority of drivers in the United States and we believe it is typically the first insurance policy purchased by consumers. As a result, our auto-first strategy establishes the foundation for an expansive lifetime relationship with the opportunity to add other personal insurance lines as customer needs evolve. As part of our strategy, we have also established the technological foundation for an enterprise software offering, diversifying our revenue streams over time.</w:t>
      </w:r>
    </w:p>
    <w:p>
      <w:pPr>
        <w:spacing w:after="0" w:line="11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Root advantage is derived from our unique ability to segment individual risk based on complex behavioral data and proprietary telematics, a customer experience built for ease of use and a product offering made possible with our full-stack insurance structure, all uniquely integrated into a single cloud-based technology platform that captures the entire insurance value chain – from customer acquisition to underwriting to claims and administration to ongoing customer engagement.</w:t>
      </w:r>
    </w:p>
    <w:p>
      <w:pPr>
        <w:spacing w:after="0" w:line="133"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Our model benefits from portfolio maturity. As we scale the business rapidly our results are disproportionately weighted towards new customers compared to traditional insurance carriers. As we build an underlying base of recurring customers, we expect the following financial impacts:</w:t>
      </w:r>
    </w:p>
    <w:p>
      <w:pPr>
        <w:spacing w:after="0" w:line="70" w:lineRule="exact"/>
        <w:rPr>
          <w:sz w:val="20"/>
          <w:szCs w:val="20"/>
          <w:color w:val="auto"/>
        </w:rPr>
      </w:pPr>
    </w:p>
    <w:p>
      <w:pPr>
        <w:ind w:left="660" w:right="120" w:hanging="328"/>
        <w:spacing w:after="0" w:line="286"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Improve loss ratio. </w:t>
      </w:r>
      <w:r>
        <w:rPr>
          <w:rFonts w:ascii="Arial" w:cs="Arial" w:eastAsia="Arial" w:hAnsi="Arial"/>
          <w:sz w:val="17"/>
          <w:szCs w:val="17"/>
          <w:color w:val="auto"/>
        </w:rPr>
        <w:t>Renewal premiums, referring to premiums from a customer’s second term and beyond, have lower loss ratios as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premiums in the customer’s first term. As we grow our business, we anticipate, consistent with industry norms, that a greater proportion of our premiums will be from customer renewals driving down the total loss ratio across our portfolio.</w:t>
      </w:r>
    </w:p>
    <w:p>
      <w:pPr>
        <w:spacing w:after="0" w:line="111" w:lineRule="exact"/>
        <w:rPr>
          <w:rFonts w:ascii="Arial" w:cs="Arial" w:eastAsia="Arial" w:hAnsi="Arial"/>
          <w:sz w:val="17"/>
          <w:szCs w:val="17"/>
          <w:color w:val="auto"/>
        </w:rPr>
      </w:pPr>
    </w:p>
    <w:p>
      <w:pPr>
        <w:ind w:left="660" w:right="3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revenue per customer. </w:t>
      </w:r>
      <w:r>
        <w:rPr>
          <w:rFonts w:ascii="Arial" w:cs="Arial" w:eastAsia="Arial" w:hAnsi="Arial"/>
          <w:sz w:val="18"/>
          <w:szCs w:val="18"/>
          <w:color w:val="auto"/>
        </w:rPr>
        <w:t>Our product expansion provides an opportunity to generate additional premium and fee income per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material incremental marketing cost.</w:t>
      </w:r>
    </w:p>
    <w:p>
      <w:pPr>
        <w:spacing w:after="0" w:line="116"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Reduce marketing as a percentage of premium. </w:t>
      </w:r>
      <w:r>
        <w:rPr>
          <w:rFonts w:ascii="Arial" w:cs="Arial" w:eastAsia="Arial" w:hAnsi="Arial"/>
          <w:sz w:val="18"/>
          <w:szCs w:val="18"/>
          <w:color w:val="auto"/>
        </w:rPr>
        <w:t>Recurring customer premiums have no associated customer acquisition costs and minimal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underwriting costs, driving profitability. As we grow our business, we anticipate, consistent with industry norms, that a greater proportion of our premiums will be from customer renewals without associated marketing costs.</w:t>
      </w:r>
    </w:p>
    <w:p>
      <w:pPr>
        <w:spacing w:after="0" w:line="129" w:lineRule="exact"/>
        <w:rPr>
          <w:rFonts w:ascii="Arial" w:cs="Arial" w:eastAsia="Arial" w:hAnsi="Arial"/>
          <w:sz w:val="18"/>
          <w:szCs w:val="18"/>
          <w:color w:val="auto"/>
        </w:rPr>
      </w:pPr>
    </w:p>
    <w:p>
      <w:pPr>
        <w:ind w:left="660" w:right="200" w:hanging="328"/>
        <w:spacing w:after="0" w:line="279"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Improve retention. </w:t>
      </w:r>
      <w:r>
        <w:rPr>
          <w:rFonts w:ascii="Arial" w:cs="Arial" w:eastAsia="Arial" w:hAnsi="Arial"/>
          <w:sz w:val="17"/>
          <w:szCs w:val="17"/>
          <w:color w:val="auto"/>
        </w:rPr>
        <w:t>As a young insurance carrier weighted towards new customers, we naturally have a higher percentage of more frequent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shoppers. As our business tenures and our flywheel spins allowing us to increase our pricing advantage, we will have the opportunity to acquire more long-standing customers and retain those that might naturally shop frequently. In addition to our pricing advantage, our expanding relationships with customers through product bundling has also demonstrated improvement in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2" w:name="page23"/>
    <w:bookmarkEnd w:id="22"/>
    <w:p>
      <w:pPr>
        <w:spacing w:after="0" w:line="144"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use technology to drive efficiency across all functions, including distribution, underwriting, policy administration and claims in particular. This allows us to operate with a cost to acquire and cost to serve advantage. We efficiently acquire customers directly through multiple channels, including digital (performance), strategic partnerships, channel media and referrals, and as a result our marketing costs are well below industry averages. Today, we acquire more than 75% of our customers through our mobile app and mobile website. Additionally, we are realizing operating efficiencies as we scale against our fixed expense base. Our claims management expenses, as represented by our LAE are in line with peers within only three years of bringing claims management in-house and will improve as we further embed machine learning into our processes.</w:t>
      </w:r>
    </w:p>
    <w:p>
      <w:pPr>
        <w:spacing w:after="0" w:line="124"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We also use our proprietary technology to measure long-term benefits to our business. When a state reaches certain maturation thresholds, we refer to it as a seasoned state. A seasoned state is defined as a state where (1) the regulator has approved our data science-driven telematics and pricing models and (2) we have been writing policies in the state for a minimum of one year with a minimum of two pricing filings.</w:t>
      </w:r>
    </w:p>
    <w:p>
      <w:pPr>
        <w:spacing w:after="0" w:line="11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As a rapidly growing full-stack insurance company, we currently employ a “capital light” model, which utilizes a variety of reinsurance structures at elevated levels of reinsurance. These reinsurance structures deliver three core objectives (1) top-line growth without a commensurate increase in regulatory capital requirements, (2) support of customer acquisition costs and (3) protection from outsized losses or tail events. We expect to maintain an elevated level of third-party quota share reinsurance while rapidly growing our business in order to operate a capital light business model. As our business scales, we expect to have the flexibility to reduce our quota share levels to maximize the return to shareholders.</w:t>
      </w:r>
    </w:p>
    <w:p>
      <w:pPr>
        <w:spacing w:after="0" w:line="12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Given the significant impact of reinsurance on our results of operations, we use certain direct basis key performance indicators to manage and measure our business operations and enhance investor understanding of our business model prior to reinsurance. We believe our long-term success will be determined by the progression of our direct metrics. Results of operations on a direct basis alone are not achievable under our regulatory landscape given our top-line growth and resulting capital requirements, which are relieved, in part, by obtaining reinsurance. The direct basis metrics include direct written premium, direct earned premium, direct contribution, ratio of direct contribution to total revenue, ratio of direct contribution to direct earned premium, direct loss ratio, direct LAE ratio and direct accident period loss ratio. For additional information, including definitions of these metrics, see “— Key Performance Indicators” and for reconciliation of direct contribution to the nearest GAAP metric, see “— Non-GAAP Financial Measures.”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Affecting Comparability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March 2020, the World Health Organization declared COVID-19 to be a global pandemic. The pandemic and related measures taken to contain the spread of COVID-19, such as government-mandated business closures, orders to “shelter in place,” or SIPs, and travel and transportation restrictions, have negatively affected the U.S. and global economies, disrupted global supply chains, and led to unprecedented levels of unemployment. We, and other businesses within the insurance industry, have been impacted by certain individual state bulletins that were issued in 2020 and outlined COVID-19 premium relief efforts, including restrictions on the ability to cancel policies for non-payment, requirements to defer insurance premium payments for up to 60 days and restrictions on increasing policy premiums. The COVID-19 pandemic has impacted and may further impact the broader economic environment, including negatively impacting unemployment levels, economic growth, the proper functioning of financial and capital markets and interest rates.</w:t>
      </w:r>
    </w:p>
    <w:p>
      <w:pPr>
        <w:spacing w:after="0" w:line="151"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As a result of the SIPs that started to occur toward the end of March 2020, our customers drove less and we had a resulting decline in loss coverages during the first quarter of 2020. We have seen miles driven roughly return to pre-COVID levels during the quarter, although claims frequency has not yet rebounded to historic norms. This primarily impacted our Loss and Loss Adjustment Expenses. As the COVID-19 pandemic continues to develop, there is uncertainty around the severity and duration of the pandemic and the pandemic’s potential impact on our business and our financial performance. See the section titled “Risk Factors” in the 2020 Annual Report on Form 10-K for more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3" w:name="page24"/>
    <w:bookmarkEnd w:id="23"/>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Comprehensive Reinsurance</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expect to continue to utilize reinsurance in the future, and our diversified approach to reinsurance allows us to be flexible in response to changes in market conditions or our own business changes, which allows us to strategically fuel growth and technology investment by optimizing the amount of capital required.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generate revenue primarily from the sale of auto insurance policies within the United States and to a lesser extent from the sale of renters insurance policies. We have agency operations that generate commission revenue by selling homeowners insurance policies on behalf of a third-party insurance company. We also generate revenue through fee income from our customers paying on installment and from net investment income earned on our investment portfolio.</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Premiums Earned</w:t>
      </w:r>
    </w:p>
    <w:p>
      <w:pPr>
        <w:spacing w:after="0" w:line="17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Premiums written are deferred and earned pro rata over the policy period. Net premiums earned represents the earned portion of our gross written premium, less the earned portion that is ceded to third-party reinsurers under our reinsurance agreements.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Investment Income</w:t>
      </w:r>
    </w:p>
    <w:p>
      <w:pPr>
        <w:spacing w:after="0" w:line="175"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Net investment income represents interest earned from our fixed maturity and short-term investments and cash and cash equivalents less investment expenses. Net investment income is directly correlated with the overall size of our investment portfolio and with the market level of interest rates. Net investment income will vary with both the size of our investment portfolio and the investment strategy.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Realized Gains on Investments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Net realized gains on investments represents the net positive difference between the amount received by us on the sale of an investment as compared to the investment’s cost-basis.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Fee and Other Income</w:t>
      </w:r>
    </w:p>
    <w:p>
      <w:pPr>
        <w:spacing w:after="0" w:line="175"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For those policyholders who pay premiums on an installment basis, we charge a flat fee for each installment related to the additional administrative costs associated with processing more frequent billing. Other income primarily comprises commissions earned for homeowners policies placed with third-party insurance companies where we have no exposure to the insured risk, recognized on the effective date of the associated policy, and sale of enterprise technology products to provide telematics-based data collection and trip tracking, recognized ratably as the service is performed.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Expenses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operating expenses consist of loss and loss adjustment expenses, sales and marketing, other insurance expense, technology and development, and general and administrative expenses.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Loss and Loss Adjustment Expenses</w:t>
      </w:r>
    </w:p>
    <w:p>
      <w:pPr>
        <w:spacing w:after="0" w:line="17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Loss and LAE include an amount determined using adjuster determined case-base estimates for reported claims and actuarial determined unpaid claim estimates using past experience and historical emergence patterns for unreported losses and loss adjustment expenses.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Loss and LAE is net of amounts ceded to reinsurers. We enter into reinsurance contracts to limit our exposure to potential losses as well as to provide additional capacity for growth. These expenses are a function of the size and term of the insurance policies we write and the loss experience associated with the underlying risks. Loss and LAE may be paid out over a period of years.</w:t>
      </w:r>
    </w:p>
    <w:p>
      <w:pPr>
        <w:spacing w:after="0" w:line="143"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Various other expenses incurred during claims processing are allocated to Loss and LAE. These amounts include claims salaries, health benefits, bonuses, employee retirement plan related expenses and share-based compensation expense, or Personnel Costs; software expense; internally developed software amortization; and overhead allocated based on headcount, or Overhead.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Sales and marketing expense includes spend related to performance and partnership channels, channel media, advertising, branding, public relations, consumer insights and referral fees. These expenses also include related Personnel Costs and Overhead. We incur sales and marketing activities for all product offerings. Sales and marketing are expensed as incurred.</w:t>
      </w:r>
    </w:p>
    <w:p>
      <w:pPr>
        <w:spacing w:after="0" w:line="15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plan to continue investing in marketing to attract and acquire new customers, increase our brand awareness, and expand our product offerings. We expect that sales and marketing will increase in absolute dollars in future periods and vary from period-to-period as a percentage of revenue in the near-term. We expect that, in the long-term, our sales and marketing will decrease as a percentage of revenue as the proportion of renewals to our total business increases.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Insurance Expense</w:t>
      </w:r>
    </w:p>
    <w:p>
      <w:pPr>
        <w:spacing w:after="0" w:line="175"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Other insurance expense includes underwriting expenses, credit card and policy processing expenses, premium write-offs, insurance license expenses, and Personnel Costs and Overhead related to actuarial and certain data science activities. Other insurance expense also includes amortization of deferred acquisition costs like premium taxes and report costs related to the successful acquisition of a policy. Other insurance expense is expensed as incurred, except for costs related to deferred acquisition costs that are capitalized and subsequently amortized over the same period in which the related premiums are earned. These expenses are also recognized net of ceding commissions earned.</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Technology and Development</w:t>
      </w:r>
    </w:p>
    <w:p>
      <w:pPr>
        <w:spacing w:after="0" w:line="17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Technology and development expense consists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w:t>
      </w:r>
    </w:p>
    <w:p>
      <w:pPr>
        <w:spacing w:after="0" w:line="144" w:lineRule="exact"/>
        <w:rPr>
          <w:sz w:val="20"/>
          <w:szCs w:val="20"/>
          <w:color w:val="auto"/>
        </w:rPr>
      </w:pPr>
    </w:p>
    <w:p>
      <w:pPr>
        <w:ind w:right="600" w:firstLine="324"/>
        <w:spacing w:after="0" w:line="263" w:lineRule="auto"/>
        <w:rPr>
          <w:sz w:val="20"/>
          <w:szCs w:val="20"/>
          <w:color w:val="auto"/>
        </w:rPr>
      </w:pPr>
      <w:r>
        <w:rPr>
          <w:rFonts w:ascii="Arial" w:cs="Arial" w:eastAsia="Arial" w:hAnsi="Arial"/>
          <w:sz w:val="18"/>
          <w:szCs w:val="18"/>
          <w:color w:val="auto"/>
        </w:rPr>
        <w:t>We expect technology and development to increase in absolute dollars and as a percentage of total revenue as we continue to devote significant resources to enhance our customer experience and continually improve our integrated technology platform. Over time, we expect technology and development to decrease as a percentage of revenue.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General and administrative expenses primarily relate to external professional service expenses; Personnel Costs and Overhead for corporate functions; and depreciation expense for computers, furniture and other fixed assets. General and administrative expenses are expensed as incurred.</w:t>
      </w:r>
    </w:p>
    <w:p>
      <w:pPr>
        <w:spacing w:after="0" w:line="10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expect general and administrative expenses to continue to increase in the near term, both in absolute dollars and as a percentage of total revenue, and then decrease as a percentage of revenue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Interest expense is not an operating expense; therefore, we include these expenses below operating expenses. Interest expense primarily relates to interest incurred on our long term debt; certain fees that are expensed as incurred; and the amortization of debt issuance costs, and the issuance of warrants. In addition, changes in the fair value of warrant liabilities that are associated with our long term debt are recorded as interest expense.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regularly review a number of metrics, including the following key performance indicators, to evaluate our business, measure our performance, identify trends in our business, prepare financial projections and make strategic decisions. We believe these non-GAAP and operational measures are useful in evaluating our performance, in addition to our financial results prepared in accordance with GAAP. See the section titled “— Non-GAAP Financial Measure” for additional information regarding our use of adjusted gross profit/(loss) and direct contribution and their reconciliation to the most comparable GAAP measures.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3"/>
          </w:tcPr>
          <w:p>
            <w:pPr>
              <w:jc w:val="right"/>
              <w:ind w:right="651"/>
              <w:spacing w:after="0"/>
              <w:rPr>
                <w:sz w:val="20"/>
                <w:szCs w:val="20"/>
                <w:color w:val="auto"/>
              </w:rPr>
            </w:pPr>
            <w:r>
              <w:rPr>
                <w:rFonts w:ascii="Arial" w:cs="Arial" w:eastAsia="Arial" w:hAnsi="Arial"/>
                <w:sz w:val="14"/>
                <w:szCs w:val="14"/>
                <w:b w:val="1"/>
                <w:bCs w:val="1"/>
                <w:color w:val="auto"/>
              </w:rPr>
              <w:t>Three Months Ended March 31,</w:t>
            </w:r>
          </w:p>
        </w:tc>
      </w:tr>
      <w:tr>
        <w:trPr>
          <w:trHeight w:val="190"/>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1280" w:type="dxa"/>
            <w:vAlign w:val="bottom"/>
          </w:tcPr>
          <w:p>
            <w:pPr>
              <w:jc w:val="right"/>
              <w:ind w:right="611"/>
              <w:spacing w:after="0"/>
              <w:rPr>
                <w:sz w:val="20"/>
                <w:szCs w:val="20"/>
                <w:color w:val="auto"/>
              </w:rPr>
            </w:pPr>
            <w:r>
              <w:rPr>
                <w:rFonts w:ascii="Arial" w:cs="Arial" w:eastAsia="Arial" w:hAnsi="Arial"/>
                <w:sz w:val="14"/>
                <w:szCs w:val="14"/>
                <w:b w:val="1"/>
                <w:bCs w:val="1"/>
                <w:color w:val="auto"/>
              </w:rPr>
              <w:t>2020</w:t>
            </w:r>
          </w:p>
        </w:tc>
      </w:tr>
      <w:tr>
        <w:trPr>
          <w:trHeight w:val="26"/>
        </w:trPr>
        <w:tc>
          <w:tcPr>
            <w:tcW w:w="7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3"/>
          </w:tcPr>
          <w:p>
            <w:pPr>
              <w:spacing w:after="0"/>
              <w:rPr>
                <w:sz w:val="2"/>
                <w:szCs w:val="2"/>
                <w:color w:val="auto"/>
              </w:rPr>
            </w:pPr>
          </w:p>
        </w:tc>
      </w:tr>
      <w:tr>
        <w:trPr>
          <w:trHeight w:val="184"/>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3"/>
          </w:tcPr>
          <w:p>
            <w:pPr>
              <w:jc w:val="right"/>
              <w:ind w:right="151"/>
              <w:spacing w:after="0"/>
              <w:rPr>
                <w:sz w:val="20"/>
                <w:szCs w:val="20"/>
                <w:color w:val="auto"/>
              </w:rPr>
            </w:pPr>
            <w:r>
              <w:rPr>
                <w:rFonts w:ascii="Arial" w:cs="Arial" w:eastAsia="Arial" w:hAnsi="Arial"/>
                <w:sz w:val="14"/>
                <w:szCs w:val="14"/>
                <w:b w:val="1"/>
                <w:bCs w:val="1"/>
                <w:color w:val="auto"/>
                <w:w w:val="94"/>
              </w:rPr>
              <w:t>(dollars in millions, except Premiums per Policy)</w:t>
            </w:r>
          </w:p>
        </w:tc>
      </w:tr>
      <w:tr>
        <w:trPr>
          <w:trHeight w:val="26"/>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Policies in Force</w:t>
            </w: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0"/>
        </w:trPr>
        <w:tc>
          <w:tcPr>
            <w:tcW w:w="7780" w:type="dxa"/>
            <w:vAlign w:val="bottom"/>
          </w:tcPr>
          <w:p>
            <w:pPr>
              <w:ind w:left="240"/>
              <w:spacing w:after="0"/>
              <w:rPr>
                <w:sz w:val="20"/>
                <w:szCs w:val="20"/>
                <w:color w:val="auto"/>
              </w:rPr>
            </w:pPr>
            <w:r>
              <w:rPr>
                <w:rFonts w:ascii="Arial" w:cs="Arial" w:eastAsia="Arial" w:hAnsi="Arial"/>
                <w:sz w:val="18"/>
                <w:szCs w:val="18"/>
                <w:color w:val="auto"/>
              </w:rPr>
              <w:t>Auto</w:t>
            </w:r>
          </w:p>
        </w:tc>
        <w:tc>
          <w:tcPr>
            <w:tcW w:w="160" w:type="dxa"/>
            <w:vAlign w:val="bottom"/>
          </w:tcPr>
          <w:p>
            <w:pPr>
              <w:spacing w:after="0"/>
              <w:rPr>
                <w:sz w:val="21"/>
                <w:szCs w:val="21"/>
                <w:color w:val="auto"/>
              </w:rPr>
            </w:pPr>
          </w:p>
        </w:tc>
        <w:tc>
          <w:tcPr>
            <w:tcW w:w="1560" w:type="dxa"/>
            <w:vAlign w:val="bottom"/>
          </w:tcPr>
          <w:p>
            <w:pPr>
              <w:jc w:val="right"/>
              <w:ind w:right="172"/>
              <w:spacing w:after="0"/>
              <w:rPr>
                <w:sz w:val="20"/>
                <w:szCs w:val="20"/>
                <w:color w:val="auto"/>
              </w:rPr>
            </w:pPr>
            <w:r>
              <w:rPr>
                <w:rFonts w:ascii="Arial" w:cs="Arial" w:eastAsia="Arial" w:hAnsi="Arial"/>
                <w:sz w:val="18"/>
                <w:szCs w:val="18"/>
                <w:color w:val="auto"/>
              </w:rPr>
              <w:t>360,290</w:t>
            </w:r>
          </w:p>
        </w:tc>
        <w:tc>
          <w:tcPr>
            <w:tcW w:w="460" w:type="dxa"/>
            <w:vAlign w:val="bottom"/>
          </w:tcPr>
          <w:p>
            <w:pPr>
              <w:spacing w:after="0"/>
              <w:rPr>
                <w:sz w:val="21"/>
                <w:szCs w:val="21"/>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334,209</w:t>
            </w:r>
          </w:p>
        </w:tc>
      </w:tr>
      <w:tr>
        <w:trPr>
          <w:trHeight w:val="263"/>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Renters</w:t>
            </w: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8,835</w:t>
            </w:r>
          </w:p>
        </w:tc>
        <w:tc>
          <w:tcPr>
            <w:tcW w:w="4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3,163</w:t>
            </w:r>
          </w:p>
        </w:tc>
      </w:tr>
      <w:tr>
        <w:trPr>
          <w:trHeight w:val="250"/>
        </w:trPr>
        <w:tc>
          <w:tcPr>
            <w:tcW w:w="7780" w:type="dxa"/>
            <w:vAlign w:val="bottom"/>
          </w:tcPr>
          <w:p>
            <w:pPr>
              <w:ind w:left="20"/>
              <w:spacing w:after="0"/>
              <w:rPr>
                <w:sz w:val="20"/>
                <w:szCs w:val="20"/>
                <w:color w:val="auto"/>
              </w:rPr>
            </w:pPr>
            <w:r>
              <w:rPr>
                <w:rFonts w:ascii="Arial" w:cs="Arial" w:eastAsia="Arial" w:hAnsi="Arial"/>
                <w:sz w:val="18"/>
                <w:szCs w:val="18"/>
                <w:color w:val="auto"/>
              </w:rPr>
              <w:t>Premiums per Policy</w:t>
            </w: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Auto</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958</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889</w:t>
            </w:r>
          </w:p>
        </w:tc>
      </w:tr>
      <w:tr>
        <w:trPr>
          <w:trHeight w:val="250"/>
        </w:trPr>
        <w:tc>
          <w:tcPr>
            <w:tcW w:w="7780" w:type="dxa"/>
            <w:vAlign w:val="bottom"/>
          </w:tcPr>
          <w:p>
            <w:pPr>
              <w:ind w:left="240"/>
              <w:spacing w:after="0"/>
              <w:rPr>
                <w:sz w:val="20"/>
                <w:szCs w:val="20"/>
                <w:color w:val="auto"/>
              </w:rPr>
            </w:pPr>
            <w:r>
              <w:rPr>
                <w:rFonts w:ascii="Arial" w:cs="Arial" w:eastAsia="Arial" w:hAnsi="Arial"/>
                <w:sz w:val="18"/>
                <w:szCs w:val="18"/>
                <w:color w:val="auto"/>
              </w:rPr>
              <w:t>Renters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72"/>
              <w:spacing w:after="0"/>
              <w:rPr>
                <w:sz w:val="20"/>
                <w:szCs w:val="20"/>
                <w:color w:val="auto"/>
              </w:rPr>
            </w:pPr>
            <w:r>
              <w:rPr>
                <w:rFonts w:ascii="Arial" w:cs="Arial" w:eastAsia="Arial" w:hAnsi="Arial"/>
                <w:sz w:val="18"/>
                <w:szCs w:val="18"/>
                <w:color w:val="auto"/>
              </w:rPr>
              <w:t>140</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133</w:t>
            </w:r>
          </w:p>
        </w:tc>
      </w:tr>
      <w:tr>
        <w:trPr>
          <w:trHeight w:val="26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Premiums in Force</w:t>
            </w: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0"/>
        </w:trPr>
        <w:tc>
          <w:tcPr>
            <w:tcW w:w="7780" w:type="dxa"/>
            <w:vAlign w:val="bottom"/>
          </w:tcPr>
          <w:p>
            <w:pPr>
              <w:ind w:left="240"/>
              <w:spacing w:after="0"/>
              <w:rPr>
                <w:sz w:val="20"/>
                <w:szCs w:val="20"/>
                <w:color w:val="auto"/>
              </w:rPr>
            </w:pPr>
            <w:r>
              <w:rPr>
                <w:rFonts w:ascii="Arial" w:cs="Arial" w:eastAsia="Arial" w:hAnsi="Arial"/>
                <w:sz w:val="18"/>
                <w:szCs w:val="18"/>
                <w:color w:val="auto"/>
              </w:rPr>
              <w:t>Auto</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72"/>
              <w:spacing w:after="0"/>
              <w:rPr>
                <w:sz w:val="20"/>
                <w:szCs w:val="20"/>
                <w:color w:val="auto"/>
              </w:rPr>
            </w:pPr>
            <w:r>
              <w:rPr>
                <w:rFonts w:ascii="Arial" w:cs="Arial" w:eastAsia="Arial" w:hAnsi="Arial"/>
                <w:sz w:val="18"/>
                <w:szCs w:val="18"/>
                <w:color w:val="auto"/>
              </w:rPr>
              <w:t>690.3</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594.2</w:t>
            </w:r>
          </w:p>
        </w:tc>
      </w:tr>
      <w:tr>
        <w:trPr>
          <w:trHeight w:val="263"/>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Renters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0.4</w:t>
            </w:r>
          </w:p>
        </w:tc>
      </w:tr>
      <w:tr>
        <w:trPr>
          <w:trHeight w:val="250"/>
        </w:trPr>
        <w:tc>
          <w:tcPr>
            <w:tcW w:w="7780" w:type="dxa"/>
            <w:vAlign w:val="bottom"/>
          </w:tcPr>
          <w:p>
            <w:pPr>
              <w:ind w:left="20"/>
              <w:spacing w:after="0"/>
              <w:rPr>
                <w:sz w:val="20"/>
                <w:szCs w:val="20"/>
                <w:color w:val="auto"/>
              </w:rPr>
            </w:pPr>
            <w:r>
              <w:rPr>
                <w:rFonts w:ascii="Arial" w:cs="Arial" w:eastAsia="Arial" w:hAnsi="Arial"/>
                <w:sz w:val="18"/>
                <w:szCs w:val="18"/>
                <w:color w:val="auto"/>
              </w:rPr>
              <w:t>Direct Written Premium</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72"/>
              <w:spacing w:after="0"/>
              <w:rPr>
                <w:sz w:val="20"/>
                <w:szCs w:val="20"/>
                <w:color w:val="auto"/>
              </w:rPr>
            </w:pPr>
            <w:r>
              <w:rPr>
                <w:rFonts w:ascii="Arial" w:cs="Arial" w:eastAsia="Arial" w:hAnsi="Arial"/>
                <w:sz w:val="18"/>
                <w:szCs w:val="18"/>
                <w:color w:val="auto"/>
              </w:rPr>
              <w:t>202.5</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164.2</w:t>
            </w:r>
          </w:p>
        </w:tc>
      </w:tr>
      <w:tr>
        <w:trPr>
          <w:trHeight w:val="26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Earned Premium</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160.2</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143.9</w:t>
            </w:r>
          </w:p>
        </w:tc>
      </w:tr>
      <w:tr>
        <w:trPr>
          <w:trHeight w:val="250"/>
        </w:trPr>
        <w:tc>
          <w:tcPr>
            <w:tcW w:w="7780" w:type="dxa"/>
            <w:vAlign w:val="bottom"/>
          </w:tcPr>
          <w:p>
            <w:pPr>
              <w:ind w:left="20"/>
              <w:spacing w:after="0"/>
              <w:rPr>
                <w:sz w:val="20"/>
                <w:szCs w:val="20"/>
                <w:color w:val="auto"/>
              </w:rPr>
            </w:pPr>
            <w:r>
              <w:rPr>
                <w:rFonts w:ascii="Arial" w:cs="Arial" w:eastAsia="Arial" w:hAnsi="Arial"/>
                <w:sz w:val="18"/>
                <w:szCs w:val="18"/>
                <w:color w:val="auto"/>
              </w:rPr>
              <w:t>Gross Profit/(Loss)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72"/>
              <w:spacing w:after="0"/>
              <w:rPr>
                <w:sz w:val="20"/>
                <w:szCs w:val="20"/>
                <w:color w:val="auto"/>
              </w:rPr>
            </w:pPr>
            <w:r>
              <w:rPr>
                <w:rFonts w:ascii="Arial" w:cs="Arial" w:eastAsia="Arial" w:hAnsi="Arial"/>
                <w:sz w:val="18"/>
                <w:szCs w:val="18"/>
                <w:color w:val="auto"/>
              </w:rPr>
              <w:t>6.3</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(17.2)</w:t>
            </w:r>
          </w:p>
        </w:tc>
      </w:tr>
      <w:tr>
        <w:trPr>
          <w:trHeight w:val="26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4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50"/>
        </w:trPr>
        <w:tc>
          <w:tcPr>
            <w:tcW w:w="7780" w:type="dxa"/>
            <w:vAlign w:val="bottom"/>
          </w:tcPr>
          <w:p>
            <w:pPr>
              <w:ind w:left="20"/>
              <w:spacing w:after="0"/>
              <w:rPr>
                <w:sz w:val="20"/>
                <w:szCs w:val="20"/>
                <w:color w:val="auto"/>
              </w:rPr>
            </w:pPr>
            <w:r>
              <w:rPr>
                <w:rFonts w:ascii="Arial" w:cs="Arial" w:eastAsia="Arial" w:hAnsi="Arial"/>
                <w:sz w:val="18"/>
                <w:szCs w:val="18"/>
                <w:color w:val="auto"/>
              </w:rPr>
              <w:t>Adjusted Gross Profit/(Loss)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72"/>
              <w:spacing w:after="0"/>
              <w:rPr>
                <w:sz w:val="20"/>
                <w:szCs w:val="20"/>
                <w:color w:val="auto"/>
              </w:rPr>
            </w:pPr>
            <w:r>
              <w:rPr>
                <w:rFonts w:ascii="Arial" w:cs="Arial" w:eastAsia="Arial" w:hAnsi="Arial"/>
                <w:sz w:val="18"/>
                <w:szCs w:val="18"/>
                <w:color w:val="auto"/>
              </w:rPr>
              <w:t>17.0</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(8.7)</w:t>
            </w:r>
          </w:p>
        </w:tc>
      </w:tr>
      <w:tr>
        <w:trPr>
          <w:trHeight w:val="277"/>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Contribution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26.6</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(11.0)</w:t>
            </w:r>
          </w:p>
        </w:tc>
      </w:tr>
      <w:tr>
        <w:trPr>
          <w:trHeight w:val="250"/>
        </w:trPr>
        <w:tc>
          <w:tcPr>
            <w:tcW w:w="7780" w:type="dxa"/>
            <w:vAlign w:val="bottom"/>
          </w:tcPr>
          <w:p>
            <w:pPr>
              <w:ind w:left="20"/>
              <w:spacing w:after="0"/>
              <w:rPr>
                <w:sz w:val="20"/>
                <w:szCs w:val="20"/>
                <w:color w:val="auto"/>
              </w:rPr>
            </w:pPr>
            <w:r>
              <w:rPr>
                <w:rFonts w:ascii="Arial" w:cs="Arial" w:eastAsia="Arial" w:hAnsi="Arial"/>
                <w:sz w:val="18"/>
                <w:szCs w:val="18"/>
                <w:color w:val="auto"/>
              </w:rPr>
              <w:t>Ratio of Adjusted Gross Profit/(Loss) to Total Revenue</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24.8 %</w:t>
            </w: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6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Adjusted Gross Profit/(Loss) to Direct Earned Premium</w:t>
            </w: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4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50"/>
        </w:trPr>
        <w:tc>
          <w:tcPr>
            <w:tcW w:w="7780" w:type="dxa"/>
            <w:vAlign w:val="bottom"/>
          </w:tcPr>
          <w:p>
            <w:pPr>
              <w:ind w:left="20"/>
              <w:spacing w:after="0"/>
              <w:rPr>
                <w:sz w:val="20"/>
                <w:szCs w:val="20"/>
                <w:color w:val="auto"/>
              </w:rPr>
            </w:pPr>
            <w:r>
              <w:rPr>
                <w:rFonts w:ascii="Arial" w:cs="Arial" w:eastAsia="Arial" w:hAnsi="Arial"/>
                <w:sz w:val="18"/>
                <w:szCs w:val="18"/>
                <w:color w:val="auto"/>
              </w:rPr>
              <w:t>Ratio of Direct Contribution to Total Revenue</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38.8 %</w:t>
            </w: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6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Direct Contribution to Direct Earned Premium</w:t>
            </w: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4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50"/>
        </w:trPr>
        <w:tc>
          <w:tcPr>
            <w:tcW w:w="7780" w:type="dxa"/>
            <w:vAlign w:val="bottom"/>
          </w:tcPr>
          <w:p>
            <w:pPr>
              <w:ind w:left="20"/>
              <w:spacing w:after="0"/>
              <w:rPr>
                <w:sz w:val="20"/>
                <w:szCs w:val="20"/>
                <w:color w:val="auto"/>
              </w:rPr>
            </w:pPr>
            <w:r>
              <w:rPr>
                <w:rFonts w:ascii="Arial" w:cs="Arial" w:eastAsia="Arial" w:hAnsi="Arial"/>
                <w:sz w:val="18"/>
                <w:szCs w:val="18"/>
                <w:color w:val="auto"/>
              </w:rPr>
              <w:t>Direct Loss Ratio</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70.9 %</w:t>
            </w: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92.8 %</w:t>
            </w:r>
          </w:p>
        </w:tc>
      </w:tr>
      <w:tr>
        <w:trPr>
          <w:trHeight w:val="26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LAE Ratio</w:t>
            </w: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4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Direct Accident Period Loss Ratio</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77.0 %</w:t>
            </w: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80.1 %</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Policies in Force</w:t>
      </w:r>
    </w:p>
    <w:p>
      <w:pPr>
        <w:spacing w:after="0" w:line="17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define policies in force as the number of current and active policyholders underwritten by us as of the period end date. We view policies in force as an important metric to assess our financial performance because policy growth drives our revenue growth, expands brand awareness, deepens our market penetration, and generates additional data to continue to improve the functioning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Premiums per Policy</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define premiums per policy as the ratio of direct written premium on policies in force divided by policies in force. We view premiums per policy as an important metric since the higher the premiums per policy the greater the amount of earned premium we expect from each policy.</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Premiums in Force</w:t>
      </w:r>
    </w:p>
    <w:p>
      <w:pPr>
        <w:spacing w:after="0" w:line="175"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We define premiums in force for our auto policies as premiums per policy multiplied by policies in force multiplied by two. We view premiums in force as an estimate of annualized run rate of direct written premium as of a given period. Since our auto policies are six month policies, we multiply this figure by two in order to determine an annualized amount of premiums in force. We define premiums in force for our renters policies as premiums per policy multiplied by policies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believe that our calculation of premiums in force is useful to investors and analysts because it captures the impact of growth in customers and premiums per policy at the end of each reported period, without adjusting for known or projected policy updates, cancellations and non-renewals.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Written Premium</w:t>
      </w:r>
    </w:p>
    <w:p>
      <w:pPr>
        <w:spacing w:after="0" w:line="175"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We define direct written premium, as the total amount of direct premium on policies that were bound during the period. We view direct written premium as an important metric because it is the metric that most closely correlates with our growth in direct earned premium. We use direct written premium,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(direct loss ratio and direct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Earned Premium</w:t>
      </w:r>
    </w:p>
    <w:p>
      <w:pPr>
        <w:spacing w:after="0" w:line="17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define direct earned premium as the amount of direct premium that was earned during the period. Premiums are earned over the period in which insurance protection is provided, which is typically six months. We view direct earned premium as an important metric as it allows us to evaluate our growth prior to the impacts of reinsurance. It is the primary driver of our consolidated GAAP revenues. As with direct written premium, we use direct earned premium,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(direct loss ratio and direct LAE) are the key drivers of our future profit opportunities.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Gross Profit/(Loss)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define gross profit/(loss) as total revenue minus net loss and LAE expense and other insurance expense inclusive of depreciation and amortization.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view gross profit/(loss) as an important metric because we believe it is informative of the financial performance of our core insurance business.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profit/(loss) margin is equal to gross profit/(loss) divided by revenue.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Gross Profit/(Loss)</w:t>
      </w:r>
    </w:p>
    <w:p>
      <w:pPr>
        <w:spacing w:after="0" w:line="17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We define adjusted gross profit/(loss), a non-GAAP financial measure, as gross profit/(loss) excluding net investment income, net realized gains (losses) on investments, report costs, Personnel Costs, allocated Overhead, licenses, professional fees and other expenses, which are included in other insurance (benefit) expense. After these adjustments, the resulting calculation is inclusive of only those variable costs of revenue incurred on the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acquisition of business. We view adjusted gross profit/(loss) as an important metric because we believe it measures our progress towards profitability for our core insurance business.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ratio of adjusted gross profit/(loss) to total revenue is equal to adjusted gross profit/(loss) divided by total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titled “— Non-GAAP Financial Measures” for a reconciliation of total revenue to adjusted gross profit/(loss).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Contribution</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define direct contribution, a non-GAAP financial measure, as adjusted gross profit/(loss) excluding ceded earned premium, ceded loss and LAE, and net ceding commission and other. Net ceding commission and other is comprised of ceding commission received in connection with reinsurance ceded, partially offset by sliding scale commission adjustments and amortization of excess ceding commission, and other impacts of reinsurance which are included in other insurance (benefit) expense. After these adjustments, the resulting calculation is inclusive of only those direct variable costs of revenue incurred on the successful acquisition of business, but exclusive of net ceding commission, ceded loss and LAE and other impacts of reinsurance. We view direct contribution as an important metric because we believe it measures progress towards the profitability of our total policy portfolio prior to the impact of reinsurance.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ratio of direct contribution to total revenue is equal to direct contribution divided by total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titled “— Non-GAAP Financial Measures” for a reconciliation of total revenue to direct contribution.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Ratio of Adjusted Gross Profit/(Loss) to Direct Earned Premium</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ratio of adjusted gross profit/(loss) to direct earned premium measures the relationship between the underlying business volume and gross economic benefit generated by our underwriting operations, on the one hand, and our underlying profitability trends, on the other. We rely on this measure, which supplements our gross profit/(loss) ratio as calculated in accordance with GAAP, because it provides management with insight into our underlying profitability trends with respect to our customer base. We use direct earned premium as the denominator in calculating this ratio because it reflects business volume free of elective capital efficiency choices related to our reinsurance programs.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800" w:type="dxa"/>
            <w:vAlign w:val="bottom"/>
            <w:gridSpan w:val="3"/>
          </w:tcPr>
          <w:p>
            <w:pPr>
              <w:jc w:val="center"/>
              <w:ind w:left="582"/>
              <w:spacing w:after="0"/>
              <w:rPr>
                <w:sz w:val="20"/>
                <w:szCs w:val="20"/>
                <w:color w:val="auto"/>
              </w:rPr>
            </w:pPr>
            <w:r>
              <w:rPr>
                <w:rFonts w:ascii="Arial" w:cs="Arial" w:eastAsia="Arial" w:hAnsi="Arial"/>
                <w:sz w:val="14"/>
                <w:szCs w:val="14"/>
                <w:b w:val="1"/>
                <w:bCs w:val="1"/>
                <w:color w:val="auto"/>
                <w:w w:val="95"/>
              </w:rPr>
              <w:t>Three Months Ended March 31,</w:t>
            </w:r>
          </w:p>
        </w:tc>
        <w:tc>
          <w:tcPr>
            <w:tcW w:w="660" w:type="dxa"/>
            <w:vAlign w:val="bottom"/>
          </w:tcPr>
          <w:p>
            <w:pPr>
              <w:spacing w:after="0"/>
              <w:rPr>
                <w:sz w:val="16"/>
                <w:szCs w:val="16"/>
                <w:color w:val="auto"/>
              </w:rPr>
            </w:pPr>
          </w:p>
        </w:tc>
      </w:tr>
      <w:tr>
        <w:trPr>
          <w:trHeight w:val="25"/>
        </w:trPr>
        <w:tc>
          <w:tcPr>
            <w:tcW w:w="7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4"/>
        </w:trPr>
        <w:tc>
          <w:tcPr>
            <w:tcW w:w="77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6"/>
                <w:szCs w:val="16"/>
                <w:color w:val="auto"/>
              </w:rPr>
            </w:pPr>
          </w:p>
        </w:tc>
      </w:tr>
      <w:tr>
        <w:trPr>
          <w:trHeight w:val="25"/>
        </w:trPr>
        <w:tc>
          <w:tcPr>
            <w:tcW w:w="7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4"/>
        </w:trPr>
        <w:tc>
          <w:tcPr>
            <w:tcW w:w="7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8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3"/>
              </w:rPr>
              <w:t>(dollars in millions)</w:t>
            </w:r>
          </w:p>
        </w:tc>
        <w:tc>
          <w:tcPr>
            <w:tcW w:w="660" w:type="dxa"/>
            <w:vAlign w:val="bottom"/>
          </w:tcPr>
          <w:p>
            <w:pPr>
              <w:spacing w:after="0"/>
              <w:rPr>
                <w:sz w:val="16"/>
                <w:szCs w:val="16"/>
                <w:color w:val="auto"/>
              </w:rPr>
            </w:pPr>
          </w:p>
        </w:tc>
      </w:tr>
      <w:tr>
        <w:trPr>
          <w:trHeight w:val="25"/>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Adjusted Gross Profit/(Loss)</w:t>
            </w: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17.0</w:t>
            </w:r>
          </w:p>
        </w:tc>
        <w:tc>
          <w:tcPr>
            <w:tcW w:w="108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(8.7)</w:t>
            </w:r>
          </w:p>
        </w:tc>
      </w:tr>
      <w:tr>
        <w:trPr>
          <w:trHeight w:val="263"/>
        </w:trPr>
        <w:tc>
          <w:tcPr>
            <w:tcW w:w="7780" w:type="dxa"/>
            <w:vAlign w:val="bottom"/>
          </w:tcPr>
          <w:p>
            <w:pPr>
              <w:ind w:left="20"/>
              <w:spacing w:after="0"/>
              <w:rPr>
                <w:sz w:val="20"/>
                <w:szCs w:val="20"/>
                <w:color w:val="auto"/>
              </w:rPr>
            </w:pPr>
            <w:r>
              <w:rPr>
                <w:rFonts w:ascii="Arial" w:cs="Arial" w:eastAsia="Arial" w:hAnsi="Arial"/>
                <w:sz w:val="18"/>
                <w:szCs w:val="18"/>
                <w:color w:val="auto"/>
              </w:rPr>
              <w:t>Denominator: Total Direct Earned Premium</w:t>
            </w:r>
          </w:p>
        </w:tc>
        <w:tc>
          <w:tcPr>
            <w:tcW w:w="1020" w:type="dxa"/>
            <w:vAlign w:val="bottom"/>
          </w:tcPr>
          <w:p>
            <w:pPr>
              <w:spacing w:after="0"/>
              <w:rPr>
                <w:sz w:val="22"/>
                <w:szCs w:val="22"/>
                <w:color w:val="auto"/>
              </w:rPr>
            </w:pPr>
          </w:p>
        </w:tc>
        <w:tc>
          <w:tcPr>
            <w:tcW w:w="700" w:type="dxa"/>
            <w:vAlign w:val="bottom"/>
          </w:tcPr>
          <w:p>
            <w:pPr>
              <w:jc w:val="right"/>
              <w:ind w:right="175"/>
              <w:spacing w:after="0"/>
              <w:rPr>
                <w:sz w:val="20"/>
                <w:szCs w:val="20"/>
                <w:color w:val="auto"/>
              </w:rPr>
            </w:pPr>
            <w:r>
              <w:rPr>
                <w:rFonts w:ascii="Arial" w:cs="Arial" w:eastAsia="Arial" w:hAnsi="Arial"/>
                <w:sz w:val="18"/>
                <w:szCs w:val="18"/>
                <w:color w:val="auto"/>
                <w:w w:val="93"/>
              </w:rPr>
              <w:t>160.2</w:t>
            </w:r>
          </w:p>
        </w:tc>
        <w:tc>
          <w:tcPr>
            <w:tcW w:w="1080" w:type="dxa"/>
            <w:vAlign w:val="bottom"/>
          </w:tcPr>
          <w:p>
            <w:pPr>
              <w:spacing w:after="0"/>
              <w:rPr>
                <w:sz w:val="22"/>
                <w:szCs w:val="22"/>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w w:val="93"/>
              </w:rPr>
              <w:t>143.9</w:t>
            </w:r>
          </w:p>
        </w:tc>
      </w:tr>
      <w:tr>
        <w:trPr>
          <w:trHeight w:val="26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Adjusted Gross Profit/(Loss) to Direct Earned Premium</w:t>
            </w:r>
          </w:p>
        </w:tc>
        <w:tc>
          <w:tcPr>
            <w:tcW w:w="10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80" w:type="dxa"/>
            <w:vAlign w:val="bottom"/>
            <w:shd w:val="clear" w:color="auto" w:fill="CCEEFF"/>
          </w:tcPr>
          <w:p>
            <w:pPr>
              <w:spacing w:after="0"/>
              <w:rPr>
                <w:sz w:val="22"/>
                <w:szCs w:val="22"/>
                <w:color w:val="auto"/>
              </w:rPr>
            </w:pPr>
          </w:p>
        </w:tc>
        <w:tc>
          <w:tcPr>
            <w:tcW w:w="6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(6.0)%</w:t>
            </w:r>
          </w:p>
        </w:tc>
      </w:tr>
    </w:tbl>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Ratio of Direct Contribution to Direct Earned Premium</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ratio of direct contribution to direct earned premium measures the relationship between the underlying business volume and gross economic benefit generated by our underwriting operations, on the one hand, and our underlying profitability trends, on the other, without contemplating the impacts of reinsurance. We rely on this measure, which supplements our gross margin as calculated in accordance with GAAP, because it provides management with insight into our underlying profitability trends with respect to our total policy portfolio. We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direct earned premium as the denominator in calculating this ratio because it reflects business volume free of elective capital efficiency cession or commission structures choices from our reinsurance programs.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800" w:type="dxa"/>
            <w:vAlign w:val="bottom"/>
            <w:gridSpan w:val="3"/>
          </w:tcPr>
          <w:p>
            <w:pPr>
              <w:jc w:val="center"/>
              <w:ind w:left="582"/>
              <w:spacing w:after="0"/>
              <w:rPr>
                <w:sz w:val="20"/>
                <w:szCs w:val="20"/>
                <w:color w:val="auto"/>
              </w:rPr>
            </w:pPr>
            <w:r>
              <w:rPr>
                <w:rFonts w:ascii="Arial" w:cs="Arial" w:eastAsia="Arial" w:hAnsi="Arial"/>
                <w:sz w:val="14"/>
                <w:szCs w:val="14"/>
                <w:b w:val="1"/>
                <w:bCs w:val="1"/>
                <w:color w:val="auto"/>
                <w:w w:val="95"/>
              </w:rPr>
              <w:t>Three Months Ended March 31,</w:t>
            </w:r>
          </w:p>
        </w:tc>
        <w:tc>
          <w:tcPr>
            <w:tcW w:w="660" w:type="dxa"/>
            <w:vAlign w:val="bottom"/>
          </w:tcPr>
          <w:p>
            <w:pPr>
              <w:spacing w:after="0"/>
              <w:rPr>
                <w:sz w:val="16"/>
                <w:szCs w:val="16"/>
                <w:color w:val="auto"/>
              </w:rPr>
            </w:pPr>
          </w:p>
        </w:tc>
      </w:tr>
      <w:tr>
        <w:trPr>
          <w:trHeight w:val="26"/>
        </w:trPr>
        <w:tc>
          <w:tcPr>
            <w:tcW w:w="7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4"/>
        </w:trPr>
        <w:tc>
          <w:tcPr>
            <w:tcW w:w="77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6"/>
                <w:szCs w:val="16"/>
                <w:color w:val="auto"/>
              </w:rPr>
            </w:pPr>
          </w:p>
        </w:tc>
      </w:tr>
      <w:tr>
        <w:trPr>
          <w:trHeight w:val="26"/>
        </w:trPr>
        <w:tc>
          <w:tcPr>
            <w:tcW w:w="7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4"/>
        </w:trPr>
        <w:tc>
          <w:tcPr>
            <w:tcW w:w="7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8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3"/>
              </w:rPr>
              <w:t>(dollars in millions)</w:t>
            </w:r>
          </w:p>
        </w:tc>
        <w:tc>
          <w:tcPr>
            <w:tcW w:w="660" w:type="dxa"/>
            <w:vAlign w:val="bottom"/>
          </w:tcPr>
          <w:p>
            <w:pPr>
              <w:spacing w:after="0"/>
              <w:rPr>
                <w:sz w:val="16"/>
                <w:szCs w:val="16"/>
                <w:color w:val="auto"/>
              </w:rPr>
            </w:pPr>
          </w:p>
        </w:tc>
      </w:tr>
      <w:tr>
        <w:trPr>
          <w:trHeight w:val="26"/>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Direct Contribution</w:t>
            </w: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26.6</w:t>
            </w:r>
          </w:p>
        </w:tc>
        <w:tc>
          <w:tcPr>
            <w:tcW w:w="108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7"/>
              </w:rPr>
              <w:t>(11.0)</w:t>
            </w:r>
          </w:p>
        </w:tc>
      </w:tr>
      <w:tr>
        <w:trPr>
          <w:trHeight w:val="263"/>
        </w:trPr>
        <w:tc>
          <w:tcPr>
            <w:tcW w:w="7780" w:type="dxa"/>
            <w:vAlign w:val="bottom"/>
          </w:tcPr>
          <w:p>
            <w:pPr>
              <w:ind w:left="20"/>
              <w:spacing w:after="0"/>
              <w:rPr>
                <w:sz w:val="20"/>
                <w:szCs w:val="20"/>
                <w:color w:val="auto"/>
              </w:rPr>
            </w:pPr>
            <w:r>
              <w:rPr>
                <w:rFonts w:ascii="Arial" w:cs="Arial" w:eastAsia="Arial" w:hAnsi="Arial"/>
                <w:sz w:val="18"/>
                <w:szCs w:val="18"/>
                <w:color w:val="auto"/>
              </w:rPr>
              <w:t>Denominator: Total Direct Earned Premium</w:t>
            </w:r>
          </w:p>
        </w:tc>
        <w:tc>
          <w:tcPr>
            <w:tcW w:w="1020" w:type="dxa"/>
            <w:vAlign w:val="bottom"/>
          </w:tcPr>
          <w:p>
            <w:pPr>
              <w:spacing w:after="0"/>
              <w:rPr>
                <w:sz w:val="22"/>
                <w:szCs w:val="22"/>
                <w:color w:val="auto"/>
              </w:rPr>
            </w:pPr>
          </w:p>
        </w:tc>
        <w:tc>
          <w:tcPr>
            <w:tcW w:w="700" w:type="dxa"/>
            <w:vAlign w:val="bottom"/>
          </w:tcPr>
          <w:p>
            <w:pPr>
              <w:jc w:val="right"/>
              <w:ind w:right="175"/>
              <w:spacing w:after="0"/>
              <w:rPr>
                <w:sz w:val="20"/>
                <w:szCs w:val="20"/>
                <w:color w:val="auto"/>
              </w:rPr>
            </w:pPr>
            <w:r>
              <w:rPr>
                <w:rFonts w:ascii="Arial" w:cs="Arial" w:eastAsia="Arial" w:hAnsi="Arial"/>
                <w:sz w:val="18"/>
                <w:szCs w:val="18"/>
                <w:color w:val="auto"/>
                <w:w w:val="93"/>
              </w:rPr>
              <w:t>160.2</w:t>
            </w:r>
          </w:p>
        </w:tc>
        <w:tc>
          <w:tcPr>
            <w:tcW w:w="1080" w:type="dxa"/>
            <w:vAlign w:val="bottom"/>
          </w:tcPr>
          <w:p>
            <w:pPr>
              <w:spacing w:after="0"/>
              <w:rPr>
                <w:sz w:val="22"/>
                <w:szCs w:val="22"/>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w w:val="93"/>
              </w:rPr>
              <w:t>143.9</w:t>
            </w:r>
          </w:p>
        </w:tc>
      </w:tr>
      <w:tr>
        <w:trPr>
          <w:trHeight w:val="26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Adjusted Gross Profit/(Loss) to Direct Earned Premium</w:t>
            </w:r>
          </w:p>
        </w:tc>
        <w:tc>
          <w:tcPr>
            <w:tcW w:w="10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0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bl>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Loss Ratio</w:t>
      </w:r>
    </w:p>
    <w:p>
      <w:pPr>
        <w:spacing w:after="0" w:line="175"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We define direct loss ratio expressed as a percentage, as the ratio of direct losses to direct earned premium. Direct loss ratio excludes LAE. We view direct loss ratio as an important metric because it allows us to evaluate incurred losses and LAE separately prior to the impact of reinsurance.</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LAE Ratio</w:t>
      </w:r>
    </w:p>
    <w:p>
      <w:pPr>
        <w:spacing w:after="0" w:line="175"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We define direct LAE ratio expressed as a percentage, as the ratio of direct LAE to direct earned premium. We view direct LAE ratio as an important metric because it allows us to evaluate incurred losses and LAE separately. Currently, we do not cede any of our LAE to third-party reinsurers; therefore, we actively monitor LAE ratio as it has a direct impact on our results regardless of our reinsurance strategy.</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Accident Period Loss Ratio</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Direct accident period loss ratio, expressed as a percentage, represents all losses and claims expected to arise from insured events that occurred during the applicable period regardless of when they are reported and finally settled divided by direct earned premiums for the same period. Changes to our loss reserves are the primary driver of the difference between our direct accident period loss ratio and direct loss ratio. We believe that direct accident period loss ratio is useful in evaluating expected losses prior to the impact of reinsurance.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17"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32385</wp:posOffset>
            </wp:positionV>
            <wp:extent cx="33261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49" w:lineRule="exact"/>
        <w:rPr>
          <w:sz w:val="20"/>
          <w:szCs w:val="20"/>
          <w:color w:val="auto"/>
        </w:rPr>
      </w:pPr>
    </w:p>
    <w:p>
      <w:pPr>
        <w:jc w:val="both"/>
        <w:ind w:left="6460"/>
        <w:spacing w:after="0"/>
        <w:tabs>
          <w:tab w:leader="none" w:pos="7740" w:val="left"/>
          <w:tab w:leader="none" w:pos="8880" w:val="left"/>
          <w:tab w:leader="none" w:pos="102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32385</wp:posOffset>
            </wp:positionV>
            <wp:extent cx="33261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9"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premiums earned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investment income</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realized gains on investments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Fee and other income</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revenue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Loss and loss adjustment expenses</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Sales and marketing</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insurance expense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Technology and development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(58.7)</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70"/>
        </w:trPr>
        <w:tc>
          <w:tcPr>
            <w:tcW w:w="4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70"/>
        </w:trPr>
        <w:tc>
          <w:tcPr>
            <w:tcW w:w="4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70"/>
        </w:trPr>
        <w:tc>
          <w:tcPr>
            <w:tcW w:w="4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44.2 %</w:t>
            </w:r>
          </w:p>
        </w:tc>
      </w:tr>
      <w:tr>
        <w:trPr>
          <w:trHeight w:val="237"/>
        </w:trPr>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(55.4)</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7"/>
        </w:trPr>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520"/>
        </w:trPr>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70"/>
        </w:trPr>
        <w:tc>
          <w:tcPr>
            <w:tcW w:w="4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91.1 %</w:t>
            </w:r>
          </w:p>
        </w:tc>
      </w:tr>
      <w:tr>
        <w:trPr>
          <w:trHeight w:val="270"/>
        </w:trPr>
        <w:tc>
          <w:tcPr>
            <w:tcW w:w="4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(78.8)%</w:t>
            </w:r>
          </w:p>
        </w:tc>
      </w:tr>
      <w:tr>
        <w:trPr>
          <w:trHeight w:val="270"/>
        </w:trPr>
        <w:tc>
          <w:tcPr>
            <w:tcW w:w="4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4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-1550670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-1207770</wp:posOffset>
            </wp:positionV>
            <wp:extent cx="713232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-856615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-513715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-170815</wp:posOffset>
            </wp:positionV>
            <wp:extent cx="7132320"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5280" w:space="720"/>
            <w:col w:w="52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00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(61.0)</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63"/>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unrealized losses on investments</w:t>
            </w:r>
          </w:p>
        </w:tc>
        <w:tc>
          <w:tcPr>
            <w:tcW w:w="3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94.4 %</w:t>
            </w:r>
          </w:p>
        </w:tc>
        <w:tc>
          <w:tcPr>
            <w:tcW w:w="0" w:type="dxa"/>
            <w:vAlign w:val="bottom"/>
          </w:tcPr>
          <w:p>
            <w:pPr>
              <w:spacing w:after="0"/>
              <w:rPr>
                <w:sz w:val="1"/>
                <w:szCs w:val="1"/>
                <w:color w:val="auto"/>
              </w:rPr>
            </w:pPr>
          </w:p>
        </w:tc>
      </w:tr>
      <w:tr>
        <w:trPr>
          <w:trHeight w:val="264"/>
        </w:trPr>
        <w:tc>
          <w:tcPr>
            <w:tcW w:w="60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______________</w:t>
            </w: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0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000" w:type="dxa"/>
            <w:vAlign w:val="bottom"/>
          </w:tcPr>
          <w:p>
            <w:pPr>
              <w:spacing w:after="0"/>
              <w:rPr>
                <w:sz w:val="20"/>
                <w:szCs w:val="20"/>
                <w:color w:val="auto"/>
              </w:rPr>
            </w:pPr>
            <w:r>
              <w:rPr>
                <w:rFonts w:ascii="Arial" w:cs="Arial" w:eastAsia="Arial" w:hAnsi="Arial"/>
                <w:sz w:val="14"/>
                <w:szCs w:val="14"/>
                <w:color w:val="auto"/>
              </w:rPr>
              <w:t>N.M. - Percentage change not meaningful</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Premiums Earned</w:t>
      </w:r>
    </w:p>
    <w:p>
      <w:pPr>
        <w:spacing w:after="0" w:line="17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Net premiums earned decreased $58.7 million, or 49.8%, to $59.1 million for the three months ended March 31, 2021, compared to the same period ended in 2020. The decrease was primarily due to greater cessions of direct earned premium as a result of a change in reinsurance structure partially offset by growth in direct earned premium between the periods.</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During the three months ended March 31, 2021 and 2020, we ceded approximately 63.1% and 18.1% of our direct earned premiums to third-party reinsurers, respectively. The change in ceding percentage between the periods was driven by our evolving approach to our reinsurance structure, in an effort to produce a capital efficient model with reinsurance terms available to us in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line="144"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 following table presents direct written premium, ceded written premium, net written premium, direct earned premium, ceded earned premium and net earned premium for the three months ended March 31, 2021 and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1360" w:type="dxa"/>
            <w:vAlign w:val="bottom"/>
          </w:tcPr>
          <w:p>
            <w:pPr>
              <w:spacing w:after="0"/>
              <w:rPr>
                <w:sz w:val="16"/>
                <w:szCs w:val="16"/>
                <w:color w:val="auto"/>
              </w:rPr>
            </w:pPr>
          </w:p>
        </w:tc>
      </w:tr>
      <w:tr>
        <w:trPr>
          <w:trHeight w:val="26"/>
        </w:trPr>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53"/>
              <w:spacing w:after="0"/>
              <w:rPr>
                <w:sz w:val="20"/>
                <w:szCs w:val="20"/>
                <w:color w:val="auto"/>
              </w:rPr>
            </w:pPr>
            <w:r>
              <w:rPr>
                <w:rFonts w:ascii="Arial" w:cs="Arial" w:eastAsia="Arial" w:hAnsi="Arial"/>
                <w:sz w:val="14"/>
                <w:szCs w:val="14"/>
                <w:b w:val="1"/>
                <w:bCs w:val="1"/>
                <w:color w:val="auto"/>
              </w:rPr>
              <w:t>% Change</w:t>
            </w:r>
          </w:p>
        </w:tc>
      </w:tr>
      <w:tr>
        <w:trPr>
          <w:trHeight w:val="26"/>
        </w:trPr>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millions)</w:t>
            </w:r>
          </w:p>
        </w:tc>
        <w:tc>
          <w:tcPr>
            <w:tcW w:w="1360" w:type="dxa"/>
            <w:vAlign w:val="bottom"/>
          </w:tcPr>
          <w:p>
            <w:pPr>
              <w:spacing w:after="0"/>
              <w:rPr>
                <w:sz w:val="16"/>
                <w:szCs w:val="16"/>
                <w:color w:val="auto"/>
              </w:rPr>
            </w:pPr>
          </w:p>
        </w:tc>
      </w:tr>
      <w:tr>
        <w:trPr>
          <w:trHeight w:val="26"/>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written premium</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23.3 %</w:t>
            </w:r>
          </w:p>
        </w:tc>
      </w:tr>
      <w:tr>
        <w:trPr>
          <w:trHeight w:val="27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Ceded written premium</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3"/>
              </w:rPr>
              <w:t>(47.9)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87.1 %</w:t>
            </w:r>
          </w:p>
        </w:tc>
      </w:tr>
      <w:tr>
        <w:trPr>
          <w:trHeight w:val="26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written premium</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6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earned premium</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Ceded earned premium</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ind w:left="520"/>
              <w:spacing w:after="0"/>
              <w:rPr>
                <w:sz w:val="20"/>
                <w:szCs w:val="20"/>
                <w:color w:val="auto"/>
              </w:rPr>
            </w:pPr>
            <w:r>
              <w:rPr>
                <w:rFonts w:ascii="Arial" w:cs="Arial" w:eastAsia="Arial" w:hAnsi="Arial"/>
                <w:sz w:val="18"/>
                <w:szCs w:val="18"/>
                <w:color w:val="auto"/>
                <w:w w:val="93"/>
              </w:rPr>
              <w:t>(26.1)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287.4 %</w:t>
            </w: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7"/>
        </w:trPr>
        <w:tc>
          <w:tcPr>
            <w:tcW w:w="6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Direct earned premium growth was primarily due to a 23.3% increase in direct written premium from deeper market penetration across our U.S. state footprint. We also saw a 7.8% increase in Premium per Policy for automobile insurance primarily resulting from pricing increases in several U.S. states between the periods.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Fee and Other Income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Fee income increased $1.9 million, or 44.2%, to $6.2 million for the three months ended March 31, 2021 compared to the same period ended in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due to increased customer volumes and an increase in customers paying in installments.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Loss and Loss Adjustment Expenses</w:t>
      </w:r>
    </w:p>
    <w:p>
      <w:pPr>
        <w:spacing w:after="0" w:line="17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Loss and LAE decreased $70.0 million, or 53.9%, to $59.9 million for the three months ended March 31, 2021 compared to the same period ended in 2020. The decrease was primarily due to greater cession of incurred losses as a result of a change in reinsurance structure for the three months ended March 31, 2021, compared to the prior year, which more than offset the higher claims volume and reserves related to the growth in policies in force during the first quarter of 2021.</w:t>
      </w:r>
    </w:p>
    <w:p>
      <w:pPr>
        <w:spacing w:after="0" w:line="133"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Direct accident period loss ratios decreased to 77.0% from 80.1% for the three months ended March 31, 2021 and 2020, respectively. This change corresponds with the decline in our direct loss ratio to 70.9% from 92.8%, for the three months ended March 31, 2021 and 2020, respectively. The changes in these ratios was driven by growth in average premium per policy and a greater proportion of premium from seasoned states for the three months ended March 31, 2021, compared to the same period in 2020. This was partially offset by decreased driving related to the COVID-19 pandemic for the three months ended March 31, 2020 and greater loss costs for the three months ended March 31, 2021 compared to same period in 2020.</w:t>
      </w:r>
    </w:p>
    <w:p>
      <w:pPr>
        <w:spacing w:after="0" w:line="107"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In addition, loss and LAE for the three months ended March 31, 2021 includes a decrease in incurred losses and LAE attributable to prior accident periods of $9.9 million. This decrease relates to lower-than-expected reported losses on bodily injury and uninsured motorist claims bodily injury claims from 2020. In addition, recoveries from subrogation and salvage were higher than expected.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Sales and marketing expense increased $32.6 million, or 91.1%, to $68.4 million for the three months ended March 31, 2021 compared to the same period ended in 2020. The increase was primarily due to increased investment in performance marketing of $17.3 million and greater brand awareness spend of $10.1 million. These investments have driven profile creation and policy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Insurance Expense</w:t>
      </w:r>
    </w:p>
    <w:p>
      <w:pPr>
        <w:spacing w:after="0" w:line="17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Other insurance expense decreased $8.9 million, or 78.8%, to $2.4 million for the three months ended March 31, 2021 compared to the same period ended in 2020. The decrease was primarily driven by greater ceding commission contra-expense due to reinsurance structure changes of $10.3 million, and lower share-based compensation expense of $0.8 million from the secondary tender offer completed during the first quarter of 2020. These were partially offset by greater underwriting costs of $2.1 million due to growth in the core insurance business for the three months ended March 31, 2021 compared to the three months ended March 31,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Technology and Development</w:t>
      </w:r>
    </w:p>
    <w:p>
      <w:pPr>
        <w:spacing w:after="0" w:line="17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Technology and development expense decreased $2.2 million, or 13.8%, to $13.8 million for the three months ended March 31, 2021 compared to the same period ended in 2020. The decrease was primarily driven by lower share-based compensation expense of $4.9 million related to the secondary tender offer completed during the first quarter of 2020. This was partially offset by incremental investments in personnel and overhead resulting from growth of engineering and product teams of $2.2 million for the three months ended March 31, 2021 compared to the same period ended in 2020, as we continue to invest in developing and improving our technology platforms and infrastructure.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w:t>
      </w:r>
    </w:p>
    <w:p>
      <w:pPr>
        <w:spacing w:after="0" w:line="17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General and administrative decreased $12.5 million, or 40.5%, to $18.4 million for the three months ended March 31, 2021 compared to the same period ended in 2020. The decrease was primarily driven by a $16.4 million decrease in share-based compensation expense mainly due to the secondary tender offer completed in the first quarter of 2020. This was partially offset by a $1.2 million increase in personnel costs across finance, legal, and administrative teams as of result of an increase in headcount.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The non-GAAP financial measures below have not been calculated in accordance with generally accepted accounting principles in the United States, or GAAP, and should be considered in addition to results prepared in accordance with GAAP and should not be considered as a substitute for, or superior to, GAAP results. In addition, adjusted gross profit/(loss) and direct contribution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spacing w:after="0" w:line="110"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operating performance of our management team; (5) analyze and evaluate financial and strategic planning decisions regarding future operating investments; and (6) plan for and prepare future annual operating budgets and determine appropriate levels of operating investments.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Gross Profit/(Loss)</w:t>
      </w:r>
    </w:p>
    <w:p>
      <w:pPr>
        <w:spacing w:after="0" w:line="17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For the definition of adjusted gross profit/(loss) and why management believes this measure provides useful information to investors, see “— Key Performance Indicators.”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Contribution</w:t>
      </w:r>
    </w:p>
    <w:p>
      <w:pPr>
        <w:spacing w:after="0" w:line="1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definition of direct contribution and why management believes this measure provides useful information to investors, see “— Key Performance Indicators.”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4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provides a reconciliation of total revenue to adjusted gross profit/(loss) and direct contribution for the three months ended March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r>
      <w:tr>
        <w:trPr>
          <w:trHeight w:val="190"/>
        </w:trPr>
        <w:tc>
          <w:tcPr>
            <w:tcW w:w="77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6"/>
                <w:szCs w:val="16"/>
                <w:color w:val="auto"/>
              </w:rPr>
            </w:pPr>
          </w:p>
        </w:tc>
      </w:tr>
      <w:tr>
        <w:trPr>
          <w:trHeight w:val="26"/>
        </w:trPr>
        <w:tc>
          <w:tcPr>
            <w:tcW w:w="7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4"/>
        </w:trPr>
        <w:tc>
          <w:tcPr>
            <w:tcW w:w="7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4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w w:val="99"/>
              </w:rPr>
              <w:t>(dollars in millions)</w:t>
            </w:r>
          </w:p>
        </w:tc>
        <w:tc>
          <w:tcPr>
            <w:tcW w:w="700" w:type="dxa"/>
            <w:vAlign w:val="bottom"/>
          </w:tcPr>
          <w:p>
            <w:pPr>
              <w:spacing w:after="0"/>
              <w:rPr>
                <w:sz w:val="16"/>
                <w:szCs w:val="16"/>
                <w:color w:val="auto"/>
              </w:rPr>
            </w:pPr>
          </w:p>
        </w:tc>
      </w:tr>
      <w:tr>
        <w:trPr>
          <w:trHeight w:val="26"/>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124.0</w:t>
            </w:r>
          </w:p>
        </w:tc>
      </w:tr>
      <w:tr>
        <w:trPr>
          <w:trHeight w:val="270"/>
        </w:trPr>
        <w:tc>
          <w:tcPr>
            <w:tcW w:w="7780" w:type="dxa"/>
            <w:vAlign w:val="bottom"/>
          </w:tcPr>
          <w:p>
            <w:pPr>
              <w:ind w:left="20"/>
              <w:spacing w:after="0"/>
              <w:rPr>
                <w:sz w:val="20"/>
                <w:szCs w:val="20"/>
                <w:color w:val="auto"/>
              </w:rPr>
            </w:pPr>
            <w:r>
              <w:rPr>
                <w:rFonts w:ascii="Arial" w:cs="Arial" w:eastAsia="Arial" w:hAnsi="Arial"/>
                <w:sz w:val="18"/>
                <w:szCs w:val="18"/>
                <w:color w:val="auto"/>
              </w:rPr>
              <w:t>Loss and loss adjustment expenses</w:t>
            </w:r>
          </w:p>
        </w:tc>
        <w:tc>
          <w:tcPr>
            <w:tcW w:w="1020" w:type="dxa"/>
            <w:vAlign w:val="bottom"/>
          </w:tcPr>
          <w:p>
            <w:pPr>
              <w:spacing w:after="0"/>
              <w:rPr>
                <w:sz w:val="23"/>
                <w:szCs w:val="23"/>
                <w:color w:val="auto"/>
              </w:rPr>
            </w:pPr>
          </w:p>
        </w:tc>
        <w:tc>
          <w:tcPr>
            <w:tcW w:w="660" w:type="dxa"/>
            <w:vAlign w:val="bottom"/>
          </w:tcPr>
          <w:p>
            <w:pPr>
              <w:jc w:val="right"/>
              <w:ind w:right="91"/>
              <w:spacing w:after="0"/>
              <w:rPr>
                <w:sz w:val="20"/>
                <w:szCs w:val="20"/>
                <w:color w:val="auto"/>
              </w:rPr>
            </w:pPr>
            <w:r>
              <w:rPr>
                <w:rFonts w:ascii="Arial" w:cs="Arial" w:eastAsia="Arial" w:hAnsi="Arial"/>
                <w:sz w:val="18"/>
                <w:szCs w:val="18"/>
                <w:color w:val="auto"/>
                <w:w w:val="97"/>
              </w:rPr>
              <w:t>(59.9)</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w w:val="87"/>
              </w:rPr>
              <w:t>(129.9)</w:t>
            </w:r>
          </w:p>
        </w:tc>
      </w:tr>
      <w:tr>
        <w:trPr>
          <w:trHeight w:val="27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insurance expense</w:t>
            </w:r>
          </w:p>
        </w:tc>
        <w:tc>
          <w:tcPr>
            <w:tcW w:w="10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(11.3)</w:t>
            </w: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Gross profit/(loss)</w:t>
            </w:r>
          </w:p>
        </w:tc>
        <w:tc>
          <w:tcPr>
            <w:tcW w:w="1020" w:type="dxa"/>
            <w:vAlign w:val="bottom"/>
          </w:tcPr>
          <w:p>
            <w:pPr>
              <w:spacing w:after="0"/>
              <w:rPr>
                <w:sz w:val="20"/>
                <w:szCs w:val="20"/>
                <w:color w:val="auto"/>
              </w:rPr>
            </w:pPr>
          </w:p>
        </w:tc>
        <w:tc>
          <w:tcPr>
            <w:tcW w:w="660" w:type="dxa"/>
            <w:vAlign w:val="bottom"/>
          </w:tcPr>
          <w:p>
            <w:pPr>
              <w:jc w:val="right"/>
              <w:ind w:right="1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(17.2)</w:t>
            </w: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Less:</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70"/>
        </w:trPr>
        <w:tc>
          <w:tcPr>
            <w:tcW w:w="7780" w:type="dxa"/>
            <w:vAlign w:val="bottom"/>
          </w:tcPr>
          <w:p>
            <w:pPr>
              <w:ind w:left="20"/>
              <w:spacing w:after="0"/>
              <w:rPr>
                <w:sz w:val="20"/>
                <w:szCs w:val="20"/>
                <w:color w:val="auto"/>
              </w:rPr>
            </w:pPr>
            <w:r>
              <w:rPr>
                <w:rFonts w:ascii="Arial" w:cs="Arial" w:eastAsia="Arial" w:hAnsi="Arial"/>
                <w:sz w:val="18"/>
                <w:szCs w:val="18"/>
                <w:color w:val="auto"/>
              </w:rPr>
              <w:t>Net realized gains on investments</w:t>
            </w:r>
          </w:p>
        </w:tc>
        <w:tc>
          <w:tcPr>
            <w:tcW w:w="1020" w:type="dxa"/>
            <w:vAlign w:val="bottom"/>
          </w:tcPr>
          <w:p>
            <w:pPr>
              <w:spacing w:after="0"/>
              <w:rPr>
                <w:sz w:val="23"/>
                <w:szCs w:val="23"/>
                <w:color w:val="auto"/>
              </w:rPr>
            </w:pPr>
          </w:p>
        </w:tc>
        <w:tc>
          <w:tcPr>
            <w:tcW w:w="660" w:type="dxa"/>
            <w:vAlign w:val="bottom"/>
          </w:tcPr>
          <w:p>
            <w:pPr>
              <w:jc w:val="right"/>
              <w:ind w:right="9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from other insurance expense</w:t>
            </w:r>
            <w:r>
              <w:rPr>
                <w:rFonts w:ascii="Arial" w:cs="Arial" w:eastAsia="Arial" w:hAnsi="Arial"/>
                <w:sz w:val="23"/>
                <w:szCs w:val="23"/>
                <w:color w:val="auto"/>
                <w:vertAlign w:val="superscript"/>
              </w:rPr>
              <w:t>(1)</w:t>
            </w:r>
          </w:p>
        </w:tc>
        <w:tc>
          <w:tcPr>
            <w:tcW w:w="10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Adjusted gross profit/(loss)</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(8.7)</w:t>
            </w: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earned premium</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3"/>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26.1</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Ceded loss and LAE</w:t>
            </w:r>
          </w:p>
        </w:tc>
        <w:tc>
          <w:tcPr>
            <w:tcW w:w="1020" w:type="dxa"/>
            <w:vAlign w:val="bottom"/>
          </w:tcPr>
          <w:p>
            <w:pPr>
              <w:spacing w:after="0"/>
              <w:rPr>
                <w:sz w:val="21"/>
                <w:szCs w:val="21"/>
                <w:color w:val="auto"/>
              </w:rPr>
            </w:pPr>
          </w:p>
        </w:tc>
        <w:tc>
          <w:tcPr>
            <w:tcW w:w="660" w:type="dxa"/>
            <w:vAlign w:val="bottom"/>
          </w:tcPr>
          <w:p>
            <w:pPr>
              <w:jc w:val="right"/>
              <w:ind w:right="91"/>
              <w:spacing w:after="0"/>
              <w:rPr>
                <w:sz w:val="20"/>
                <w:szCs w:val="20"/>
                <w:color w:val="auto"/>
              </w:rPr>
            </w:pPr>
            <w:r>
              <w:rPr>
                <w:rFonts w:ascii="Arial" w:cs="Arial" w:eastAsia="Arial" w:hAnsi="Arial"/>
                <w:sz w:val="18"/>
                <w:szCs w:val="18"/>
                <w:color w:val="auto"/>
                <w:w w:val="97"/>
              </w:rPr>
              <w:t>(69.3)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(19.1)</w:t>
            </w: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ceding commission and other</w:t>
            </w:r>
            <w:r>
              <w:rPr>
                <w:rFonts w:ascii="Arial" w:cs="Arial" w:eastAsia="Arial" w:hAnsi="Arial"/>
                <w:sz w:val="23"/>
                <w:szCs w:val="23"/>
                <w:color w:val="auto"/>
                <w:vertAlign w:val="superscript"/>
              </w:rPr>
              <w:t>(2)</w:t>
            </w:r>
          </w:p>
        </w:tc>
        <w:tc>
          <w:tcPr>
            <w:tcW w:w="10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7"/>
              </w:rPr>
              <w:t>(22.2)</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(9.3)</w:t>
            </w: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Direct contribution</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31"/>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(11.0)</w:t>
            </w: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earned premium</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3"/>
              </w:rPr>
              <w:t>160.2</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143.9</w:t>
            </w:r>
          </w:p>
        </w:tc>
      </w:tr>
      <w:tr>
        <w:trPr>
          <w:trHeight w:val="263"/>
        </w:trPr>
        <w:tc>
          <w:tcPr>
            <w:tcW w:w="7780" w:type="dxa"/>
            <w:vAlign w:val="bottom"/>
          </w:tcPr>
          <w:p>
            <w:pPr>
              <w:ind w:left="20"/>
              <w:spacing w:after="0"/>
              <w:rPr>
                <w:sz w:val="20"/>
                <w:szCs w:val="20"/>
                <w:color w:val="auto"/>
              </w:rPr>
            </w:pPr>
            <w:r>
              <w:rPr>
                <w:rFonts w:ascii="Arial" w:cs="Arial" w:eastAsia="Arial" w:hAnsi="Arial"/>
                <w:sz w:val="18"/>
                <w:szCs w:val="18"/>
                <w:color w:val="auto"/>
              </w:rPr>
              <w:t>Ratio of adjusted gross profit/(loss) to total revenue</w:t>
            </w:r>
          </w:p>
        </w:tc>
        <w:tc>
          <w:tcPr>
            <w:tcW w:w="10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24.8 %</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7"/>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adjusted gross profit/(loss) to direct earned premium</w:t>
            </w: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63"/>
        </w:trPr>
        <w:tc>
          <w:tcPr>
            <w:tcW w:w="7780" w:type="dxa"/>
            <w:vAlign w:val="bottom"/>
          </w:tcPr>
          <w:p>
            <w:pPr>
              <w:ind w:left="20"/>
              <w:spacing w:after="0"/>
              <w:rPr>
                <w:sz w:val="20"/>
                <w:szCs w:val="20"/>
                <w:color w:val="auto"/>
              </w:rPr>
            </w:pPr>
            <w:r>
              <w:rPr>
                <w:rFonts w:ascii="Arial" w:cs="Arial" w:eastAsia="Arial" w:hAnsi="Arial"/>
                <w:sz w:val="18"/>
                <w:szCs w:val="18"/>
                <w:color w:val="auto"/>
              </w:rPr>
              <w:t>Ratio of direct contribution to total revenue</w:t>
            </w:r>
          </w:p>
        </w:tc>
        <w:tc>
          <w:tcPr>
            <w:tcW w:w="10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38.8 %</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7"/>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direct contribution to direct earned premium</w:t>
            </w: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8"/>
        </w:trPr>
        <w:tc>
          <w:tcPr>
            <w:tcW w:w="7780" w:type="dxa"/>
            <w:vAlign w:val="bottom"/>
          </w:tcPr>
          <w:p>
            <w:pPr>
              <w:spacing w:after="0"/>
              <w:rPr>
                <w:sz w:val="20"/>
                <w:szCs w:val="20"/>
                <w:color w:val="auto"/>
              </w:rPr>
            </w:pPr>
            <w:r>
              <w:rPr>
                <w:rFonts w:ascii="Arial" w:cs="Arial" w:eastAsia="Arial" w:hAnsi="Arial"/>
                <w:sz w:val="18"/>
                <w:szCs w:val="18"/>
                <w:color w:val="auto"/>
              </w:rPr>
              <w:t>______________</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Adjustments from other insurance expense includes report costs, personnel costs, allocated overhead, licenses, professional fees and other</w:t>
      </w:r>
      <w:r>
        <w:rPr>
          <w:rFonts w:ascii="Arial" w:cs="Arial" w:eastAsia="Arial" w:hAnsi="Arial"/>
          <w:sz w:val="17"/>
          <w:szCs w:val="17"/>
          <w:color w:val="auto"/>
        </w:rPr>
        <w:t>.</w:t>
      </w:r>
    </w:p>
    <w:p>
      <w:pPr>
        <w:spacing w:after="0" w:line="162" w:lineRule="exact"/>
        <w:rPr>
          <w:rFonts w:ascii="Arial" w:cs="Arial" w:eastAsia="Arial" w:hAnsi="Arial"/>
          <w:sz w:val="14"/>
          <w:szCs w:val="14"/>
          <w:color w:val="auto"/>
        </w:rPr>
      </w:pPr>
    </w:p>
    <w:p>
      <w:pPr>
        <w:ind w:left="340" w:right="720" w:hanging="332"/>
        <w:spacing w:after="0" w:line="273" w:lineRule="auto"/>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Net ceding commission and other is comprised of ceding commissions received in connection with reinsurance ceded, partially offset by sliding scale commission adjustments and amortization of excess ceding commission, and other impacts of reinsurance.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Since inception, we have financed operations primarily through sales of insurance policies and the net proceeds we have received from our issuance of preferred stock, debt, and sales of investments. Cash generated from operations is highly dependent on being able to efficiently acquire and maintain customers while pricing our insurance products appropriately. We are continuously evaluating alternatives for efficiently funding our ongoing operations. We expect, from time to time, to engage in a variety of financing transactions for such purposes, including the issuance of securities. In addition, we expect to meet our current debt obligations as they come due through internally generated funds from operations and cash currently available. As of March 31, 2021, we had $1,106.3 million in cash and cash equivalents, of which $1,050.4 million was held outside of regulated insurance entities. As of March 31, 2021, $139.3 million was held in marketable securities.</w:t>
      </w:r>
    </w:p>
    <w:p>
      <w:pPr>
        <w:spacing w:after="0" w:line="123"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Our cash and cash equivalents primarily consist of bank deposits and money market funds. Our marketable securities consist of U.S. treasury securities, municipal securities, corporate debt securities, residential and commercial mortgage-backed securities, and other debt obligations. We believe that our existing cash and cash equivalents, marketable securities and cash flow from operations will be sufficient to support working capital and capital expenditure requirements for at least the next 12 months.</w:t>
      </w:r>
    </w:p>
    <w:p>
      <w:pPr>
        <w:spacing w:after="0" w:line="13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are organized as a holding company, but our primary operations are conducted by two of our wholly-owned insurance subsidiaries, Root Insurance Company, an Ohio-domiciled insurance company, and Root Property &amp; Casualty Insurance Company, a Delaware-domiciled insurance company. The payment of dividends by our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3" w:name="page34"/>
    <w:bookmarkEnd w:id="33"/>
    <w:p>
      <w:pPr>
        <w:spacing w:after="0" w:line="14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insurance subsidiaries is subject to restrictions set forth in the insurance laws and regulations of the State of Ohio and Delaware. To date, our insurance subsidiaries have not paid any dividends and as of March 31, 2021, they were not permitted to pay any dividends without approval of the applicable superintendent, commissioner and/or director.</w:t>
      </w:r>
    </w:p>
    <w:p>
      <w:pPr>
        <w:spacing w:after="0" w:line="13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As our insurance subsidiaries’ business grows,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March 31, 2021, our insurance subsidiaries maintained a risk-based capital level that is in excess of an amount that would require any corrective actions on our part.</w:t>
      </w:r>
    </w:p>
    <w:p>
      <w:pPr>
        <w:spacing w:after="0" w:line="133"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Our wholly-owned, Cayman Islands-based reinsurance subsidiary, Root Reinsurance Company, Ltd., or Root Re, maintains a Class B(iii) insurer license under CIMA. At March 31, 2021, Root Re was subject to compliance with certain capital levels and a net earned premium to capital ratio of 8:1, which we maintained.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 data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6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8"/>
              </w:rPr>
              <w:t>Three Months Ended March 31,</w:t>
            </w:r>
          </w:p>
        </w:tc>
        <w:tc>
          <w:tcPr>
            <w:tcW w:w="540" w:type="dxa"/>
            <w:vAlign w:val="bottom"/>
            <w:tcBorders>
              <w:bottom w:val="single" w:sz="8" w:color="auto"/>
            </w:tcBorders>
          </w:tcPr>
          <w:p>
            <w:pPr>
              <w:spacing w:after="0"/>
              <w:rPr>
                <w:sz w:val="16"/>
                <w:szCs w:val="16"/>
                <w:color w:val="auto"/>
              </w:rPr>
            </w:pPr>
          </w:p>
        </w:tc>
      </w:tr>
      <w:tr>
        <w:trPr>
          <w:trHeight w:val="190"/>
        </w:trPr>
        <w:tc>
          <w:tcPr>
            <w:tcW w:w="8020" w:type="dxa"/>
            <w:vAlign w:val="bottom"/>
          </w:tcPr>
          <w:p>
            <w:pPr>
              <w:spacing w:after="0"/>
              <w:rPr>
                <w:sz w:val="16"/>
                <w:szCs w:val="16"/>
                <w:color w:val="auto"/>
              </w:rPr>
            </w:pPr>
          </w:p>
        </w:tc>
        <w:tc>
          <w:tcPr>
            <w:tcW w:w="1000" w:type="dxa"/>
            <w:vAlign w:val="bottom"/>
          </w:tcPr>
          <w:p>
            <w:pPr>
              <w:ind w:left="640"/>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r>
      <w:tr>
        <w:trPr>
          <w:trHeight w:val="26"/>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8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6"/>
                <w:szCs w:val="16"/>
                <w:color w:val="auto"/>
              </w:rPr>
            </w:pPr>
          </w:p>
        </w:tc>
      </w:tr>
      <w:tr>
        <w:trPr>
          <w:trHeight w:val="26"/>
        </w:trPr>
        <w:tc>
          <w:tcPr>
            <w:tcW w:w="8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8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50"/>
        </w:trPr>
        <w:tc>
          <w:tcPr>
            <w:tcW w:w="80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00" w:type="dxa"/>
            <w:vAlign w:val="bottom"/>
          </w:tcPr>
          <w:p>
            <w:pPr>
              <w:spacing w:after="0"/>
              <w:rPr>
                <w:sz w:val="21"/>
                <w:szCs w:val="21"/>
                <w:color w:val="auto"/>
              </w:rPr>
            </w:pPr>
          </w:p>
        </w:tc>
        <w:tc>
          <w:tcPr>
            <w:tcW w:w="600" w:type="dxa"/>
            <w:vAlign w:val="bottom"/>
          </w:tcPr>
          <w:p>
            <w:pPr>
              <w:jc w:val="right"/>
              <w:ind w:right="35"/>
              <w:spacing w:after="0"/>
              <w:rPr>
                <w:sz w:val="20"/>
                <w:szCs w:val="20"/>
                <w:color w:val="auto"/>
              </w:rPr>
            </w:pPr>
            <w:r>
              <w:rPr>
                <w:rFonts w:ascii="Arial" w:cs="Arial" w:eastAsia="Arial" w:hAnsi="Arial"/>
                <w:sz w:val="18"/>
                <w:szCs w:val="18"/>
                <w:color w:val="auto"/>
              </w:rPr>
              <w:t>81.3</w:t>
            </w: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(95.3)</w:t>
            </w:r>
          </w:p>
        </w:tc>
      </w:tr>
      <w:tr>
        <w:trPr>
          <w:trHeight w:val="26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3.1</w:t>
            </w:r>
          </w:p>
        </w:tc>
        <w:tc>
          <w:tcPr>
            <w:tcW w:w="10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bl>
    <w:p>
      <w:pPr>
        <w:spacing w:after="0" w:line="148"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7"/>
          <w:szCs w:val="17"/>
          <w:color w:val="auto"/>
        </w:rPr>
        <w:t>Net cash used in operating activities for the three months ended March 31, 2021 was $90.9 million compared to $46.2 million of net cash used in operating activities for the three months ended March 31, 2020. The increase was primarily due to the volume and timing of premium receipts, claims payments and reinsurance activity as well as the non-cash impact of the tender offer during the first quarter of 2020.</w:t>
      </w:r>
    </w:p>
    <w:p>
      <w:pPr>
        <w:spacing w:after="0" w:line="111"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Net cash provided by investing activities for the three months ended March 31, 2021 was $81.3 million, primarily due to proceeds from the sale, maturities, calls and pay downs of investments. Net cash used in investing activities for the three months ended March 31, 2020 was $95.3 million primarily due to purchases of corporate debt securities, commercial mortgage-backed securities, residential mortgage-backed securities and other debt obligations, partially offset by maturities, calls and pay downs of investments.</w:t>
      </w:r>
    </w:p>
    <w:p>
      <w:pPr>
        <w:spacing w:after="0" w:line="13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Net cash provided by financing activities for the three months ended March 31, 2021 was $3.1 million, primarily due to proceeds from employees exercising stock options, net of tax proceeds (withholding), which was offset by a partial repayment of long term debt. Net cash used in financing activities for the three months ended March 31, 2020 was $12.5 million primarily due to the repayment of long-term debt.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There have been no material changes to our contractual obligations from those described in our Annual Report on Form 10-K for the year ended December 31, 2020.</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liquidity or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440" w:firstLine="324"/>
        <w:spacing w:after="0" w:line="279" w:lineRule="auto"/>
        <w:rPr>
          <w:sz w:val="20"/>
          <w:szCs w:val="20"/>
          <w:color w:val="auto"/>
        </w:rPr>
      </w:pPr>
      <w:r>
        <w:rPr>
          <w:rFonts w:ascii="Arial" w:cs="Arial" w:eastAsia="Arial" w:hAnsi="Arial"/>
          <w:sz w:val="17"/>
          <w:szCs w:val="17"/>
          <w:color w:val="auto"/>
        </w:rPr>
        <w:t>Our financial statements are prepared in accordance with GAAP. The preparation of the consolidated financial statements in conformity with accounting principles generally accepted in the United States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4" w:name="page35"/>
    <w:bookmarkEnd w:id="34"/>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ongoing basis, including, but not limited to, estimates related to reserves for loss and loss adjustment expense, premium write-offs and valuation allowance on our deferred tax asset.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spacing w:after="0" w:line="133" w:lineRule="exact"/>
        <w:rPr>
          <w:sz w:val="20"/>
          <w:szCs w:val="20"/>
          <w:color w:val="auto"/>
        </w:rPr>
      </w:pPr>
    </w:p>
    <w:p>
      <w:pPr>
        <w:ind w:right="120" w:firstLine="324"/>
        <w:spacing w:after="0" w:line="228" w:lineRule="auto"/>
        <w:rPr>
          <w:sz w:val="20"/>
          <w:szCs w:val="20"/>
          <w:color w:val="auto"/>
        </w:rPr>
      </w:pPr>
      <w:r>
        <w:rPr>
          <w:rFonts w:ascii="Arial" w:cs="Arial" w:eastAsia="Arial" w:hAnsi="Arial"/>
          <w:sz w:val="18"/>
          <w:szCs w:val="18"/>
          <w:color w:val="auto"/>
        </w:rPr>
        <w:t>Our critical accounting policies are described under the heading “Management’s Discussion and Analysis of Financial Condition and Results of Operations—Critical Accounting Policies and Estimates” in our 2020 10-K for the year ended December 31, 2020 and the notes to the unaudited interim condensed consolidated financial statements appearing elsewhere in this Quarterly Report on Form 10-Q. During the three months ended March 31, 2021, there were no material changes to our critical accounting policies from those discussed in our Annual Report on Form 10-K for the year ended December 31,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Note 2, Basis of Presentation and Summary of Significant Accounting Policies, in the Notes to the Condensed Consolidated Financial Statements - Unaudited included in this Quarterly Report on Form 10-Q for a discussion of accounting pronouncements recently adopted and recently issued accounting pronouncements not yet adopted and their potential impact to our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Under the Jumpstart Our Business Startups Act of 2012</w:t>
      </w:r>
    </w:p>
    <w:p>
      <w:pPr>
        <w:spacing w:after="0" w:line="175"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We currently qualify as an “emerging growth company” under the JOBS Act. Accordingly, we are provided the option to adopt new or revised accounting guidance either (1) within the same periods as those otherwise applicable to non-emerging growth companies or (2) within the same time periods as private companies.</w:t>
      </w:r>
    </w:p>
    <w:p>
      <w:pPr>
        <w:spacing w:after="0" w:line="14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elected to adopt new or revised accounting guidance within the same time period as private companies, unless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have been no material changes in the quantitative and qualitative market risk disclosures included in the 2020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6" w:name="page37"/>
    <w:bookmarkEnd w:id="3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75"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or the Exchange Act. Based on that evaluation, our principal executive officer and principal financial officer concluded that our disclosure controls and procedures were effective at the reasonable assurance level as of March 31, 2021.</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quarter ended March 31, 2021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we are party to litigation and legal proceedings relating to our business operations. Except as disclosed below, we do not believe that we are party to any current or pending legal action that could reasonably be expected to have a material adverse effect on our financial condition or results of operations and cash flow.</w:t>
      </w:r>
    </w:p>
    <w:p>
      <w:pPr>
        <w:spacing w:after="0" w:line="13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On March 19, 2021, a purported class action complaint was filed against the Company and certain of its current officers and directors in the U.S. District Court for the Southern District of Ohio (Case No. 2:21-cv-01197) on behalf of certain Root shareholders. The complaint alleges that defendants made false or misleading statements and omissions of purportedly material fact, in violation of Sections 10(b) and 20(a) of the Securities Exchange Act of 1934 and Rule 10b-5 thereunder, and of Sections 11 and 15 of the Securities Act, in connection with and following the Company’s IPO. The complaint seeks unspecified damages. The Company believes that the claims in this lawsuit are without merit and intends to defend against them vigorously. The lawsuit is in the early stages and, at this time, we are unable to predict the outcome and we cannot estimate the likelihood or magnitude of our possible or potential loss contingency.</w:t>
      </w:r>
    </w:p>
    <w:p>
      <w:pPr>
        <w:spacing w:after="0" w:line="14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March 25, 2021, a purported class action complaint was filed against the Company, certain of its current officers and directors, Goldman Sachs &amp; Co. LLC, Morgan Stanley &amp; Co. LLC, Barclays Capital Inc. and Wells Fargo Securities, LLC, in the U.S. District Court for the Southern District of Ohio (Case No. 2:21-cv-01301) on behalf of certain Root shareholders. The complaint alleges that defendants made false or misleading statements and omissions of purportedly material fact, in violation of Sections 11 and 15 of the Securities Act, in connection with the Company’s IPO. The complaint seeks unspecified damages. The Company believes that the claims in this lawsuit are without merit and intends to defend against them vigorously. The lawsuit is in the early stages and, at this time, we are unable to predict the outcome and we cannot estimate the likelihood or magnitude of our possible or potential loss contingency.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There have been no material changes in our risk factors from those disclosed in the 2020 Annual Report on Form 10-K. In addition to the other information set forth in this quarterly report on Form 10-Q, you should carefully consider the factors discussed in Part I, Item IA, “Risk Factors” in the 2020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39" w:name="page40"/>
    <w:bookmarkEnd w:id="3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Total number of shares purchased</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3"/>
              </w:rPr>
              <w:t>Maximum number of shares that</w:t>
            </w:r>
          </w:p>
        </w:tc>
        <w:tc>
          <w:tcPr>
            <w:tcW w:w="0" w:type="dxa"/>
            <w:vAlign w:val="bottom"/>
          </w:tcPr>
          <w:p>
            <w:pPr>
              <w:spacing w:after="0"/>
              <w:rPr>
                <w:sz w:val="1"/>
                <w:szCs w:val="1"/>
                <w:color w:val="auto"/>
              </w:rPr>
            </w:pPr>
          </w:p>
        </w:tc>
      </w:tr>
      <w:tr>
        <w:trPr>
          <w:trHeight w:val="135"/>
        </w:trPr>
        <w:tc>
          <w:tcPr>
            <w:tcW w:w="226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Period</w:t>
            </w:r>
          </w:p>
        </w:tc>
        <w:tc>
          <w:tcPr>
            <w:tcW w:w="2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Total number of shares purchased</w:t>
            </w:r>
          </w:p>
        </w:tc>
        <w:tc>
          <w:tcPr>
            <w:tcW w:w="2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Average price paid per share</w:t>
            </w:r>
          </w:p>
        </w:tc>
        <w:tc>
          <w:tcPr>
            <w:tcW w:w="22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as part of publicly announced</w:t>
            </w:r>
          </w:p>
        </w:tc>
        <w:tc>
          <w:tcPr>
            <w:tcW w:w="2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may yet be purchased under the</w:t>
            </w:r>
          </w:p>
        </w:tc>
        <w:tc>
          <w:tcPr>
            <w:tcW w:w="0" w:type="dxa"/>
            <w:vAlign w:val="bottom"/>
          </w:tcPr>
          <w:p>
            <w:pPr>
              <w:spacing w:after="0"/>
              <w:rPr>
                <w:sz w:val="1"/>
                <w:szCs w:val="1"/>
                <w:color w:val="auto"/>
              </w:rPr>
            </w:pPr>
          </w:p>
        </w:tc>
      </w:tr>
      <w:tr>
        <w:trPr>
          <w:trHeight w:val="188"/>
        </w:trPr>
        <w:tc>
          <w:tcPr>
            <w:tcW w:w="226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plans or programs</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plans or programs</w:t>
            </w:r>
          </w:p>
        </w:tc>
        <w:tc>
          <w:tcPr>
            <w:tcW w:w="0" w:type="dxa"/>
            <w:vAlign w:val="bottom"/>
          </w:tcPr>
          <w:p>
            <w:pPr>
              <w:spacing w:after="0"/>
              <w:rPr>
                <w:sz w:val="1"/>
                <w:szCs w:val="1"/>
                <w:color w:val="auto"/>
              </w:rPr>
            </w:pPr>
          </w:p>
        </w:tc>
      </w:tr>
      <w:tr>
        <w:trPr>
          <w:trHeight w:val="224"/>
        </w:trPr>
        <w:tc>
          <w:tcPr>
            <w:tcW w:w="2160" w:type="dxa"/>
            <w:vAlign w:val="bottom"/>
            <w:tcBorders>
              <w:top w:val="single" w:sz="8" w:color="auto"/>
            </w:tcBorders>
            <w:shd w:val="clear" w:color="auto" w:fill="CCEEFF"/>
          </w:tcPr>
          <w:p>
            <w:pPr>
              <w:jc w:val="right"/>
              <w:ind w:right="535"/>
              <w:spacing w:after="0"/>
              <w:rPr>
                <w:sz w:val="20"/>
                <w:szCs w:val="20"/>
                <w:color w:val="auto"/>
              </w:rPr>
            </w:pPr>
            <w:r>
              <w:rPr>
                <w:rFonts w:ascii="Arial" w:cs="Arial" w:eastAsia="Arial" w:hAnsi="Arial"/>
                <w:sz w:val="18"/>
                <w:szCs w:val="18"/>
                <w:color w:val="auto"/>
                <w:w w:val="91"/>
              </w:rPr>
              <w:t>1/1/2021 - 1/31/2021</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2,084</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$2.40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tcPr>
          <w:p>
            <w:pPr>
              <w:jc w:val="right"/>
              <w:ind w:right="535"/>
              <w:spacing w:after="0"/>
              <w:rPr>
                <w:sz w:val="20"/>
                <w:szCs w:val="20"/>
                <w:color w:val="auto"/>
              </w:rPr>
            </w:pPr>
            <w:r>
              <w:rPr>
                <w:rFonts w:ascii="Arial" w:cs="Arial" w:eastAsia="Arial" w:hAnsi="Arial"/>
                <w:sz w:val="18"/>
                <w:szCs w:val="18"/>
                <w:color w:val="auto"/>
                <w:w w:val="91"/>
              </w:rPr>
              <w:t>2/1/2021 - 2/28/2021</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3"/>
              </w:rPr>
              <w:t>3,171</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$2.40</w:t>
            </w:r>
          </w:p>
        </w:tc>
        <w:tc>
          <w:tcPr>
            <w:tcW w:w="100" w:type="dxa"/>
            <w:vAlign w:val="bottom"/>
          </w:tcPr>
          <w:p>
            <w:pPr>
              <w:spacing w:after="0"/>
              <w:rPr>
                <w:sz w:val="19"/>
                <w:szCs w:val="19"/>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w w:val="91"/>
              </w:rPr>
              <w:t>3/1/2021 - 3/31/2021</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All of the shares repurchased, as reflected in the table above, were repurchases of unvested shares of our Class A common stock that had been issued upon early exercise of stock options. Pursuant to the associated option award agreements, upon termination of employment of a person holding unvested shares, we are entitled to repurchase the unvested shares.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On October 30, 2020, we closed our IPO, in which we sold 24,249,330 shares of our Class A common stock at a price of $27.00 per share. The offer and sale of the shares in the IPO were registered under the Securities Act pursuant to a registration statement on Form S-1 (File No. 333-249692), which was declared effective by the SEC on October 27, 2020. We raised approximately $615.4 million in net proceeds after deducting underwriting discounts and commissions of $39.3 million and offering expenses. We have used and will continue to use the net proceeds we received from our IPO for general corporate purposes, including working capital, operating expenses and capital expenditures. Additionally, we may use a portion of the net proceeds we received from our IPO for acquisitions and/or strategic investments in complementary businesses, products, services or technologies. The representatives of the underwriters of our IPO were Goldman Sachs &amp; Co. LLC, Morgan Stanley &amp; Co. LLC, Barclays Capital Inc. and Wells Fargo Securities, LLC. No payments were made by us to directors, officers or persons owning ten percent or more of our common stock or to their associates, or to our affiliates, other than payments in the ordinary course of business to officers for salaries and to non-employee directors pursuant to our director compensation policy.</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never declared or paid cash dividends on our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Repurchase and Working Capital Restrictions</w:t>
      </w:r>
    </w:p>
    <w:p>
      <w:pPr>
        <w:spacing w:after="0" w:line="171"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We are a holding company that transacts a majority of its business through operating subsidiaries. Our regulated insurance subsidiaries are subject to restrictions on the dividends they may pay, which could impact our ability to pay dividends to stockholders dividends to stockholders in the future.</w:t>
      </w:r>
    </w:p>
    <w:p>
      <w:pPr>
        <w:spacing w:after="0" w:line="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payment of any extraordinary dividend by one of our regulated insurance subsidiaries requires the prior approval of the superintendent of the supervisory DOI. “Extraordinary dividend” is defined under the Code as: (i) any dividend or distribution of cash or other property whose fair market value, together with that of other dividends or distributions made within the preceding twelve months, exceeds the greater of (a) ten per cent of an insurer’s policyholder surplus as of December 31 of the preceding year, or (b) an insurer’s net income for the twelve-month period ending December 31 of the preceding year or (ii) any dividend or distribution paid by an insurer from a source other than earned surplus. As of December 31, 2020, neither Root Insurance Company nor Root Property &amp; Casualty were permitted to pay any dividends to us without approval of the superintendent of the supervisory DOI. See the section titled “Risk Factors—Risks Related to Our Business— Failure to maintain our risk-based capital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required levels could adversely affect our ability to maintain regulatory authority to conduct our business.” included in the 2020 10-K.</w:t>
      </w:r>
    </w:p>
    <w:p>
      <w:pPr>
        <w:spacing w:after="0" w:line="17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In addition, insurance regulators have broad powers to prevent a reduction of statutory surplus to inadequate levels, and there is no assurance that dividends of the maximum amount calculated under any applicable formula would be permitted. The Ohio DOI and the Delaware DOI may in the future adopt statutory provisions more restrictive than those currently in effect.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 both the Term Loan A and Term Loan B include covenants that require us to maintain certain levels of liquidity and restrict us from declaring or making any cash dividend or other distributions and from repurchasing any of our common stock outside of the ordinary course of business or in excess of certain specified limits during the term of the applicable loan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1" w:name="page42"/>
    <w:bookmarkEnd w:id="4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2" w:name="page43"/>
    <w:bookmarkEnd w:id="4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3" w:name="page44"/>
    <w:bookmarkEnd w:id="4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May 4, 2021, the Board of Directors amended and restated the Company's bylaws to remove a bracketed provision in Article III, Section 5(b)(iii), which was no longer applicable as the Company previously announced in its Annual Report on Form 10-K that its first annual meeting has been scheduled for June 8, 2021.</w:t>
      </w:r>
    </w:p>
    <w:p>
      <w:pPr>
        <w:spacing w:after="0" w:line="13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foregoing summary is qualified in its entirety by reference to the full text of the Amended and Restated Bylaws, filed as Exhibit 3.2 to this Quarterly Report on Form 10-Q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4" w:name="page45"/>
    <w:bookmarkEnd w:id="44"/>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Exhibits.</w:t>
            </w:r>
          </w:p>
        </w:tc>
        <w:tc>
          <w:tcPr>
            <w:tcW w:w="3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0" w:type="dxa"/>
            <w:vAlign w:val="bottom"/>
          </w:tcPr>
          <w:p>
            <w:pPr>
              <w:ind w:left="340"/>
              <w:spacing w:after="0"/>
              <w:rPr>
                <w:sz w:val="20"/>
                <w:szCs w:val="20"/>
                <w:color w:val="auto"/>
              </w:rPr>
            </w:pPr>
            <w:r>
              <w:rPr>
                <w:rFonts w:ascii="Arial" w:cs="Arial" w:eastAsia="Arial" w:hAnsi="Arial"/>
                <w:sz w:val="18"/>
                <w:szCs w:val="18"/>
                <w:color w:val="auto"/>
              </w:rPr>
              <w:t>(a)</w:t>
            </w: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Exhibits.</w:t>
            </w:r>
          </w:p>
        </w:tc>
        <w:tc>
          <w:tcPr>
            <w:tcW w:w="3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00" w:type="dxa"/>
            <w:vAlign w:val="bottom"/>
            <w:gridSpan w:val="2"/>
          </w:tcPr>
          <w:p>
            <w:pPr>
              <w:ind w:left="840"/>
              <w:spacing w:after="0"/>
              <w:rPr>
                <w:sz w:val="20"/>
                <w:szCs w:val="20"/>
                <w:color w:val="auto"/>
              </w:rPr>
            </w:pPr>
            <w:r>
              <w:rPr>
                <w:rFonts w:ascii="Arial" w:cs="Arial" w:eastAsia="Arial" w:hAnsi="Arial"/>
                <w:sz w:val="14"/>
                <w:szCs w:val="14"/>
                <w:b w:val="1"/>
                <w:bCs w:val="1"/>
                <w:color w:val="auto"/>
              </w:rPr>
              <w:t>Incorporation by Reference</w:t>
            </w: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860" w:type="dxa"/>
            <w:vAlign w:val="bottom"/>
            <w:gridSpan w:val="4"/>
            <w:vMerge w:val="restart"/>
          </w:tcPr>
          <w:p>
            <w:pPr>
              <w:jc w:val="center"/>
              <w:ind w:right="840"/>
              <w:spacing w:after="0"/>
              <w:rPr>
                <w:sz w:val="20"/>
                <w:szCs w:val="20"/>
                <w:color w:val="auto"/>
              </w:rPr>
            </w:pPr>
            <w:r>
              <w:rPr>
                <w:rFonts w:ascii="Arial" w:cs="Arial" w:eastAsia="Arial" w:hAnsi="Arial"/>
                <w:sz w:val="14"/>
                <w:szCs w:val="14"/>
                <w:b w:val="1"/>
                <w:bCs w:val="1"/>
                <w:color w:val="auto"/>
                <w:w w:val="98"/>
              </w:rPr>
              <w:t>Exhibit</w:t>
            </w:r>
          </w:p>
        </w:tc>
        <w:tc>
          <w:tcPr>
            <w:tcW w:w="3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860" w:type="dxa"/>
            <w:vAlign w:val="bottom"/>
            <w:gridSpan w:val="4"/>
            <w:vMerge w:val="continue"/>
          </w:tcPr>
          <w:p>
            <w:pPr>
              <w:spacing w:after="0"/>
              <w:rPr>
                <w:sz w:val="12"/>
                <w:szCs w:val="12"/>
                <w:color w:val="auto"/>
              </w:rPr>
            </w:pPr>
          </w:p>
        </w:tc>
        <w:tc>
          <w:tcPr>
            <w:tcW w:w="3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86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98"/>
              </w:rPr>
              <w:t>Number</w:t>
            </w:r>
          </w:p>
        </w:tc>
        <w:tc>
          <w:tcPr>
            <w:tcW w:w="3140" w:type="dxa"/>
            <w:vAlign w:val="bottom"/>
          </w:tcPr>
          <w:p>
            <w:pPr>
              <w:ind w:left="520"/>
              <w:spacing w:after="0"/>
              <w:rPr>
                <w:sz w:val="20"/>
                <w:szCs w:val="20"/>
                <w:color w:val="auto"/>
              </w:rPr>
            </w:pPr>
            <w:r>
              <w:rPr>
                <w:rFonts w:ascii="Arial" w:cs="Arial" w:eastAsia="Arial" w:hAnsi="Arial"/>
                <w:sz w:val="14"/>
                <w:szCs w:val="14"/>
                <w:b w:val="1"/>
                <w:bCs w:val="1"/>
                <w:color w:val="auto"/>
              </w:rPr>
              <w:t>Description of Exhibit</w:t>
            </w:r>
          </w:p>
        </w:tc>
        <w:tc>
          <w:tcPr>
            <w:tcW w:w="740" w:type="dxa"/>
            <w:vAlign w:val="bottom"/>
          </w:tcPr>
          <w:p>
            <w:pPr>
              <w:ind w:left="180"/>
              <w:spacing w:after="0"/>
              <w:rPr>
                <w:sz w:val="20"/>
                <w:szCs w:val="20"/>
                <w:color w:val="auto"/>
              </w:rPr>
            </w:pPr>
            <w:r>
              <w:rPr>
                <w:rFonts w:ascii="Arial" w:cs="Arial" w:eastAsia="Arial" w:hAnsi="Arial"/>
                <w:sz w:val="14"/>
                <w:szCs w:val="14"/>
                <w:b w:val="1"/>
                <w:bCs w:val="1"/>
                <w:color w:val="auto"/>
              </w:rPr>
              <w:t>Form</w:t>
            </w:r>
          </w:p>
        </w:tc>
        <w:tc>
          <w:tcPr>
            <w:tcW w:w="1520" w:type="dxa"/>
            <w:vAlign w:val="bottom"/>
          </w:tcPr>
          <w:p>
            <w:pPr>
              <w:ind w:left="220"/>
              <w:spacing w:after="0"/>
              <w:rPr>
                <w:sz w:val="20"/>
                <w:szCs w:val="20"/>
                <w:color w:val="auto"/>
              </w:rPr>
            </w:pPr>
            <w:r>
              <w:rPr>
                <w:rFonts w:ascii="Arial" w:cs="Arial" w:eastAsia="Arial" w:hAnsi="Arial"/>
                <w:sz w:val="14"/>
                <w:szCs w:val="14"/>
                <w:b w:val="1"/>
                <w:bCs w:val="1"/>
                <w:color w:val="auto"/>
              </w:rPr>
              <w:t>SEC File Number</w:t>
            </w: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1260" w:type="dxa"/>
            <w:vAlign w:val="bottom"/>
          </w:tcPr>
          <w:p>
            <w:pPr>
              <w:ind w:left="180"/>
              <w:spacing w:after="0"/>
              <w:rPr>
                <w:sz w:val="20"/>
                <w:szCs w:val="20"/>
                <w:color w:val="auto"/>
              </w:rPr>
            </w:pPr>
            <w:r>
              <w:rPr>
                <w:rFonts w:ascii="Arial" w:cs="Arial" w:eastAsia="Arial" w:hAnsi="Arial"/>
                <w:sz w:val="14"/>
                <w:szCs w:val="14"/>
                <w:b w:val="1"/>
                <w:bCs w:val="1"/>
                <w:color w:val="auto"/>
              </w:rPr>
              <w:t>Filing Date</w:t>
            </w:r>
          </w:p>
        </w:tc>
        <w:tc>
          <w:tcPr>
            <w:tcW w:w="1540" w:type="dxa"/>
            <w:vAlign w:val="bottom"/>
          </w:tcPr>
          <w:p>
            <w:pPr>
              <w:ind w:left="400"/>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26"/>
        </w:trPr>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240"/>
          </w:cols>
          <w:pgMar w:left="320" w:top="1440" w:right="339" w:bottom="1440" w:gutter="0" w:footer="0" w:header="0"/>
        </w:sectPr>
      </w:pPr>
    </w:p>
    <w:tbl>
      <w:tblPr>
        <w:tblLayout w:type="fixed"/>
        <w:tblInd w:w="20" w:type="dxa"/>
        <w:tblCellMar>
          <w:top w:w="0" w:type="dxa"/>
          <w:left w:w="0" w:type="dxa"/>
          <w:bottom w:w="0" w:type="dxa"/>
          <w:right w:w="0" w:type="dxa"/>
        </w:tblCellMar>
      </w:tblPr>
      <w:tr>
        <w:trPr>
          <w:trHeight w:val="227"/>
        </w:trPr>
        <w:tc>
          <w:tcPr>
            <w:tcW w:w="1120" w:type="dxa"/>
            <w:vAlign w:val="bottom"/>
          </w:tcPr>
          <w:p>
            <w:pPr>
              <w:spacing w:after="0"/>
              <w:rPr>
                <w:sz w:val="20"/>
                <w:szCs w:val="20"/>
                <w:color w:val="auto"/>
              </w:rPr>
            </w:pPr>
            <w:r>
              <w:rPr>
                <w:rFonts w:ascii="Arial" w:cs="Arial" w:eastAsia="Arial" w:hAnsi="Arial"/>
                <w:sz w:val="18"/>
                <w:szCs w:val="18"/>
                <w:color w:val="auto"/>
              </w:rPr>
              <w:t>3.1</w:t>
            </w:r>
          </w:p>
        </w:tc>
        <w:tc>
          <w:tcPr>
            <w:tcW w:w="3820" w:type="dxa"/>
            <w:vAlign w:val="bottom"/>
            <w:gridSpan w:val="14"/>
          </w:tcPr>
          <w:p>
            <w:pPr>
              <w:spacing w:after="0"/>
              <w:rPr>
                <w:rFonts w:ascii="Arial" w:cs="Arial" w:eastAsia="Arial" w:hAnsi="Arial"/>
                <w:sz w:val="18"/>
                <w:szCs w:val="18"/>
                <w:color w:val="0000FF"/>
                <w:w w:val="93"/>
              </w:rPr>
            </w:pPr>
            <w:hyperlink r:id="rId74">
              <w:r>
                <w:rPr>
                  <w:rFonts w:ascii="Arial" w:cs="Arial" w:eastAsia="Arial" w:hAnsi="Arial"/>
                  <w:sz w:val="18"/>
                  <w:szCs w:val="18"/>
                  <w:color w:val="0000FF"/>
                  <w:w w:val="93"/>
                </w:rPr>
                <w:t>Amended and Restated Certificate of Incorporation</w:t>
              </w:r>
            </w:hyperlink>
          </w:p>
        </w:tc>
      </w:tr>
      <w:tr>
        <w:trPr>
          <w:trHeight w:val="155"/>
        </w:trPr>
        <w:tc>
          <w:tcPr>
            <w:tcW w:w="1120" w:type="dxa"/>
            <w:vAlign w:val="bottom"/>
          </w:tcPr>
          <w:p>
            <w:pPr>
              <w:spacing w:after="0"/>
              <w:rPr>
                <w:sz w:val="13"/>
                <w:szCs w:val="13"/>
                <w:color w:val="auto"/>
              </w:rPr>
            </w:pPr>
          </w:p>
        </w:tc>
        <w:tc>
          <w:tcPr>
            <w:tcW w:w="36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of Root, Inc.</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320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Amended and Restated Bylaws of Root, Inc.</w:t>
              </w:r>
            </w:hyperlink>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4.1</w:t>
            </w:r>
          </w:p>
        </w:tc>
        <w:tc>
          <w:tcPr>
            <w:tcW w:w="3100" w:type="dxa"/>
            <w:vAlign w:val="bottom"/>
            <w:tcBorders>
              <w:bottom w:val="single" w:sz="8" w:color="0000FF"/>
            </w:tcBorders>
            <w:gridSpan w:val="4"/>
          </w:tcPr>
          <w:p>
            <w:pPr>
              <w:spacing w:after="0"/>
              <w:rPr>
                <w:rFonts w:ascii="Arial" w:cs="Arial" w:eastAsia="Arial" w:hAnsi="Arial"/>
                <w:sz w:val="18"/>
                <w:szCs w:val="18"/>
                <w:color w:val="0000FF"/>
                <w:w w:val="91"/>
              </w:rPr>
            </w:pPr>
            <w:hyperlink r:id="rId75">
              <w:r>
                <w:rPr>
                  <w:rFonts w:ascii="Arial" w:cs="Arial" w:eastAsia="Arial" w:hAnsi="Arial"/>
                  <w:sz w:val="18"/>
                  <w:szCs w:val="18"/>
                  <w:color w:val="0000FF"/>
                  <w:w w:val="91"/>
                </w:rPr>
                <w:t>Form of Class A common stock certificate.</w:t>
              </w:r>
            </w:hyperlink>
          </w:p>
        </w:tc>
        <w:tc>
          <w:tcPr>
            <w:tcW w:w="720" w:type="dxa"/>
            <w:vAlign w:val="bottom"/>
            <w:gridSpan w:val="10"/>
          </w:tcPr>
          <w:p>
            <w:pPr>
              <w:spacing w:after="0"/>
              <w:rPr>
                <w:sz w:val="24"/>
                <w:szCs w:val="24"/>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3820" w:type="dxa"/>
            <w:vAlign w:val="bottom"/>
            <w:gridSpan w:val="14"/>
          </w:tcPr>
          <w:p>
            <w:pPr>
              <w:spacing w:after="0"/>
              <w:rPr>
                <w:rFonts w:ascii="Arial" w:cs="Arial" w:eastAsia="Arial" w:hAnsi="Arial"/>
                <w:sz w:val="18"/>
                <w:szCs w:val="18"/>
                <w:color w:val="0000FF"/>
                <w:w w:val="97"/>
              </w:rPr>
            </w:pPr>
            <w:hyperlink w:anchor="page70">
              <w:r>
                <w:rPr>
                  <w:rFonts w:ascii="Arial" w:cs="Arial" w:eastAsia="Arial" w:hAnsi="Arial"/>
                  <w:sz w:val="18"/>
                  <w:szCs w:val="18"/>
                  <w:color w:val="0000FF"/>
                  <w:w w:val="97"/>
                </w:rPr>
                <w:t>Root, Inc. Non-Employee Director Compensation</w:t>
              </w:r>
            </w:hyperlink>
          </w:p>
        </w:tc>
      </w:tr>
      <w:tr>
        <w:trPr>
          <w:trHeight w:val="182"/>
        </w:trPr>
        <w:tc>
          <w:tcPr>
            <w:tcW w:w="112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1"/>
              </w:rPr>
            </w:pPr>
            <w:hyperlink w:anchor="page70">
              <w:r>
                <w:rPr>
                  <w:rFonts w:ascii="Arial" w:cs="Arial" w:eastAsia="Arial" w:hAnsi="Arial"/>
                  <w:sz w:val="18"/>
                  <w:szCs w:val="18"/>
                  <w:color w:val="0000FF"/>
                  <w:w w:val="91"/>
                </w:rPr>
                <w:t>Policy</w:t>
              </w:r>
            </w:hyperlink>
          </w:p>
        </w:tc>
        <w:tc>
          <w:tcPr>
            <w:tcW w:w="3120" w:type="dxa"/>
            <w:vAlign w:val="bottom"/>
            <w:tcBorders>
              <w:top w:val="single" w:sz="8" w:color="0000FF"/>
            </w:tcBorders>
            <w:gridSpan w:val="8"/>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10.2</w:t>
            </w:r>
          </w:p>
        </w:tc>
        <w:tc>
          <w:tcPr>
            <w:tcW w:w="3820" w:type="dxa"/>
            <w:vAlign w:val="bottom"/>
            <w:gridSpan w:val="14"/>
          </w:tcPr>
          <w:p>
            <w:pPr>
              <w:spacing w:after="0"/>
              <w:rPr>
                <w:rFonts w:ascii="Arial" w:cs="Arial" w:eastAsia="Arial" w:hAnsi="Arial"/>
                <w:sz w:val="18"/>
                <w:szCs w:val="18"/>
                <w:color w:val="0000FF"/>
                <w:w w:val="93"/>
              </w:rPr>
            </w:pPr>
            <w:hyperlink w:anchor="page73">
              <w:r>
                <w:rPr>
                  <w:rFonts w:ascii="Arial" w:cs="Arial" w:eastAsia="Arial" w:hAnsi="Arial"/>
                  <w:sz w:val="18"/>
                  <w:szCs w:val="18"/>
                  <w:color w:val="0000FF"/>
                  <w:w w:val="93"/>
                </w:rPr>
                <w:t>Form of Root, Inc. 2020 Equity Incentive Plan RSU</w:t>
              </w:r>
            </w:hyperlink>
          </w:p>
        </w:tc>
      </w:tr>
      <w:tr>
        <w:trPr>
          <w:trHeight w:val="183"/>
        </w:trPr>
        <w:tc>
          <w:tcPr>
            <w:tcW w:w="1120" w:type="dxa"/>
            <w:vAlign w:val="bottom"/>
          </w:tcPr>
          <w:p>
            <w:pPr>
              <w:spacing w:after="0"/>
              <w:rPr>
                <w:sz w:val="15"/>
                <w:szCs w:val="15"/>
                <w:color w:val="auto"/>
              </w:rPr>
            </w:pPr>
          </w:p>
        </w:tc>
        <w:tc>
          <w:tcPr>
            <w:tcW w:w="314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1"/>
              </w:rPr>
            </w:pPr>
            <w:hyperlink w:anchor="page73">
              <w:r>
                <w:rPr>
                  <w:rFonts w:ascii="Arial" w:cs="Arial" w:eastAsia="Arial" w:hAnsi="Arial"/>
                  <w:sz w:val="18"/>
                  <w:szCs w:val="18"/>
                  <w:color w:val="0000FF"/>
                  <w:w w:val="91"/>
                </w:rPr>
                <w:t>Award Grant Notice and Award Agreement</w:t>
              </w:r>
            </w:hyperlink>
          </w:p>
        </w:tc>
        <w:tc>
          <w:tcPr>
            <w:tcW w:w="600" w:type="dxa"/>
            <w:vAlign w:val="bottom"/>
            <w:tcBorders>
              <w:top w:val="single" w:sz="8" w:color="0000FF"/>
            </w:tcBorders>
            <w:gridSpan w:val="6"/>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3820" w:type="dxa"/>
            <w:vAlign w:val="bottom"/>
            <w:gridSpan w:val="14"/>
          </w:tcPr>
          <w:p>
            <w:pPr>
              <w:spacing w:after="0"/>
              <w:rPr>
                <w:rFonts w:ascii="Arial" w:cs="Arial" w:eastAsia="Arial" w:hAnsi="Arial"/>
                <w:sz w:val="18"/>
                <w:szCs w:val="18"/>
                <w:color w:val="0000FF"/>
                <w:w w:val="93"/>
              </w:rPr>
            </w:pPr>
            <w:hyperlink w:anchor="page79">
              <w:r>
                <w:rPr>
                  <w:rFonts w:ascii="Arial" w:cs="Arial" w:eastAsia="Arial" w:hAnsi="Arial"/>
                  <w:sz w:val="18"/>
                  <w:szCs w:val="18"/>
                  <w:color w:val="0000FF"/>
                  <w:w w:val="93"/>
                </w:rPr>
                <w:t>Certification of Principal Executive Officer Pursuant</w:t>
              </w:r>
            </w:hyperlink>
          </w:p>
        </w:tc>
      </w:tr>
      <w:tr>
        <w:trPr>
          <w:trHeight w:val="183"/>
        </w:trPr>
        <w:tc>
          <w:tcPr>
            <w:tcW w:w="1120" w:type="dxa"/>
            <w:vAlign w:val="bottom"/>
          </w:tcPr>
          <w:p>
            <w:pPr>
              <w:spacing w:after="0"/>
              <w:rPr>
                <w:sz w:val="15"/>
                <w:szCs w:val="15"/>
                <w:color w:val="auto"/>
              </w:rPr>
            </w:pPr>
          </w:p>
        </w:tc>
        <w:tc>
          <w:tcPr>
            <w:tcW w:w="31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to Rules 13a-14(a) and 15d-14(a) under the</w:t>
              </w:r>
            </w:hyperlink>
          </w:p>
        </w:tc>
        <w:tc>
          <w:tcPr>
            <w:tcW w:w="68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3820" w:type="dxa"/>
            <w:vAlign w:val="bottom"/>
            <w:gridSpan w:val="14"/>
          </w:tcPr>
          <w:p>
            <w:pPr>
              <w:spacing w:after="0" w:line="182" w:lineRule="exact"/>
              <w:rPr>
                <w:rFonts w:ascii="Arial" w:cs="Arial" w:eastAsia="Arial" w:hAnsi="Arial"/>
                <w:sz w:val="18"/>
                <w:szCs w:val="18"/>
                <w:color w:val="0000FF"/>
              </w:rPr>
            </w:pPr>
            <w:hyperlink w:anchor="page79">
              <w:r>
                <w:rPr>
                  <w:rFonts w:ascii="Arial" w:cs="Arial" w:eastAsia="Arial" w:hAnsi="Arial"/>
                  <w:sz w:val="18"/>
                  <w:szCs w:val="18"/>
                  <w:color w:val="0000FF"/>
                </w:rPr>
                <w:t>Securities Exchange Act of 1934, as Adopted</w:t>
              </w:r>
            </w:hyperlink>
          </w:p>
        </w:tc>
      </w:tr>
      <w:tr>
        <w:trPr>
          <w:trHeight w:val="183"/>
        </w:trPr>
        <w:tc>
          <w:tcPr>
            <w:tcW w:w="1120" w:type="dxa"/>
            <w:vAlign w:val="bottom"/>
          </w:tcPr>
          <w:p>
            <w:pPr>
              <w:spacing w:after="0"/>
              <w:rPr>
                <w:sz w:val="15"/>
                <w:szCs w:val="15"/>
                <w:color w:val="auto"/>
              </w:rPr>
            </w:pPr>
          </w:p>
        </w:tc>
        <w:tc>
          <w:tcPr>
            <w:tcW w:w="3260" w:type="dxa"/>
            <w:vAlign w:val="bottom"/>
            <w:tcBorders>
              <w:top w:val="single" w:sz="8" w:color="0000FF"/>
            </w:tcBorders>
            <w:gridSpan w:val="8"/>
          </w:tcPr>
          <w:p>
            <w:pPr>
              <w:spacing w:after="0" w:line="182" w:lineRule="exact"/>
              <w:rPr>
                <w:rFonts w:ascii="Arial" w:cs="Arial" w:eastAsia="Arial" w:hAnsi="Arial"/>
                <w:sz w:val="18"/>
                <w:szCs w:val="18"/>
                <w:color w:val="0000FF"/>
                <w:w w:val="86"/>
              </w:rPr>
            </w:pPr>
            <w:hyperlink w:anchor="page79">
              <w:r>
                <w:rPr>
                  <w:rFonts w:ascii="Arial" w:cs="Arial" w:eastAsia="Arial" w:hAnsi="Arial"/>
                  <w:sz w:val="18"/>
                  <w:szCs w:val="18"/>
                  <w:color w:val="0000FF"/>
                  <w:w w:val="86"/>
                </w:rPr>
                <w:t>Pursuant to Section 302 of the Sarbanes-Oxley</w:t>
              </w:r>
            </w:hyperlink>
          </w:p>
        </w:tc>
        <w:tc>
          <w:tcPr>
            <w:tcW w:w="560" w:type="dxa"/>
            <w:vAlign w:val="bottom"/>
            <w:gridSpan w:val="6"/>
          </w:tcPr>
          <w:p>
            <w:pPr>
              <w:ind w:left="140"/>
              <w:spacing w:after="0" w:line="182" w:lineRule="exact"/>
              <w:rPr>
                <w:rFonts w:ascii="Arial" w:cs="Arial" w:eastAsia="Arial" w:hAnsi="Arial"/>
                <w:sz w:val="18"/>
                <w:szCs w:val="18"/>
                <w:color w:val="0000FF"/>
              </w:rPr>
            </w:pPr>
            <w:hyperlink w:anchor="page79">
              <w:r>
                <w:rPr>
                  <w:rFonts w:ascii="Arial" w:cs="Arial" w:eastAsia="Arial" w:hAnsi="Arial"/>
                  <w:sz w:val="18"/>
                  <w:szCs w:val="18"/>
                  <w:color w:val="0000FF"/>
                </w:rPr>
                <w:t>Act</w:t>
              </w:r>
            </w:hyperlink>
          </w:p>
        </w:tc>
      </w:tr>
      <w:tr>
        <w:trPr>
          <w:trHeight w:val="183"/>
        </w:trPr>
        <w:tc>
          <w:tcPr>
            <w:tcW w:w="1120" w:type="dxa"/>
            <w:vAlign w:val="bottom"/>
          </w:tcPr>
          <w:p>
            <w:pPr>
              <w:spacing w:after="0"/>
              <w:rPr>
                <w:sz w:val="15"/>
                <w:szCs w:val="15"/>
                <w:color w:val="auto"/>
              </w:rPr>
            </w:pPr>
          </w:p>
        </w:tc>
        <w:tc>
          <w:tcPr>
            <w:tcW w:w="6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of 2002.</w:t>
              </w:r>
            </w:hyperlink>
          </w:p>
        </w:tc>
        <w:tc>
          <w:tcPr>
            <w:tcW w:w="3060" w:type="dxa"/>
            <w:vAlign w:val="bottom"/>
            <w:tcBorders>
              <w:top w:val="single" w:sz="8" w:color="0000FF"/>
            </w:tcBorders>
            <w:gridSpan w:val="8"/>
          </w:tcPr>
          <w:p>
            <w:pPr>
              <w:spacing w:after="0"/>
              <w:rPr>
                <w:sz w:val="15"/>
                <w:szCs w:val="15"/>
                <w:color w:val="auto"/>
              </w:rPr>
            </w:pPr>
          </w:p>
        </w:tc>
        <w:tc>
          <w:tcPr>
            <w:tcW w:w="160" w:type="dxa"/>
            <w:vAlign w:val="bottom"/>
            <w:gridSpan w:val="4"/>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001-39568</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3.3</w:t>
            </w:r>
          </w:p>
        </w:tc>
        <w:tc>
          <w:tcPr>
            <w:tcW w:w="2560" w:type="dxa"/>
            <w:vAlign w:val="bottom"/>
          </w:tcPr>
          <w:p>
            <w:pPr>
              <w:ind w:left="280"/>
              <w:spacing w:after="0"/>
              <w:rPr>
                <w:sz w:val="20"/>
                <w:szCs w:val="20"/>
                <w:color w:val="auto"/>
              </w:rPr>
            </w:pPr>
            <w:r>
              <w:rPr>
                <w:rFonts w:ascii="Arial" w:cs="Arial" w:eastAsia="Arial" w:hAnsi="Arial"/>
                <w:sz w:val="18"/>
                <w:szCs w:val="18"/>
                <w:color w:val="auto"/>
              </w:rPr>
              <w:t>October 30, 2020</w:t>
            </w:r>
          </w:p>
        </w:tc>
      </w:tr>
      <w:tr>
        <w:trPr>
          <w:trHeight w:val="392"/>
        </w:trPr>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60" w:type="dxa"/>
            <w:vAlign w:val="bottom"/>
          </w:tcPr>
          <w:p>
            <w:pPr>
              <w:ind w:left="2420"/>
              <w:spacing w:after="0"/>
              <w:rPr>
                <w:sz w:val="20"/>
                <w:szCs w:val="20"/>
                <w:color w:val="auto"/>
              </w:rPr>
            </w:pPr>
            <w:r>
              <w:rPr>
                <w:rFonts w:ascii="Arial" w:cs="Arial" w:eastAsia="Arial" w:hAnsi="Arial"/>
                <w:sz w:val="18"/>
                <w:szCs w:val="18"/>
                <w:color w:val="auto"/>
                <w:w w:val="99"/>
              </w:rPr>
              <w:t>X</w:t>
            </w:r>
          </w:p>
        </w:tc>
      </w:tr>
      <w:tr>
        <w:trPr>
          <w:trHeight w:val="324"/>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3"/>
              </w:rPr>
              <w:t>S-1/A</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333-249332</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4.1</w:t>
            </w:r>
          </w:p>
        </w:tc>
        <w:tc>
          <w:tcPr>
            <w:tcW w:w="2560" w:type="dxa"/>
            <w:vAlign w:val="bottom"/>
          </w:tcPr>
          <w:p>
            <w:pPr>
              <w:ind w:left="280"/>
              <w:spacing w:after="0"/>
              <w:rPr>
                <w:sz w:val="20"/>
                <w:szCs w:val="20"/>
                <w:color w:val="auto"/>
              </w:rPr>
            </w:pPr>
            <w:r>
              <w:rPr>
                <w:rFonts w:ascii="Arial" w:cs="Arial" w:eastAsia="Arial" w:hAnsi="Arial"/>
                <w:sz w:val="18"/>
                <w:szCs w:val="18"/>
                <w:color w:val="auto"/>
              </w:rPr>
              <w:t>October 20, 2020</w:t>
            </w:r>
          </w:p>
        </w:tc>
      </w:tr>
    </w:tbl>
    <w:p>
      <w:pPr>
        <w:spacing w:after="0" w:line="188"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X</w:t>
      </w:r>
    </w:p>
    <w:p>
      <w:pPr>
        <w:spacing w:after="0" w:line="306"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X</w:t>
      </w:r>
    </w:p>
    <w:p>
      <w:pPr>
        <w:spacing w:after="0" w:line="491" w:lineRule="exact"/>
        <w:rPr>
          <w:sz w:val="20"/>
          <w:szCs w:val="20"/>
          <w:color w:val="auto"/>
        </w:rPr>
      </w:pPr>
    </w:p>
    <w:p>
      <w:pPr>
        <w:sectPr>
          <w:pgSz w:w="11900" w:h="16838" w:orient="portrait"/>
          <w:cols w:equalWidth="0" w:num="2">
            <w:col w:w="4940" w:space="200"/>
            <w:col w:w="6100"/>
          </w:cols>
          <w:pgMar w:left="320" w:top="1440"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6580" w:type="dxa"/>
            <w:vAlign w:val="bottom"/>
            <w:gridSpan w:val="10"/>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Certification of Principal Financial Officer Pursuant</w:t>
              </w:r>
            </w:hyperlink>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12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89"/>
              </w:rPr>
            </w:pPr>
            <w:hyperlink w:anchor="page80">
              <w:r>
                <w:rPr>
                  <w:rFonts w:ascii="Arial" w:cs="Arial" w:eastAsia="Arial" w:hAnsi="Arial"/>
                  <w:sz w:val="18"/>
                  <w:szCs w:val="18"/>
                  <w:color w:val="0000FF"/>
                  <w:w w:val="89"/>
                </w:rPr>
                <w:t>to Rules 13a-14(a) and 15d-14(a) under the</w:t>
              </w:r>
            </w:hyperlink>
          </w:p>
        </w:tc>
        <w:tc>
          <w:tcPr>
            <w:tcW w:w="620" w:type="dxa"/>
            <w:vAlign w:val="bottom"/>
            <w:tcBorders>
              <w:top w:val="single" w:sz="8" w:color="0000FF"/>
            </w:tcBorders>
            <w:gridSpan w:val="5"/>
          </w:tcPr>
          <w:p>
            <w:pPr>
              <w:spacing w:after="0"/>
              <w:rPr>
                <w:sz w:val="15"/>
                <w:szCs w:val="15"/>
                <w:color w:val="auto"/>
              </w:rPr>
            </w:pPr>
          </w:p>
        </w:tc>
        <w:tc>
          <w:tcPr>
            <w:tcW w:w="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900" w:type="dxa"/>
            <w:vAlign w:val="bottom"/>
            <w:vMerge w:val="restart"/>
          </w:tcPr>
          <w:p>
            <w:pPr>
              <w:ind w:left="276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6580" w:type="dxa"/>
            <w:vAlign w:val="bottom"/>
            <w:gridSpan w:val="10"/>
          </w:tcPr>
          <w:p>
            <w:pPr>
              <w:spacing w:after="0" w:line="182" w:lineRule="exact"/>
              <w:rPr>
                <w:rFonts w:ascii="Arial" w:cs="Arial" w:eastAsia="Arial" w:hAnsi="Arial"/>
                <w:sz w:val="18"/>
                <w:szCs w:val="18"/>
                <w:color w:val="0000FF"/>
              </w:rPr>
            </w:pPr>
            <w:hyperlink w:anchor="page80">
              <w:r>
                <w:rPr>
                  <w:rFonts w:ascii="Arial" w:cs="Arial" w:eastAsia="Arial" w:hAnsi="Arial"/>
                  <w:sz w:val="18"/>
                  <w:szCs w:val="18"/>
                  <w:color w:val="0000FF"/>
                </w:rPr>
                <w:t>Securities Exchange Act of 1934, as Adopted</w:t>
              </w:r>
            </w:hyperlink>
          </w:p>
        </w:tc>
        <w:tc>
          <w:tcPr>
            <w:tcW w:w="2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260" w:type="dxa"/>
            <w:vAlign w:val="bottom"/>
            <w:tcBorders>
              <w:top w:val="single" w:sz="8" w:color="0000FF"/>
            </w:tcBorders>
            <w:gridSpan w:val="4"/>
          </w:tcPr>
          <w:p>
            <w:pPr>
              <w:spacing w:after="0" w:line="182" w:lineRule="exact"/>
              <w:rPr>
                <w:rFonts w:ascii="Arial" w:cs="Arial" w:eastAsia="Arial" w:hAnsi="Arial"/>
                <w:sz w:val="18"/>
                <w:szCs w:val="18"/>
                <w:color w:val="0000FF"/>
                <w:w w:val="86"/>
              </w:rPr>
            </w:pPr>
            <w:hyperlink w:anchor="page80">
              <w:r>
                <w:rPr>
                  <w:rFonts w:ascii="Arial" w:cs="Arial" w:eastAsia="Arial" w:hAnsi="Arial"/>
                  <w:sz w:val="18"/>
                  <w:szCs w:val="18"/>
                  <w:color w:val="0000FF"/>
                  <w:w w:val="86"/>
                </w:rPr>
                <w:t>Pursuant to Section 302 of the Sarbanes-Oxley</w:t>
              </w:r>
            </w:hyperlink>
          </w:p>
        </w:tc>
        <w:tc>
          <w:tcPr>
            <w:tcW w:w="3320" w:type="dxa"/>
            <w:vAlign w:val="bottom"/>
            <w:gridSpan w:val="6"/>
          </w:tcPr>
          <w:p>
            <w:pPr>
              <w:ind w:left="140"/>
              <w:spacing w:after="0" w:line="182" w:lineRule="exact"/>
              <w:rPr>
                <w:rFonts w:ascii="Arial" w:cs="Arial" w:eastAsia="Arial" w:hAnsi="Arial"/>
                <w:sz w:val="18"/>
                <w:szCs w:val="18"/>
                <w:color w:val="0000FF"/>
              </w:rPr>
            </w:pPr>
            <w:hyperlink w:anchor="page80">
              <w:r>
                <w:rPr>
                  <w:rFonts w:ascii="Arial" w:cs="Arial" w:eastAsia="Arial" w:hAnsi="Arial"/>
                  <w:sz w:val="18"/>
                  <w:szCs w:val="18"/>
                  <w:color w:val="0000FF"/>
                </w:rPr>
                <w:t>Act</w:t>
              </w:r>
            </w:hyperlink>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6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89"/>
              </w:rPr>
            </w:pPr>
            <w:hyperlink w:anchor="page80">
              <w:r>
                <w:rPr>
                  <w:rFonts w:ascii="Arial" w:cs="Arial" w:eastAsia="Arial" w:hAnsi="Arial"/>
                  <w:sz w:val="18"/>
                  <w:szCs w:val="18"/>
                  <w:color w:val="0000FF"/>
                  <w:w w:val="89"/>
                </w:rPr>
                <w:t>of 2002.</w:t>
              </w:r>
            </w:hyperlink>
          </w:p>
        </w:tc>
        <w:tc>
          <w:tcPr>
            <w:tcW w:w="3060" w:type="dxa"/>
            <w:vAlign w:val="bottom"/>
            <w:tcBorders>
              <w:top w:val="single" w:sz="8" w:color="0000FF"/>
            </w:tcBorders>
            <w:gridSpan w:val="6"/>
          </w:tcPr>
          <w:p>
            <w:pPr>
              <w:spacing w:after="0"/>
              <w:rPr>
                <w:sz w:val="15"/>
                <w:szCs w:val="15"/>
                <w:color w:val="auto"/>
              </w:rPr>
            </w:pPr>
          </w:p>
        </w:tc>
        <w:tc>
          <w:tcPr>
            <w:tcW w:w="140" w:type="dxa"/>
            <w:vAlign w:val="bottom"/>
            <w:gridSpan w:val="2"/>
          </w:tcPr>
          <w:p>
            <w:pPr>
              <w:spacing w:after="0"/>
              <w:rPr>
                <w:sz w:val="15"/>
                <w:szCs w:val="15"/>
                <w:color w:val="auto"/>
              </w:rPr>
            </w:pPr>
          </w:p>
        </w:tc>
        <w:tc>
          <w:tcPr>
            <w:tcW w:w="27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6580" w:type="dxa"/>
            <w:vAlign w:val="bottom"/>
            <w:gridSpan w:val="10"/>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Certification of Principal Executive Officer and</w:t>
              </w:r>
            </w:hyperlink>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4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88"/>
              </w:rPr>
            </w:pPr>
            <w:hyperlink w:anchor="page81">
              <w:r>
                <w:rPr>
                  <w:rFonts w:ascii="Arial" w:cs="Arial" w:eastAsia="Arial" w:hAnsi="Arial"/>
                  <w:sz w:val="18"/>
                  <w:szCs w:val="18"/>
                  <w:color w:val="0000FF"/>
                  <w:w w:val="88"/>
                </w:rPr>
                <w:t>Principal Financial Officer Pursuant to 18 U.S.C.</w:t>
              </w:r>
            </w:hyperlink>
          </w:p>
        </w:tc>
        <w:tc>
          <w:tcPr>
            <w:tcW w:w="120" w:type="dxa"/>
            <w:vAlign w:val="bottom"/>
            <w:tcBorders>
              <w:bottom w:val="single" w:sz="8" w:color="0000FF"/>
            </w:tcBorders>
          </w:tcPr>
          <w:p>
            <w:pPr>
              <w:spacing w:after="0"/>
              <w:rPr>
                <w:sz w:val="15"/>
                <w:szCs w:val="15"/>
                <w:color w:val="auto"/>
              </w:rPr>
            </w:pPr>
          </w:p>
        </w:tc>
        <w:tc>
          <w:tcPr>
            <w:tcW w:w="260" w:type="dxa"/>
            <w:vAlign w:val="bottom"/>
            <w:gridSpan w:val="3"/>
          </w:tcPr>
          <w:p>
            <w:pPr>
              <w:spacing w:after="0"/>
              <w:rPr>
                <w:sz w:val="15"/>
                <w:szCs w:val="15"/>
                <w:color w:val="auto"/>
              </w:rPr>
            </w:pPr>
          </w:p>
        </w:tc>
        <w:tc>
          <w:tcPr>
            <w:tcW w:w="2780" w:type="dxa"/>
            <w:vAlign w:val="bottom"/>
          </w:tcPr>
          <w:p>
            <w:pPr>
              <w:spacing w:after="0"/>
              <w:rPr>
                <w:sz w:val="15"/>
                <w:szCs w:val="15"/>
                <w:color w:val="auto"/>
              </w:rPr>
            </w:pPr>
          </w:p>
        </w:tc>
        <w:tc>
          <w:tcPr>
            <w:tcW w:w="2900" w:type="dxa"/>
            <w:vAlign w:val="bottom"/>
            <w:vMerge w:val="restart"/>
          </w:tcPr>
          <w:p>
            <w:pPr>
              <w:ind w:left="276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5"/>
        </w:trPr>
        <w:tc>
          <w:tcPr>
            <w:tcW w:w="1120" w:type="dxa"/>
            <w:vAlign w:val="bottom"/>
          </w:tcPr>
          <w:p>
            <w:pPr>
              <w:spacing w:after="0"/>
              <w:rPr>
                <w:sz w:val="10"/>
                <w:szCs w:val="10"/>
                <w:color w:val="auto"/>
              </w:rPr>
            </w:pPr>
          </w:p>
        </w:tc>
        <w:tc>
          <w:tcPr>
            <w:tcW w:w="6580" w:type="dxa"/>
            <w:vAlign w:val="bottom"/>
            <w:gridSpan w:val="10"/>
            <w:vMerge w:val="restart"/>
          </w:tcPr>
          <w:p>
            <w:pPr>
              <w:spacing w:after="0" w:line="182" w:lineRule="exact"/>
              <w:rPr>
                <w:rFonts w:ascii="Arial" w:cs="Arial" w:eastAsia="Arial" w:hAnsi="Arial"/>
                <w:sz w:val="18"/>
                <w:szCs w:val="18"/>
                <w:color w:val="0000FF"/>
              </w:rPr>
            </w:pPr>
            <w:hyperlink w:anchor="page81">
              <w:r>
                <w:rPr>
                  <w:rFonts w:ascii="Arial" w:cs="Arial" w:eastAsia="Arial" w:hAnsi="Arial"/>
                  <w:sz w:val="18"/>
                  <w:szCs w:val="18"/>
                  <w:color w:val="0000FF"/>
                </w:rPr>
                <w:t>Section 1350, as Adopted Pursuant to Section 906 of</w:t>
              </w:r>
            </w:hyperlink>
          </w:p>
        </w:tc>
        <w:tc>
          <w:tcPr>
            <w:tcW w:w="2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120" w:type="dxa"/>
            <w:vAlign w:val="bottom"/>
          </w:tcPr>
          <w:p>
            <w:pPr>
              <w:spacing w:after="0"/>
              <w:rPr>
                <w:sz w:val="5"/>
                <w:szCs w:val="5"/>
                <w:color w:val="auto"/>
              </w:rPr>
            </w:pPr>
          </w:p>
        </w:tc>
        <w:tc>
          <w:tcPr>
            <w:tcW w:w="6580" w:type="dxa"/>
            <w:vAlign w:val="bottom"/>
            <w:gridSpan w:val="10"/>
            <w:vMerge w:val="continue"/>
          </w:tcPr>
          <w:p>
            <w:pPr>
              <w:spacing w:after="0"/>
              <w:rPr>
                <w:sz w:val="5"/>
                <w:szCs w:val="5"/>
                <w:color w:val="auto"/>
              </w:rPr>
            </w:pPr>
          </w:p>
        </w:tc>
        <w:tc>
          <w:tcPr>
            <w:tcW w:w="2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89"/>
              </w:rPr>
            </w:pPr>
            <w:hyperlink w:anchor="page81">
              <w:r>
                <w:rPr>
                  <w:rFonts w:ascii="Arial" w:cs="Arial" w:eastAsia="Arial" w:hAnsi="Arial"/>
                  <w:sz w:val="18"/>
                  <w:szCs w:val="18"/>
                  <w:color w:val="0000FF"/>
                  <w:w w:val="89"/>
                </w:rPr>
                <w:t>the Sarbanes-Oxley Act of 2002.</w:t>
              </w:r>
            </w:hyperlink>
          </w:p>
        </w:tc>
        <w:tc>
          <w:tcPr>
            <w:tcW w:w="1440" w:type="dxa"/>
            <w:vAlign w:val="bottom"/>
            <w:tcBorders>
              <w:top w:val="single" w:sz="8" w:color="0000FF"/>
            </w:tcBorders>
            <w:gridSpan w:val="7"/>
          </w:tcPr>
          <w:p>
            <w:pPr>
              <w:spacing w:after="0"/>
              <w:rPr>
                <w:sz w:val="15"/>
                <w:szCs w:val="15"/>
                <w:color w:val="auto"/>
              </w:rPr>
            </w:pPr>
          </w:p>
        </w:tc>
        <w:tc>
          <w:tcPr>
            <w:tcW w:w="27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6580" w:type="dxa"/>
            <w:vAlign w:val="bottom"/>
            <w:gridSpan w:val="10"/>
          </w:tcPr>
          <w:p>
            <w:pPr>
              <w:spacing w:after="0"/>
              <w:rPr>
                <w:sz w:val="20"/>
                <w:szCs w:val="20"/>
                <w:color w:val="auto"/>
              </w:rPr>
            </w:pPr>
            <w:r>
              <w:rPr>
                <w:rFonts w:ascii="Arial" w:cs="Arial" w:eastAsia="Arial" w:hAnsi="Arial"/>
                <w:sz w:val="18"/>
                <w:szCs w:val="18"/>
                <w:color w:val="auto"/>
              </w:rPr>
              <w:t>Inline XBRL Instance Document</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658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658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658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658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658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658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658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658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658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658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140" w:right="6280" w:hanging="1114"/>
        <w:spacing w:after="0" w:line="235"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5" w:name="page46"/>
    <w:bookmarkEnd w:id="45"/>
    <w:p>
      <w:pPr>
        <w:spacing w:after="0" w:line="139" w:lineRule="exact"/>
        <w:rPr>
          <w:sz w:val="20"/>
          <w:szCs w:val="20"/>
          <w:color w:val="auto"/>
        </w:rPr>
      </w:pPr>
    </w:p>
    <w:p>
      <w:pPr>
        <w:ind w:left="172" w:hanging="172"/>
        <w:spacing w:after="0" w:line="273" w:lineRule="auto"/>
        <w:tabs>
          <w:tab w:leader="none" w:pos="118"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51"/>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72"/>
          </w:cols>
          <w:pgMar w:left="328" w:top="1440" w:right="59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Exchange Act of 1934, the registrant has duly caused this Quarterly Report on Form 10-Q to be signed on its behalf by the undersigned.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2000" w:type="dxa"/>
            <w:vAlign w:val="bottom"/>
          </w:tcPr>
          <w:p>
            <w:pPr>
              <w:ind w:left="1200"/>
              <w:spacing w:after="0"/>
              <w:rPr>
                <w:sz w:val="20"/>
                <w:szCs w:val="20"/>
                <w:color w:val="auto"/>
              </w:rPr>
            </w:pPr>
            <w:r>
              <w:rPr>
                <w:rFonts w:ascii="Arial" w:cs="Arial" w:eastAsia="Arial" w:hAnsi="Arial"/>
                <w:sz w:val="18"/>
                <w:szCs w:val="18"/>
                <w:color w:val="auto"/>
              </w:rPr>
              <w:t>Root, Inc.</w:t>
            </w:r>
          </w:p>
        </w:tc>
        <w:tc>
          <w:tcPr>
            <w:tcW w:w="100" w:type="dxa"/>
            <w:vAlign w:val="bottom"/>
          </w:tcPr>
          <w:p>
            <w:pPr>
              <w:spacing w:after="0"/>
              <w:rPr>
                <w:sz w:val="20"/>
                <w:szCs w:val="20"/>
                <w:color w:val="auto"/>
              </w:rPr>
            </w:pPr>
          </w:p>
        </w:tc>
        <w:tc>
          <w:tcPr>
            <w:tcW w:w="6080" w:type="dxa"/>
            <w:vAlign w:val="bottom"/>
          </w:tcPr>
          <w:p>
            <w:pPr>
              <w:spacing w:after="0"/>
              <w:rPr>
                <w:sz w:val="20"/>
                <w:szCs w:val="20"/>
                <w:color w:val="auto"/>
              </w:rPr>
            </w:pPr>
          </w:p>
        </w:tc>
      </w:tr>
      <w:tr>
        <w:trPr>
          <w:trHeight w:val="540"/>
        </w:trPr>
        <w:tc>
          <w:tcPr>
            <w:tcW w:w="2580" w:type="dxa"/>
            <w:vAlign w:val="bottom"/>
          </w:tcPr>
          <w:p>
            <w:pPr>
              <w:spacing w:after="0"/>
              <w:rPr>
                <w:sz w:val="20"/>
                <w:szCs w:val="20"/>
                <w:color w:val="auto"/>
              </w:rPr>
            </w:pPr>
            <w:r>
              <w:rPr>
                <w:rFonts w:ascii="Arial" w:cs="Arial" w:eastAsia="Arial" w:hAnsi="Arial"/>
                <w:sz w:val="18"/>
                <w:szCs w:val="18"/>
                <w:color w:val="auto"/>
              </w:rPr>
              <w:t>Date: May 6, 2021</w:t>
            </w:r>
          </w:p>
        </w:tc>
        <w:tc>
          <w:tcPr>
            <w:tcW w:w="2000" w:type="dxa"/>
            <w:vAlign w:val="bottom"/>
          </w:tcPr>
          <w:p>
            <w:pPr>
              <w:ind w:left="128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Alexander Timm</w:t>
            </w:r>
          </w:p>
        </w:tc>
      </w:tr>
      <w:tr>
        <w:trPr>
          <w:trHeight w:val="237"/>
        </w:trPr>
        <w:tc>
          <w:tcPr>
            <w:tcW w:w="25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Alexander Timm</w:t>
            </w:r>
          </w:p>
        </w:tc>
      </w:tr>
      <w:tr>
        <w:trPr>
          <w:trHeight w:val="257"/>
        </w:trPr>
        <w:tc>
          <w:tcPr>
            <w:tcW w:w="25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57"/>
        </w:trPr>
        <w:tc>
          <w:tcPr>
            <w:tcW w:w="25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526"/>
        </w:trPr>
        <w:tc>
          <w:tcPr>
            <w:tcW w:w="2580" w:type="dxa"/>
            <w:vAlign w:val="bottom"/>
          </w:tcPr>
          <w:p>
            <w:pPr>
              <w:spacing w:after="0"/>
              <w:rPr>
                <w:sz w:val="24"/>
                <w:szCs w:val="24"/>
                <w:color w:val="auto"/>
              </w:rPr>
            </w:pPr>
          </w:p>
        </w:tc>
        <w:tc>
          <w:tcPr>
            <w:tcW w:w="2000" w:type="dxa"/>
            <w:vAlign w:val="bottom"/>
          </w:tcPr>
          <w:p>
            <w:pPr>
              <w:ind w:left="1200"/>
              <w:spacing w:after="0"/>
              <w:rPr>
                <w:sz w:val="20"/>
                <w:szCs w:val="20"/>
                <w:color w:val="auto"/>
              </w:rPr>
            </w:pPr>
            <w:r>
              <w:rPr>
                <w:rFonts w:ascii="Arial" w:cs="Arial" w:eastAsia="Arial" w:hAnsi="Arial"/>
                <w:sz w:val="18"/>
                <w:szCs w:val="18"/>
                <w:color w:val="auto"/>
              </w:rPr>
              <w:t>Root, Inc.</w:t>
            </w:r>
          </w:p>
        </w:tc>
        <w:tc>
          <w:tcPr>
            <w:tcW w:w="10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540"/>
        </w:trPr>
        <w:tc>
          <w:tcPr>
            <w:tcW w:w="2580" w:type="dxa"/>
            <w:vAlign w:val="bottom"/>
          </w:tcPr>
          <w:p>
            <w:pPr>
              <w:spacing w:after="0"/>
              <w:rPr>
                <w:sz w:val="20"/>
                <w:szCs w:val="20"/>
                <w:color w:val="auto"/>
              </w:rPr>
            </w:pPr>
            <w:r>
              <w:rPr>
                <w:rFonts w:ascii="Arial" w:cs="Arial" w:eastAsia="Arial" w:hAnsi="Arial"/>
                <w:sz w:val="18"/>
                <w:szCs w:val="18"/>
                <w:color w:val="auto"/>
              </w:rPr>
              <w:t>Date: May 6, 2021</w:t>
            </w:r>
          </w:p>
        </w:tc>
        <w:tc>
          <w:tcPr>
            <w:tcW w:w="2000" w:type="dxa"/>
            <w:vAlign w:val="bottom"/>
          </w:tcPr>
          <w:p>
            <w:pPr>
              <w:ind w:left="1200"/>
              <w:spacing w:after="0"/>
              <w:rPr>
                <w:sz w:val="20"/>
                <w:szCs w:val="20"/>
                <w:color w:val="auto"/>
              </w:rPr>
            </w:pPr>
            <w:r>
              <w:rPr>
                <w:rFonts w:ascii="Arial" w:cs="Arial" w:eastAsia="Arial" w:hAnsi="Arial"/>
                <w:sz w:val="18"/>
                <w:szCs w:val="18"/>
                <w:color w:val="auto"/>
              </w:rPr>
              <w:t>By:</w:t>
            </w:r>
          </w:p>
        </w:tc>
        <w:tc>
          <w:tcPr>
            <w:tcW w:w="6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Daniel Rosenthal</w:t>
            </w:r>
          </w:p>
        </w:tc>
      </w:tr>
      <w:tr>
        <w:trPr>
          <w:trHeight w:val="237"/>
        </w:trPr>
        <w:tc>
          <w:tcPr>
            <w:tcW w:w="25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Daniel Rosenthal</w:t>
            </w:r>
          </w:p>
        </w:tc>
      </w:tr>
      <w:tr>
        <w:trPr>
          <w:trHeight w:val="257"/>
        </w:trPr>
        <w:tc>
          <w:tcPr>
            <w:tcW w:w="25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r>
      <w:tr>
        <w:trPr>
          <w:trHeight w:val="257"/>
        </w:trPr>
        <w:tc>
          <w:tcPr>
            <w:tcW w:w="25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r>
        <w:trPr>
          <w:trHeight w:val="526"/>
        </w:trPr>
        <w:tc>
          <w:tcPr>
            <w:tcW w:w="2580" w:type="dxa"/>
            <w:vAlign w:val="bottom"/>
          </w:tcPr>
          <w:p>
            <w:pPr>
              <w:spacing w:after="0"/>
              <w:rPr>
                <w:sz w:val="24"/>
                <w:szCs w:val="24"/>
                <w:color w:val="auto"/>
              </w:rPr>
            </w:pPr>
          </w:p>
        </w:tc>
        <w:tc>
          <w:tcPr>
            <w:tcW w:w="2000" w:type="dxa"/>
            <w:vAlign w:val="bottom"/>
          </w:tcPr>
          <w:p>
            <w:pPr>
              <w:ind w:left="1200"/>
              <w:spacing w:after="0"/>
              <w:rPr>
                <w:sz w:val="20"/>
                <w:szCs w:val="20"/>
                <w:color w:val="auto"/>
              </w:rPr>
            </w:pPr>
            <w:r>
              <w:rPr>
                <w:rFonts w:ascii="Arial" w:cs="Arial" w:eastAsia="Arial" w:hAnsi="Arial"/>
                <w:sz w:val="18"/>
                <w:szCs w:val="18"/>
                <w:color w:val="auto"/>
              </w:rPr>
              <w:t>Root, Inc.</w:t>
            </w:r>
          </w:p>
        </w:tc>
        <w:tc>
          <w:tcPr>
            <w:tcW w:w="10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540"/>
        </w:trPr>
        <w:tc>
          <w:tcPr>
            <w:tcW w:w="2580" w:type="dxa"/>
            <w:vAlign w:val="bottom"/>
          </w:tcPr>
          <w:p>
            <w:pPr>
              <w:spacing w:after="0"/>
              <w:rPr>
                <w:sz w:val="20"/>
                <w:szCs w:val="20"/>
                <w:color w:val="auto"/>
              </w:rPr>
            </w:pPr>
            <w:r>
              <w:rPr>
                <w:rFonts w:ascii="Arial" w:cs="Arial" w:eastAsia="Arial" w:hAnsi="Arial"/>
                <w:sz w:val="18"/>
                <w:szCs w:val="18"/>
                <w:color w:val="auto"/>
              </w:rPr>
              <w:t>Date: May 6, 2021</w:t>
            </w:r>
          </w:p>
        </w:tc>
        <w:tc>
          <w:tcPr>
            <w:tcW w:w="2000" w:type="dxa"/>
            <w:vAlign w:val="bottom"/>
          </w:tcPr>
          <w:p>
            <w:pPr>
              <w:ind w:left="1200"/>
              <w:spacing w:after="0"/>
              <w:rPr>
                <w:sz w:val="20"/>
                <w:szCs w:val="20"/>
                <w:color w:val="auto"/>
              </w:rPr>
            </w:pPr>
            <w:r>
              <w:rPr>
                <w:rFonts w:ascii="Arial" w:cs="Arial" w:eastAsia="Arial" w:hAnsi="Arial"/>
                <w:sz w:val="18"/>
                <w:szCs w:val="18"/>
                <w:color w:val="auto"/>
              </w:rPr>
              <w:t>By:</w:t>
            </w:r>
          </w:p>
        </w:tc>
        <w:tc>
          <w:tcPr>
            <w:tcW w:w="6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Megan Binkley</w:t>
            </w:r>
          </w:p>
        </w:tc>
      </w:tr>
      <w:tr>
        <w:trPr>
          <w:trHeight w:val="237"/>
        </w:trPr>
        <w:tc>
          <w:tcPr>
            <w:tcW w:w="25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Megan Binkley</w:t>
            </w:r>
          </w:p>
        </w:tc>
      </w:tr>
      <w:tr>
        <w:trPr>
          <w:trHeight w:val="257"/>
        </w:trPr>
        <w:tc>
          <w:tcPr>
            <w:tcW w:w="25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r>
      <w:tr>
        <w:trPr>
          <w:trHeight w:val="256"/>
        </w:trPr>
        <w:tc>
          <w:tcPr>
            <w:tcW w:w="25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r>
    </w:tbl>
    <w:p>
      <w:pPr>
        <w:sectPr>
          <w:pgSz w:w="11900" w:h="16838" w:orient="portrait"/>
          <w:cols w:equalWidth="0" w:num="1">
            <w:col w:w="11240"/>
          </w:cols>
          <w:pgMar w:left="320" w:top="141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b w:val="1"/>
          <w:bCs w:val="1"/>
          <w:color w:val="auto"/>
        </w:rPr>
        <w:t>EXHIBIT 3.2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BYLAWS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ROOT,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OFFICES</w:t>
      </w:r>
    </w:p>
    <w:p>
      <w:pPr>
        <w:spacing w:after="0" w:line="216"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20"/>
          <w:szCs w:val="20"/>
          <w:b w:val="1"/>
          <w:bCs w:val="1"/>
          <w:color w:val="auto"/>
        </w:rPr>
        <w:t xml:space="preserve">Section 1. Registered Office. </w:t>
      </w:r>
      <w:r>
        <w:rPr>
          <w:rFonts w:ascii="Arial" w:cs="Arial" w:eastAsia="Arial" w:hAnsi="Arial"/>
          <w:sz w:val="20"/>
          <w:szCs w:val="20"/>
          <w:color w:val="auto"/>
        </w:rPr>
        <w:t>The registered office of the corporation in the State of Delaware shall be as set forth in the Certificate of</w:t>
      </w:r>
      <w:r>
        <w:rPr>
          <w:rFonts w:ascii="Arial" w:cs="Arial" w:eastAsia="Arial" w:hAnsi="Arial"/>
          <w:sz w:val="20"/>
          <w:szCs w:val="20"/>
          <w:b w:val="1"/>
          <w:bCs w:val="1"/>
          <w:color w:val="auto"/>
        </w:rPr>
        <w:t xml:space="preserve"> </w:t>
      </w:r>
      <w:r>
        <w:rPr>
          <w:rFonts w:ascii="Arial" w:cs="Arial" w:eastAsia="Arial" w:hAnsi="Arial"/>
          <w:sz w:val="20"/>
          <w:szCs w:val="20"/>
          <w:color w:val="auto"/>
        </w:rPr>
        <w:t>Incorporation.</w:t>
      </w:r>
    </w:p>
    <w:p>
      <w:pPr>
        <w:spacing w:after="0" w:line="1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0"/>
          <w:szCs w:val="20"/>
          <w:b w:val="1"/>
          <w:bCs w:val="1"/>
          <w:color w:val="auto"/>
        </w:rPr>
        <w:t xml:space="preserve">Section 2. Other Offices. </w:t>
      </w:r>
      <w:r>
        <w:rPr>
          <w:rFonts w:ascii="Arial" w:cs="Arial" w:eastAsia="Arial" w:hAnsi="Arial"/>
          <w:sz w:val="20"/>
          <w:szCs w:val="20"/>
          <w:color w:val="auto"/>
        </w:rPr>
        <w:t>The corporation shall also have and maintain an office or principal place of business at such place as may be</w:t>
      </w:r>
      <w:r>
        <w:rPr>
          <w:rFonts w:ascii="Arial" w:cs="Arial" w:eastAsia="Arial" w:hAnsi="Arial"/>
          <w:sz w:val="20"/>
          <w:szCs w:val="20"/>
          <w:b w:val="1"/>
          <w:bCs w:val="1"/>
          <w:color w:val="auto"/>
        </w:rPr>
        <w:t xml:space="preserve"> </w:t>
      </w:r>
      <w:r>
        <w:rPr>
          <w:rFonts w:ascii="Arial" w:cs="Arial" w:eastAsia="Arial" w:hAnsi="Arial"/>
          <w:sz w:val="20"/>
          <w:szCs w:val="20"/>
          <w:color w:val="auto"/>
        </w:rPr>
        <w:t>fixed by the Board of Directors, and may also have offices at such other places, both within and without the State of Delaware, as the Board of Directors may from time to time determine or the business of the corporation may require.</w:t>
      </w:r>
    </w:p>
    <w:p>
      <w:pPr>
        <w:spacing w:after="0" w:line="177"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CORPORATE SEAL</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0"/>
          <w:szCs w:val="20"/>
          <w:b w:val="1"/>
          <w:bCs w:val="1"/>
          <w:color w:val="auto"/>
        </w:rPr>
        <w:t xml:space="preserve">Section 3. Corporate Seal. </w:t>
      </w:r>
      <w:r>
        <w:rPr>
          <w:rFonts w:ascii="Arial" w:cs="Arial" w:eastAsia="Arial" w:hAnsi="Arial"/>
          <w:sz w:val="20"/>
          <w:szCs w:val="20"/>
          <w:color w:val="auto"/>
        </w:rPr>
        <w:t>The Board of Directors may adopt a corporate seal. If adopted, the corporate seal shall consist of a die</w:t>
      </w:r>
      <w:r>
        <w:rPr>
          <w:rFonts w:ascii="Arial" w:cs="Arial" w:eastAsia="Arial" w:hAnsi="Arial"/>
          <w:sz w:val="20"/>
          <w:szCs w:val="20"/>
          <w:b w:val="1"/>
          <w:bCs w:val="1"/>
          <w:color w:val="auto"/>
        </w:rPr>
        <w:t xml:space="preserve"> </w:t>
      </w:r>
      <w:r>
        <w:rPr>
          <w:rFonts w:ascii="Arial" w:cs="Arial" w:eastAsia="Arial" w:hAnsi="Arial"/>
          <w:sz w:val="20"/>
          <w:szCs w:val="20"/>
          <w:color w:val="auto"/>
        </w:rPr>
        <w:t>bearing the name of the corporation and the inscription, “Corporate Seal Delaware.” Said seal may be used by causing it or a facsimile thereof to be impressed or affixed or reproduced or otherwise.</w:t>
      </w:r>
    </w:p>
    <w:p>
      <w:pPr>
        <w:spacing w:after="0" w:line="177" w:lineRule="exact"/>
        <w:rPr>
          <w:sz w:val="20"/>
          <w:szCs w:val="20"/>
          <w:color w:val="auto"/>
        </w:rPr>
      </w:pPr>
    </w:p>
    <w:p>
      <w:pPr>
        <w:ind w:left="5360"/>
        <w:spacing w:after="0"/>
        <w:rPr>
          <w:sz w:val="20"/>
          <w:szCs w:val="20"/>
          <w:color w:val="auto"/>
        </w:rPr>
      </w:pPr>
      <w:r>
        <w:rPr>
          <w:rFonts w:ascii="Arial" w:cs="Arial" w:eastAsia="Arial" w:hAnsi="Arial"/>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STOCKHOLDERS' MEETINGS</w:t>
      </w:r>
    </w:p>
    <w:p>
      <w:pPr>
        <w:spacing w:after="0" w:line="216"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0"/>
          <w:szCs w:val="20"/>
          <w:b w:val="1"/>
          <w:bCs w:val="1"/>
          <w:color w:val="auto"/>
        </w:rPr>
        <w:t xml:space="preserve">Section 4. Place of Meetings. </w:t>
      </w:r>
      <w:r>
        <w:rPr>
          <w:rFonts w:ascii="Arial" w:cs="Arial" w:eastAsia="Arial" w:hAnsi="Arial"/>
          <w:sz w:val="20"/>
          <w:szCs w:val="20"/>
          <w:color w:val="auto"/>
        </w:rPr>
        <w:t>Meetings of the stockholders of the corporation may be held at such place, either within or without the</w:t>
      </w:r>
      <w:r>
        <w:rPr>
          <w:rFonts w:ascii="Arial" w:cs="Arial" w:eastAsia="Arial" w:hAnsi="Arial"/>
          <w:sz w:val="20"/>
          <w:szCs w:val="20"/>
          <w:b w:val="1"/>
          <w:bCs w:val="1"/>
          <w:color w:val="auto"/>
        </w:rPr>
        <w:t xml:space="preserve"> </w:t>
      </w:r>
      <w:r>
        <w:rPr>
          <w:rFonts w:ascii="Arial" w:cs="Arial" w:eastAsia="Arial" w:hAnsi="Arial"/>
          <w:sz w:val="20"/>
          <w:szCs w:val="20"/>
          <w:color w:val="auto"/>
        </w:rPr>
        <w:t>State of Delaware, as may be determined from time to time by the Board of Directors. The Board of Directors may, in its sole discretion, determine that the meeting shall not be held at any place, but may instead be held solely by means of remote communication as provided under the General Corporation Law of the State of Delaware (“</w:t>
      </w:r>
      <w:r>
        <w:rPr>
          <w:rFonts w:ascii="Arial" w:cs="Arial" w:eastAsia="Arial" w:hAnsi="Arial"/>
          <w:sz w:val="20"/>
          <w:szCs w:val="20"/>
          <w:b w:val="1"/>
          <w:bCs w:val="1"/>
          <w:i w:val="1"/>
          <w:iCs w:val="1"/>
          <w:color w:val="auto"/>
        </w:rPr>
        <w:t>DGCL</w:t>
      </w:r>
      <w:r>
        <w:rPr>
          <w:rFonts w:ascii="Arial" w:cs="Arial" w:eastAsia="Arial" w:hAnsi="Arial"/>
          <w:sz w:val="20"/>
          <w:szCs w:val="20"/>
          <w:color w:val="auto"/>
        </w:rPr>
        <w: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Section 5.  Annual Meeting.</w:t>
      </w:r>
    </w:p>
    <w:p>
      <w:pPr>
        <w:spacing w:after="0" w:line="222" w:lineRule="exact"/>
        <w:rPr>
          <w:sz w:val="20"/>
          <w:szCs w:val="20"/>
          <w:color w:val="auto"/>
        </w:rPr>
      </w:pPr>
    </w:p>
    <w:p>
      <w:pPr>
        <w:jc w:val="both"/>
        <w:ind w:firstLine="899"/>
        <w:spacing w:after="0" w:line="263" w:lineRule="auto"/>
        <w:tabs>
          <w:tab w:leader="none" w:pos="1284" w:val="left"/>
        </w:tabs>
        <w:numPr>
          <w:ilvl w:val="0"/>
          <w:numId w:val="21"/>
        </w:numPr>
        <w:rPr>
          <w:rFonts w:ascii="Arial" w:cs="Arial" w:eastAsia="Arial" w:hAnsi="Arial"/>
          <w:sz w:val="19"/>
          <w:szCs w:val="19"/>
          <w:b w:val="1"/>
          <w:bCs w:val="1"/>
          <w:color w:val="auto"/>
        </w:rPr>
      </w:pPr>
      <w:r>
        <w:rPr>
          <w:rFonts w:ascii="Arial" w:cs="Arial" w:eastAsia="Arial" w:hAnsi="Arial"/>
          <w:sz w:val="19"/>
          <w:szCs w:val="19"/>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proposals of business to be considered by the stockholders may be made at an annual meeting of stockholders: (i) pursuant to the corporation’s notice</w:t>
      </w:r>
    </w:p>
    <w:p>
      <w:pPr>
        <w:sectPr>
          <w:pgSz w:w="11900" w:h="16838" w:orient="portrait"/>
          <w:cols w:equalWidth="0" w:num="1">
            <w:col w:w="11240"/>
          </w:cols>
          <w:pgMar w:left="320" w:top="141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of meeting of stockholders; (ii) brought specifically by or at the direction of the Board of Directors or a duly authorized committee thereof; or</w:t>
      </w:r>
    </w:p>
    <w:p>
      <w:pPr>
        <w:spacing w:after="0" w:line="39" w:lineRule="exact"/>
        <w:rPr>
          <w:sz w:val="20"/>
          <w:szCs w:val="20"/>
          <w:color w:val="auto"/>
        </w:rPr>
      </w:pPr>
    </w:p>
    <w:p>
      <w:pPr>
        <w:jc w:val="both"/>
        <w:ind w:firstLine="8"/>
        <w:spacing w:after="0"/>
        <w:tabs>
          <w:tab w:leader="none" w:pos="366" w:val="left"/>
        </w:tabs>
        <w:numPr>
          <w:ilvl w:val="0"/>
          <w:numId w:val="22"/>
        </w:numPr>
        <w:rPr>
          <w:rFonts w:ascii="Arial" w:cs="Arial" w:eastAsia="Arial" w:hAnsi="Arial"/>
          <w:sz w:val="20"/>
          <w:szCs w:val="20"/>
          <w:color w:val="auto"/>
        </w:rPr>
      </w:pPr>
      <w:r>
        <w:rPr>
          <w:rFonts w:ascii="Arial" w:cs="Arial" w:eastAsia="Arial" w:hAnsi="Arial"/>
          <w:sz w:val="20"/>
          <w:szCs w:val="20"/>
          <w:color w:val="auto"/>
        </w:rPr>
        <w:t>by any stockholder of the corporation who was a stockholder of record at the time of giving the stockholder’s notice provided for in Section 5(b) below, who is entitled to vote at the meeting and who complied with the notice procedures set forth in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(the “</w:t>
      </w:r>
      <w:r>
        <w:rPr>
          <w:rFonts w:ascii="Arial" w:cs="Arial" w:eastAsia="Arial" w:hAnsi="Arial"/>
          <w:sz w:val="20"/>
          <w:szCs w:val="20"/>
          <w:b w:val="1"/>
          <w:bCs w:val="1"/>
          <w:i w:val="1"/>
          <w:iCs w:val="1"/>
          <w:color w:val="auto"/>
        </w:rPr>
        <w:t>1934 Act</w:t>
      </w:r>
      <w:r>
        <w:rPr>
          <w:rFonts w:ascii="Arial" w:cs="Arial" w:eastAsia="Arial" w:hAnsi="Arial"/>
          <w:sz w:val="20"/>
          <w:szCs w:val="20"/>
          <w:color w:val="auto"/>
        </w:rPr>
        <w:t>”), and the rules and regulations thereunder before an annual meeting of stockholders).</w:t>
      </w:r>
    </w:p>
    <w:p>
      <w:pPr>
        <w:spacing w:after="0" w:line="197" w:lineRule="exact"/>
        <w:rPr>
          <w:rFonts w:ascii="Arial" w:cs="Arial" w:eastAsia="Arial" w:hAnsi="Arial"/>
          <w:sz w:val="20"/>
          <w:szCs w:val="20"/>
          <w:color w:val="auto"/>
        </w:rPr>
      </w:pPr>
    </w:p>
    <w:p>
      <w:pPr>
        <w:ind w:firstLine="818"/>
        <w:spacing w:after="0" w:line="287" w:lineRule="auto"/>
        <w:tabs>
          <w:tab w:leader="none" w:pos="1295" w:val="left"/>
        </w:tabs>
        <w:numPr>
          <w:ilvl w:val="1"/>
          <w:numId w:val="22"/>
        </w:numPr>
        <w:rPr>
          <w:rFonts w:ascii="Arial" w:cs="Arial" w:eastAsia="Arial" w:hAnsi="Arial"/>
          <w:sz w:val="19"/>
          <w:szCs w:val="19"/>
          <w:b w:val="1"/>
          <w:bCs w:val="1"/>
          <w:color w:val="auto"/>
        </w:rPr>
      </w:pPr>
      <w:r>
        <w:rPr>
          <w:rFonts w:ascii="Arial" w:cs="Arial" w:eastAsia="Arial" w:hAnsi="Arial"/>
          <w:sz w:val="19"/>
          <w:szCs w:val="19"/>
          <w:color w:val="auto"/>
        </w:rPr>
        <w:t>At an annual meeting of the stockholders, only such business shall be conducted as is a proper matter for stockholder action under Delaware law and as shall have been properly brought before the meeting in accordance with the procedures below.</w:t>
      </w:r>
    </w:p>
    <w:p>
      <w:pPr>
        <w:spacing w:after="0" w:line="152" w:lineRule="exact"/>
        <w:rPr>
          <w:rFonts w:ascii="Arial" w:cs="Arial" w:eastAsia="Arial" w:hAnsi="Arial"/>
          <w:sz w:val="19"/>
          <w:szCs w:val="19"/>
          <w:b w:val="1"/>
          <w:bCs w:val="1"/>
          <w:color w:val="auto"/>
        </w:rPr>
      </w:pPr>
    </w:p>
    <w:p>
      <w:pPr>
        <w:jc w:val="both"/>
        <w:ind w:firstLine="1304"/>
        <w:spacing w:after="0" w:line="302" w:lineRule="auto"/>
        <w:tabs>
          <w:tab w:leader="none" w:pos="1942" w:val="left"/>
        </w:tabs>
        <w:numPr>
          <w:ilvl w:val="2"/>
          <w:numId w:val="22"/>
        </w:numPr>
        <w:rPr>
          <w:rFonts w:ascii="Arial" w:cs="Arial" w:eastAsia="Arial" w:hAnsi="Arial"/>
          <w:sz w:val="16"/>
          <w:szCs w:val="16"/>
          <w:b w:val="1"/>
          <w:bCs w:val="1"/>
          <w:color w:val="auto"/>
        </w:rPr>
      </w:pPr>
      <w:r>
        <w:rPr>
          <w:rFonts w:ascii="Arial" w:cs="Arial" w:eastAsia="Arial" w:hAnsi="Arial"/>
          <w:sz w:val="16"/>
          <w:szCs w:val="16"/>
          <w:color w:val="auto"/>
        </w:rPr>
        <w:t>For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or series and number of shares of each class or series of capital stock of the corporation that are owned beneficially and of record by such nominee; (4) the date or dates on which such shares were acquired and the investment intent of such acquisition; and</w:t>
      </w:r>
    </w:p>
    <w:p>
      <w:pPr>
        <w:spacing w:after="0" w:line="1" w:lineRule="exact"/>
        <w:rPr>
          <w:rFonts w:ascii="Arial" w:cs="Arial" w:eastAsia="Arial" w:hAnsi="Arial"/>
          <w:sz w:val="16"/>
          <w:szCs w:val="16"/>
          <w:b w:val="1"/>
          <w:bCs w:val="1"/>
          <w:color w:val="auto"/>
        </w:rPr>
      </w:pPr>
    </w:p>
    <w:p>
      <w:pPr>
        <w:jc w:val="both"/>
        <w:spacing w:after="0" w:line="270" w:lineRule="auto"/>
        <w:rPr>
          <w:rFonts w:ascii="Arial" w:cs="Arial" w:eastAsia="Arial" w:hAnsi="Arial"/>
          <w:sz w:val="16"/>
          <w:szCs w:val="16"/>
          <w:b w:val="1"/>
          <w:bCs w:val="1"/>
          <w:color w:val="auto"/>
        </w:rPr>
      </w:pPr>
      <w:r>
        <w:rPr>
          <w:rFonts w:ascii="Arial" w:cs="Arial" w:eastAsia="Arial" w:hAnsi="Arial"/>
          <w:sz w:val="18"/>
          <w:szCs w:val="18"/>
          <w:color w:val="auto"/>
        </w:rPr>
        <w:t>(5)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in the corporation’s proxy statement and associated proxy card as a nominee of the stockholder and to serving as a director if elected); and (B) the information required by Section 5(b)(iv). The corporation may require any proposed nominee to furnish such other information as it may reasonably require to determine the eligibility of such proposed nominee to serve (i) as an independent director (as such term is used in any applicable stock exchange listing requirements or applicable law) of the corporation or (ii) on any committee or sub-committee of the Board of Directors under any applicable stock exchange listing requirements or applicable law, and that could be material to a reasonable stockholder’s understanding of the independence, or lack thereof, of such proposed nominee.</w:t>
      </w:r>
    </w:p>
    <w:p>
      <w:pPr>
        <w:spacing w:after="0" w:line="169" w:lineRule="exact"/>
        <w:rPr>
          <w:rFonts w:ascii="Arial" w:cs="Arial" w:eastAsia="Arial" w:hAnsi="Arial"/>
          <w:sz w:val="16"/>
          <w:szCs w:val="16"/>
          <w:b w:val="1"/>
          <w:bCs w:val="1"/>
          <w:color w:val="auto"/>
        </w:rPr>
      </w:pPr>
    </w:p>
    <w:p>
      <w:pPr>
        <w:jc w:val="both"/>
        <w:ind w:firstLine="1304"/>
        <w:spacing w:after="0" w:line="272" w:lineRule="auto"/>
        <w:tabs>
          <w:tab w:leader="none" w:pos="1943" w:val="left"/>
        </w:tabs>
        <w:numPr>
          <w:ilvl w:val="2"/>
          <w:numId w:val="22"/>
        </w:numPr>
        <w:rPr>
          <w:rFonts w:ascii="Arial" w:cs="Arial" w:eastAsia="Arial" w:hAnsi="Arial"/>
          <w:sz w:val="18"/>
          <w:szCs w:val="18"/>
          <w:b w:val="1"/>
          <w:bCs w:val="1"/>
          <w:color w:val="auto"/>
        </w:rPr>
      </w:pPr>
      <w:r>
        <w:rPr>
          <w:rFonts w:ascii="Arial" w:cs="Arial" w:eastAsia="Arial" w:hAnsi="Arial"/>
          <w:sz w:val="18"/>
          <w:szCs w:val="18"/>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(including any anticipated benefit of such business to any Proponent (as defined below) other than solely as a result of its ownership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49" w:name="page50"/>
    <w:bookmarkEnd w:id="49"/>
    <w:p>
      <w:pPr>
        <w:spacing w:after="0" w:line="260" w:lineRule="auto"/>
        <w:rPr>
          <w:sz w:val="20"/>
          <w:szCs w:val="20"/>
          <w:color w:val="auto"/>
        </w:rPr>
      </w:pPr>
      <w:r>
        <w:rPr>
          <w:rFonts w:ascii="Arial" w:cs="Arial" w:eastAsia="Arial" w:hAnsi="Arial"/>
          <w:sz w:val="20"/>
          <w:szCs w:val="20"/>
          <w:color w:val="auto"/>
        </w:rPr>
        <w:t>corporation’s capital stock, that is material to any Proponent individually, or to the Proponents in the aggregate) in such business of any Proponent; and (B) the information required by Section 5(b)(iv).</w:t>
      </w:r>
    </w:p>
    <w:p>
      <w:pPr>
        <w:spacing w:after="0" w:line="177" w:lineRule="exact"/>
        <w:rPr>
          <w:sz w:val="20"/>
          <w:szCs w:val="20"/>
          <w:color w:val="auto"/>
        </w:rPr>
      </w:pPr>
    </w:p>
    <w:p>
      <w:pPr>
        <w:jc w:val="both"/>
        <w:ind w:firstLine="1304"/>
        <w:spacing w:after="0" w:line="230" w:lineRule="auto"/>
        <w:tabs>
          <w:tab w:leader="none" w:pos="1944" w:val="left"/>
        </w:tabs>
        <w:numPr>
          <w:ilvl w:val="1"/>
          <w:numId w:val="23"/>
        </w:numPr>
        <w:rPr>
          <w:rFonts w:ascii="Arial" w:cs="Arial" w:eastAsia="Arial" w:hAnsi="Arial"/>
          <w:sz w:val="19"/>
          <w:szCs w:val="19"/>
          <w:b w:val="1"/>
          <w:bCs w:val="1"/>
          <w:color w:val="auto"/>
        </w:rPr>
      </w:pPr>
      <w:r>
        <w:rPr>
          <w:rFonts w:ascii="Arial" w:cs="Arial" w:eastAsia="Arial" w:hAnsi="Arial"/>
          <w:sz w:val="19"/>
          <w:szCs w:val="19"/>
          <w:color w:val="auto"/>
        </w:rPr>
        <w:t>To be timely, the written notice required by Section 5(b)(i) or 5(b)(ii) must be received by the Secretary at the principal executive offices of the corporation not later than the close of business on the 90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nor earlier than the close of business on the 120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prior to the first anniversary of the preceding year’s annual meeting;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subject to the last sentence of this Section 5(b)(iii), in the event that the date of the annual meeting is advanced more than 30 days prior to or delayed by more than 30 days after the anniversary of the preceding year’s annual meeting, notice by the stockholder to be timely must be so received (A) not earlier than the close of business on the 120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prior to such annual meeting and (B) not later than the close of business on the later of the 90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prior to such annual meeting or, if later than the 90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prior to such annual meeting, the 10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following the day on which public announcement of the date of such meeting is first made. In no event shall an adjournment of an annual meeting for which notice has been given, or the public announcement thereof has been made, commence a new time period for the giving of a stockholder’s notice as described above.</w:t>
      </w:r>
    </w:p>
    <w:p>
      <w:pPr>
        <w:spacing w:after="0" w:line="196" w:lineRule="exact"/>
        <w:rPr>
          <w:rFonts w:ascii="Arial" w:cs="Arial" w:eastAsia="Arial" w:hAnsi="Arial"/>
          <w:sz w:val="19"/>
          <w:szCs w:val="19"/>
          <w:b w:val="1"/>
          <w:bCs w:val="1"/>
          <w:color w:val="auto"/>
        </w:rPr>
      </w:pPr>
    </w:p>
    <w:p>
      <w:pPr>
        <w:jc w:val="both"/>
        <w:ind w:firstLine="1304"/>
        <w:spacing w:after="0" w:line="269" w:lineRule="auto"/>
        <w:tabs>
          <w:tab w:leader="none" w:pos="1933"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The written notice required by Section 5(b)(i) or 5(b)(ii) shall also set forth, as of the date of the notice and as to the stockholder giving the notice and the beneficial owner, if any, on whose behalf the nomination or proposal is made (each, a “</w:t>
      </w:r>
      <w:r>
        <w:rPr>
          <w:rFonts w:ascii="Arial" w:cs="Arial" w:eastAsia="Arial" w:hAnsi="Arial"/>
          <w:sz w:val="18"/>
          <w:szCs w:val="18"/>
          <w:b w:val="1"/>
          <w:bCs w:val="1"/>
          <w:i w:val="1"/>
          <w:iCs w:val="1"/>
          <w:color w:val="auto"/>
        </w:rPr>
        <w:t>Proponent</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Proponents</w:t>
      </w:r>
      <w:r>
        <w:rPr>
          <w:rFonts w:ascii="Arial" w:cs="Arial" w:eastAsia="Arial" w:hAnsi="Arial"/>
          <w:sz w:val="18"/>
          <w:szCs w:val="18"/>
          <w:color w:val="auto"/>
        </w:rPr>
        <w:t>”): (A) the name and address of each Proponent, as they appear on the corporation’s books; (B) the class or series and number of shares of each class of capital stock of the corporation that are owned of record and beneficially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5(b)(ii)); (E) a representation as to whether the Proponents intend to deliver a proxy statement and form of proxy to holders of a sufficient number of holders of the corporation’s voting shares to elect such nominee or nominees (with respect to a notice under Section 5(b)(i)) or to carry such proposal (with respect to a notice under Section 5(b)(ii)); (F) to the extent known by any Proponent, the name and address of any other stockholder supporting the proposal on the date of such stockholder’s notice; and (G) a description of all Derivative Transactions (as defined below) by each Proponent during the previous 12-month period, including the date of the transactions and the class, series and number of securities involved in, and the material economic terms of, such Derivative Transactions.</w:t>
      </w:r>
    </w:p>
    <w:p>
      <w:pPr>
        <w:spacing w:after="0" w:line="176" w:lineRule="exact"/>
        <w:rPr>
          <w:rFonts w:ascii="Arial" w:cs="Arial" w:eastAsia="Arial" w:hAnsi="Arial"/>
          <w:sz w:val="18"/>
          <w:szCs w:val="18"/>
          <w:b w:val="1"/>
          <w:bCs w:val="1"/>
          <w:color w:val="auto"/>
        </w:rPr>
      </w:pPr>
    </w:p>
    <w:p>
      <w:pPr>
        <w:jc w:val="both"/>
        <w:ind w:firstLine="818"/>
        <w:spacing w:after="0" w:line="242" w:lineRule="auto"/>
        <w:tabs>
          <w:tab w:leader="none" w:pos="1286" w:val="left"/>
        </w:tabs>
        <w:numPr>
          <w:ilvl w:val="0"/>
          <w:numId w:val="24"/>
        </w:numPr>
        <w:rPr>
          <w:rFonts w:ascii="Arial" w:cs="Arial" w:eastAsia="Arial" w:hAnsi="Arial"/>
          <w:sz w:val="20"/>
          <w:szCs w:val="20"/>
          <w:b w:val="1"/>
          <w:bCs w:val="1"/>
          <w:color w:val="auto"/>
        </w:rPr>
      </w:pPr>
      <w:r>
        <w:rPr>
          <w:rFonts w:ascii="Arial" w:cs="Arial" w:eastAsia="Arial" w:hAnsi="Arial"/>
          <w:sz w:val="20"/>
          <w:szCs w:val="20"/>
          <w:color w:val="auto"/>
        </w:rPr>
        <w:t>A stockholder providing the written notice required by Section 5(b)(i) or 5(b)(ii) shall update and supplement such notice in writing, if necessary, so that the information provided or required to be provided in such notice is true and correct in all material respects as of (i) the record date for the meeting and (ii) the date that is five Business Days (as defined below) prior to the meeting and, in the event of any adjournment thereof, five Business Days prior to such adjourned meeting. In the case of an update and supplement pursuant to clause (i) of this Section 5(c), such update and supplement shall be received by the Secretary at the principal executive offices of the corporation not later than five Business Days after the record date for the meeting. In the case of an update and supplement pursuant to clause (ii) of this Section 5(c), such update and supplement shall be received by the Secretary at the principal executive offices of the corporation not later than two Business Days prior to the date for the meeting, and, in the event of any adjournment thereof, two Business Days prior to such adjourned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50" w:name="page51"/>
    <w:bookmarkEnd w:id="50"/>
    <w:p>
      <w:pPr>
        <w:jc w:val="both"/>
        <w:ind w:firstLine="818"/>
        <w:spacing w:after="0" w:line="274" w:lineRule="auto"/>
        <w:tabs>
          <w:tab w:leader="none" w:pos="1295"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 person shall not be eligible for election or re-election as a director unless the person is nominated either in accordance with clause (ii) or clause (iii) of Section 5(a). Except as otherwise required by law, the Chairperson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5(b)(iv)(D) and 5(b)(iv)(E), to declare that such proposal or nomination shall not be presented for stockholder action at the meeting and shall be disregarded, notwithstanding that proxies in respect of such nomination or such business may have been solicited or received.</w:t>
      </w:r>
    </w:p>
    <w:p>
      <w:pPr>
        <w:spacing w:after="0" w:line="168" w:lineRule="exact"/>
        <w:rPr>
          <w:rFonts w:ascii="Arial" w:cs="Arial" w:eastAsia="Arial" w:hAnsi="Arial"/>
          <w:sz w:val="18"/>
          <w:szCs w:val="18"/>
          <w:b w:val="1"/>
          <w:bCs w:val="1"/>
          <w:color w:val="auto"/>
        </w:rPr>
      </w:pPr>
    </w:p>
    <w:p>
      <w:pPr>
        <w:jc w:val="both"/>
        <w:ind w:firstLine="818"/>
        <w:spacing w:after="0" w:line="259" w:lineRule="auto"/>
        <w:tabs>
          <w:tab w:leader="none" w:pos="1286" w:val="left"/>
        </w:tabs>
        <w:numPr>
          <w:ilvl w:val="0"/>
          <w:numId w:val="25"/>
        </w:numPr>
        <w:rPr>
          <w:rFonts w:ascii="Arial" w:cs="Arial" w:eastAsia="Arial" w:hAnsi="Arial"/>
          <w:sz w:val="19"/>
          <w:szCs w:val="19"/>
          <w:b w:val="1"/>
          <w:bCs w:val="1"/>
          <w:color w:val="auto"/>
        </w:rPr>
      </w:pPr>
      <w:r>
        <w:rPr>
          <w:rFonts w:ascii="Arial" w:cs="Arial" w:eastAsia="Arial" w:hAnsi="Arial"/>
          <w:sz w:val="19"/>
          <w:szCs w:val="19"/>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any references in these Bylaws to the 1934 Act or the rules and regulations thereunder are not intended to and shall not limit the</w:t>
      </w:r>
      <w:r>
        <w:rPr>
          <w:rFonts w:ascii="Arial" w:cs="Arial" w:eastAsia="Arial" w:hAnsi="Arial"/>
          <w:sz w:val="19"/>
          <w:szCs w:val="19"/>
          <w:i w:val="1"/>
          <w:iCs w:val="1"/>
          <w:color w:val="auto"/>
        </w:rPr>
        <w:t xml:space="preserve"> </w:t>
      </w:r>
      <w:r>
        <w:rPr>
          <w:rFonts w:ascii="Arial" w:cs="Arial" w:eastAsia="Arial" w:hAnsi="Arial"/>
          <w:sz w:val="19"/>
          <w:szCs w:val="19"/>
          <w:color w:val="auto"/>
        </w:rPr>
        <w:t>requirements applicable to proposals and/or nominations to be considered pursuant to Section 5(a).</w:t>
      </w:r>
    </w:p>
    <w:p>
      <w:pPr>
        <w:spacing w:after="0" w:line="178" w:lineRule="exact"/>
        <w:rPr>
          <w:rFonts w:ascii="Arial" w:cs="Arial" w:eastAsia="Arial" w:hAnsi="Arial"/>
          <w:sz w:val="19"/>
          <w:szCs w:val="19"/>
          <w:b w:val="1"/>
          <w:bCs w:val="1"/>
          <w:color w:val="auto"/>
        </w:rPr>
      </w:pPr>
    </w:p>
    <w:p>
      <w:pPr>
        <w:jc w:val="both"/>
        <w:ind w:firstLine="818"/>
        <w:spacing w:after="0" w:line="257" w:lineRule="auto"/>
        <w:tabs>
          <w:tab w:leader="none" w:pos="1291" w:val="left"/>
        </w:tabs>
        <w:numPr>
          <w:ilvl w:val="0"/>
          <w:numId w:val="25"/>
        </w:numPr>
        <w:rPr>
          <w:rFonts w:ascii="Arial" w:cs="Arial" w:eastAsia="Arial" w:hAnsi="Arial"/>
          <w:sz w:val="19"/>
          <w:szCs w:val="19"/>
          <w:b w:val="1"/>
          <w:bCs w:val="1"/>
          <w:color w:val="auto"/>
        </w:rPr>
      </w:pPr>
      <w:r>
        <w:rPr>
          <w:rFonts w:ascii="Arial" w:cs="Arial" w:eastAsia="Arial" w:hAnsi="Arial"/>
          <w:sz w:val="19"/>
          <w:szCs w:val="19"/>
          <w:color w:val="auto"/>
        </w:rPr>
        <w:t>Notwithstanding anything herein to the contrary, in the event that the number of directors to be elected to the Board of Directors of the corporation at the annual meeting is increased effective after the time period for which nominations would otherwise be due under Section 5(b)(iii) and there is no public announcement by the corporation naming the nominees for the additional directorships at least one hundred (100) days prior to the first anniversary of the preceding year’s annual meeting, a stockholder’s notice required by this Section 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w:t>
      </w:r>
    </w:p>
    <w:p>
      <w:pPr>
        <w:spacing w:after="0" w:line="184" w:lineRule="exact"/>
        <w:rPr>
          <w:rFonts w:ascii="Arial" w:cs="Arial" w:eastAsia="Arial" w:hAnsi="Arial"/>
          <w:sz w:val="19"/>
          <w:szCs w:val="19"/>
          <w:b w:val="1"/>
          <w:bCs w:val="1"/>
          <w:color w:val="auto"/>
        </w:rPr>
      </w:pPr>
    </w:p>
    <w:p>
      <w:pPr>
        <w:ind w:left="1300" w:hanging="482"/>
        <w:spacing w:after="0"/>
        <w:tabs>
          <w:tab w:leader="none" w:pos="1300" w:val="left"/>
        </w:tabs>
        <w:numPr>
          <w:ilvl w:val="0"/>
          <w:numId w:val="25"/>
        </w:numPr>
        <w:rPr>
          <w:rFonts w:ascii="Arial" w:cs="Arial" w:eastAsia="Arial" w:hAnsi="Arial"/>
          <w:sz w:val="20"/>
          <w:szCs w:val="20"/>
          <w:b w:val="1"/>
          <w:bCs w:val="1"/>
          <w:color w:val="auto"/>
        </w:rPr>
      </w:pPr>
      <w:r>
        <w:rPr>
          <w:rFonts w:ascii="Arial" w:cs="Arial" w:eastAsia="Arial" w:hAnsi="Arial"/>
          <w:sz w:val="20"/>
          <w:szCs w:val="20"/>
          <w:color w:val="auto"/>
        </w:rPr>
        <w:t>For purposes of Sections 5 and 6,</w:t>
      </w:r>
    </w:p>
    <w:p>
      <w:pPr>
        <w:spacing w:after="0" w:line="215" w:lineRule="exact"/>
        <w:rPr>
          <w:rFonts w:ascii="Arial" w:cs="Arial" w:eastAsia="Arial" w:hAnsi="Arial"/>
          <w:sz w:val="20"/>
          <w:szCs w:val="20"/>
          <w:b w:val="1"/>
          <w:bCs w:val="1"/>
          <w:color w:val="auto"/>
        </w:rPr>
      </w:pPr>
    </w:p>
    <w:p>
      <w:pPr>
        <w:ind w:firstLine="1304"/>
        <w:spacing w:after="0" w:line="260" w:lineRule="auto"/>
        <w:tabs>
          <w:tab w:leader="none" w:pos="2005" w:val="left"/>
        </w:tabs>
        <w:numPr>
          <w:ilvl w:val="1"/>
          <w:numId w:val="2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affiliates</w:t>
      </w:r>
      <w:r>
        <w:rPr>
          <w:rFonts w:ascii="Arial" w:cs="Arial" w:eastAsia="Arial" w:hAnsi="Arial"/>
          <w:sz w:val="20"/>
          <w:szCs w:val="20"/>
          <w:color w:val="auto"/>
        </w:rPr>
        <w:t>” and “</w:t>
      </w:r>
      <w:r>
        <w:rPr>
          <w:rFonts w:ascii="Arial" w:cs="Arial" w:eastAsia="Arial" w:hAnsi="Arial"/>
          <w:sz w:val="20"/>
          <w:szCs w:val="20"/>
          <w:b w:val="1"/>
          <w:bCs w:val="1"/>
          <w:i w:val="1"/>
          <w:iCs w:val="1"/>
          <w:color w:val="auto"/>
        </w:rPr>
        <w:t>associates</w:t>
      </w:r>
      <w:r>
        <w:rPr>
          <w:rFonts w:ascii="Arial" w:cs="Arial" w:eastAsia="Arial" w:hAnsi="Arial"/>
          <w:sz w:val="20"/>
          <w:szCs w:val="20"/>
          <w:color w:val="auto"/>
        </w:rPr>
        <w:t>” shall have the meanings set forth in Rule 405 under the Securities Act of 1933, as amended (the “</w:t>
      </w:r>
      <w:r>
        <w:rPr>
          <w:rFonts w:ascii="Arial" w:cs="Arial" w:eastAsia="Arial" w:hAnsi="Arial"/>
          <w:sz w:val="20"/>
          <w:szCs w:val="20"/>
          <w:b w:val="1"/>
          <w:bCs w:val="1"/>
          <w:i w:val="1"/>
          <w:iCs w:val="1"/>
          <w:color w:val="auto"/>
        </w:rPr>
        <w:t>1933 Act</w:t>
      </w:r>
      <w:r>
        <w:rPr>
          <w:rFonts w:ascii="Arial" w:cs="Arial" w:eastAsia="Arial" w:hAnsi="Arial"/>
          <w:sz w:val="20"/>
          <w:szCs w:val="20"/>
          <w:color w:val="auto"/>
        </w:rPr>
        <w:t>”);</w:t>
      </w:r>
    </w:p>
    <w:p>
      <w:pPr>
        <w:spacing w:after="0" w:line="176" w:lineRule="exact"/>
        <w:rPr>
          <w:rFonts w:ascii="Arial" w:cs="Arial" w:eastAsia="Arial" w:hAnsi="Arial"/>
          <w:sz w:val="20"/>
          <w:szCs w:val="20"/>
          <w:b w:val="1"/>
          <w:bCs w:val="1"/>
          <w:color w:val="auto"/>
        </w:rPr>
      </w:pPr>
    </w:p>
    <w:p>
      <w:pPr>
        <w:ind w:left="1960" w:hanging="656"/>
        <w:spacing w:after="0"/>
        <w:tabs>
          <w:tab w:leader="none" w:pos="1960"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Saturday, Sunday or a day on which banks are closed in New York City,</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New York.</w:t>
      </w:r>
    </w:p>
    <w:p>
      <w:pPr>
        <w:spacing w:after="0" w:line="199" w:lineRule="exact"/>
        <w:rPr>
          <w:rFonts w:ascii="Arial" w:cs="Arial" w:eastAsia="Arial" w:hAnsi="Arial"/>
          <w:sz w:val="18"/>
          <w:szCs w:val="18"/>
          <w:b w:val="1"/>
          <w:bCs w:val="1"/>
          <w:color w:val="auto"/>
        </w:rPr>
      </w:pPr>
    </w:p>
    <w:p>
      <w:pPr>
        <w:jc w:val="both"/>
        <w:ind w:firstLine="1304"/>
        <w:spacing w:after="0" w:line="272" w:lineRule="auto"/>
        <w:tabs>
          <w:tab w:leader="none" w:pos="1944"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Derivative Transaction</w:t>
      </w:r>
      <w:r>
        <w:rPr>
          <w:rFonts w:ascii="Arial" w:cs="Arial" w:eastAsia="Arial" w:hAnsi="Arial"/>
          <w:sz w:val="18"/>
          <w:szCs w:val="18"/>
          <w:color w:val="auto"/>
        </w:rPr>
        <w:t>” means any agreement, arrangement, interest or understanding entered into by, or on behalf or for the benefit of, any Proponent or any of its affiliates or associates, whether record or beneficial: (A) the value of which is derived in whole or in part from the value of any class or series of shares or other securities of the corporation; (B) that otherwise provides any direct or indirect opportunity to gain or share in any gain derived from a change in the value of securities of the corporation; (C) the effect or intent of which is to mitigate loss, manage risk or benefit of security value or price changes; or (D) that provides the right to vote or increase or decrease the voting power of, such Proponent, or any of its affiliates or associates, with respect to any securities of the corporation,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51" w:name="page52"/>
    <w:bookmarkEnd w:id="51"/>
    <w:p>
      <w:pPr>
        <w:spacing w:after="0" w:line="316" w:lineRule="auto"/>
        <w:rPr>
          <w:sz w:val="20"/>
          <w:szCs w:val="20"/>
          <w:color w:val="auto"/>
        </w:rPr>
      </w:pPr>
      <w:r>
        <w:rPr>
          <w:rFonts w:ascii="Arial" w:cs="Arial" w:eastAsia="Arial" w:hAnsi="Arial"/>
          <w:sz w:val="18"/>
          <w:szCs w:val="18"/>
          <w:color w:val="auto"/>
        </w:rPr>
        <w:t>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130" w:lineRule="exact"/>
        <w:rPr>
          <w:sz w:val="20"/>
          <w:szCs w:val="20"/>
          <w:color w:val="auto"/>
        </w:rPr>
      </w:pPr>
    </w:p>
    <w:p>
      <w:pPr>
        <w:jc w:val="both"/>
        <w:ind w:firstLine="1304"/>
        <w:spacing w:after="0" w:line="282" w:lineRule="auto"/>
        <w:tabs>
          <w:tab w:leader="none" w:pos="1933"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public announcement</w:t>
      </w:r>
      <w:r>
        <w:rPr>
          <w:rFonts w:ascii="Arial" w:cs="Arial" w:eastAsia="Arial" w:hAnsi="Arial"/>
          <w:sz w:val="18"/>
          <w:szCs w:val="18"/>
          <w:color w:val="auto"/>
        </w:rPr>
        <w:t>” shall mean disclosure in a press release reported by the Dow Jones Newswires, Associated Press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Section 6.  Special Meetings.</w:t>
      </w:r>
    </w:p>
    <w:p>
      <w:pPr>
        <w:spacing w:after="0" w:line="222" w:lineRule="exact"/>
        <w:rPr>
          <w:sz w:val="20"/>
          <w:szCs w:val="20"/>
          <w:color w:val="auto"/>
        </w:rPr>
      </w:pPr>
    </w:p>
    <w:p>
      <w:pPr>
        <w:jc w:val="both"/>
        <w:ind w:firstLine="818"/>
        <w:spacing w:after="0" w:line="250" w:lineRule="auto"/>
        <w:tabs>
          <w:tab w:leader="none" w:pos="1284" w:val="left"/>
        </w:tabs>
        <w:numPr>
          <w:ilvl w:val="0"/>
          <w:numId w:val="27"/>
        </w:numPr>
        <w:rPr>
          <w:rFonts w:ascii="Arial" w:cs="Arial" w:eastAsia="Arial" w:hAnsi="Arial"/>
          <w:sz w:val="20"/>
          <w:szCs w:val="20"/>
          <w:b w:val="1"/>
          <w:bCs w:val="1"/>
          <w:color w:val="auto"/>
        </w:rPr>
      </w:pPr>
      <w:r>
        <w:rPr>
          <w:rFonts w:ascii="Arial" w:cs="Arial" w:eastAsia="Arial" w:hAnsi="Arial"/>
          <w:sz w:val="20"/>
          <w:szCs w:val="20"/>
          <w:color w:val="auto"/>
        </w:rPr>
        <w:t>Special meetings of the stockholders of the corporation may be called, for any purpose as is a proper matter for stockholder action under Delaware law, by (i) the Chairperson of the Board of Directors, (ii) the Chief Executive Officer, or (iii) the Board of Directors pursuant to a resolution adopted by the Board of Directors.</w:t>
      </w:r>
    </w:p>
    <w:p>
      <w:pPr>
        <w:spacing w:after="0" w:line="185" w:lineRule="exact"/>
        <w:rPr>
          <w:rFonts w:ascii="Arial" w:cs="Arial" w:eastAsia="Arial" w:hAnsi="Arial"/>
          <w:sz w:val="20"/>
          <w:szCs w:val="20"/>
          <w:b w:val="1"/>
          <w:bCs w:val="1"/>
          <w:color w:val="auto"/>
        </w:rPr>
      </w:pPr>
    </w:p>
    <w:p>
      <w:pPr>
        <w:jc w:val="both"/>
        <w:ind w:firstLine="818"/>
        <w:spacing w:after="0" w:line="260" w:lineRule="auto"/>
        <w:tabs>
          <w:tab w:leader="none" w:pos="1295" w:val="left"/>
        </w:tabs>
        <w:numPr>
          <w:ilvl w:val="0"/>
          <w:numId w:val="27"/>
        </w:numPr>
        <w:rPr>
          <w:rFonts w:ascii="Arial" w:cs="Arial" w:eastAsia="Arial" w:hAnsi="Arial"/>
          <w:sz w:val="19"/>
          <w:szCs w:val="19"/>
          <w:b w:val="1"/>
          <w:bCs w:val="1"/>
          <w:color w:val="auto"/>
        </w:rPr>
      </w:pPr>
      <w:r>
        <w:rPr>
          <w:rFonts w:ascii="Arial" w:cs="Arial" w:eastAsia="Arial" w:hAnsi="Arial"/>
          <w:sz w:val="19"/>
          <w:szCs w:val="19"/>
          <w:color w:val="auto"/>
        </w:rPr>
        <w:t>For a special meeting called pursuant to Section 6(a), the person(s) calling the meeting shall determine the time and place, if any, of the meeting; provided, however, that only the Board of Directors or a duly authorized committee thereof may authorize a meeting solely by means of remote communication. Upon determination of the time and place, if any, of the meeting, the Secretary shall cause a notice of meeting to be given to the stockholders entitled to vote, in accordance with the provisions of Section 7. No business may be transacted at a special meeting otherwise than as specified in the notice of meeting.</w:t>
      </w:r>
    </w:p>
    <w:p>
      <w:pPr>
        <w:spacing w:after="0" w:line="180" w:lineRule="exact"/>
        <w:rPr>
          <w:rFonts w:ascii="Arial" w:cs="Arial" w:eastAsia="Arial" w:hAnsi="Arial"/>
          <w:sz w:val="19"/>
          <w:szCs w:val="19"/>
          <w:b w:val="1"/>
          <w:bCs w:val="1"/>
          <w:color w:val="auto"/>
        </w:rPr>
      </w:pPr>
    </w:p>
    <w:p>
      <w:pPr>
        <w:jc w:val="both"/>
        <w:ind w:firstLine="818"/>
        <w:spacing w:after="0" w:line="244" w:lineRule="auto"/>
        <w:tabs>
          <w:tab w:leader="none" w:pos="1286" w:val="left"/>
        </w:tabs>
        <w:numPr>
          <w:ilvl w:val="0"/>
          <w:numId w:val="27"/>
        </w:numPr>
        <w:rPr>
          <w:rFonts w:ascii="Arial" w:cs="Arial" w:eastAsia="Arial" w:hAnsi="Arial"/>
          <w:sz w:val="19"/>
          <w:szCs w:val="19"/>
          <w:b w:val="1"/>
          <w:bCs w:val="1"/>
          <w:color w:val="auto"/>
        </w:rPr>
      </w:pPr>
      <w:r>
        <w:rPr>
          <w:rFonts w:ascii="Arial" w:cs="Arial" w:eastAsia="Arial" w:hAnsi="Arial"/>
          <w:sz w:val="19"/>
          <w:szCs w:val="19"/>
          <w:color w:val="auto"/>
        </w:rPr>
        <w:t>Nominations of persons for election to the Board of Directors may be made at a special meeting of stockholders at which directors are to be elected (i) by or at the direction of the Board of Directors or a duly authorized committee thereof or (ii) by any stockholder of the corporation who is a stockholder of record at the time of giving notice provided for in this paragraph, who is entitled to vote at the meeting and who delivers written notice to the Secretary of the corporation setting forth the information required by Section 5(b)(i) and the information required by Section 5(b)(iv).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5(b)(i) and the information required by Section 5(b)(iv) shall be received by the Secretary at the principal executive offices of the corporation not later than the close of business on the later of the 90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prior to such meeting or the 10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following the day on which the corporation first makes a public announcement of the date of the special meeting at which directors are to be elected. The stockholder shall also update and supplement such information as required under Section 5(c). In no event shall an adjournment of a special meeting for which notice has been given, or the public announcement thereof has been made, commence a new time period for the giving of a stockholder’s notice as described above.</w:t>
      </w:r>
    </w:p>
    <w:p>
      <w:pPr>
        <w:spacing w:after="0" w:line="194" w:lineRule="exact"/>
        <w:rPr>
          <w:rFonts w:ascii="Arial" w:cs="Arial" w:eastAsia="Arial" w:hAnsi="Arial"/>
          <w:sz w:val="19"/>
          <w:szCs w:val="19"/>
          <w:b w:val="1"/>
          <w:bCs w:val="1"/>
          <w:color w:val="auto"/>
        </w:rPr>
      </w:pPr>
    </w:p>
    <w:p>
      <w:pPr>
        <w:jc w:val="both"/>
        <w:ind w:firstLine="818"/>
        <w:spacing w:after="0" w:line="263" w:lineRule="auto"/>
        <w:tabs>
          <w:tab w:leader="none" w:pos="1295" w:val="left"/>
        </w:tabs>
        <w:numPr>
          <w:ilvl w:val="0"/>
          <w:numId w:val="27"/>
        </w:numPr>
        <w:rPr>
          <w:rFonts w:ascii="Arial" w:cs="Arial" w:eastAsia="Arial" w:hAnsi="Arial"/>
          <w:sz w:val="19"/>
          <w:szCs w:val="19"/>
          <w:b w:val="1"/>
          <w:bCs w:val="1"/>
          <w:color w:val="auto"/>
        </w:rPr>
      </w:pPr>
      <w:r>
        <w:rPr>
          <w:rFonts w:ascii="Arial" w:cs="Arial" w:eastAsia="Arial" w:hAnsi="Arial"/>
          <w:sz w:val="19"/>
          <w:szCs w:val="19"/>
          <w:color w:val="auto"/>
        </w:rPr>
        <w:t>A person shall not be eligible for election or re-election as a director unless the person is nominated either in accordance with clause (ii) or clause (iii) of Section 5(a). Except as otherwise required by law, the Chairperson of the meeting shall have the power and duty to determine whether a nomination was made in accordance with the procedures set forth in these Bylaws and, if any nomination or business is not in compliance with these Bylaws, to declare that such nomination shall not be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52" w:name="page53"/>
    <w:bookmarkEnd w:id="52"/>
    <w:p>
      <w:pPr>
        <w:spacing w:after="0" w:line="260" w:lineRule="auto"/>
        <w:rPr>
          <w:sz w:val="20"/>
          <w:szCs w:val="20"/>
          <w:color w:val="auto"/>
        </w:rPr>
      </w:pPr>
      <w:r>
        <w:rPr>
          <w:rFonts w:ascii="Arial" w:cs="Arial" w:eastAsia="Arial" w:hAnsi="Arial"/>
          <w:sz w:val="20"/>
          <w:szCs w:val="20"/>
          <w:color w:val="auto"/>
        </w:rPr>
        <w:t>for stockholder action at the meeting and shall be disregarded, notwithstanding that proxies in respect of such nomination may have been solicited or received.</w:t>
      </w:r>
    </w:p>
    <w:p>
      <w:pPr>
        <w:spacing w:after="0" w:line="177" w:lineRule="exact"/>
        <w:rPr>
          <w:sz w:val="20"/>
          <w:szCs w:val="20"/>
          <w:color w:val="auto"/>
        </w:rPr>
      </w:pPr>
    </w:p>
    <w:p>
      <w:pPr>
        <w:jc w:val="both"/>
        <w:ind w:firstLine="818"/>
        <w:spacing w:after="0" w:line="259" w:lineRule="auto"/>
        <w:tabs>
          <w:tab w:leader="none" w:pos="1286" w:val="left"/>
        </w:tabs>
        <w:numPr>
          <w:ilvl w:val="0"/>
          <w:numId w:val="28"/>
        </w:numPr>
        <w:rPr>
          <w:rFonts w:ascii="Arial" w:cs="Arial" w:eastAsia="Arial" w:hAnsi="Arial"/>
          <w:sz w:val="19"/>
          <w:szCs w:val="19"/>
          <w:b w:val="1"/>
          <w:bCs w:val="1"/>
          <w:color w:val="auto"/>
        </w:rPr>
      </w:pPr>
      <w:r>
        <w:rPr>
          <w:rFonts w:ascii="Arial" w:cs="Arial" w:eastAsia="Arial" w:hAnsi="Arial"/>
          <w:sz w:val="19"/>
          <w:szCs w:val="19"/>
          <w:color w:val="auto"/>
        </w:rPr>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references in these Bylaws to the 1934 Act or the rules and regulations thereunder are not intended to and shall not limit the requirements applicable to nominations for the election to the Board of Directors or proposals of other businesses to be considered pursuant to Section 6(c).</w:t>
      </w:r>
    </w:p>
    <w:p>
      <w:pPr>
        <w:spacing w:after="0" w:line="17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6"/>
          <w:szCs w:val="16"/>
          <w:b w:val="1"/>
          <w:bCs w:val="1"/>
          <w:color w:val="auto"/>
        </w:rPr>
        <w:t xml:space="preserve">Section 7. Notice of Meetings. </w:t>
      </w:r>
      <w:r>
        <w:rPr>
          <w:rFonts w:ascii="Arial" w:cs="Arial" w:eastAsia="Arial" w:hAnsi="Arial"/>
          <w:sz w:val="16"/>
          <w:szCs w:val="16"/>
          <w:color w:val="auto"/>
        </w:rPr>
        <w:t>Except as otherwise provided by law, notice, given in writing or by electronic transmission,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of stockholders shall be given not fewer than 10 nor more than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given when deposited in the United States mail, postage prepaid, directed to the stockholder at such stockholder’s address as it appears on the records of the corporation. If sent via electronic transmission, notice is given when directed to such stockholder’s electronic mail address. Notice of the time, place, if any, and purpose of any meeting of stockholders (to the extent required)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3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b w:val="1"/>
          <w:bCs w:val="1"/>
          <w:color w:val="auto"/>
        </w:rPr>
        <w:t xml:space="preserve">Section 8. Quorum. </w:t>
      </w:r>
      <w:r>
        <w:rPr>
          <w:rFonts w:ascii="Arial" w:cs="Arial" w:eastAsia="Arial" w:hAnsi="Arial"/>
          <w:sz w:val="18"/>
          <w:szCs w:val="18"/>
          <w:color w:val="auto"/>
        </w:rPr>
        <w:t>At all meetings of stockholders, except where otherwise provided by statute or by the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by these Bylaws, the presence, in person, by remote communication, if applicable, or by proxy duly authorized, of the holders of a majority of the voting power of the outstanding shares of stock entitled to vote at the meeting shall constitute a quorum for the transaction of business. In the absence of a quorum, any meeting of stockholders may be adjourned, from time to time, either by the Chairperson of the meeting or by vote of the holders of a majority of the voting power of the shares represented thereat and entitled to vote thereon,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holders of a majority of the voting power of the shares present in person, by remote communication, if applicable, or represented by proxy duly authorized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statute, by applicable stock exchange rules or by the Certificate of Incorporation or these Bylaws, a majority of the voting power of the outstanding shares of such class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53" w:name="page54"/>
    <w:bookmarkEnd w:id="53"/>
    <w:p>
      <w:pPr>
        <w:jc w:val="both"/>
        <w:spacing w:after="0" w:line="260" w:lineRule="auto"/>
        <w:rPr>
          <w:sz w:val="20"/>
          <w:szCs w:val="20"/>
          <w:color w:val="auto"/>
        </w:rPr>
      </w:pPr>
      <w:r>
        <w:rPr>
          <w:rFonts w:ascii="Arial" w:cs="Arial" w:eastAsia="Arial" w:hAnsi="Arial"/>
          <w:sz w:val="19"/>
          <w:szCs w:val="19"/>
          <w:color w:val="auto"/>
        </w:rPr>
        <w:t>classes or series, present in person, by remote communication, if applicable, or represented by proxy duly authorized, shall constitute a quorum entitled to take action with respect to that vote on that matter. Except where otherwise provided by statute, by applicable stock exchange rules or by the Certificate of Incorporation or these Bylaws, the affirmative vote of the holders of a majority (plurality, in the case of the election of directors) of voting power of such class or classes or series present in person, by remote communication, if applicable, or represented by proxy at the meeting shall be the act of such class or classes or series.</w:t>
      </w:r>
    </w:p>
    <w:p>
      <w:pPr>
        <w:spacing w:after="0" w:line="17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color w:val="auto"/>
        </w:rPr>
        <w:t xml:space="preserve">Section 9. Adjournment and Notice of Adjourned Meetings. </w:t>
      </w:r>
      <w:r>
        <w:rPr>
          <w:rFonts w:ascii="Arial" w:cs="Arial" w:eastAsia="Arial" w:hAnsi="Arial"/>
          <w:sz w:val="18"/>
          <w:szCs w:val="18"/>
          <w:color w:val="auto"/>
        </w:rPr>
        <w:t>Any meeting of stockholders, whether annual or special,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adjourned from time to time either by the person(s) who called the meeting or the Chairperson of the meeting, or by the vote of the holders of a majority of the voting power of the shares present in person, by remote communication, if applicable, or represented by proxy duly authorized at the meeting and entitled to vote thereon. When a meeting is adjourned to another time or place, if any, notice need not be given of the adjourned meeting if the time and place, if any, thereof are announced at the meeting at which the adjournment is taken. At the adjourned meeting, the corporation may transact any business that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b w:val="1"/>
          <w:bCs w:val="1"/>
          <w:color w:val="auto"/>
        </w:rPr>
        <w:t xml:space="preserve">Section 10. Voting Rights. </w:t>
      </w:r>
      <w:r>
        <w:rPr>
          <w:rFonts w:ascii="Arial" w:cs="Arial" w:eastAsia="Arial" w:hAnsi="Arial"/>
          <w:sz w:val="19"/>
          <w:szCs w:val="19"/>
          <w:color w:val="auto"/>
        </w:rPr>
        <w:t>For the purpose of determining those stockholders entitled to vote at any meeting of the stockholders, except</w:t>
      </w:r>
      <w:r>
        <w:rPr>
          <w:rFonts w:ascii="Arial" w:cs="Arial" w:eastAsia="Arial" w:hAnsi="Arial"/>
          <w:sz w:val="19"/>
          <w:szCs w:val="19"/>
          <w:b w:val="1"/>
          <w:bCs w:val="1"/>
          <w:color w:val="auto"/>
        </w:rPr>
        <w:t xml:space="preserve"> </w:t>
      </w:r>
      <w:r>
        <w:rPr>
          <w:rFonts w:ascii="Arial" w:cs="Arial" w:eastAsia="Arial" w:hAnsi="Arial"/>
          <w:sz w:val="19"/>
          <w:szCs w:val="19"/>
          <w:color w:val="auto"/>
        </w:rPr>
        <w:t>as otherwise provided by law, only persons in whose names shares stand on the stock records of the corporation on the record date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years from its date of creation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b w:val="1"/>
          <w:bCs w:val="1"/>
          <w:color w:val="auto"/>
        </w:rPr>
        <w:t xml:space="preserve">Section 11. Joint Owners of Stock. </w:t>
      </w:r>
      <w:r>
        <w:rPr>
          <w:rFonts w:ascii="Arial" w:cs="Arial" w:eastAsia="Arial" w:hAnsi="Arial"/>
          <w:sz w:val="19"/>
          <w:szCs w:val="19"/>
          <w:color w:val="auto"/>
        </w:rPr>
        <w:t>If shares or other securities having voting power stand of record in the names of two or more</w:t>
      </w:r>
      <w:r>
        <w:rPr>
          <w:rFonts w:ascii="Arial" w:cs="Arial" w:eastAsia="Arial" w:hAnsi="Arial"/>
          <w:sz w:val="19"/>
          <w:szCs w:val="19"/>
          <w:b w:val="1"/>
          <w:bCs w:val="1"/>
          <w:color w:val="auto"/>
        </w:rPr>
        <w:t xml:space="preserve"> </w:t>
      </w:r>
      <w:r>
        <w:rPr>
          <w:rFonts w:ascii="Arial" w:cs="Arial" w:eastAsia="Arial" w:hAnsi="Arial"/>
          <w:sz w:val="19"/>
          <w:szCs w:val="19"/>
          <w:color w:val="auto"/>
        </w:rPr>
        <w:t>persons, whether fiduciaries, members of a partnership, joint 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votes, his or her act binds all; (b) if more than one votes, the act of the majority so voting binds all; (c) if more than one votes, but the vote is evenly split on any particular matter, each faction may vote the securities in question proportionally, or may apply to the Delaware Court of Chancery for relief as provided in DGCL Section 217(b). If the instrument filed with the Secretary shows that any such tenancy is held in unequal interests, a majority or even-split for the purpose of subsection (c) shall be a majority or even-split in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54" w:name="page55"/>
    <w:bookmarkEnd w:id="54"/>
    <w:p>
      <w:pPr>
        <w:jc w:val="both"/>
        <w:ind w:firstLine="324"/>
        <w:spacing w:after="0" w:line="258" w:lineRule="auto"/>
        <w:rPr>
          <w:sz w:val="20"/>
          <w:szCs w:val="20"/>
          <w:color w:val="auto"/>
        </w:rPr>
      </w:pPr>
      <w:r>
        <w:rPr>
          <w:rFonts w:ascii="Arial" w:cs="Arial" w:eastAsia="Arial" w:hAnsi="Arial"/>
          <w:sz w:val="19"/>
          <w:szCs w:val="19"/>
          <w:b w:val="1"/>
          <w:bCs w:val="1"/>
          <w:color w:val="auto"/>
        </w:rPr>
        <w:t xml:space="preserve">Section 12. List of Stockholders. </w:t>
      </w:r>
      <w:r>
        <w:rPr>
          <w:rFonts w:ascii="Arial" w:cs="Arial" w:eastAsia="Arial" w:hAnsi="Arial"/>
          <w:sz w:val="19"/>
          <w:szCs w:val="19"/>
          <w:color w:val="auto"/>
        </w:rPr>
        <w:t>The corporation shall prepare, at least ten days before every meeting of stockholders, a complete list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stockholders entitled to vote at said meeting, arranged in alphabetical order, showing the address of each stockholder and the number and class of shares registered in the name of each stockholder.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7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0"/>
          <w:szCs w:val="20"/>
          <w:b w:val="1"/>
          <w:bCs w:val="1"/>
          <w:color w:val="auto"/>
        </w:rPr>
        <w:t xml:space="preserve">Section 13. Action without Meeting. </w:t>
      </w:r>
      <w:r>
        <w:rPr>
          <w:rFonts w:ascii="Arial" w:cs="Arial" w:eastAsia="Arial" w:hAnsi="Arial"/>
          <w:sz w:val="20"/>
          <w:szCs w:val="20"/>
          <w:color w:val="auto"/>
        </w:rPr>
        <w:t>Any action required or permitted to be taken at any annual or special meeting of stockholders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corporation may be taken without a meeting, without prior notice and without a vote only to the extent permitted by and in the manner provided in the Certificate of Incorporation and in accordance with applicable law.</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Section 14. Organization.</w:t>
      </w:r>
    </w:p>
    <w:p>
      <w:pPr>
        <w:spacing w:after="0" w:line="222" w:lineRule="exact"/>
        <w:rPr>
          <w:sz w:val="20"/>
          <w:szCs w:val="20"/>
          <w:color w:val="auto"/>
        </w:rPr>
      </w:pPr>
    </w:p>
    <w:p>
      <w:pPr>
        <w:jc w:val="both"/>
        <w:ind w:firstLine="818"/>
        <w:spacing w:after="0" w:line="257" w:lineRule="auto"/>
        <w:tabs>
          <w:tab w:leader="none" w:pos="1284" w:val="left"/>
        </w:tabs>
        <w:numPr>
          <w:ilvl w:val="0"/>
          <w:numId w:val="29"/>
        </w:numPr>
        <w:rPr>
          <w:rFonts w:ascii="Arial" w:cs="Arial" w:eastAsia="Arial" w:hAnsi="Arial"/>
          <w:sz w:val="19"/>
          <w:szCs w:val="19"/>
          <w:b w:val="1"/>
          <w:bCs w:val="1"/>
          <w:color w:val="auto"/>
        </w:rPr>
      </w:pPr>
      <w:r>
        <w:rPr>
          <w:rFonts w:ascii="Arial" w:cs="Arial" w:eastAsia="Arial" w:hAnsi="Arial"/>
          <w:sz w:val="19"/>
          <w:szCs w:val="19"/>
          <w:color w:val="auto"/>
        </w:rPr>
        <w:t>At every meeting of stockholders, the Chairperson of the Board of Directors, or, if a Chairperson has not been appointed, is absent or refuses to act, the Chief Executive Officer, or, if no Chief Executive Officer is then serving, is absent or refuses to act, the President, or, if the President is absent or refuses to act, a Chairperson of the meeting designated by the Board of Directors, or, if the Board of Directors does not designate such Chairperson, a Chairperson chosen by a majority of the voting power of the stockholders entitled to vote, present in person or by proxy duly authorized, shall act as Chairperson. The Chairperson of the Board may appoint the Chief Executive Officer as Chairperson of the meeting. The Secretary, or, in his or her absence, an Assistant Secretary directed to do so by the Chairperson of the meeting, shall act as secretary of the meeting.</w:t>
      </w:r>
    </w:p>
    <w:p>
      <w:pPr>
        <w:spacing w:after="0" w:line="184" w:lineRule="exact"/>
        <w:rPr>
          <w:rFonts w:ascii="Arial" w:cs="Arial" w:eastAsia="Arial" w:hAnsi="Arial"/>
          <w:sz w:val="19"/>
          <w:szCs w:val="19"/>
          <w:b w:val="1"/>
          <w:bCs w:val="1"/>
          <w:color w:val="auto"/>
        </w:rPr>
      </w:pPr>
    </w:p>
    <w:p>
      <w:pPr>
        <w:jc w:val="both"/>
        <w:ind w:firstLine="818"/>
        <w:spacing w:after="0" w:line="270" w:lineRule="auto"/>
        <w:tabs>
          <w:tab w:leader="none" w:pos="1295"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3"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20"/>
          <w:szCs w:val="20"/>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DIRECTORS</w:t>
      </w:r>
    </w:p>
    <w:p>
      <w:pPr>
        <w:spacing w:after="0" w:line="243" w:lineRule="exact"/>
        <w:rPr>
          <w:sz w:val="20"/>
          <w:szCs w:val="20"/>
          <w:color w:val="auto"/>
        </w:rPr>
      </w:pPr>
    </w:p>
    <w:p>
      <w:pPr>
        <w:jc w:val="both"/>
        <w:ind w:right="20" w:firstLine="324"/>
        <w:spacing w:after="0" w:line="267" w:lineRule="auto"/>
        <w:rPr>
          <w:sz w:val="20"/>
          <w:szCs w:val="20"/>
          <w:color w:val="auto"/>
        </w:rPr>
      </w:pPr>
      <w:r>
        <w:rPr>
          <w:rFonts w:ascii="Arial" w:cs="Arial" w:eastAsia="Arial" w:hAnsi="Arial"/>
          <w:sz w:val="20"/>
          <w:szCs w:val="20"/>
          <w:b w:val="1"/>
          <w:bCs w:val="1"/>
          <w:color w:val="auto"/>
        </w:rPr>
        <w:t xml:space="preserve">Section 15. Number and Term of Office. </w:t>
      </w:r>
      <w:r>
        <w:rPr>
          <w:rFonts w:ascii="Arial" w:cs="Arial" w:eastAsia="Arial" w:hAnsi="Arial"/>
          <w:sz w:val="20"/>
          <w:szCs w:val="20"/>
          <w:color w:val="auto"/>
        </w:rPr>
        <w:t>The authorized number of directors of the corporation shall be fixed in accordance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Certificate of Incorporation. Directors need not be stockholders.</w:t>
      </w:r>
    </w:p>
    <w:p>
      <w:pPr>
        <w:spacing w:after="0" w:line="16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20"/>
          <w:szCs w:val="20"/>
          <w:b w:val="1"/>
          <w:bCs w:val="1"/>
          <w:color w:val="auto"/>
        </w:rPr>
        <w:t xml:space="preserve">Section 16. Powers. </w:t>
      </w:r>
      <w:r>
        <w:rPr>
          <w:rFonts w:ascii="Arial" w:cs="Arial" w:eastAsia="Arial" w:hAnsi="Arial"/>
          <w:sz w:val="20"/>
          <w:szCs w:val="20"/>
          <w:color w:val="auto"/>
        </w:rPr>
        <w:t>Except as otherwise provided in the Certificate of Incorporation or the DGCL, the business and affairs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shall be managed by or under the direction of the Board of Directors.</w:t>
      </w:r>
    </w:p>
    <w:p>
      <w:pPr>
        <w:spacing w:after="0" w:line="16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20"/>
          <w:szCs w:val="20"/>
          <w:b w:val="1"/>
          <w:bCs w:val="1"/>
          <w:color w:val="auto"/>
        </w:rPr>
        <w:t xml:space="preserve">Section 17. Classes of Directors. </w:t>
      </w:r>
      <w:r>
        <w:rPr>
          <w:rFonts w:ascii="Arial" w:cs="Arial" w:eastAsia="Arial" w:hAnsi="Arial"/>
          <w:sz w:val="20"/>
          <w:szCs w:val="20"/>
          <w:color w:val="auto"/>
        </w:rPr>
        <w:t>The directors shall be divided into classes as and to the extent provided in the Certificate of</w:t>
      </w:r>
      <w:r>
        <w:rPr>
          <w:rFonts w:ascii="Arial" w:cs="Arial" w:eastAsia="Arial" w:hAnsi="Arial"/>
          <w:sz w:val="20"/>
          <w:szCs w:val="20"/>
          <w:b w:val="1"/>
          <w:bCs w:val="1"/>
          <w:color w:val="auto"/>
        </w:rPr>
        <w:t xml:space="preserve"> </w:t>
      </w:r>
      <w:r>
        <w:rPr>
          <w:rFonts w:ascii="Arial" w:cs="Arial" w:eastAsia="Arial" w:hAnsi="Arial"/>
          <w:sz w:val="20"/>
          <w:szCs w:val="20"/>
          <w:color w:val="auto"/>
        </w:rPr>
        <w:t>Incorporation, except as otherwise required by applicable law.</w:t>
      </w:r>
    </w:p>
    <w:p>
      <w:pPr>
        <w:spacing w:after="0" w:line="163" w:lineRule="exact"/>
        <w:rPr>
          <w:sz w:val="20"/>
          <w:szCs w:val="20"/>
          <w:color w:val="auto"/>
        </w:rPr>
      </w:pPr>
    </w:p>
    <w:p>
      <w:pPr>
        <w:jc w:val="both"/>
        <w:ind w:right="20" w:firstLine="324"/>
        <w:spacing w:after="0" w:line="267" w:lineRule="auto"/>
        <w:rPr>
          <w:sz w:val="20"/>
          <w:szCs w:val="20"/>
          <w:color w:val="auto"/>
        </w:rPr>
      </w:pPr>
      <w:r>
        <w:rPr>
          <w:rFonts w:ascii="Arial" w:cs="Arial" w:eastAsia="Arial" w:hAnsi="Arial"/>
          <w:sz w:val="20"/>
          <w:szCs w:val="20"/>
          <w:b w:val="1"/>
          <w:bCs w:val="1"/>
          <w:color w:val="auto"/>
        </w:rPr>
        <w:t xml:space="preserve">Section 18. Vacancies. </w:t>
      </w:r>
      <w:r>
        <w:rPr>
          <w:rFonts w:ascii="Arial" w:cs="Arial" w:eastAsia="Arial" w:hAnsi="Arial"/>
          <w:sz w:val="20"/>
          <w:szCs w:val="20"/>
          <w:color w:val="auto"/>
        </w:rPr>
        <w:t>Vacancies on the Board of Directors shall be filled as provided in the Certificate of Incorporation, except as</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required by applicable law.</w:t>
      </w:r>
    </w:p>
    <w:p>
      <w:pPr>
        <w:spacing w:after="0" w:line="1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0"/>
          <w:szCs w:val="20"/>
          <w:b w:val="1"/>
          <w:bCs w:val="1"/>
          <w:color w:val="auto"/>
        </w:rPr>
        <w:t xml:space="preserve">Section 19. Resignation. </w:t>
      </w:r>
      <w:r>
        <w:rPr>
          <w:rFonts w:ascii="Arial" w:cs="Arial" w:eastAsia="Arial" w:hAnsi="Arial"/>
          <w:sz w:val="20"/>
          <w:szCs w:val="20"/>
          <w:color w:val="auto"/>
        </w:rPr>
        <w:t>Any director may resign at any time by delivering his or her notice in writing or by electronic transmission to</w:t>
      </w:r>
      <w:r>
        <w:rPr>
          <w:rFonts w:ascii="Arial" w:cs="Arial" w:eastAsia="Arial" w:hAnsi="Arial"/>
          <w:sz w:val="20"/>
          <w:szCs w:val="20"/>
          <w:b w:val="1"/>
          <w:bCs w:val="1"/>
          <w:color w:val="auto"/>
        </w:rPr>
        <w:t xml:space="preserve"> </w:t>
      </w:r>
      <w:r>
        <w:rPr>
          <w:rFonts w:ascii="Arial" w:cs="Arial" w:eastAsia="Arial" w:hAnsi="Arial"/>
          <w:sz w:val="20"/>
          <w:szCs w:val="20"/>
          <w:color w:val="auto"/>
        </w:rPr>
        <w:t>the Secretary, such resignation to specify whether it will be effective at a particular time. If no such specification is made, the resignation shall be effective at the time of delivery of the resignation to the Secretary.</w:t>
      </w:r>
    </w:p>
    <w:p>
      <w:pPr>
        <w:spacing w:after="0" w:line="17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0"/>
          <w:szCs w:val="20"/>
          <w:b w:val="1"/>
          <w:bCs w:val="1"/>
          <w:color w:val="auto"/>
        </w:rPr>
        <w:t xml:space="preserve">Section 20. Removal. </w:t>
      </w:r>
      <w:r>
        <w:rPr>
          <w:rFonts w:ascii="Arial" w:cs="Arial" w:eastAsia="Arial" w:hAnsi="Arial"/>
          <w:sz w:val="20"/>
          <w:szCs w:val="20"/>
          <w:color w:val="auto"/>
        </w:rPr>
        <w:t>Subject to the rights of holders of any series of Preferred Stock to elect additional directors under specified</w:t>
      </w:r>
      <w:r>
        <w:rPr>
          <w:rFonts w:ascii="Arial" w:cs="Arial" w:eastAsia="Arial" w:hAnsi="Arial"/>
          <w:sz w:val="20"/>
          <w:szCs w:val="20"/>
          <w:b w:val="1"/>
          <w:bCs w:val="1"/>
          <w:color w:val="auto"/>
        </w:rPr>
        <w:t xml:space="preserve"> </w:t>
      </w:r>
      <w:r>
        <w:rPr>
          <w:rFonts w:ascii="Arial" w:cs="Arial" w:eastAsia="Arial" w:hAnsi="Arial"/>
          <w:sz w:val="20"/>
          <w:szCs w:val="20"/>
          <w:color w:val="auto"/>
        </w:rPr>
        <w:t>circumstances, neither the Board of Directors nor any individual director may be removed except in the manner specified in Section 141 of the DGCL.</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Section 21. Meetings.</w:t>
      </w:r>
    </w:p>
    <w:p>
      <w:pPr>
        <w:spacing w:after="0" w:line="216" w:lineRule="exact"/>
        <w:rPr>
          <w:sz w:val="20"/>
          <w:szCs w:val="20"/>
          <w:color w:val="auto"/>
        </w:rPr>
      </w:pPr>
    </w:p>
    <w:p>
      <w:pPr>
        <w:jc w:val="both"/>
        <w:ind w:firstLine="818"/>
        <w:spacing w:after="0" w:line="246" w:lineRule="auto"/>
        <w:tabs>
          <w:tab w:leader="none" w:pos="1284"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Regular Meetings. </w:t>
      </w:r>
      <w:r>
        <w:rPr>
          <w:rFonts w:ascii="Arial" w:cs="Arial" w:eastAsia="Arial" w:hAnsi="Arial"/>
          <w:sz w:val="20"/>
          <w:szCs w:val="20"/>
          <w:color w:val="auto"/>
        </w:rPr>
        <w:t>Unless otherwise restricted by the Certificate of Incorporation, regular meetings of the Board of</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may be 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w:t>
      </w:r>
    </w:p>
    <w:p>
      <w:pPr>
        <w:spacing w:after="0" w:line="184" w:lineRule="exact"/>
        <w:rPr>
          <w:rFonts w:ascii="Arial" w:cs="Arial" w:eastAsia="Arial" w:hAnsi="Arial"/>
          <w:sz w:val="20"/>
          <w:szCs w:val="20"/>
          <w:b w:val="1"/>
          <w:bCs w:val="1"/>
          <w:color w:val="auto"/>
        </w:rPr>
      </w:pPr>
    </w:p>
    <w:p>
      <w:pPr>
        <w:jc w:val="both"/>
        <w:ind w:firstLine="818"/>
        <w:spacing w:after="0" w:line="253" w:lineRule="auto"/>
        <w:tabs>
          <w:tab w:leader="none" w:pos="1295"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Special Meetings. </w:t>
      </w:r>
      <w:r>
        <w:rPr>
          <w:rFonts w:ascii="Arial" w:cs="Arial" w:eastAsia="Arial" w:hAnsi="Arial"/>
          <w:sz w:val="20"/>
          <w:szCs w:val="20"/>
          <w:color w:val="auto"/>
        </w:rPr>
        <w:t>Unless otherwise restricted by the Certificate of Incorporation, special meetings of the Board of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may be held at any time and place within or without the State of Delaware whenever called by the Chairperson of the Board, the Chief Executive Officer or the Board of Directors.</w:t>
      </w:r>
    </w:p>
    <w:p>
      <w:pPr>
        <w:spacing w:after="0" w:line="177" w:lineRule="exact"/>
        <w:rPr>
          <w:rFonts w:ascii="Arial" w:cs="Arial" w:eastAsia="Arial" w:hAnsi="Arial"/>
          <w:sz w:val="20"/>
          <w:szCs w:val="20"/>
          <w:b w:val="1"/>
          <w:bCs w:val="1"/>
          <w:color w:val="auto"/>
        </w:rPr>
      </w:pPr>
    </w:p>
    <w:p>
      <w:pPr>
        <w:jc w:val="both"/>
        <w:ind w:firstLine="818"/>
        <w:spacing w:after="0" w:line="248" w:lineRule="auto"/>
        <w:tabs>
          <w:tab w:leader="none" w:pos="1286"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Meetings by Electronic Communications Equipment. </w:t>
      </w:r>
      <w:r>
        <w:rPr>
          <w:rFonts w:ascii="Arial" w:cs="Arial" w:eastAsia="Arial" w:hAnsi="Arial"/>
          <w:sz w:val="20"/>
          <w:szCs w:val="20"/>
          <w:color w:val="auto"/>
        </w:rPr>
        <w:t>Any member of the Board of Directors, or of any committee</w:t>
      </w:r>
      <w:r>
        <w:rPr>
          <w:rFonts w:ascii="Arial" w:cs="Arial" w:eastAsia="Arial" w:hAnsi="Arial"/>
          <w:sz w:val="20"/>
          <w:szCs w:val="20"/>
          <w:b w:val="1"/>
          <w:bCs w:val="1"/>
          <w:color w:val="auto"/>
        </w:rPr>
        <w:t xml:space="preserve"> </w:t>
      </w:r>
      <w:r>
        <w:rPr>
          <w:rFonts w:ascii="Arial" w:cs="Arial" w:eastAsia="Arial" w:hAnsi="Arial"/>
          <w:sz w:val="20"/>
          <w:szCs w:val="20"/>
          <w:color w:val="auto"/>
        </w:rPr>
        <w:t>thereof, may 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83" w:lineRule="exact"/>
        <w:rPr>
          <w:rFonts w:ascii="Arial" w:cs="Arial" w:eastAsia="Arial" w:hAnsi="Arial"/>
          <w:sz w:val="20"/>
          <w:szCs w:val="20"/>
          <w:b w:val="1"/>
          <w:bCs w:val="1"/>
          <w:color w:val="auto"/>
        </w:rPr>
      </w:pPr>
    </w:p>
    <w:p>
      <w:pPr>
        <w:jc w:val="both"/>
        <w:ind w:firstLine="818"/>
        <w:spacing w:after="0" w:line="294" w:lineRule="auto"/>
        <w:tabs>
          <w:tab w:leader="none" w:pos="129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Special Meetings. </w:t>
      </w:r>
      <w:r>
        <w:rPr>
          <w:rFonts w:ascii="Arial" w:cs="Arial" w:eastAsia="Arial" w:hAnsi="Arial"/>
          <w:sz w:val="18"/>
          <w:szCs w:val="18"/>
          <w:color w:val="auto"/>
        </w:rPr>
        <w:t>Notice of the time and place of all special meetings of the Board of Directors shall be given</w:t>
      </w:r>
      <w:r>
        <w:rPr>
          <w:rFonts w:ascii="Arial" w:cs="Arial" w:eastAsia="Arial" w:hAnsi="Arial"/>
          <w:sz w:val="18"/>
          <w:szCs w:val="18"/>
          <w:b w:val="1"/>
          <w:bCs w:val="1"/>
          <w:color w:val="auto"/>
        </w:rPr>
        <w:t xml:space="preserve"> </w:t>
      </w:r>
      <w:r>
        <w:rPr>
          <w:rFonts w:ascii="Arial" w:cs="Arial" w:eastAsia="Arial" w:hAnsi="Arial"/>
          <w:sz w:val="18"/>
          <w:szCs w:val="18"/>
          <w:color w:val="auto"/>
        </w:rPr>
        <w:t>orally or in writing, by telephone, including a voice messaging system or other system or technology designed to record and communicate messages, facsimile, telegraph or telex, or by electronic mail or other electronic means, during normal business hours, at least twenty-four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3" w:right="339" w:bottom="1440" w:gutter="0" w:footer="0" w:header="0"/>
        </w:sectPr>
      </w:pPr>
    </w:p>
    <w:bookmarkStart w:id="56" w:name="page57"/>
    <w:bookmarkEnd w:id="56"/>
    <w:p>
      <w:pPr>
        <w:jc w:val="both"/>
        <w:ind w:firstLine="8"/>
        <w:spacing w:after="0" w:line="244" w:lineRule="auto"/>
        <w:tabs>
          <w:tab w:leader="none" w:pos="388" w:val="left"/>
        </w:tabs>
        <w:numPr>
          <w:ilvl w:val="0"/>
          <w:numId w:val="31"/>
        </w:numPr>
        <w:rPr>
          <w:rFonts w:ascii="Arial" w:cs="Arial" w:eastAsia="Arial" w:hAnsi="Arial"/>
          <w:sz w:val="20"/>
          <w:szCs w:val="20"/>
          <w:color w:val="auto"/>
        </w:rPr>
      </w:pPr>
      <w:r>
        <w:rPr>
          <w:rFonts w:ascii="Arial" w:cs="Arial" w:eastAsia="Arial" w:hAnsi="Arial"/>
          <w:sz w:val="20"/>
          <w:szCs w:val="20"/>
          <w:color w:val="auto"/>
        </w:rPr>
        <w:t>hours before the date and time of the meeting. If notice is sent by U.S. mail, it shall be sent by first class mail, postage prepaid at least three days before the date of the meeting. Notice of any special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88" w:lineRule="exact"/>
        <w:rPr>
          <w:rFonts w:ascii="Arial" w:cs="Arial" w:eastAsia="Arial" w:hAnsi="Arial"/>
          <w:sz w:val="20"/>
          <w:szCs w:val="20"/>
          <w:color w:val="auto"/>
        </w:rPr>
      </w:pPr>
    </w:p>
    <w:p>
      <w:pPr>
        <w:jc w:val="both"/>
        <w:ind w:firstLine="818"/>
        <w:spacing w:after="0" w:line="244" w:lineRule="auto"/>
        <w:tabs>
          <w:tab w:leader="none" w:pos="1286" w:val="left"/>
        </w:tabs>
        <w:numPr>
          <w:ilvl w:val="1"/>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Waiver of Notice. </w:t>
      </w:r>
      <w:r>
        <w:rPr>
          <w:rFonts w:ascii="Arial" w:cs="Arial" w:eastAsia="Arial" w:hAnsi="Arial"/>
          <w:sz w:val="20"/>
          <w:szCs w:val="20"/>
          <w:color w:val="auto"/>
        </w:rPr>
        <w:t>The transaction of all business at any meeting of the Board of Directors, or any committee thereof,</w:t>
      </w:r>
      <w:r>
        <w:rPr>
          <w:rFonts w:ascii="Arial" w:cs="Arial" w:eastAsia="Arial" w:hAnsi="Arial"/>
          <w:sz w:val="20"/>
          <w:szCs w:val="20"/>
          <w:b w:val="1"/>
          <w:bCs w:val="1"/>
          <w:color w:val="auto"/>
        </w:rPr>
        <w:t xml:space="preserve"> </w:t>
      </w:r>
      <w:r>
        <w:rPr>
          <w:rFonts w:ascii="Arial" w:cs="Arial" w:eastAsia="Arial" w:hAnsi="Arial"/>
          <w:sz w:val="20"/>
          <w:szCs w:val="20"/>
          <w:color w:val="auto"/>
        </w:rPr>
        <w:t>however 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 Notice of any meeting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Section 22. Quorum and Voting.</w:t>
      </w:r>
    </w:p>
    <w:p>
      <w:pPr>
        <w:spacing w:after="0" w:line="222" w:lineRule="exact"/>
        <w:rPr>
          <w:sz w:val="20"/>
          <w:szCs w:val="20"/>
          <w:color w:val="auto"/>
        </w:rPr>
      </w:pPr>
    </w:p>
    <w:p>
      <w:pPr>
        <w:jc w:val="both"/>
        <w:ind w:firstLine="818"/>
        <w:spacing w:after="0" w:line="244" w:lineRule="auto"/>
        <w:tabs>
          <w:tab w:leader="none" w:pos="1284"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 xml:space="preserve">Unless the Certificate of Incorporation requires a greater number, a quorum of the Board of Directors shall consist of a majority of the directors currently serving on the Board of Directors in accordance with the Certificate of Incorporation (but in no event less than one third of the total authorized number of directors);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94" w:lineRule="exact"/>
        <w:rPr>
          <w:rFonts w:ascii="Arial" w:cs="Arial" w:eastAsia="Arial" w:hAnsi="Arial"/>
          <w:sz w:val="20"/>
          <w:szCs w:val="20"/>
          <w:b w:val="1"/>
          <w:bCs w:val="1"/>
          <w:color w:val="auto"/>
        </w:rPr>
      </w:pPr>
    </w:p>
    <w:p>
      <w:pPr>
        <w:jc w:val="both"/>
        <w:ind w:firstLine="818"/>
        <w:spacing w:after="0" w:line="250" w:lineRule="auto"/>
        <w:tabs>
          <w:tab w:leader="none" w:pos="1295"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80"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9"/>
          <w:szCs w:val="19"/>
          <w:b w:val="1"/>
          <w:bCs w:val="1"/>
          <w:color w:val="auto"/>
        </w:rPr>
        <w:t xml:space="preserve">Section 23. Action without Meeting. </w:t>
      </w:r>
      <w:r>
        <w:rPr>
          <w:rFonts w:ascii="Arial" w:cs="Arial" w:eastAsia="Arial" w:hAnsi="Arial"/>
          <w:sz w:val="19"/>
          <w:szCs w:val="19"/>
          <w:color w:val="auto"/>
        </w:rPr>
        <w:t>Unless otherwise restricted by the Certificate of Incorporation or these Bylaws, any action</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or permitted to be taken at any meeting of the Board of Directors or of any committee thereof may be taken without a meeting, if all members of the Board of Directors or committee, as the case may be, consent thereto in writing or by electronic transmission. The consent or consents shall be filed with the minutes of proceedings of the Board of Directors or committee.</w:t>
      </w:r>
    </w:p>
    <w:p>
      <w:pPr>
        <w:spacing w:after="0" w:line="1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color w:val="auto"/>
        </w:rPr>
        <w:t xml:space="preserve">Section 24. Fees and Compensation. </w:t>
      </w:r>
      <w:r>
        <w:rPr>
          <w:rFonts w:ascii="Arial" w:cs="Arial" w:eastAsia="Arial" w:hAnsi="Arial"/>
          <w:sz w:val="18"/>
          <w:szCs w:val="18"/>
          <w:color w:val="auto"/>
        </w:rPr>
        <w:t>Directors shall be entitled to such compensation for their services as may be approved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or a committee thereof to which the Board of Directors has delegated such responsibility and authority, including, if so approved, by resolution of the Board of Directors or a committee thereof to which the Board of Directors has delegated such responsibility and authority,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Section 25. Committees.</w:t>
      </w:r>
    </w:p>
    <w:p>
      <w:pPr>
        <w:spacing w:after="0" w:line="216" w:lineRule="exact"/>
        <w:rPr>
          <w:sz w:val="20"/>
          <w:szCs w:val="20"/>
          <w:color w:val="auto"/>
        </w:rPr>
      </w:pPr>
    </w:p>
    <w:p>
      <w:pPr>
        <w:jc w:val="both"/>
        <w:ind w:firstLine="818"/>
        <w:spacing w:after="0" w:line="253" w:lineRule="auto"/>
        <w:tabs>
          <w:tab w:leader="none" w:pos="1284"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Executive Committee. </w:t>
      </w:r>
      <w:r>
        <w:rPr>
          <w:rFonts w:ascii="Arial" w:cs="Arial" w:eastAsia="Arial" w:hAnsi="Arial"/>
          <w:sz w:val="20"/>
          <w:szCs w:val="20"/>
          <w:color w:val="auto"/>
        </w:rPr>
        <w:t>The Board of Directors may appoint an Executive Committee to consist of one or more members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of Directors. The Executive Committee, to the extent permitted by law and provided in the resolution of the Board of Directors, shall have and may exercise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57" w:name="page58"/>
    <w:bookmarkEnd w:id="57"/>
    <w:p>
      <w:pPr>
        <w:jc w:val="both"/>
        <w:spacing w:after="0" w:line="244" w:lineRule="auto"/>
        <w:rPr>
          <w:sz w:val="20"/>
          <w:szCs w:val="20"/>
          <w:color w:val="auto"/>
        </w:rPr>
      </w:pPr>
      <w:r>
        <w:rPr>
          <w:rFonts w:ascii="Arial" w:cs="Arial" w:eastAsia="Arial" w:hAnsi="Arial"/>
          <w:sz w:val="20"/>
          <w:szCs w:val="20"/>
          <w:color w:val="auto"/>
        </w:rPr>
        <w:t>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188" w:lineRule="exact"/>
        <w:rPr>
          <w:sz w:val="20"/>
          <w:szCs w:val="20"/>
          <w:color w:val="auto"/>
        </w:rPr>
      </w:pPr>
    </w:p>
    <w:p>
      <w:pPr>
        <w:jc w:val="both"/>
        <w:ind w:firstLine="818"/>
        <w:spacing w:after="0" w:line="265" w:lineRule="auto"/>
        <w:tabs>
          <w:tab w:leader="none" w:pos="1295"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Other Committees. </w:t>
      </w:r>
      <w:r>
        <w:rPr>
          <w:rFonts w:ascii="Arial" w:cs="Arial" w:eastAsia="Arial" w:hAnsi="Arial"/>
          <w:sz w:val="19"/>
          <w:szCs w:val="19"/>
          <w:color w:val="auto"/>
        </w:rPr>
        <w:t>The Board of Directors may, from time to time, appoint such other committees as may be permitted by</w:t>
      </w:r>
      <w:r>
        <w:rPr>
          <w:rFonts w:ascii="Arial" w:cs="Arial" w:eastAsia="Arial" w:hAnsi="Arial"/>
          <w:sz w:val="19"/>
          <w:szCs w:val="19"/>
          <w:b w:val="1"/>
          <w:bCs w:val="1"/>
          <w:color w:val="auto"/>
        </w:rPr>
        <w:t xml:space="preserve"> </w:t>
      </w:r>
      <w:r>
        <w:rPr>
          <w:rFonts w:ascii="Arial" w:cs="Arial" w:eastAsia="Arial" w:hAnsi="Arial"/>
          <w:sz w:val="19"/>
          <w:szCs w:val="19"/>
          <w:color w:val="auto"/>
        </w:rPr>
        <w:t>law. Such other committees appointed by the Board of Directors shall consist of one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69" w:lineRule="exact"/>
        <w:rPr>
          <w:rFonts w:ascii="Arial" w:cs="Arial" w:eastAsia="Arial" w:hAnsi="Arial"/>
          <w:sz w:val="19"/>
          <w:szCs w:val="19"/>
          <w:b w:val="1"/>
          <w:bCs w:val="1"/>
          <w:color w:val="auto"/>
        </w:rPr>
      </w:pPr>
    </w:p>
    <w:p>
      <w:pPr>
        <w:jc w:val="both"/>
        <w:ind w:firstLine="818"/>
        <w:spacing w:after="0" w:line="256" w:lineRule="auto"/>
        <w:tabs>
          <w:tab w:leader="none" w:pos="1286"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 </w:t>
      </w:r>
      <w:r>
        <w:rPr>
          <w:rFonts w:ascii="Arial" w:cs="Arial" w:eastAsia="Arial" w:hAnsi="Arial"/>
          <w:sz w:val="19"/>
          <w:szCs w:val="19"/>
          <w:color w:val="auto"/>
        </w:rPr>
        <w:t>The Board of Directors, subject to any requirements of any outstanding series of Preferred Stock and the provisions of</w:t>
      </w:r>
      <w:r>
        <w:rPr>
          <w:rFonts w:ascii="Arial" w:cs="Arial" w:eastAsia="Arial" w:hAnsi="Arial"/>
          <w:sz w:val="19"/>
          <w:szCs w:val="19"/>
          <w:b w:val="1"/>
          <w:bCs w:val="1"/>
          <w:color w:val="auto"/>
        </w:rPr>
        <w:t xml:space="preserve"> </w:t>
      </w:r>
      <w:r>
        <w:rPr>
          <w:rFonts w:ascii="Arial" w:cs="Arial" w:eastAsia="Arial" w:hAnsi="Arial"/>
          <w:sz w:val="19"/>
          <w:szCs w:val="19"/>
          <w:color w:val="auto"/>
        </w:rPr>
        <w:t>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80" w:lineRule="exact"/>
        <w:rPr>
          <w:rFonts w:ascii="Arial" w:cs="Arial" w:eastAsia="Arial" w:hAnsi="Arial"/>
          <w:sz w:val="19"/>
          <w:szCs w:val="19"/>
          <w:b w:val="1"/>
          <w:bCs w:val="1"/>
          <w:color w:val="auto"/>
        </w:rPr>
      </w:pPr>
    </w:p>
    <w:p>
      <w:pPr>
        <w:jc w:val="both"/>
        <w:ind w:firstLine="818"/>
        <w:spacing w:after="0" w:line="255" w:lineRule="auto"/>
        <w:tabs>
          <w:tab w:leader="none" w:pos="1295"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Meetings. </w:t>
      </w:r>
      <w:r>
        <w:rPr>
          <w:rFonts w:ascii="Arial" w:cs="Arial" w:eastAsia="Arial" w:hAnsi="Arial"/>
          <w:sz w:val="19"/>
          <w:szCs w:val="19"/>
          <w:color w:val="auto"/>
        </w:rPr>
        <w:t>Unless the Board of Directors shall otherwise provide, regular meetings of the Executive Committee or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regular or special meeting of any committee may be waived in writing or by electronic transmission at any time before or after the meeting and will be waived by any director by attendance thereat, except when the director attends such regular or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82"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20"/>
          <w:szCs w:val="20"/>
          <w:b w:val="1"/>
          <w:bCs w:val="1"/>
          <w:color w:val="auto"/>
        </w:rPr>
        <w:t xml:space="preserve">Section 26. Duties of Chairperson of the Board of Directors. </w:t>
      </w:r>
      <w:r>
        <w:rPr>
          <w:rFonts w:ascii="Arial" w:cs="Arial" w:eastAsia="Arial" w:hAnsi="Arial"/>
          <w:sz w:val="20"/>
          <w:szCs w:val="20"/>
          <w:color w:val="auto"/>
        </w:rPr>
        <w:t>The Chairperson of the Board of Directors, if appointed and when</w:t>
      </w:r>
      <w:r>
        <w:rPr>
          <w:rFonts w:ascii="Arial" w:cs="Arial" w:eastAsia="Arial" w:hAnsi="Arial"/>
          <w:sz w:val="20"/>
          <w:szCs w:val="20"/>
          <w:b w:val="1"/>
          <w:bCs w:val="1"/>
          <w:color w:val="auto"/>
        </w:rPr>
        <w:t xml:space="preserve"> </w:t>
      </w:r>
      <w:r>
        <w:rPr>
          <w:rFonts w:ascii="Arial" w:cs="Arial" w:eastAsia="Arial" w:hAnsi="Arial"/>
          <w:sz w:val="20"/>
          <w:szCs w:val="20"/>
          <w:color w:val="auto"/>
        </w:rPr>
        <w:t>present, shall preside at all meetings of the stockholders and the Board of Directors. The Chairperson of the Board of Directors shall perform other duties commonly incident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the office and shall also perform such other duties and have such other powers, as the Board of Directors shall designate from time to time.</w:t>
      </w:r>
    </w:p>
    <w:p>
      <w:pPr>
        <w:spacing w:after="0" w:line="2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b w:val="1"/>
          <w:bCs w:val="1"/>
          <w:color w:val="auto"/>
        </w:rPr>
        <w:t>Section 27. Lead Independent Director</w:t>
      </w:r>
      <w:r>
        <w:rPr>
          <w:rFonts w:ascii="Arial" w:cs="Arial" w:eastAsia="Arial" w:hAnsi="Arial"/>
          <w:sz w:val="18"/>
          <w:szCs w:val="18"/>
          <w:color w:val="auto"/>
        </w:rPr>
        <w:t>. The Chairperson of the Board of Directors, or if the Chairperson is not an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one of the independent directors, may be designated by the Board of Directors as lead independent director to serve until replaced by the Board of Directors (“</w:t>
      </w:r>
      <w:r>
        <w:rPr>
          <w:rFonts w:ascii="Arial" w:cs="Arial" w:eastAsia="Arial" w:hAnsi="Arial"/>
          <w:sz w:val="18"/>
          <w:szCs w:val="18"/>
          <w:b w:val="1"/>
          <w:bCs w:val="1"/>
          <w:i w:val="1"/>
          <w:iCs w:val="1"/>
          <w:color w:val="auto"/>
        </w:rPr>
        <w:t>Lead Independent Director</w:t>
      </w:r>
      <w:r>
        <w:rPr>
          <w:rFonts w:ascii="Arial" w:cs="Arial" w:eastAsia="Arial" w:hAnsi="Arial"/>
          <w:sz w:val="18"/>
          <w:szCs w:val="18"/>
          <w:color w:val="auto"/>
        </w:rPr>
        <w:t>”). If appointed, the Lead Independent Director will: with the Chairperson of the Board of Directors, establish the agenda for regular Board meetings and serve as chairperson of Board of Directors meetings in the absence of the Chairperson of the Board of Directors; establish the agenda for meetings of the independent directors; coordinate with the committee chairs regarding meeting agendas and informational requirements; preside over meetings of the independent directors; preside over any portions of meetings of the Board of Directors at which the evaluation or compensation of the Chief Executive Officer is presented or discussed; preside over any portions of meetings of the Board of Directors at which the performance of the Board of Directors is presented or discussed; and perform such other duties as may be established or delegated by the Chairperson of the Board of Directors.</w:t>
      </w:r>
    </w:p>
    <w:p>
      <w:pPr>
        <w:spacing w:after="0" w:line="163" w:lineRule="exact"/>
        <w:rPr>
          <w:sz w:val="20"/>
          <w:szCs w:val="20"/>
          <w:color w:val="auto"/>
        </w:rPr>
      </w:pPr>
    </w:p>
    <w:p>
      <w:pPr>
        <w:jc w:val="both"/>
        <w:ind w:firstLine="324"/>
        <w:spacing w:after="0" w:line="280" w:lineRule="auto"/>
        <w:rPr>
          <w:sz w:val="20"/>
          <w:szCs w:val="20"/>
          <w:color w:val="auto"/>
        </w:rPr>
      </w:pPr>
      <w:r>
        <w:rPr>
          <w:rFonts w:ascii="Arial" w:cs="Arial" w:eastAsia="Arial" w:hAnsi="Arial"/>
          <w:sz w:val="18"/>
          <w:szCs w:val="18"/>
          <w:b w:val="1"/>
          <w:bCs w:val="1"/>
          <w:color w:val="auto"/>
        </w:rPr>
        <w:t xml:space="preserve">Section 28. Organization. </w:t>
      </w:r>
      <w:r>
        <w:rPr>
          <w:rFonts w:ascii="Arial" w:cs="Arial" w:eastAsia="Arial" w:hAnsi="Arial"/>
          <w:sz w:val="18"/>
          <w:szCs w:val="18"/>
          <w:color w:val="auto"/>
        </w:rPr>
        <w:t>At every meeting of the directors, the Chairperson of the Board of Directors, or, if a Chairperson has not been</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or is absent,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absence, any Assistant Secretary or other officer, director or other person directed to do so by the person presiding over the meeting, shall act as secretary of the meeting.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OFFICERS</w:t>
      </w:r>
    </w:p>
    <w:p>
      <w:pPr>
        <w:spacing w:after="0" w:line="18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b w:val="1"/>
          <w:bCs w:val="1"/>
          <w:color w:val="auto"/>
        </w:rPr>
        <w:t xml:space="preserve">Section 29. Officers Designated. </w:t>
      </w:r>
      <w:r>
        <w:rPr>
          <w:rFonts w:ascii="Arial" w:cs="Arial" w:eastAsia="Arial" w:hAnsi="Arial"/>
          <w:sz w:val="18"/>
          <w:szCs w:val="18"/>
          <w:color w:val="auto"/>
        </w:rPr>
        <w:t>The officers of the corporation shall include, if and when designated by the Board of Directors,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 or a committee thereof to which the Board of Directors has delegated such responsibility.</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Section 30. Tenure and Duties of Officers.</w:t>
      </w:r>
    </w:p>
    <w:p>
      <w:pPr>
        <w:spacing w:after="0" w:line="216" w:lineRule="exact"/>
        <w:rPr>
          <w:sz w:val="20"/>
          <w:szCs w:val="20"/>
          <w:color w:val="auto"/>
        </w:rPr>
      </w:pPr>
    </w:p>
    <w:p>
      <w:pPr>
        <w:jc w:val="both"/>
        <w:ind w:firstLine="818"/>
        <w:spacing w:after="0" w:line="253" w:lineRule="auto"/>
        <w:tabs>
          <w:tab w:leader="none" w:pos="1284"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General. </w:t>
      </w:r>
      <w:r>
        <w:rPr>
          <w:rFonts w:ascii="Arial" w:cs="Arial" w:eastAsia="Arial" w:hAnsi="Arial"/>
          <w:sz w:val="20"/>
          <w:szCs w:val="20"/>
          <w:color w:val="auto"/>
        </w:rPr>
        <w:t>All officers shall hold office at the pleasure of the Board of Directors and until their successors shall have been</w:t>
      </w:r>
      <w:r>
        <w:rPr>
          <w:rFonts w:ascii="Arial" w:cs="Arial" w:eastAsia="Arial" w:hAnsi="Arial"/>
          <w:sz w:val="20"/>
          <w:szCs w:val="20"/>
          <w:b w:val="1"/>
          <w:bCs w:val="1"/>
          <w:color w:val="auto"/>
        </w:rPr>
        <w:t xml:space="preserve"> </w:t>
      </w:r>
      <w:r>
        <w:rPr>
          <w:rFonts w:ascii="Arial" w:cs="Arial" w:eastAsia="Arial" w:hAnsi="Arial"/>
          <w:sz w:val="20"/>
          <w:szCs w:val="20"/>
          <w:color w:val="auto"/>
        </w:rPr>
        <w:t>duly elected and qualified, unless sooner removed. If the office of any officer becomes vacant for any reason, the vacancy may be filled by the Board of Directors.</w:t>
      </w:r>
    </w:p>
    <w:p>
      <w:pPr>
        <w:spacing w:after="0" w:line="177" w:lineRule="exact"/>
        <w:rPr>
          <w:rFonts w:ascii="Arial" w:cs="Arial" w:eastAsia="Arial" w:hAnsi="Arial"/>
          <w:sz w:val="20"/>
          <w:szCs w:val="20"/>
          <w:b w:val="1"/>
          <w:bCs w:val="1"/>
          <w:color w:val="auto"/>
        </w:rPr>
      </w:pPr>
    </w:p>
    <w:p>
      <w:pPr>
        <w:jc w:val="both"/>
        <w:ind w:firstLine="818"/>
        <w:spacing w:after="0" w:line="294" w:lineRule="auto"/>
        <w:tabs>
          <w:tab w:leader="none" w:pos="1295"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Chief Executive Officer. </w:t>
      </w:r>
      <w:r>
        <w:rPr>
          <w:rFonts w:ascii="Arial" w:cs="Arial" w:eastAsia="Arial" w:hAnsi="Arial"/>
          <w:sz w:val="18"/>
          <w:szCs w:val="18"/>
          <w:color w:val="auto"/>
        </w:rPr>
        <w:t>The Chief Executive Officer shall preside at all meetings of the stockholders and at all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Board of Directors (if a director), unless the Chairperson of the Board of Directors has been appointed and is present. Unless an officer has been appointed Chief Executive Officer of the corporation, the President shall be the chief executive officer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9" w:right="339" w:bottom="1440" w:gutter="0" w:footer="0" w:header="0"/>
        </w:sectPr>
      </w:pPr>
    </w:p>
    <w:bookmarkStart w:id="59" w:name="page60"/>
    <w:bookmarkEnd w:id="59"/>
    <w:p>
      <w:pPr>
        <w:jc w:val="both"/>
        <w:spacing w:after="0" w:line="244" w:lineRule="auto"/>
        <w:rPr>
          <w:sz w:val="20"/>
          <w:szCs w:val="20"/>
          <w:color w:val="auto"/>
        </w:rPr>
      </w:pPr>
      <w:r>
        <w:rPr>
          <w:rFonts w:ascii="Arial" w:cs="Arial" w:eastAsia="Arial" w:hAnsi="Arial"/>
          <w:sz w:val="20"/>
          <w:szCs w:val="20"/>
          <w:color w:val="auto"/>
        </w:rPr>
        <w:t>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188" w:lineRule="exact"/>
        <w:rPr>
          <w:sz w:val="20"/>
          <w:szCs w:val="20"/>
          <w:color w:val="auto"/>
        </w:rPr>
      </w:pPr>
    </w:p>
    <w:p>
      <w:pPr>
        <w:jc w:val="both"/>
        <w:ind w:firstLine="818"/>
        <w:spacing w:after="0" w:line="243" w:lineRule="auto"/>
        <w:tabs>
          <w:tab w:leader="none" w:pos="1286"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Duties of President. </w:t>
      </w:r>
      <w:r>
        <w:rPr>
          <w:rFonts w:ascii="Arial" w:cs="Arial" w:eastAsia="Arial" w:hAnsi="Arial"/>
          <w:sz w:val="20"/>
          <w:szCs w:val="20"/>
          <w:color w:val="auto"/>
        </w:rPr>
        <w:t>The President shall preside at all meetings of the stockholders and at all meetings of the Board of</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(if a director), unless the Chairperson of the Board of Directors,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 shall designate from time to time.</w:t>
      </w:r>
    </w:p>
    <w:p>
      <w:pPr>
        <w:spacing w:after="0" w:line="189" w:lineRule="exact"/>
        <w:rPr>
          <w:rFonts w:ascii="Arial" w:cs="Arial" w:eastAsia="Arial" w:hAnsi="Arial"/>
          <w:sz w:val="20"/>
          <w:szCs w:val="20"/>
          <w:b w:val="1"/>
          <w:bCs w:val="1"/>
          <w:color w:val="auto"/>
        </w:rPr>
      </w:pPr>
    </w:p>
    <w:p>
      <w:pPr>
        <w:jc w:val="both"/>
        <w:ind w:firstLine="818"/>
        <w:spacing w:after="0" w:line="246" w:lineRule="auto"/>
        <w:tabs>
          <w:tab w:leader="none" w:pos="1295"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Duties of Vice Presidents. </w:t>
      </w:r>
      <w:r>
        <w:rPr>
          <w:rFonts w:ascii="Arial" w:cs="Arial" w:eastAsia="Arial" w:hAnsi="Arial"/>
          <w:sz w:val="20"/>
          <w:szCs w:val="20"/>
          <w:color w:val="auto"/>
        </w:rPr>
        <w:t>A Vice President may assume and perform the duties of the President in the absence or disability</w:t>
      </w:r>
      <w:r>
        <w:rPr>
          <w:rFonts w:ascii="Arial" w:cs="Arial" w:eastAsia="Arial" w:hAnsi="Arial"/>
          <w:sz w:val="20"/>
          <w:szCs w:val="20"/>
          <w:b w:val="1"/>
          <w:bCs w:val="1"/>
          <w:color w:val="auto"/>
        </w:rPr>
        <w:t xml:space="preserve"> </w:t>
      </w:r>
      <w:r>
        <w:rPr>
          <w:rFonts w:ascii="Arial" w:cs="Arial" w:eastAsia="Arial" w:hAnsi="Arial"/>
          <w:sz w:val="20"/>
          <w:szCs w:val="20"/>
          <w:color w:val="auto"/>
        </w:rPr>
        <w:t>of the President or whenever the office of President is vacant (unless the duties of the President are being filled by the Chief Executive Officer). A Vice President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84" w:lineRule="exact"/>
        <w:rPr>
          <w:rFonts w:ascii="Arial" w:cs="Arial" w:eastAsia="Arial" w:hAnsi="Arial"/>
          <w:sz w:val="20"/>
          <w:szCs w:val="20"/>
          <w:b w:val="1"/>
          <w:bCs w:val="1"/>
          <w:color w:val="auto"/>
        </w:rPr>
      </w:pPr>
    </w:p>
    <w:p>
      <w:pPr>
        <w:jc w:val="both"/>
        <w:ind w:firstLine="818"/>
        <w:spacing w:after="0" w:line="273" w:lineRule="auto"/>
        <w:tabs>
          <w:tab w:leader="none" w:pos="128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Secretary. </w:t>
      </w:r>
      <w:r>
        <w:rPr>
          <w:rFonts w:ascii="Arial" w:cs="Arial" w:eastAsia="Arial" w:hAnsi="Arial"/>
          <w:sz w:val="18"/>
          <w:szCs w:val="18"/>
          <w:color w:val="auto"/>
        </w:rPr>
        <w:t>The Secretary shall attend all meetings of the stockholders and of the Board of Directors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record all acts 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62" w:lineRule="exact"/>
        <w:rPr>
          <w:rFonts w:ascii="Arial" w:cs="Arial" w:eastAsia="Arial" w:hAnsi="Arial"/>
          <w:sz w:val="18"/>
          <w:szCs w:val="18"/>
          <w:b w:val="1"/>
          <w:bCs w:val="1"/>
          <w:color w:val="auto"/>
        </w:rPr>
      </w:pPr>
    </w:p>
    <w:p>
      <w:pPr>
        <w:jc w:val="both"/>
        <w:ind w:firstLine="818"/>
        <w:spacing w:after="0" w:line="257" w:lineRule="auto"/>
        <w:tabs>
          <w:tab w:leader="none" w:pos="1291"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Duties of Chief Financial Officer. </w:t>
      </w:r>
      <w:r>
        <w:rPr>
          <w:rFonts w:ascii="Arial" w:cs="Arial" w:eastAsia="Arial" w:hAnsi="Arial"/>
          <w:sz w:val="19"/>
          <w:szCs w:val="19"/>
          <w:color w:val="auto"/>
        </w:rPr>
        <w:t>The Chief Financial Officer shall keep or cause to be kept the books of account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in a thorough and proper manner and shall render statements of the financial affairs of the corporation in such form and as often as required by the Board of Directors or the Chief Executive Officer, or if no Chief Executive Officer is then serving,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9" w:right="339" w:bottom="1440" w:gutter="0" w:footer="0" w:header="0"/>
        </w:sectPr>
      </w:pPr>
    </w:p>
    <w:bookmarkStart w:id="60" w:name="page61"/>
    <w:bookmarkEnd w:id="60"/>
    <w:p>
      <w:pPr>
        <w:jc w:val="both"/>
        <w:spacing w:after="0" w:line="282" w:lineRule="auto"/>
        <w:rPr>
          <w:sz w:val="20"/>
          <w:szCs w:val="20"/>
          <w:color w:val="auto"/>
        </w:rPr>
      </w:pPr>
      <w:r>
        <w:rPr>
          <w:rFonts w:ascii="Arial" w:cs="Arial" w:eastAsia="Arial" w:hAnsi="Arial"/>
          <w:sz w:val="18"/>
          <w:szCs w:val="18"/>
          <w:color w:val="auto"/>
        </w:rPr>
        <w:t>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55" w:lineRule="exact"/>
        <w:rPr>
          <w:sz w:val="20"/>
          <w:szCs w:val="20"/>
          <w:color w:val="auto"/>
        </w:rPr>
      </w:pPr>
    </w:p>
    <w:p>
      <w:pPr>
        <w:jc w:val="both"/>
        <w:ind w:firstLine="818"/>
        <w:spacing w:after="0" w:line="315" w:lineRule="auto"/>
        <w:tabs>
          <w:tab w:leader="none" w:pos="1284"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Treasurer. </w:t>
      </w:r>
      <w:r>
        <w:rPr>
          <w:rFonts w:ascii="Arial" w:cs="Arial" w:eastAsia="Arial" w:hAnsi="Arial"/>
          <w:sz w:val="16"/>
          <w:szCs w:val="16"/>
          <w:color w:val="auto"/>
        </w:rPr>
        <w:t>Unless another officer has been appointed Chief Financial Officer of the corporation, the Treasurer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Chief Executive Officer, or if no Chief Executive Officer is then serving,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Chief Executive Officer, or if no Chief Executive Officer is then serving, the President and Chief Financial Officer (if not Treasurer) shall designate from time to time.</w:t>
      </w:r>
    </w:p>
    <w:p>
      <w:pPr>
        <w:spacing w:after="0" w:line="132"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20"/>
          <w:szCs w:val="20"/>
          <w:b w:val="1"/>
          <w:bCs w:val="1"/>
          <w:color w:val="auto"/>
        </w:rPr>
        <w:t xml:space="preserve">Section 31. Delegation of Authority. </w:t>
      </w:r>
      <w:r>
        <w:rPr>
          <w:rFonts w:ascii="Arial" w:cs="Arial" w:eastAsia="Arial" w:hAnsi="Arial"/>
          <w:sz w:val="20"/>
          <w:szCs w:val="20"/>
          <w:color w:val="auto"/>
        </w:rPr>
        <w:t>The Board of Directors may from time to time delegate the powers or duties of any officer to any</w:t>
      </w:r>
      <w:r>
        <w:rPr>
          <w:rFonts w:ascii="Arial" w:cs="Arial" w:eastAsia="Arial" w:hAnsi="Arial"/>
          <w:sz w:val="20"/>
          <w:szCs w:val="20"/>
          <w:b w:val="1"/>
          <w:bCs w:val="1"/>
          <w:color w:val="auto"/>
        </w:rPr>
        <w:t xml:space="preserve"> </w:t>
      </w:r>
      <w:r>
        <w:rPr>
          <w:rFonts w:ascii="Arial" w:cs="Arial" w:eastAsia="Arial" w:hAnsi="Arial"/>
          <w:sz w:val="20"/>
          <w:szCs w:val="20"/>
          <w:color w:val="auto"/>
        </w:rPr>
        <w:t>other officer or agent, notwithstanding any provision hereof.</w:t>
      </w:r>
    </w:p>
    <w:p>
      <w:pPr>
        <w:spacing w:after="0" w:line="163"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0"/>
          <w:szCs w:val="20"/>
          <w:b w:val="1"/>
          <w:bCs w:val="1"/>
          <w:color w:val="auto"/>
        </w:rPr>
        <w:t xml:space="preserve">Section 32. Resignations. </w:t>
      </w:r>
      <w:r>
        <w:rPr>
          <w:rFonts w:ascii="Arial" w:cs="Arial" w:eastAsia="Arial" w:hAnsi="Arial"/>
          <w:sz w:val="20"/>
          <w:szCs w:val="20"/>
          <w:color w:val="auto"/>
        </w:rPr>
        <w:t>Any officer may resign at any time by giving notice in writing or by electronic transmission to the Board of</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or to the Chief Executive Officer, or if no Chief Executive Officer is then serving,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9"/>
          <w:szCs w:val="19"/>
          <w:b w:val="1"/>
          <w:bCs w:val="1"/>
          <w:color w:val="auto"/>
        </w:rPr>
        <w:t xml:space="preserve">Section 33. Removal. </w:t>
      </w:r>
      <w:r>
        <w:rPr>
          <w:rFonts w:ascii="Arial" w:cs="Arial" w:eastAsia="Arial" w:hAnsi="Arial"/>
          <w:sz w:val="19"/>
          <w:szCs w:val="19"/>
          <w:color w:val="auto"/>
        </w:rPr>
        <w:t>Any officer may be removed from office at any time, either with or without cause, by the Board of Directors, or</w:t>
      </w:r>
      <w:r>
        <w:rPr>
          <w:rFonts w:ascii="Arial" w:cs="Arial" w:eastAsia="Arial" w:hAnsi="Arial"/>
          <w:sz w:val="19"/>
          <w:szCs w:val="19"/>
          <w:b w:val="1"/>
          <w:bCs w:val="1"/>
          <w:color w:val="auto"/>
        </w:rPr>
        <w:t xml:space="preserve"> </w:t>
      </w:r>
      <w:r>
        <w:rPr>
          <w:rFonts w:ascii="Arial" w:cs="Arial" w:eastAsia="Arial" w:hAnsi="Arial"/>
          <w:sz w:val="19"/>
          <w:szCs w:val="19"/>
          <w:color w:val="auto"/>
        </w:rPr>
        <w:t>by any committee or superior officer upon whom such power of removal may have been conferred by the Board of Directors.</w:t>
      </w:r>
    </w:p>
    <w:p>
      <w:pPr>
        <w:spacing w:after="0" w:line="142"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EXECUTION OF CORPORATE INSTRUMENTS AND VOTING</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 SECURITIES OWNED BY THE CORPORATION</w:t>
      </w:r>
    </w:p>
    <w:p>
      <w:pPr>
        <w:spacing w:after="0" w:line="2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b w:val="1"/>
          <w:bCs w:val="1"/>
          <w:color w:val="auto"/>
        </w:rPr>
        <w:t xml:space="preserve">Section 34. Execution of Corporate Instruments. </w:t>
      </w:r>
      <w:r>
        <w:rPr>
          <w:rFonts w:ascii="Arial" w:cs="Arial" w:eastAsia="Arial" w:hAnsi="Arial"/>
          <w:sz w:val="18"/>
          <w:szCs w:val="18"/>
          <w:color w:val="auto"/>
        </w:rPr>
        <w:t>The Board of Directors may, in its discretion, determine the method and designate</w:t>
      </w:r>
      <w:r>
        <w:rPr>
          <w:rFonts w:ascii="Arial" w:cs="Arial" w:eastAsia="Arial" w:hAnsi="Arial"/>
          <w:sz w:val="18"/>
          <w:szCs w:val="18"/>
          <w:b w:val="1"/>
          <w:bCs w:val="1"/>
          <w:color w:val="auto"/>
        </w:rPr>
        <w:t xml:space="preserve"> </w:t>
      </w:r>
      <w:r>
        <w:rPr>
          <w:rFonts w:ascii="Arial" w:cs="Arial" w:eastAsia="Arial" w:hAnsi="Arial"/>
          <w:sz w:val="18"/>
          <w:szCs w:val="18"/>
          <w:color w:val="auto"/>
        </w:rPr>
        <w:t>the 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applicable law or these Bylaws, and such execution or signature shall be binding upon the corporation. All checks and drafts drawn on banks or other depositaries on funds to the credit of the corporation or in special accounts of the corporation shall be signed by such person or persons as the Board of Directors shall authorize so to do. Unless authorized or ratified by the Board of Directors or within the agency power of an officer, no officer, agent or employee shall have any power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authority to bind the corporation by any contract or engagement or to pledge its credit or to render it liable for any purpose or for any amount.</w:t>
      </w:r>
    </w:p>
    <w:p>
      <w:pPr>
        <w:spacing w:after="0" w:line="23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9"/>
          <w:szCs w:val="19"/>
          <w:b w:val="1"/>
          <w:bCs w:val="1"/>
          <w:color w:val="auto"/>
        </w:rPr>
        <w:t xml:space="preserve">Section 35. Voting of Securities Owned by the Corporation. </w:t>
      </w:r>
      <w:r>
        <w:rPr>
          <w:rFonts w:ascii="Arial" w:cs="Arial" w:eastAsia="Arial" w:hAnsi="Arial"/>
          <w:sz w:val="19"/>
          <w:szCs w:val="19"/>
          <w:color w:val="auto"/>
        </w:rPr>
        <w:t>All stock and other securities and interests of other corporations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entities owned 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the Chief Executive Officer, the President, or any Vice President.</w:t>
      </w:r>
    </w:p>
    <w:p>
      <w:pPr>
        <w:spacing w:after="0" w:line="169"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VII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SHARES OF STOCK</w:t>
      </w:r>
    </w:p>
    <w:p>
      <w:pPr>
        <w:spacing w:after="0" w:line="21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b w:val="1"/>
          <w:bCs w:val="1"/>
          <w:color w:val="auto"/>
        </w:rPr>
        <w:t xml:space="preserve">Section 36. Form and Execution of Certificates. </w:t>
      </w:r>
      <w:r>
        <w:rPr>
          <w:rFonts w:ascii="Arial" w:cs="Arial" w:eastAsia="Arial" w:hAnsi="Arial"/>
          <w:sz w:val="19"/>
          <w:szCs w:val="19"/>
          <w:color w:val="auto"/>
        </w:rPr>
        <w:t>The shares of the corporation shall be represented by certificates, or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uncertificated if so provided by resolution or resolutions of the Board of Directors. Certificates for the shares of stock, if any, shall be in such form as is consistent with the Certificate of Incorporation and applicable law. Every holder of stock in the corporation represented by certificates shall be entitled to have a certificate signed by, or in the name of, the corporation by any two authorized officers of the corporation, certifying the number of shares owned by such holder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7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b w:val="1"/>
          <w:bCs w:val="1"/>
          <w:color w:val="auto"/>
        </w:rPr>
        <w:t xml:space="preserve">Section 37. Lost Certificates. </w:t>
      </w:r>
      <w:r>
        <w:rPr>
          <w:rFonts w:ascii="Arial" w:cs="Arial" w:eastAsia="Arial" w:hAnsi="Arial"/>
          <w:sz w:val="20"/>
          <w:szCs w:val="20"/>
          <w:color w:val="auto"/>
        </w:rPr>
        <w:t>A new certificate or certificates shall be issued in place of any certificate or certificates theretofore issued</w:t>
      </w:r>
      <w:r>
        <w:rPr>
          <w:rFonts w:ascii="Arial" w:cs="Arial" w:eastAsia="Arial" w:hAnsi="Arial"/>
          <w:sz w:val="20"/>
          <w:szCs w:val="20"/>
          <w:b w:val="1"/>
          <w:bCs w:val="1"/>
          <w:color w:val="auto"/>
        </w:rPr>
        <w:t xml:space="preserve"> </w:t>
      </w:r>
      <w:r>
        <w:rPr>
          <w:rFonts w:ascii="Arial" w:cs="Arial" w:eastAsia="Arial" w:hAnsi="Arial"/>
          <w:sz w:val="20"/>
          <w:szCs w:val="20"/>
          <w:color w:val="auto"/>
        </w:rPr>
        <w:t>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Section 38. Transfers.</w:t>
      </w:r>
    </w:p>
    <w:p>
      <w:pPr>
        <w:spacing w:after="0" w:line="222" w:lineRule="exact"/>
        <w:rPr>
          <w:sz w:val="20"/>
          <w:szCs w:val="20"/>
          <w:color w:val="auto"/>
        </w:rPr>
      </w:pPr>
    </w:p>
    <w:p>
      <w:pPr>
        <w:jc w:val="both"/>
        <w:ind w:firstLine="818"/>
        <w:spacing w:after="0" w:line="250" w:lineRule="auto"/>
        <w:tabs>
          <w:tab w:leader="none" w:pos="1284" w:val="left"/>
        </w:tabs>
        <w:numPr>
          <w:ilvl w:val="0"/>
          <w:numId w:val="38"/>
        </w:numPr>
        <w:rPr>
          <w:rFonts w:ascii="Arial" w:cs="Arial" w:eastAsia="Arial" w:hAnsi="Arial"/>
          <w:sz w:val="20"/>
          <w:szCs w:val="20"/>
          <w:b w:val="1"/>
          <w:bCs w:val="1"/>
          <w:color w:val="auto"/>
        </w:rPr>
      </w:pPr>
      <w:r>
        <w:rPr>
          <w:rFonts w:ascii="Arial" w:cs="Arial" w:eastAsia="Arial" w:hAnsi="Arial"/>
          <w:sz w:val="20"/>
          <w:szCs w:val="20"/>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85" w:lineRule="exact"/>
        <w:rPr>
          <w:rFonts w:ascii="Arial" w:cs="Arial" w:eastAsia="Arial" w:hAnsi="Arial"/>
          <w:sz w:val="20"/>
          <w:szCs w:val="20"/>
          <w:b w:val="1"/>
          <w:bCs w:val="1"/>
          <w:color w:val="auto"/>
        </w:rPr>
      </w:pPr>
    </w:p>
    <w:p>
      <w:pPr>
        <w:jc w:val="both"/>
        <w:ind w:firstLine="818"/>
        <w:spacing w:after="0" w:line="250" w:lineRule="auto"/>
        <w:tabs>
          <w:tab w:leader="none" w:pos="1295" w:val="left"/>
        </w:tabs>
        <w:numPr>
          <w:ilvl w:val="0"/>
          <w:numId w:val="38"/>
        </w:numPr>
        <w:rPr>
          <w:rFonts w:ascii="Arial" w:cs="Arial" w:eastAsia="Arial" w:hAnsi="Arial"/>
          <w:sz w:val="20"/>
          <w:szCs w:val="20"/>
          <w:b w:val="1"/>
          <w:bCs w:val="1"/>
          <w:color w:val="auto"/>
        </w:rPr>
      </w:pPr>
      <w:r>
        <w:rPr>
          <w:rFonts w:ascii="Arial" w:cs="Arial" w:eastAsia="Arial" w:hAnsi="Arial"/>
          <w:sz w:val="20"/>
          <w:szCs w:val="20"/>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9" w:right="33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b w:val="1"/>
          <w:bCs w:val="1"/>
          <w:color w:val="auto"/>
        </w:rPr>
        <w:t xml:space="preserve">Section 39.  </w:t>
      </w:r>
      <w:r>
        <w:rPr>
          <w:rFonts w:ascii="Arial" w:cs="Arial" w:eastAsia="Arial" w:hAnsi="Arial"/>
          <w:sz w:val="19"/>
          <w:szCs w:val="19"/>
          <w:b w:val="1"/>
          <w:bCs w:val="1"/>
          <w:color w:val="auto"/>
        </w:rPr>
        <w:t>Fixing Record Dates.</w:t>
      </w:r>
    </w:p>
    <w:p>
      <w:pPr>
        <w:spacing w:after="0" w:line="260" w:lineRule="exact"/>
        <w:rPr>
          <w:sz w:val="20"/>
          <w:szCs w:val="20"/>
          <w:color w:val="auto"/>
        </w:rPr>
      </w:pPr>
    </w:p>
    <w:p>
      <w:pPr>
        <w:jc w:val="both"/>
        <w:ind w:firstLine="818"/>
        <w:spacing w:after="0" w:line="270" w:lineRule="auto"/>
        <w:tabs>
          <w:tab w:leader="none" w:pos="1284"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60 nor fewer than ten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of Directors may fix a new record date for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5" w:lineRule="exact"/>
        <w:rPr>
          <w:rFonts w:ascii="Arial" w:cs="Arial" w:eastAsia="Arial" w:hAnsi="Arial"/>
          <w:sz w:val="18"/>
          <w:szCs w:val="18"/>
          <w:b w:val="1"/>
          <w:bCs w:val="1"/>
          <w:color w:val="auto"/>
        </w:rPr>
      </w:pPr>
    </w:p>
    <w:p>
      <w:pPr>
        <w:jc w:val="both"/>
        <w:ind w:firstLine="818"/>
        <w:spacing w:after="0" w:line="259" w:lineRule="auto"/>
        <w:tabs>
          <w:tab w:leader="none" w:pos="1295" w:val="left"/>
        </w:tabs>
        <w:numPr>
          <w:ilvl w:val="0"/>
          <w:numId w:val="39"/>
        </w:numPr>
        <w:rPr>
          <w:rFonts w:ascii="Arial" w:cs="Arial" w:eastAsia="Arial" w:hAnsi="Arial"/>
          <w:sz w:val="19"/>
          <w:szCs w:val="19"/>
          <w:b w:val="1"/>
          <w:bCs w:val="1"/>
          <w:color w:val="auto"/>
        </w:rPr>
      </w:pPr>
      <w:r>
        <w:rPr>
          <w:rFonts w:ascii="Arial" w:cs="Arial" w:eastAsia="Arial" w:hAnsi="Arial"/>
          <w:sz w:val="19"/>
          <w:szCs w:val="19"/>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72"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0"/>
          <w:szCs w:val="20"/>
          <w:b w:val="1"/>
          <w:bCs w:val="1"/>
          <w:color w:val="auto"/>
        </w:rPr>
        <w:t xml:space="preserve">Section 40. Registered Stockholders. </w:t>
      </w:r>
      <w:r>
        <w:rPr>
          <w:rFonts w:ascii="Arial" w:cs="Arial" w:eastAsia="Arial" w:hAnsi="Arial"/>
          <w:sz w:val="20"/>
          <w:szCs w:val="20"/>
          <w:color w:val="auto"/>
        </w:rPr>
        <w:t>The corporation shall be entitled to recognize the exclusive right of a person registered on its</w:t>
      </w:r>
      <w:r>
        <w:rPr>
          <w:rFonts w:ascii="Arial" w:cs="Arial" w:eastAsia="Arial" w:hAnsi="Arial"/>
          <w:sz w:val="20"/>
          <w:szCs w:val="20"/>
          <w:b w:val="1"/>
          <w:bCs w:val="1"/>
          <w:color w:val="auto"/>
        </w:rPr>
        <w:t xml:space="preserve"> </w:t>
      </w:r>
      <w:r>
        <w:rPr>
          <w:rFonts w:ascii="Arial" w:cs="Arial" w:eastAsia="Arial" w:hAnsi="Arial"/>
          <w:sz w:val="20"/>
          <w:szCs w:val="20"/>
          <w:color w:val="auto"/>
        </w:rPr>
        <w:t>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3"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VIII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SECURITIES OF THE CORPORATION</w:t>
      </w:r>
    </w:p>
    <w:p>
      <w:pPr>
        <w:spacing w:after="0" w:line="21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b w:val="1"/>
          <w:bCs w:val="1"/>
          <w:color w:val="auto"/>
        </w:rPr>
        <w:t xml:space="preserve">Section 41. Execution of Other Securities. </w:t>
      </w:r>
      <w:r>
        <w:rPr>
          <w:rFonts w:ascii="Arial" w:cs="Arial" w:eastAsia="Arial" w:hAnsi="Arial"/>
          <w:sz w:val="19"/>
          <w:szCs w:val="19"/>
          <w:color w:val="auto"/>
        </w:rPr>
        <w:t>All bonds, debentures and other corporate securities of the corporation, other than stock</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certificates (covered in Section 36), may be signed by any executive officer (as defined in Article XI) or any other officer or person as may be authorized by the Board of Directors;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an executive officer of the corporation or such other officer or person as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3" w:right="339" w:bottom="1440" w:gutter="0" w:footer="0" w:header="0"/>
        </w:sectPr>
      </w:pPr>
    </w:p>
    <w:bookmarkStart w:id="63" w:name="page64"/>
    <w:bookmarkEnd w:id="63"/>
    <w:p>
      <w:pPr>
        <w:jc w:val="both"/>
        <w:spacing w:after="0" w:line="243" w:lineRule="auto"/>
        <w:rPr>
          <w:sz w:val="20"/>
          <w:szCs w:val="20"/>
          <w:color w:val="auto"/>
        </w:rPr>
      </w:pPr>
      <w:r>
        <w:rPr>
          <w:rFonts w:ascii="Arial" w:cs="Arial" w:eastAsia="Arial" w:hAnsi="Arial"/>
          <w:sz w:val="20"/>
          <w:szCs w:val="20"/>
          <w:color w:val="auto"/>
        </w:rPr>
        <w:t>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90"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ARTICLE IX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DIVIDENDS</w:t>
      </w:r>
    </w:p>
    <w:p>
      <w:pPr>
        <w:spacing w:after="0" w:line="2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b w:val="1"/>
          <w:bCs w:val="1"/>
          <w:color w:val="auto"/>
        </w:rPr>
        <w:t xml:space="preserve">Section 42. Declaration of Dividends. </w:t>
      </w:r>
      <w:r>
        <w:rPr>
          <w:rFonts w:ascii="Arial" w:cs="Arial" w:eastAsia="Arial" w:hAnsi="Arial"/>
          <w:sz w:val="19"/>
          <w:szCs w:val="19"/>
          <w:color w:val="auto"/>
        </w:rPr>
        <w:t>Dividends upon the capital stock of the corporation, subject to the provisions of the Certificate of</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Incorporation and applicable law, if any, may be declared by the Board of Directors. Dividends may be paid in cash, in property, or in shares of the corporation’s capital stock, subject to the provisions of the Certificate of Incorporation and applicable law.</w:t>
      </w:r>
    </w:p>
    <w:p>
      <w:pPr>
        <w:spacing w:after="0" w:line="16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b w:val="1"/>
          <w:bCs w:val="1"/>
          <w:color w:val="auto"/>
        </w:rPr>
        <w:t xml:space="preserve">Section 43. Dividend Reserve. </w:t>
      </w:r>
      <w:r>
        <w:rPr>
          <w:rFonts w:ascii="Arial" w:cs="Arial" w:eastAsia="Arial" w:hAnsi="Arial"/>
          <w:sz w:val="20"/>
          <w:szCs w:val="20"/>
          <w:color w:val="auto"/>
        </w:rPr>
        <w:t>Before payment of any dividend, there may be set aside out of any funds of the corporation available for</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dividends such sum or sums as the Board of Directors from time to time, in its absolute discretion, thinks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185"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FISCAL YEAR</w:t>
      </w:r>
    </w:p>
    <w:p>
      <w:pPr>
        <w:spacing w:after="0" w:line="216" w:lineRule="exact"/>
        <w:rPr>
          <w:sz w:val="20"/>
          <w:szCs w:val="20"/>
          <w:color w:val="auto"/>
        </w:rPr>
      </w:pPr>
    </w:p>
    <w:p>
      <w:pPr>
        <w:jc w:val="both"/>
        <w:ind w:right="20" w:firstLine="324"/>
        <w:spacing w:after="0" w:line="267" w:lineRule="auto"/>
        <w:rPr>
          <w:sz w:val="20"/>
          <w:szCs w:val="20"/>
          <w:color w:val="auto"/>
        </w:rPr>
      </w:pPr>
      <w:r>
        <w:rPr>
          <w:rFonts w:ascii="Arial" w:cs="Arial" w:eastAsia="Arial" w:hAnsi="Arial"/>
          <w:sz w:val="20"/>
          <w:szCs w:val="20"/>
          <w:b w:val="1"/>
          <w:bCs w:val="1"/>
          <w:color w:val="auto"/>
        </w:rPr>
        <w:t xml:space="preserve">Section 44. Fiscal Year. </w:t>
      </w:r>
      <w:r>
        <w:rPr>
          <w:rFonts w:ascii="Arial" w:cs="Arial" w:eastAsia="Arial" w:hAnsi="Arial"/>
          <w:sz w:val="20"/>
          <w:szCs w:val="20"/>
          <w:color w:val="auto"/>
        </w:rPr>
        <w:t>The fiscal year of the corporation shall end on December 31 or on such other date as may otherwise be fixed by</w:t>
      </w:r>
      <w:r>
        <w:rPr>
          <w:rFonts w:ascii="Arial" w:cs="Arial" w:eastAsia="Arial" w:hAnsi="Arial"/>
          <w:sz w:val="20"/>
          <w:szCs w:val="20"/>
          <w:b w:val="1"/>
          <w:bCs w:val="1"/>
          <w:color w:val="auto"/>
        </w:rPr>
        <w:t xml:space="preserve"> </w:t>
      </w:r>
      <w:r>
        <w:rPr>
          <w:rFonts w:ascii="Arial" w:cs="Arial" w:eastAsia="Arial" w:hAnsi="Arial"/>
          <w:sz w:val="20"/>
          <w:szCs w:val="20"/>
          <w:color w:val="auto"/>
        </w:rPr>
        <w:t>resolution of the Board of Directors.</w:t>
      </w:r>
    </w:p>
    <w:p>
      <w:pPr>
        <w:spacing w:after="0" w:line="163"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XI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Section 45. Indemnification of Directors, Executive Officers, Employees and Other Agents.</w:t>
      </w:r>
    </w:p>
    <w:p>
      <w:pPr>
        <w:spacing w:after="0" w:line="216" w:lineRule="exact"/>
        <w:rPr>
          <w:sz w:val="20"/>
          <w:szCs w:val="20"/>
          <w:color w:val="auto"/>
        </w:rPr>
      </w:pPr>
    </w:p>
    <w:p>
      <w:pPr>
        <w:jc w:val="both"/>
        <w:ind w:firstLine="818"/>
        <w:spacing w:after="0" w:line="272" w:lineRule="auto"/>
        <w:tabs>
          <w:tab w:leader="none" w:pos="1284"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Directors and Executive Officers. </w:t>
      </w:r>
      <w:r>
        <w:rPr>
          <w:rFonts w:ascii="Arial" w:cs="Arial" w:eastAsia="Arial" w:hAnsi="Arial"/>
          <w:sz w:val="18"/>
          <w:szCs w:val="18"/>
          <w:color w:val="auto"/>
        </w:rPr>
        <w:t>The corporation shall indemnify its directors and executive officers (for the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Article XI, “</w:t>
      </w:r>
      <w:r>
        <w:rPr>
          <w:rFonts w:ascii="Arial" w:cs="Arial" w:eastAsia="Arial" w:hAnsi="Arial"/>
          <w:sz w:val="18"/>
          <w:szCs w:val="18"/>
          <w:b w:val="1"/>
          <w:bCs w:val="1"/>
          <w:i w:val="1"/>
          <w:iCs w:val="1"/>
          <w:color w:val="auto"/>
        </w:rPr>
        <w:t>executive officers</w:t>
      </w:r>
      <w:r>
        <w:rPr>
          <w:rFonts w:ascii="Arial" w:cs="Arial" w:eastAsia="Arial" w:hAnsi="Arial"/>
          <w:sz w:val="18"/>
          <w:szCs w:val="18"/>
          <w:color w:val="auto"/>
        </w:rPr>
        <w:t xml:space="preserve">” shall have the meaning defined in Rule 3b-7 promulgated under the 1934 Act) to the fullest extent permitted by the DGCL or any other applicable law as it presently exists or may hereafter be amended, who was or is made or is threatened to be made a party or is otherwise involved in proceeding, by reason of the fact that he or she, or a person for whom he or she is the legal representative, is or was a director or officer of the corporation, against all liability and loss suffered and expenses (including attorneys’ fees) reasonably incurred by person;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corporation may modify the extent of such indemnification by individual contracts with its directors and executive officers, in which case such contract shall supersede and replace the provisions hereof;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9" w:right="339" w:bottom="1440" w:gutter="0" w:footer="0" w:header="0"/>
        </w:sectPr>
      </w:pPr>
    </w:p>
    <w:bookmarkStart w:id="64" w:name="page65"/>
    <w:bookmarkEnd w:id="64"/>
    <w:p>
      <w:pPr>
        <w:spacing w:after="0" w:line="260" w:lineRule="auto"/>
        <w:rPr>
          <w:sz w:val="20"/>
          <w:szCs w:val="20"/>
          <w:color w:val="auto"/>
        </w:rPr>
      </w:pPr>
      <w:r>
        <w:rPr>
          <w:rFonts w:ascii="Arial" w:cs="Arial" w:eastAsia="Arial" w:hAnsi="Arial"/>
          <w:sz w:val="20"/>
          <w:szCs w:val="20"/>
          <w:color w:val="auto"/>
        </w:rPr>
        <w:t>corporation, in its sole discretion, pursuant to the powers vested in the corporation under the DGCL or any other applicable law or (iv) such indemnification is required to be made under subsection (d) of this Section 45.</w:t>
      </w:r>
    </w:p>
    <w:p>
      <w:pPr>
        <w:spacing w:after="0" w:line="171" w:lineRule="exact"/>
        <w:rPr>
          <w:sz w:val="20"/>
          <w:szCs w:val="20"/>
          <w:color w:val="auto"/>
        </w:rPr>
      </w:pPr>
    </w:p>
    <w:p>
      <w:pPr>
        <w:jc w:val="both"/>
        <w:ind w:firstLine="818"/>
        <w:spacing w:after="0" w:line="285" w:lineRule="auto"/>
        <w:tabs>
          <w:tab w:leader="none" w:pos="1295"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Officers, Employees and Other Agents. </w:t>
      </w:r>
      <w:r>
        <w:rPr>
          <w:rFonts w:ascii="Arial" w:cs="Arial" w:eastAsia="Arial" w:hAnsi="Arial"/>
          <w:sz w:val="18"/>
          <w:szCs w:val="18"/>
          <w:color w:val="auto"/>
        </w:rPr>
        <w:t>The corporation shall have the power to indemnify (including the power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in a manner consistent with subsection (c) of this Section 45) its other officers, employees and other agents as set forth in the DGCL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150" w:lineRule="exact"/>
        <w:rPr>
          <w:rFonts w:ascii="Arial" w:cs="Arial" w:eastAsia="Arial" w:hAnsi="Arial"/>
          <w:sz w:val="18"/>
          <w:szCs w:val="18"/>
          <w:b w:val="1"/>
          <w:bCs w:val="1"/>
          <w:color w:val="auto"/>
        </w:rPr>
      </w:pPr>
    </w:p>
    <w:p>
      <w:pPr>
        <w:jc w:val="both"/>
        <w:ind w:firstLine="818"/>
        <w:spacing w:after="0" w:line="256" w:lineRule="auto"/>
        <w:tabs>
          <w:tab w:leader="none" w:pos="1286"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Expenses. </w:t>
      </w:r>
      <w:r>
        <w:rPr>
          <w:rFonts w:ascii="Arial" w:cs="Arial" w:eastAsia="Arial" w:hAnsi="Arial"/>
          <w:sz w:val="19"/>
          <w:szCs w:val="19"/>
          <w:color w:val="auto"/>
        </w:rPr>
        <w:t>The corporation shall advance to any person who was or is a party or is threatened to be made a party to any</w:t>
      </w:r>
      <w:r>
        <w:rPr>
          <w:rFonts w:ascii="Arial" w:cs="Arial" w:eastAsia="Arial" w:hAnsi="Arial"/>
          <w:sz w:val="19"/>
          <w:szCs w:val="19"/>
          <w:b w:val="1"/>
          <w:bCs w:val="1"/>
          <w:color w:val="auto"/>
        </w:rPr>
        <w:t xml:space="preserve"> </w:t>
      </w:r>
      <w:r>
        <w:rPr>
          <w:rFonts w:ascii="Arial" w:cs="Arial" w:eastAsia="Arial" w:hAnsi="Arial"/>
          <w:sz w:val="19"/>
          <w:szCs w:val="19"/>
          <w:color w:val="auto"/>
        </w:rPr>
        <w:t>threatened, pending 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w:t>
      </w:r>
      <w:r>
        <w:rPr>
          <w:rFonts w:ascii="Arial" w:cs="Arial" w:eastAsia="Arial" w:hAnsi="Arial"/>
          <w:sz w:val="19"/>
          <w:szCs w:val="19"/>
          <w:b w:val="1"/>
          <w:bCs w:val="1"/>
          <w:i w:val="1"/>
          <w:iCs w:val="1"/>
          <w:color w:val="auto"/>
        </w:rPr>
        <w:t>undertaking</w:t>
      </w:r>
      <w:r>
        <w:rPr>
          <w:rFonts w:ascii="Arial" w:cs="Arial" w:eastAsia="Arial" w:hAnsi="Arial"/>
          <w:sz w:val="19"/>
          <w:szCs w:val="19"/>
          <w:color w:val="auto"/>
        </w:rPr>
        <w:t>”), by or on behalf of such indemnitee, to repay all amounts so advanced if it shall ultimately be determined by final judicial decision from which there is no further right to appeal (hereinafter a “</w:t>
      </w:r>
      <w:r>
        <w:rPr>
          <w:rFonts w:ascii="Arial" w:cs="Arial" w:eastAsia="Arial" w:hAnsi="Arial"/>
          <w:sz w:val="19"/>
          <w:szCs w:val="19"/>
          <w:b w:val="1"/>
          <w:bCs w:val="1"/>
          <w:i w:val="1"/>
          <w:iCs w:val="1"/>
          <w:color w:val="auto"/>
        </w:rPr>
        <w:t>final adjudication</w:t>
      </w:r>
      <w:r>
        <w:rPr>
          <w:rFonts w:ascii="Arial" w:cs="Arial" w:eastAsia="Arial" w:hAnsi="Arial"/>
          <w:sz w:val="19"/>
          <w:szCs w:val="19"/>
          <w:color w:val="auto"/>
        </w:rPr>
        <w:t>”) that such indemnitee is not entitled to be indemnified for such expenses under this section or otherwise.</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Notwithstanding the foregoing, unless otherwise determined pursuant to paragraph (d) of this Section 45,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62" w:lineRule="exact"/>
        <w:rPr>
          <w:sz w:val="20"/>
          <w:szCs w:val="20"/>
          <w:color w:val="auto"/>
        </w:rPr>
      </w:pPr>
    </w:p>
    <w:p>
      <w:pPr>
        <w:jc w:val="both"/>
        <w:ind w:firstLine="818"/>
        <w:spacing w:after="0" w:line="257" w:lineRule="auto"/>
        <w:tabs>
          <w:tab w:leader="none" w:pos="1295"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Enforcement. </w:t>
      </w:r>
      <w:r>
        <w:rPr>
          <w:rFonts w:ascii="Arial" w:cs="Arial" w:eastAsia="Arial" w:hAnsi="Arial"/>
          <w:sz w:val="19"/>
          <w:szCs w:val="19"/>
          <w:color w:val="auto"/>
        </w:rPr>
        <w:t>Without the necessity of entering into an express contract, all rights to indemnification and advances to</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and executive officers under this Bylaw shall be deemed to be contractual rights and be effective to the same extent and as if provided for in a contract between the corporation and the director or executive officer. Any right to indemnification or advances granted by this section to a director or executive officer shall be enforceable by or on behalf of the person holding such right in any court of competent jurisdiction if (i) the claim for indemnification or advances is denied, in whole or in part, or (ii) no disposition of such claim is made within 90 days of request therefor. To the extent permitted by law, the claimant in such enforcement action, if successful in whole or in part, shall be entitled to be paid also the expense of prosecuting the claim to the fullest extent permitted by law. In connection with any claim for indemnification, the corporation shall be entitled to raise as a defense to any such action that the claimant has not met the standards of conduct that make it permissible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9" w:right="339" w:bottom="1440" w:gutter="0" w:footer="0" w:header="0"/>
        </w:sectPr>
      </w:pPr>
    </w:p>
    <w:bookmarkStart w:id="65" w:name="page66"/>
    <w:bookmarkEnd w:id="65"/>
    <w:p>
      <w:pPr>
        <w:jc w:val="both"/>
        <w:spacing w:after="0" w:line="270" w:lineRule="auto"/>
        <w:rPr>
          <w:sz w:val="20"/>
          <w:szCs w:val="20"/>
          <w:color w:val="auto"/>
        </w:rPr>
      </w:pPr>
      <w:r>
        <w:rPr>
          <w:rFonts w:ascii="Arial" w:cs="Arial" w:eastAsia="Arial" w:hAnsi="Arial"/>
          <w:sz w:val="18"/>
          <w:szCs w:val="18"/>
          <w:color w:val="auto"/>
        </w:rPr>
        <w:t>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or otherwise shall be on the corporation.</w:t>
      </w:r>
    </w:p>
    <w:p>
      <w:pPr>
        <w:spacing w:after="0" w:line="166" w:lineRule="exact"/>
        <w:rPr>
          <w:sz w:val="20"/>
          <w:szCs w:val="20"/>
          <w:color w:val="auto"/>
        </w:rPr>
      </w:pPr>
    </w:p>
    <w:p>
      <w:pPr>
        <w:jc w:val="both"/>
        <w:ind w:firstLine="818"/>
        <w:spacing w:after="0" w:line="245" w:lineRule="auto"/>
        <w:tabs>
          <w:tab w:leader="none" w:pos="1286"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Non-Exclusivity of Rights. </w:t>
      </w:r>
      <w:r>
        <w:rPr>
          <w:rFonts w:ascii="Arial" w:cs="Arial" w:eastAsia="Arial" w:hAnsi="Arial"/>
          <w:sz w:val="20"/>
          <w:szCs w:val="20"/>
          <w:color w:val="auto"/>
        </w:rPr>
        <w:t>The rights conferred on any person by this Bylaw shall not be exclusive of any other right which</w:t>
      </w:r>
      <w:r>
        <w:rPr>
          <w:rFonts w:ascii="Arial" w:cs="Arial" w:eastAsia="Arial" w:hAnsi="Arial"/>
          <w:sz w:val="20"/>
          <w:szCs w:val="20"/>
          <w:b w:val="1"/>
          <w:bCs w:val="1"/>
          <w:color w:val="auto"/>
        </w:rPr>
        <w:t xml:space="preserve"> </w:t>
      </w:r>
      <w:r>
        <w:rPr>
          <w:rFonts w:ascii="Arial" w:cs="Arial" w:eastAsia="Arial" w:hAnsi="Arial"/>
          <w:sz w:val="20"/>
          <w:szCs w:val="20"/>
          <w:color w:val="auto"/>
        </w:rPr>
        <w:t>such 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184" w:lineRule="exact"/>
        <w:rPr>
          <w:rFonts w:ascii="Arial" w:cs="Arial" w:eastAsia="Arial" w:hAnsi="Arial"/>
          <w:sz w:val="20"/>
          <w:szCs w:val="20"/>
          <w:b w:val="1"/>
          <w:bCs w:val="1"/>
          <w:color w:val="auto"/>
        </w:rPr>
      </w:pPr>
    </w:p>
    <w:p>
      <w:pPr>
        <w:jc w:val="both"/>
        <w:ind w:firstLine="818"/>
        <w:spacing w:after="0" w:line="253" w:lineRule="auto"/>
        <w:tabs>
          <w:tab w:leader="none" w:pos="1291"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Survival of Rights. </w:t>
      </w:r>
      <w:r>
        <w:rPr>
          <w:rFonts w:ascii="Arial" w:cs="Arial" w:eastAsia="Arial" w:hAnsi="Arial"/>
          <w:sz w:val="20"/>
          <w:szCs w:val="20"/>
          <w:color w:val="auto"/>
        </w:rPr>
        <w:t>The rights conferred on any person by this Bylaw shall continue as to a person who has ceased to be a</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 or executive officer or officer, employee or other agent and shall inure to the benefit of the heirs, executors and administrators of such a person.</w:t>
      </w:r>
    </w:p>
    <w:p>
      <w:pPr>
        <w:spacing w:after="0" w:line="177" w:lineRule="exact"/>
        <w:rPr>
          <w:rFonts w:ascii="Arial" w:cs="Arial" w:eastAsia="Arial" w:hAnsi="Arial"/>
          <w:sz w:val="20"/>
          <w:szCs w:val="20"/>
          <w:b w:val="1"/>
          <w:bCs w:val="1"/>
          <w:color w:val="auto"/>
        </w:rPr>
      </w:pPr>
    </w:p>
    <w:p>
      <w:pPr>
        <w:ind w:right="20" w:firstLine="818"/>
        <w:spacing w:after="0" w:line="323" w:lineRule="auto"/>
        <w:tabs>
          <w:tab w:leader="none" w:pos="1284"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To the fullest extent permitted by the DGCL or any other applicable law, the corporation, upon approval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may purchase insurance on behalf of any person required or permitted to be indemnified pursuant to this section.</w:t>
      </w:r>
    </w:p>
    <w:p>
      <w:pPr>
        <w:spacing w:after="0" w:line="117" w:lineRule="exact"/>
        <w:rPr>
          <w:rFonts w:ascii="Arial" w:cs="Arial" w:eastAsia="Arial" w:hAnsi="Arial"/>
          <w:sz w:val="18"/>
          <w:szCs w:val="18"/>
          <w:b w:val="1"/>
          <w:bCs w:val="1"/>
          <w:color w:val="auto"/>
        </w:rPr>
      </w:pPr>
    </w:p>
    <w:p>
      <w:pPr>
        <w:jc w:val="both"/>
        <w:ind w:firstLine="818"/>
        <w:spacing w:after="0" w:line="253" w:lineRule="auto"/>
        <w:tabs>
          <w:tab w:leader="none" w:pos="1295"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Amendments. </w:t>
      </w:r>
      <w:r>
        <w:rPr>
          <w:rFonts w:ascii="Arial" w:cs="Arial" w:eastAsia="Arial" w:hAnsi="Arial"/>
          <w:sz w:val="20"/>
          <w:szCs w:val="20"/>
          <w:color w:val="auto"/>
        </w:rPr>
        <w:t>Any repeal or modification of this section shall only be prospective and shall not affect the rights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Bylaw in effect at the time of the alleged occurrence of any action or omission to act that is the cause of any proceeding against any agent of the corporation.</w:t>
      </w:r>
    </w:p>
    <w:p>
      <w:pPr>
        <w:spacing w:after="0" w:line="177" w:lineRule="exact"/>
        <w:rPr>
          <w:rFonts w:ascii="Arial" w:cs="Arial" w:eastAsia="Arial" w:hAnsi="Arial"/>
          <w:sz w:val="20"/>
          <w:szCs w:val="20"/>
          <w:b w:val="1"/>
          <w:bCs w:val="1"/>
          <w:color w:val="auto"/>
        </w:rPr>
      </w:pPr>
    </w:p>
    <w:p>
      <w:pPr>
        <w:jc w:val="both"/>
        <w:ind w:firstLine="818"/>
        <w:spacing w:after="0" w:line="246" w:lineRule="auto"/>
        <w:tabs>
          <w:tab w:leader="none" w:pos="1294"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Saving Clause. </w:t>
      </w:r>
      <w:r>
        <w:rPr>
          <w:rFonts w:ascii="Arial" w:cs="Arial" w:eastAsia="Arial" w:hAnsi="Arial"/>
          <w:sz w:val="20"/>
          <w:szCs w:val="20"/>
          <w:color w:val="auto"/>
        </w:rPr>
        <w:t>If this Bylaw or any portion hereof shall be invalidated on any ground by any court of competent</w:t>
      </w:r>
      <w:r>
        <w:rPr>
          <w:rFonts w:ascii="Arial" w:cs="Arial" w:eastAsia="Arial" w:hAnsi="Arial"/>
          <w:sz w:val="20"/>
          <w:szCs w:val="20"/>
          <w:b w:val="1"/>
          <w:bCs w:val="1"/>
          <w:color w:val="auto"/>
        </w:rPr>
        <w:t xml:space="preserve"> </w:t>
      </w:r>
      <w:r>
        <w:rPr>
          <w:rFonts w:ascii="Arial" w:cs="Arial" w:eastAsia="Arial" w:hAnsi="Arial"/>
          <w:sz w:val="20"/>
          <w:szCs w:val="20"/>
          <w:color w:val="auto"/>
        </w:rPr>
        <w:t>jurisdiction, then the corporation shall nevertheless indemnify each director and executive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any other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9" w:right="339" w:bottom="1440" w:gutter="0" w:footer="0" w:header="0"/>
        </w:sectPr>
      </w:pPr>
    </w:p>
    <w:bookmarkStart w:id="66" w:name="page67"/>
    <w:bookmarkEnd w:id="66"/>
    <w:p>
      <w:pPr>
        <w:ind w:left="1300" w:hanging="482"/>
        <w:spacing w:after="0"/>
        <w:tabs>
          <w:tab w:leader="none" w:pos="1300" w:val="left"/>
        </w:tabs>
        <w:numPr>
          <w:ilvl w:val="0"/>
          <w:numId w:val="44"/>
        </w:numPr>
        <w:rPr>
          <w:rFonts w:ascii="Arial" w:cs="Arial" w:eastAsia="Arial" w:hAnsi="Arial"/>
          <w:sz w:val="18"/>
          <w:szCs w:val="18"/>
          <w:b w:val="1"/>
          <w:bCs w:val="1"/>
          <w:color w:val="auto"/>
        </w:rPr>
      </w:pPr>
      <w:r>
        <w:rPr>
          <w:rFonts w:ascii="Arial" w:cs="Arial" w:eastAsia="Arial" w:hAnsi="Arial"/>
          <w:sz w:val="20"/>
          <w:szCs w:val="20"/>
          <w:b w:val="1"/>
          <w:bCs w:val="1"/>
          <w:color w:val="auto"/>
        </w:rPr>
        <w:t xml:space="preserve">Certain Definitions. </w:t>
      </w:r>
      <w:r>
        <w:rPr>
          <w:rFonts w:ascii="Arial" w:cs="Arial" w:eastAsia="Arial" w:hAnsi="Arial"/>
          <w:sz w:val="20"/>
          <w:szCs w:val="20"/>
          <w:color w:val="auto"/>
        </w:rPr>
        <w:t>For the purposes of this Bylaw, the following definitions shall apply:</w:t>
      </w:r>
    </w:p>
    <w:p>
      <w:pPr>
        <w:spacing w:after="0" w:line="21" w:lineRule="exact"/>
        <w:rPr>
          <w:rFonts w:ascii="Arial" w:cs="Arial" w:eastAsia="Arial" w:hAnsi="Arial"/>
          <w:sz w:val="18"/>
          <w:szCs w:val="18"/>
          <w:b w:val="1"/>
          <w:bCs w:val="1"/>
          <w:color w:val="auto"/>
        </w:rPr>
      </w:pPr>
    </w:p>
    <w:p>
      <w:pPr>
        <w:jc w:val="both"/>
        <w:ind w:firstLine="1304"/>
        <w:spacing w:after="0" w:line="241" w:lineRule="auto"/>
        <w:tabs>
          <w:tab w:leader="none" w:pos="1942" w:val="left"/>
        </w:tabs>
        <w:numPr>
          <w:ilvl w:val="1"/>
          <w:numId w:val="44"/>
        </w:numPr>
        <w:rPr>
          <w:rFonts w:ascii="Arial" w:cs="Arial" w:eastAsia="Arial" w:hAnsi="Arial"/>
          <w:sz w:val="20"/>
          <w:szCs w:val="20"/>
          <w:b w:val="1"/>
          <w:bCs w:val="1"/>
          <w:color w:val="auto"/>
        </w:rPr>
      </w:pPr>
      <w:r>
        <w:rPr>
          <w:rFonts w:ascii="Arial" w:cs="Arial" w:eastAsia="Arial" w:hAnsi="Arial"/>
          <w:sz w:val="20"/>
          <w:szCs w:val="20"/>
          <w:color w:val="auto"/>
        </w:rPr>
        <w:t>The term “</w:t>
      </w:r>
      <w:r>
        <w:rPr>
          <w:rFonts w:ascii="Arial" w:cs="Arial" w:eastAsia="Arial" w:hAnsi="Arial"/>
          <w:sz w:val="20"/>
          <w:szCs w:val="20"/>
          <w:b w:val="1"/>
          <w:bCs w:val="1"/>
          <w:i w:val="1"/>
          <w:iCs w:val="1"/>
          <w:color w:val="auto"/>
        </w:rPr>
        <w:t>proceeding</w:t>
      </w:r>
      <w:r>
        <w:rPr>
          <w:rFonts w:ascii="Arial" w:cs="Arial" w:eastAsia="Arial" w:hAnsi="Arial"/>
          <w:sz w:val="20"/>
          <w:szCs w:val="20"/>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95" w:lineRule="exact"/>
        <w:rPr>
          <w:rFonts w:ascii="Arial" w:cs="Arial" w:eastAsia="Arial" w:hAnsi="Arial"/>
          <w:sz w:val="20"/>
          <w:szCs w:val="20"/>
          <w:b w:val="1"/>
          <w:bCs w:val="1"/>
          <w:color w:val="auto"/>
        </w:rPr>
      </w:pPr>
    </w:p>
    <w:p>
      <w:pPr>
        <w:jc w:val="both"/>
        <w:ind w:firstLine="1304"/>
        <w:spacing w:after="0" w:line="250" w:lineRule="auto"/>
        <w:tabs>
          <w:tab w:leader="none" w:pos="1943" w:val="left"/>
        </w:tabs>
        <w:numPr>
          <w:ilvl w:val="1"/>
          <w:numId w:val="44"/>
        </w:numPr>
        <w:rPr>
          <w:rFonts w:ascii="Arial" w:cs="Arial" w:eastAsia="Arial" w:hAnsi="Arial"/>
          <w:sz w:val="20"/>
          <w:szCs w:val="20"/>
          <w:b w:val="1"/>
          <w:bCs w:val="1"/>
          <w:color w:val="auto"/>
        </w:rPr>
      </w:pPr>
      <w:r>
        <w:rPr>
          <w:rFonts w:ascii="Arial" w:cs="Arial" w:eastAsia="Arial" w:hAnsi="Arial"/>
          <w:sz w:val="20"/>
          <w:szCs w:val="20"/>
          <w:color w:val="auto"/>
        </w:rPr>
        <w:t>The term “</w:t>
      </w:r>
      <w:r>
        <w:rPr>
          <w:rFonts w:ascii="Arial" w:cs="Arial" w:eastAsia="Arial" w:hAnsi="Arial"/>
          <w:sz w:val="20"/>
          <w:szCs w:val="20"/>
          <w:b w:val="1"/>
          <w:bCs w:val="1"/>
          <w:i w:val="1"/>
          <w:iCs w:val="1"/>
          <w:color w:val="auto"/>
        </w:rPr>
        <w:t>expenses</w:t>
      </w:r>
      <w:r>
        <w:rPr>
          <w:rFonts w:ascii="Arial" w:cs="Arial" w:eastAsia="Arial" w:hAnsi="Arial"/>
          <w:sz w:val="20"/>
          <w:szCs w:val="20"/>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85" w:lineRule="exact"/>
        <w:rPr>
          <w:rFonts w:ascii="Arial" w:cs="Arial" w:eastAsia="Arial" w:hAnsi="Arial"/>
          <w:sz w:val="20"/>
          <w:szCs w:val="20"/>
          <w:b w:val="1"/>
          <w:bCs w:val="1"/>
          <w:color w:val="auto"/>
        </w:rPr>
      </w:pPr>
    </w:p>
    <w:p>
      <w:pPr>
        <w:jc w:val="both"/>
        <w:ind w:firstLine="1304"/>
        <w:spacing w:after="0" w:line="243" w:lineRule="auto"/>
        <w:tabs>
          <w:tab w:leader="none" w:pos="1944" w:val="left"/>
        </w:tabs>
        <w:numPr>
          <w:ilvl w:val="1"/>
          <w:numId w:val="44"/>
        </w:numPr>
        <w:rPr>
          <w:rFonts w:ascii="Arial" w:cs="Arial" w:eastAsia="Arial" w:hAnsi="Arial"/>
          <w:sz w:val="20"/>
          <w:szCs w:val="20"/>
          <w:b w:val="1"/>
          <w:bCs w:val="1"/>
          <w:color w:val="auto"/>
        </w:rPr>
      </w:pPr>
      <w:r>
        <w:rPr>
          <w:rFonts w:ascii="Arial" w:cs="Arial" w:eastAsia="Arial" w:hAnsi="Arial"/>
          <w:sz w:val="20"/>
          <w:szCs w:val="20"/>
          <w:color w:val="auto"/>
        </w:rPr>
        <w:t>The term the “</w:t>
      </w:r>
      <w:r>
        <w:rPr>
          <w:rFonts w:ascii="Arial" w:cs="Arial" w:eastAsia="Arial" w:hAnsi="Arial"/>
          <w:sz w:val="20"/>
          <w:szCs w:val="20"/>
          <w:b w:val="1"/>
          <w:bCs w:val="1"/>
          <w:i w:val="1"/>
          <w:iCs w:val="1"/>
          <w:color w:val="auto"/>
        </w:rPr>
        <w:t>corporation</w:t>
      </w:r>
      <w:r>
        <w:rPr>
          <w:rFonts w:ascii="Arial" w:cs="Arial" w:eastAsia="Arial" w:hAnsi="Arial"/>
          <w:sz w:val="20"/>
          <w:szCs w:val="20"/>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92" w:lineRule="exact"/>
        <w:rPr>
          <w:rFonts w:ascii="Arial" w:cs="Arial" w:eastAsia="Arial" w:hAnsi="Arial"/>
          <w:sz w:val="20"/>
          <w:szCs w:val="20"/>
          <w:b w:val="1"/>
          <w:bCs w:val="1"/>
          <w:color w:val="auto"/>
        </w:rPr>
      </w:pPr>
    </w:p>
    <w:p>
      <w:pPr>
        <w:jc w:val="both"/>
        <w:ind w:firstLine="1304"/>
        <w:spacing w:after="0" w:line="250" w:lineRule="auto"/>
        <w:tabs>
          <w:tab w:leader="none" w:pos="1933" w:val="left"/>
        </w:tabs>
        <w:numPr>
          <w:ilvl w:val="1"/>
          <w:numId w:val="44"/>
        </w:numPr>
        <w:rPr>
          <w:rFonts w:ascii="Arial" w:cs="Arial" w:eastAsia="Arial" w:hAnsi="Arial"/>
          <w:sz w:val="20"/>
          <w:szCs w:val="20"/>
          <w:b w:val="1"/>
          <w:bCs w:val="1"/>
          <w:color w:val="auto"/>
        </w:rPr>
      </w:pPr>
      <w:r>
        <w:rPr>
          <w:rFonts w:ascii="Arial" w:cs="Arial" w:eastAsia="Arial" w:hAnsi="Arial"/>
          <w:sz w:val="20"/>
          <w:szCs w:val="20"/>
          <w:color w:val="auto"/>
        </w:rPr>
        <w:t>References to a “</w:t>
      </w:r>
      <w:r>
        <w:rPr>
          <w:rFonts w:ascii="Arial" w:cs="Arial" w:eastAsia="Arial" w:hAnsi="Arial"/>
          <w:sz w:val="20"/>
          <w:szCs w:val="20"/>
          <w:b w:val="1"/>
          <w:bCs w:val="1"/>
          <w:i w:val="1"/>
          <w:iCs w:val="1"/>
          <w:color w:val="auto"/>
        </w:rPr>
        <w:t>director</w:t>
      </w:r>
      <w:r>
        <w:rPr>
          <w:rFonts w:ascii="Arial" w:cs="Arial" w:eastAsia="Arial" w:hAnsi="Arial"/>
          <w:sz w:val="20"/>
          <w:szCs w:val="20"/>
          <w:color w:val="auto"/>
        </w:rPr>
        <w:t>,” “</w:t>
      </w:r>
      <w:r>
        <w:rPr>
          <w:rFonts w:ascii="Arial" w:cs="Arial" w:eastAsia="Arial" w:hAnsi="Arial"/>
          <w:sz w:val="20"/>
          <w:szCs w:val="20"/>
          <w:b w:val="1"/>
          <w:bCs w:val="1"/>
          <w:i w:val="1"/>
          <w:iCs w:val="1"/>
          <w:color w:val="auto"/>
        </w:rPr>
        <w:t>executive officer</w:t>
      </w:r>
      <w:r>
        <w:rPr>
          <w:rFonts w:ascii="Arial" w:cs="Arial" w:eastAsia="Arial" w:hAnsi="Arial"/>
          <w:sz w:val="20"/>
          <w:szCs w:val="20"/>
          <w:color w:val="auto"/>
        </w:rPr>
        <w:t>,” “</w:t>
      </w:r>
      <w:r>
        <w:rPr>
          <w:rFonts w:ascii="Arial" w:cs="Arial" w:eastAsia="Arial" w:hAnsi="Arial"/>
          <w:sz w:val="20"/>
          <w:szCs w:val="20"/>
          <w:b w:val="1"/>
          <w:bCs w:val="1"/>
          <w:i w:val="1"/>
          <w:iCs w:val="1"/>
          <w:color w:val="auto"/>
        </w:rPr>
        <w:t>officer</w:t>
      </w:r>
      <w:r>
        <w:rPr>
          <w:rFonts w:ascii="Arial" w:cs="Arial" w:eastAsia="Arial" w:hAnsi="Arial"/>
          <w:sz w:val="20"/>
          <w:szCs w:val="20"/>
          <w:color w:val="auto"/>
        </w:rPr>
        <w:t>,” “</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or “</w:t>
      </w:r>
      <w:r>
        <w:rPr>
          <w:rFonts w:ascii="Arial" w:cs="Arial" w:eastAsia="Arial" w:hAnsi="Arial"/>
          <w:sz w:val="20"/>
          <w:szCs w:val="20"/>
          <w:b w:val="1"/>
          <w:bCs w:val="1"/>
          <w:i w:val="1"/>
          <w:iCs w:val="1"/>
          <w:color w:val="auto"/>
        </w:rPr>
        <w:t>agent</w:t>
      </w:r>
      <w:r>
        <w:rPr>
          <w:rFonts w:ascii="Arial" w:cs="Arial" w:eastAsia="Arial" w:hAnsi="Arial"/>
          <w:sz w:val="20"/>
          <w:szCs w:val="20"/>
          <w:color w:val="auto"/>
        </w:rPr>
        <w: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85" w:lineRule="exact"/>
        <w:rPr>
          <w:rFonts w:ascii="Arial" w:cs="Arial" w:eastAsia="Arial" w:hAnsi="Arial"/>
          <w:sz w:val="20"/>
          <w:szCs w:val="20"/>
          <w:b w:val="1"/>
          <w:bCs w:val="1"/>
          <w:color w:val="auto"/>
        </w:rPr>
      </w:pPr>
    </w:p>
    <w:p>
      <w:pPr>
        <w:jc w:val="both"/>
        <w:ind w:firstLine="1304"/>
        <w:spacing w:after="0" w:line="276" w:lineRule="auto"/>
        <w:tabs>
          <w:tab w:leader="none" w:pos="1932"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other enterprises</w:t>
      </w:r>
      <w:r>
        <w:rPr>
          <w:rFonts w:ascii="Arial" w:cs="Arial" w:eastAsia="Arial" w:hAnsi="Arial"/>
          <w:sz w:val="18"/>
          <w:szCs w:val="18"/>
          <w:color w:val="auto"/>
        </w:rPr>
        <w:t>” shall include employee benefit plans; 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taxes assessed on a person with respect to an employee benefit plan; and references to “</w:t>
      </w:r>
      <w:r>
        <w:rPr>
          <w:rFonts w:ascii="Arial" w:cs="Arial" w:eastAsia="Arial" w:hAnsi="Arial"/>
          <w:sz w:val="18"/>
          <w:szCs w:val="18"/>
          <w:b w:val="1"/>
          <w:bCs w:val="1"/>
          <w:i w:val="1"/>
          <w:iCs w:val="1"/>
          <w:color w:val="auto"/>
        </w:rPr>
        <w:t>serving at the request of the corporation</w:t>
      </w:r>
      <w:r>
        <w:rPr>
          <w:rFonts w:ascii="Arial" w:cs="Arial" w:eastAsia="Arial" w:hAnsi="Arial"/>
          <w:sz w:val="18"/>
          <w:szCs w:val="18"/>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8"/>
          <w:szCs w:val="18"/>
          <w:b w:val="1"/>
          <w:bCs w:val="1"/>
          <w:i w:val="1"/>
          <w:iCs w:val="1"/>
          <w:color w:val="auto"/>
        </w:rPr>
        <w:t>not opposed to the best interests of the corporation</w:t>
      </w:r>
      <w:r>
        <w:rPr>
          <w:rFonts w:ascii="Arial" w:cs="Arial" w:eastAsia="Arial" w:hAnsi="Arial"/>
          <w:sz w:val="18"/>
          <w:szCs w:val="18"/>
          <w:color w:val="auto"/>
        </w:rPr>
        <w:t>” as referred to in this section.</w:t>
      </w:r>
    </w:p>
    <w:p>
      <w:pPr>
        <w:spacing w:after="0" w:line="159"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ARTICLE XII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Section 46. Notices.</w:t>
      </w:r>
    </w:p>
    <w:p>
      <w:pPr>
        <w:spacing w:after="0" w:line="216" w:lineRule="exact"/>
        <w:rPr>
          <w:sz w:val="20"/>
          <w:szCs w:val="20"/>
          <w:color w:val="auto"/>
        </w:rPr>
      </w:pPr>
    </w:p>
    <w:p>
      <w:pPr>
        <w:jc w:val="both"/>
        <w:ind w:firstLine="818"/>
        <w:spacing w:after="0" w:line="285" w:lineRule="auto"/>
        <w:tabs>
          <w:tab w:leader="none" w:pos="1284"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Stockholders. </w:t>
      </w:r>
      <w:r>
        <w:rPr>
          <w:rFonts w:ascii="Arial" w:cs="Arial" w:eastAsia="Arial" w:hAnsi="Arial"/>
          <w:sz w:val="18"/>
          <w:szCs w:val="18"/>
          <w:color w:val="auto"/>
        </w:rPr>
        <w:t>Notice to stockholders of stockholder meetings shall be given as provided in Section 7 herein.</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w:t>
      </w:r>
    </w:p>
    <w:p>
      <w:pPr>
        <w:spacing w:after="0" w:line="150" w:lineRule="exact"/>
        <w:rPr>
          <w:rFonts w:ascii="Arial" w:cs="Arial" w:eastAsia="Arial" w:hAnsi="Arial"/>
          <w:sz w:val="18"/>
          <w:szCs w:val="18"/>
          <w:b w:val="1"/>
          <w:bCs w:val="1"/>
          <w:color w:val="auto"/>
        </w:rPr>
      </w:pPr>
    </w:p>
    <w:p>
      <w:pPr>
        <w:ind w:firstLine="818"/>
        <w:spacing w:after="0" w:line="267" w:lineRule="auto"/>
        <w:tabs>
          <w:tab w:leader="none" w:pos="1295"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 to Directors. </w:t>
      </w:r>
      <w:r>
        <w:rPr>
          <w:rFonts w:ascii="Arial" w:cs="Arial" w:eastAsia="Arial" w:hAnsi="Arial"/>
          <w:sz w:val="20"/>
          <w:szCs w:val="20"/>
          <w:color w:val="auto"/>
        </w:rPr>
        <w:t>Any notice required to be given to any director may be given by the method stated in subsection (a) or</w:t>
      </w:r>
      <w:r>
        <w:rPr>
          <w:rFonts w:ascii="Arial" w:cs="Arial" w:eastAsia="Arial" w:hAnsi="Arial"/>
          <w:sz w:val="20"/>
          <w:szCs w:val="20"/>
          <w:b w:val="1"/>
          <w:bCs w:val="1"/>
          <w:color w:val="auto"/>
        </w:rPr>
        <w:t xml:space="preserve"> </w:t>
      </w:r>
      <w:r>
        <w:rPr>
          <w:rFonts w:ascii="Arial" w:cs="Arial" w:eastAsia="Arial" w:hAnsi="Arial"/>
          <w:sz w:val="20"/>
          <w:szCs w:val="20"/>
          <w:color w:val="auto"/>
        </w:rPr>
        <w:t>as otherwise provided in these Bylaws, with notice other than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3" w:right="339" w:bottom="1440" w:gutter="0" w:footer="0" w:header="0"/>
        </w:sectPr>
      </w:pPr>
    </w:p>
    <w:bookmarkStart w:id="67" w:name="page68"/>
    <w:bookmarkEnd w:id="67"/>
    <w:p>
      <w:pPr>
        <w:spacing w:after="0" w:line="260" w:lineRule="auto"/>
        <w:rPr>
          <w:sz w:val="20"/>
          <w:szCs w:val="20"/>
          <w:color w:val="auto"/>
        </w:rPr>
      </w:pPr>
      <w:r>
        <w:rPr>
          <w:rFonts w:ascii="Arial" w:cs="Arial" w:eastAsia="Arial" w:hAnsi="Arial"/>
          <w:sz w:val="20"/>
          <w:szCs w:val="20"/>
          <w:color w:val="auto"/>
        </w:rPr>
        <w:t>which is delivered personally to be sent to such address as such director shall have filed in writing with the Secretary, or, in the absence of such filing, to the last known address of such director.</w:t>
      </w:r>
    </w:p>
    <w:p>
      <w:pPr>
        <w:spacing w:after="0" w:line="171" w:lineRule="exact"/>
        <w:rPr>
          <w:sz w:val="20"/>
          <w:szCs w:val="20"/>
          <w:color w:val="auto"/>
        </w:rPr>
      </w:pPr>
    </w:p>
    <w:p>
      <w:pPr>
        <w:jc w:val="both"/>
        <w:ind w:firstLine="818"/>
        <w:spacing w:after="0" w:line="285" w:lineRule="auto"/>
        <w:tabs>
          <w:tab w:leader="none" w:pos="1286"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Affidavit of Mailing. </w:t>
      </w:r>
      <w:r>
        <w:rPr>
          <w:rFonts w:ascii="Arial" w:cs="Arial" w:eastAsia="Arial" w:hAnsi="Arial"/>
          <w:sz w:val="18"/>
          <w:szCs w:val="18"/>
          <w:color w:val="auto"/>
        </w:rPr>
        <w:t>An affidavit of mailing, executed by a duly authorized and competent employee of the corporation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its 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50" w:lineRule="exact"/>
        <w:rPr>
          <w:rFonts w:ascii="Arial" w:cs="Arial" w:eastAsia="Arial" w:hAnsi="Arial"/>
          <w:sz w:val="18"/>
          <w:szCs w:val="18"/>
          <w:b w:val="1"/>
          <w:bCs w:val="1"/>
          <w:color w:val="auto"/>
        </w:rPr>
      </w:pPr>
    </w:p>
    <w:p>
      <w:pPr>
        <w:jc w:val="both"/>
        <w:ind w:right="20" w:firstLine="818"/>
        <w:spacing w:after="0" w:line="253" w:lineRule="auto"/>
        <w:tabs>
          <w:tab w:leader="none" w:pos="1295"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Methods of Notice. </w:t>
      </w:r>
      <w:r>
        <w:rPr>
          <w:rFonts w:ascii="Arial" w:cs="Arial" w:eastAsia="Arial" w:hAnsi="Arial"/>
          <w:sz w:val="20"/>
          <w:szCs w:val="20"/>
          <w:color w:val="auto"/>
        </w:rPr>
        <w:t>It shall not be necessary that the same method of giving notice be employed in respect of all recipients</w:t>
      </w:r>
      <w:r>
        <w:rPr>
          <w:rFonts w:ascii="Arial" w:cs="Arial" w:eastAsia="Arial" w:hAnsi="Arial"/>
          <w:sz w:val="20"/>
          <w:szCs w:val="20"/>
          <w:b w:val="1"/>
          <w:bCs w:val="1"/>
          <w:color w:val="auto"/>
        </w:rPr>
        <w:t xml:space="preserve"> </w:t>
      </w:r>
      <w:r>
        <w:rPr>
          <w:rFonts w:ascii="Arial" w:cs="Arial" w:eastAsia="Arial" w:hAnsi="Arial"/>
          <w:sz w:val="20"/>
          <w:szCs w:val="20"/>
          <w:color w:val="auto"/>
        </w:rPr>
        <w:t>of notice, but one permissible method may be employed in respect of any one or more, and any other permissible method or methods may be employed in respect of any other or others.</w:t>
      </w:r>
    </w:p>
    <w:p>
      <w:pPr>
        <w:spacing w:after="0" w:line="177" w:lineRule="exact"/>
        <w:rPr>
          <w:rFonts w:ascii="Arial" w:cs="Arial" w:eastAsia="Arial" w:hAnsi="Arial"/>
          <w:sz w:val="20"/>
          <w:szCs w:val="20"/>
          <w:b w:val="1"/>
          <w:bCs w:val="1"/>
          <w:color w:val="auto"/>
        </w:rPr>
      </w:pPr>
    </w:p>
    <w:p>
      <w:pPr>
        <w:jc w:val="both"/>
        <w:ind w:firstLine="818"/>
        <w:spacing w:after="0" w:line="243" w:lineRule="auto"/>
        <w:tabs>
          <w:tab w:leader="none" w:pos="1286"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 to Person with Whom Communication is Unlawful. </w:t>
      </w:r>
      <w:r>
        <w:rPr>
          <w:rFonts w:ascii="Arial" w:cs="Arial" w:eastAsia="Arial" w:hAnsi="Arial"/>
          <w:sz w:val="20"/>
          <w:szCs w:val="20"/>
          <w:color w:val="auto"/>
        </w:rPr>
        <w:t>Whenever notice is required to be given, under any provision</w:t>
      </w:r>
      <w:r>
        <w:rPr>
          <w:rFonts w:ascii="Arial" w:cs="Arial" w:eastAsia="Arial" w:hAnsi="Arial"/>
          <w:sz w:val="20"/>
          <w:szCs w:val="20"/>
          <w:b w:val="1"/>
          <w:bCs w:val="1"/>
          <w:color w:val="auto"/>
        </w:rPr>
        <w:t xml:space="preserve"> </w:t>
      </w:r>
      <w:r>
        <w:rPr>
          <w:rFonts w:ascii="Arial" w:cs="Arial" w:eastAsia="Arial" w:hAnsi="Arial"/>
          <w:sz w:val="20"/>
          <w:szCs w:val="20"/>
          <w:color w:val="auto"/>
        </w:rPr>
        <w:t>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89" w:lineRule="exact"/>
        <w:rPr>
          <w:rFonts w:ascii="Arial" w:cs="Arial" w:eastAsia="Arial" w:hAnsi="Arial"/>
          <w:sz w:val="20"/>
          <w:szCs w:val="20"/>
          <w:b w:val="1"/>
          <w:bCs w:val="1"/>
          <w:color w:val="auto"/>
        </w:rPr>
      </w:pPr>
    </w:p>
    <w:p>
      <w:pPr>
        <w:jc w:val="both"/>
        <w:ind w:firstLine="818"/>
        <w:spacing w:after="0" w:line="280" w:lineRule="auto"/>
        <w:tabs>
          <w:tab w:leader="none" w:pos="1291"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Stockholders Sharing an Address. </w:t>
      </w:r>
      <w:r>
        <w:rPr>
          <w:rFonts w:ascii="Arial" w:cs="Arial" w:eastAsia="Arial" w:hAnsi="Arial"/>
          <w:sz w:val="18"/>
          <w:szCs w:val="18"/>
          <w:color w:val="auto"/>
        </w:rPr>
        <w:t>Except as otherwise prohibited under the DGCL, any notice given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156"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ARTICLE XIII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w:t>
      </w:r>
    </w:p>
    <w:p>
      <w:pPr>
        <w:spacing w:after="0" w:line="2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color w:val="auto"/>
        </w:rPr>
        <w:t xml:space="preserve">Section 47. Amendments. </w:t>
      </w:r>
      <w:r>
        <w:rPr>
          <w:rFonts w:ascii="Arial" w:cs="Arial" w:eastAsia="Arial" w:hAnsi="Arial"/>
          <w:sz w:val="18"/>
          <w:szCs w:val="18"/>
          <w:color w:val="auto"/>
        </w:rPr>
        <w:t>Subject to the limitations set forth in Section 45(h) of these Bylaws or the provisions of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the Board of Directors is expressly empowered to adopt, amend or repeal the Bylaws of the corporation. The stockholders also shall have power to adopt, amend or repeal the Bylaws of the corporation; provided, however, that, in addition to any vote of the holders of any class or series of stock of the corporation required by law or by the Certificate of Incorporation, such action by stockholders shall require the affirmative vote of the holders of at least 66 2/3% of the voting power of all of the then-outstanding shares of the capital stock of the corporation entitled to vote generally in the election of directors,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19" w:right="339" w:bottom="1440" w:gutter="0" w:footer="0" w:header="0"/>
        </w:sectPr>
      </w:pPr>
    </w:p>
    <w:bookmarkStart w:id="68" w:name="page69"/>
    <w:bookmarkEnd w:id="68"/>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XIV</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LOANS TO OFFICERS</w:t>
      </w:r>
    </w:p>
    <w:p>
      <w:pPr>
        <w:spacing w:after="0" w:line="22" w:lineRule="exact"/>
        <w:rPr>
          <w:sz w:val="20"/>
          <w:szCs w:val="20"/>
          <w:color w:val="auto"/>
        </w:rPr>
      </w:pPr>
    </w:p>
    <w:p>
      <w:pPr>
        <w:jc w:val="both"/>
        <w:ind w:firstLine="324"/>
        <w:spacing w:after="0"/>
        <w:rPr>
          <w:sz w:val="20"/>
          <w:szCs w:val="20"/>
          <w:color w:val="auto"/>
        </w:rPr>
      </w:pPr>
      <w:r>
        <w:rPr>
          <w:rFonts w:ascii="Arial" w:cs="Arial" w:eastAsia="Arial" w:hAnsi="Arial"/>
          <w:sz w:val="20"/>
          <w:szCs w:val="20"/>
          <w:b w:val="1"/>
          <w:bCs w:val="1"/>
          <w:color w:val="auto"/>
        </w:rPr>
        <w:t xml:space="preserve">Section 48. Loans to Officers. </w:t>
      </w:r>
      <w:r>
        <w:rPr>
          <w:rFonts w:ascii="Arial" w:cs="Arial" w:eastAsia="Arial" w:hAnsi="Arial"/>
          <w:sz w:val="20"/>
          <w:szCs w:val="20"/>
          <w:color w:val="auto"/>
        </w:rPr>
        <w:t>Except as otherwise prohibited by applicable law, the corporation may lend money to, or guarantee any</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40"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Root,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 Compensation Policy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Adopted: March 6, 2021</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Each member of 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of Root,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who is not an employee of the Company (each, a “</w:t>
      </w:r>
      <w:r>
        <w:rPr>
          <w:rFonts w:ascii="Arial" w:cs="Arial" w:eastAsia="Arial" w:hAnsi="Arial"/>
          <w:sz w:val="20"/>
          <w:szCs w:val="20"/>
          <w:b w:val="1"/>
          <w:bCs w:val="1"/>
          <w:i w:val="1"/>
          <w:iCs w:val="1"/>
          <w:color w:val="auto"/>
        </w:rPr>
        <w:t>Non-Employee Director</w:t>
      </w:r>
      <w:r>
        <w:rPr>
          <w:rFonts w:ascii="Arial" w:cs="Arial" w:eastAsia="Arial" w:hAnsi="Arial"/>
          <w:sz w:val="20"/>
          <w:szCs w:val="20"/>
          <w:color w:val="auto"/>
        </w:rPr>
        <w:t>”) will receive the compensation described in this Non-Employee Director Compensation Policy (this “</w:t>
      </w:r>
      <w:r>
        <w:rPr>
          <w:rFonts w:ascii="Arial" w:cs="Arial" w:eastAsia="Arial" w:hAnsi="Arial"/>
          <w:sz w:val="20"/>
          <w:szCs w:val="20"/>
          <w:b w:val="1"/>
          <w:bCs w:val="1"/>
          <w:i w:val="1"/>
          <w:iCs w:val="1"/>
          <w:color w:val="auto"/>
        </w:rPr>
        <w:t>Director</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Compensation Policy</w:t>
      </w:r>
      <w:r>
        <w:rPr>
          <w:rFonts w:ascii="Arial" w:cs="Arial" w:eastAsia="Arial" w:hAnsi="Arial"/>
          <w:sz w:val="20"/>
          <w:szCs w:val="20"/>
          <w:color w:val="auto"/>
        </w:rPr>
        <w:t>”) for his or her Board service, subject to the terms and conditions set forth herein.</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This Director Compensation Policy may be amended or modified, or any provision of it waived, at any time in the sole discretion of the Board or the Compensation Committee of the Board (the “</w:t>
      </w:r>
      <w:r>
        <w:rPr>
          <w:rFonts w:ascii="Arial" w:cs="Arial" w:eastAsia="Arial" w:hAnsi="Arial"/>
          <w:sz w:val="20"/>
          <w:szCs w:val="20"/>
          <w:b w:val="1"/>
          <w:bCs w:val="1"/>
          <w:i w:val="1"/>
          <w:iCs w:val="1"/>
          <w:color w:val="auto"/>
        </w:rPr>
        <w:t>Compensation Committee</w:t>
      </w:r>
      <w:r>
        <w:rPr>
          <w:rFonts w:ascii="Arial" w:cs="Arial" w:eastAsia="Arial" w:hAnsi="Arial"/>
          <w:sz w:val="20"/>
          <w:szCs w:val="20"/>
          <w:color w:val="auto"/>
        </w:rPr>
        <w:t>”).</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Notwithstanding the foregoing, the Board or Compensation Committee may make supplemental grants in 2021 to Non-Employee Directors in its discretion.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Retainers</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Director Compensation Policy will be effective as of the date of its adoption, as set forth above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except that the rates of the retainers set forth below shall be effective as of January 1, 2021. The annual cash compensation amounts will be payable in equal quarterly installments in arrears on the last day of each fiscal quarter in which the service occurs, prorated for any partial months of service.</w:t>
      </w:r>
    </w:p>
    <w:p>
      <w:pPr>
        <w:spacing w:after="0" w:line="21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Commencing on the Effective Date, each Non-Employee Director will be eligible to receive the following annual cash retainers (the “</w:t>
      </w:r>
      <w:r>
        <w:rPr>
          <w:rFonts w:ascii="Arial" w:cs="Arial" w:eastAsia="Arial" w:hAnsi="Arial"/>
          <w:sz w:val="20"/>
          <w:szCs w:val="20"/>
          <w:b w:val="1"/>
          <w:bCs w:val="1"/>
          <w:i w:val="1"/>
          <w:iCs w:val="1"/>
          <w:color w:val="auto"/>
        </w:rPr>
        <w:t>Retainers</w:t>
      </w:r>
      <w:r>
        <w:rPr>
          <w:rFonts w:ascii="Arial" w:cs="Arial" w:eastAsia="Arial" w:hAnsi="Arial"/>
          <w:sz w:val="20"/>
          <w:szCs w:val="20"/>
          <w:color w:val="auto"/>
        </w:rPr>
        <w:t>”) for service on the Board (as applicable):</w:t>
      </w:r>
    </w:p>
    <w:p>
      <w:pPr>
        <w:spacing w:after="0" w:line="225"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0"/>
          <w:szCs w:val="20"/>
          <w:b w:val="1"/>
          <w:bCs w:val="1"/>
          <w:color w:val="auto"/>
        </w:rPr>
        <w:t>Annual Board Service Retainer</w:t>
      </w:r>
      <w:r>
        <w:rPr>
          <w:rFonts w:ascii="Arial" w:cs="Arial" w:eastAsia="Arial" w:hAnsi="Arial"/>
          <w:sz w:val="20"/>
          <w:szCs w:val="20"/>
          <w:color w:val="auto"/>
        </w:rPr>
        <w:t>.</w:t>
      </w:r>
    </w:p>
    <w:p>
      <w:pPr>
        <w:spacing w:after="0" w:line="223" w:lineRule="exact"/>
        <w:rPr>
          <w:sz w:val="20"/>
          <w:szCs w:val="20"/>
          <w:color w:val="auto"/>
        </w:rPr>
      </w:pPr>
    </w:p>
    <w:p>
      <w:pPr>
        <w:ind w:left="1940" w:hanging="636"/>
        <w:spacing w:after="0"/>
        <w:tabs>
          <w:tab w:leader="none" w:pos="1940" w:val="left"/>
        </w:tabs>
        <w:numPr>
          <w:ilvl w:val="0"/>
          <w:numId w:val="48"/>
        </w:numPr>
        <w:rPr>
          <w:rFonts w:ascii="Arial" w:cs="Arial" w:eastAsia="Arial" w:hAnsi="Arial"/>
          <w:sz w:val="22"/>
          <w:szCs w:val="22"/>
          <w:color w:val="auto"/>
        </w:rPr>
      </w:pPr>
      <w:r>
        <w:rPr>
          <w:rFonts w:ascii="Arial" w:cs="Arial" w:eastAsia="Arial" w:hAnsi="Arial"/>
          <w:sz w:val="20"/>
          <w:szCs w:val="20"/>
          <w:color w:val="auto"/>
        </w:rPr>
        <w:t>All Eligible Directors: $50,000</w:t>
      </w:r>
    </w:p>
    <w:p>
      <w:pPr>
        <w:spacing w:after="0" w:line="3" w:lineRule="exact"/>
        <w:rPr>
          <w:sz w:val="20"/>
          <w:szCs w:val="20"/>
          <w:color w:val="auto"/>
        </w:rPr>
      </w:pPr>
    </w:p>
    <w:p>
      <w:pPr>
        <w:ind w:left="1300"/>
        <w:spacing w:after="0"/>
        <w:tabs>
          <w:tab w:leader="none" w:pos="1920" w:val="left"/>
          <w:tab w:leader="none" w:pos="798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20"/>
          <w:szCs w:val="20"/>
          <w:color w:val="auto"/>
        </w:rPr>
        <w:t>Chair of the Board: $20,000 (in addition to regular Annual Board Service</w:t>
      </w:r>
      <w:r>
        <w:rPr>
          <w:sz w:val="20"/>
          <w:szCs w:val="20"/>
          <w:color w:val="auto"/>
        </w:rPr>
        <w:tab/>
      </w:r>
      <w:r>
        <w:rPr>
          <w:rFonts w:ascii="Arial" w:cs="Arial" w:eastAsia="Arial" w:hAnsi="Arial"/>
          <w:sz w:val="16"/>
          <w:szCs w:val="16"/>
          <w:color w:val="auto"/>
        </w:rPr>
        <w:t>Retainer)</w:t>
      </w:r>
    </w:p>
    <w:p>
      <w:pPr>
        <w:spacing w:after="0" w:line="4" w:lineRule="exact"/>
        <w:rPr>
          <w:sz w:val="20"/>
          <w:szCs w:val="20"/>
          <w:color w:val="auto"/>
        </w:rPr>
      </w:pPr>
    </w:p>
    <w:p>
      <w:pPr>
        <w:ind w:left="1960" w:hanging="656"/>
        <w:spacing w:after="0"/>
        <w:tabs>
          <w:tab w:leader="none" w:pos="1960" w:val="left"/>
        </w:tabs>
        <w:numPr>
          <w:ilvl w:val="1"/>
          <w:numId w:val="49"/>
        </w:numPr>
        <w:rPr>
          <w:rFonts w:ascii="Arial" w:cs="Arial" w:eastAsia="Arial" w:hAnsi="Arial"/>
          <w:sz w:val="22"/>
          <w:szCs w:val="22"/>
          <w:color w:val="auto"/>
        </w:rPr>
      </w:pPr>
      <w:r>
        <w:rPr>
          <w:rFonts w:ascii="Arial" w:cs="Arial" w:eastAsia="Arial" w:hAnsi="Arial"/>
          <w:sz w:val="20"/>
          <w:szCs w:val="20"/>
          <w:color w:val="auto"/>
        </w:rPr>
        <w:t>Lead Independent Director: $20,000 (in addition to regular Annual Board Service Retainer)</w:t>
      </w:r>
    </w:p>
    <w:p>
      <w:pPr>
        <w:spacing w:after="0" w:line="6" w:lineRule="exact"/>
        <w:rPr>
          <w:rFonts w:ascii="Arial" w:cs="Arial" w:eastAsia="Arial" w:hAnsi="Arial"/>
          <w:sz w:val="22"/>
          <w:szCs w:val="22"/>
          <w:color w:val="auto"/>
        </w:rPr>
      </w:pPr>
    </w:p>
    <w:p>
      <w:pPr>
        <w:ind w:left="1300" w:hanging="644"/>
        <w:spacing w:after="0" w:line="237" w:lineRule="auto"/>
        <w:tabs>
          <w:tab w:leader="none" w:pos="1300" w:val="left"/>
        </w:tabs>
        <w:numPr>
          <w:ilvl w:val="0"/>
          <w:numId w:val="50"/>
        </w:numPr>
        <w:rPr>
          <w:rFonts w:ascii="Arial" w:cs="Arial" w:eastAsia="Arial" w:hAnsi="Arial"/>
          <w:sz w:val="22"/>
          <w:szCs w:val="22"/>
          <w:color w:val="auto"/>
        </w:rPr>
      </w:pPr>
      <w:r>
        <w:rPr>
          <w:rFonts w:ascii="Arial" w:cs="Arial" w:eastAsia="Arial" w:hAnsi="Arial"/>
          <w:sz w:val="20"/>
          <w:szCs w:val="20"/>
          <w:b w:val="1"/>
          <w:bCs w:val="1"/>
          <w:color w:val="auto"/>
        </w:rPr>
        <w:t>Annual Committee Member Service Retainer</w:t>
      </w:r>
      <w:r>
        <w:rPr>
          <w:rFonts w:ascii="Arial" w:cs="Arial" w:eastAsia="Arial" w:hAnsi="Arial"/>
          <w:sz w:val="20"/>
          <w:szCs w:val="20"/>
          <w:color w:val="auto"/>
        </w:rPr>
        <w:t>.</w:t>
      </w:r>
    </w:p>
    <w:p>
      <w:pPr>
        <w:spacing w:after="0" w:line="6" w:lineRule="exact"/>
        <w:rPr>
          <w:rFonts w:ascii="Arial" w:cs="Arial" w:eastAsia="Arial" w:hAnsi="Arial"/>
          <w:sz w:val="22"/>
          <w:szCs w:val="22"/>
          <w:color w:val="auto"/>
        </w:rPr>
      </w:pPr>
    </w:p>
    <w:p>
      <w:pPr>
        <w:ind w:left="1940" w:hanging="636"/>
        <w:spacing w:after="0" w:line="237" w:lineRule="auto"/>
        <w:tabs>
          <w:tab w:leader="none" w:pos="1940" w:val="left"/>
        </w:tabs>
        <w:numPr>
          <w:ilvl w:val="1"/>
          <w:numId w:val="50"/>
        </w:numPr>
        <w:rPr>
          <w:rFonts w:ascii="Arial" w:cs="Arial" w:eastAsia="Arial" w:hAnsi="Arial"/>
          <w:sz w:val="22"/>
          <w:szCs w:val="22"/>
          <w:color w:val="auto"/>
        </w:rPr>
      </w:pPr>
      <w:r>
        <w:rPr>
          <w:rFonts w:ascii="Arial" w:cs="Arial" w:eastAsia="Arial" w:hAnsi="Arial"/>
          <w:sz w:val="20"/>
          <w:szCs w:val="20"/>
          <w:color w:val="auto"/>
        </w:rPr>
        <w:t>Member of the Audit Committee: $10,000</w:t>
      </w:r>
    </w:p>
    <w:p>
      <w:pPr>
        <w:spacing w:after="0" w:line="4" w:lineRule="exact"/>
        <w:rPr>
          <w:sz w:val="20"/>
          <w:szCs w:val="20"/>
          <w:color w:val="auto"/>
        </w:rPr>
      </w:pPr>
    </w:p>
    <w:p>
      <w:pPr>
        <w:ind w:left="1940" w:hanging="636"/>
        <w:spacing w:after="0"/>
        <w:tabs>
          <w:tab w:leader="none" w:pos="1940" w:val="left"/>
        </w:tabs>
        <w:numPr>
          <w:ilvl w:val="1"/>
          <w:numId w:val="51"/>
        </w:numPr>
        <w:rPr>
          <w:rFonts w:ascii="Arial" w:cs="Arial" w:eastAsia="Arial" w:hAnsi="Arial"/>
          <w:sz w:val="22"/>
          <w:szCs w:val="22"/>
          <w:color w:val="auto"/>
        </w:rPr>
      </w:pPr>
      <w:r>
        <w:rPr>
          <w:rFonts w:ascii="Arial" w:cs="Arial" w:eastAsia="Arial" w:hAnsi="Arial"/>
          <w:sz w:val="20"/>
          <w:szCs w:val="20"/>
          <w:color w:val="auto"/>
        </w:rPr>
        <w:t>Member of Compensation Committee: $7,500</w:t>
      </w:r>
    </w:p>
    <w:p>
      <w:pPr>
        <w:spacing w:after="0" w:line="6" w:lineRule="exact"/>
        <w:rPr>
          <w:rFonts w:ascii="Arial" w:cs="Arial" w:eastAsia="Arial" w:hAnsi="Arial"/>
          <w:sz w:val="22"/>
          <w:szCs w:val="22"/>
          <w:color w:val="auto"/>
        </w:rPr>
      </w:pPr>
    </w:p>
    <w:p>
      <w:pPr>
        <w:ind w:left="1960" w:hanging="656"/>
        <w:spacing w:after="0" w:line="237" w:lineRule="auto"/>
        <w:tabs>
          <w:tab w:leader="none" w:pos="1960" w:val="left"/>
        </w:tabs>
        <w:numPr>
          <w:ilvl w:val="1"/>
          <w:numId w:val="51"/>
        </w:numPr>
        <w:rPr>
          <w:rFonts w:ascii="Arial" w:cs="Arial" w:eastAsia="Arial" w:hAnsi="Arial"/>
          <w:sz w:val="22"/>
          <w:szCs w:val="22"/>
          <w:color w:val="auto"/>
        </w:rPr>
      </w:pPr>
      <w:r>
        <w:rPr>
          <w:rFonts w:ascii="Arial" w:cs="Arial" w:eastAsia="Arial" w:hAnsi="Arial"/>
          <w:sz w:val="20"/>
          <w:szCs w:val="20"/>
          <w:color w:val="auto"/>
        </w:rPr>
        <w:t>Member of the Nominating and Governance Committee: $5,000</w:t>
      </w:r>
    </w:p>
    <w:p>
      <w:pPr>
        <w:spacing w:after="0" w:line="6" w:lineRule="exact"/>
        <w:rPr>
          <w:rFonts w:ascii="Arial" w:cs="Arial" w:eastAsia="Arial" w:hAnsi="Arial"/>
          <w:sz w:val="22"/>
          <w:szCs w:val="22"/>
          <w:color w:val="auto"/>
        </w:rPr>
      </w:pPr>
    </w:p>
    <w:p>
      <w:pPr>
        <w:ind w:left="1940" w:hanging="636"/>
        <w:spacing w:after="0" w:line="237" w:lineRule="auto"/>
        <w:tabs>
          <w:tab w:leader="none" w:pos="1940" w:val="left"/>
        </w:tabs>
        <w:numPr>
          <w:ilvl w:val="1"/>
          <w:numId w:val="51"/>
        </w:numPr>
        <w:rPr>
          <w:rFonts w:ascii="Arial" w:cs="Arial" w:eastAsia="Arial" w:hAnsi="Arial"/>
          <w:sz w:val="22"/>
          <w:szCs w:val="22"/>
          <w:color w:val="auto"/>
        </w:rPr>
      </w:pPr>
      <w:r>
        <w:rPr>
          <w:rFonts w:ascii="Arial" w:cs="Arial" w:eastAsia="Arial" w:hAnsi="Arial"/>
          <w:sz w:val="20"/>
          <w:szCs w:val="20"/>
          <w:color w:val="auto"/>
        </w:rPr>
        <w:t>Member of the Strategy Committee: $5,000</w:t>
      </w:r>
    </w:p>
    <w:p>
      <w:pPr>
        <w:spacing w:after="0" w:line="243" w:lineRule="exact"/>
        <w:rPr>
          <w:rFonts w:ascii="Arial" w:cs="Arial" w:eastAsia="Arial" w:hAnsi="Arial"/>
          <w:sz w:val="22"/>
          <w:szCs w:val="22"/>
          <w:color w:val="auto"/>
        </w:rPr>
      </w:pPr>
    </w:p>
    <w:p>
      <w:pPr>
        <w:ind w:left="1300" w:hanging="644"/>
        <w:spacing w:after="0"/>
        <w:tabs>
          <w:tab w:leader="none" w:pos="1300" w:val="left"/>
        </w:tabs>
        <w:numPr>
          <w:ilvl w:val="0"/>
          <w:numId w:val="52"/>
        </w:numPr>
        <w:rPr>
          <w:rFonts w:ascii="Arial" w:cs="Arial" w:eastAsia="Arial" w:hAnsi="Arial"/>
          <w:sz w:val="22"/>
          <w:szCs w:val="22"/>
          <w:color w:val="auto"/>
        </w:rPr>
      </w:pPr>
      <w:r>
        <w:rPr>
          <w:rFonts w:ascii="Arial" w:cs="Arial" w:eastAsia="Arial" w:hAnsi="Arial"/>
          <w:sz w:val="20"/>
          <w:szCs w:val="20"/>
          <w:b w:val="1"/>
          <w:bCs w:val="1"/>
          <w:color w:val="auto"/>
        </w:rPr>
        <w:t xml:space="preserve">Annual Committee Chair Service Retainer </w:t>
      </w:r>
      <w:r>
        <w:rPr>
          <w:rFonts w:ascii="Arial" w:cs="Arial" w:eastAsia="Arial" w:hAnsi="Arial"/>
          <w:sz w:val="20"/>
          <w:szCs w:val="20"/>
          <w:color w:val="auto"/>
        </w:rPr>
        <w:t>(in lieu of Annual Committee Member Service Retainer).</w:t>
      </w:r>
    </w:p>
    <w:p>
      <w:pPr>
        <w:spacing w:after="0" w:line="222" w:lineRule="exact"/>
        <w:rPr>
          <w:rFonts w:ascii="Arial" w:cs="Arial" w:eastAsia="Arial" w:hAnsi="Arial"/>
          <w:sz w:val="22"/>
          <w:szCs w:val="22"/>
          <w:color w:val="auto"/>
        </w:rPr>
      </w:pPr>
    </w:p>
    <w:p>
      <w:pPr>
        <w:ind w:left="1940" w:hanging="636"/>
        <w:spacing w:after="0"/>
        <w:tabs>
          <w:tab w:leader="none" w:pos="1940" w:val="left"/>
        </w:tabs>
        <w:numPr>
          <w:ilvl w:val="1"/>
          <w:numId w:val="52"/>
        </w:numPr>
        <w:rPr>
          <w:rFonts w:ascii="Arial" w:cs="Arial" w:eastAsia="Arial" w:hAnsi="Arial"/>
          <w:sz w:val="22"/>
          <w:szCs w:val="22"/>
          <w:color w:val="auto"/>
        </w:rPr>
      </w:pPr>
      <w:r>
        <w:rPr>
          <w:rFonts w:ascii="Arial" w:cs="Arial" w:eastAsia="Arial" w:hAnsi="Arial"/>
          <w:sz w:val="20"/>
          <w:szCs w:val="20"/>
          <w:color w:val="auto"/>
        </w:rPr>
        <w:t>Chair of the Audit Committee: $20,000</w:t>
      </w:r>
    </w:p>
    <w:p>
      <w:pPr>
        <w:sectPr>
          <w:pgSz w:w="11900" w:h="16838" w:orient="portrait"/>
          <w:cols w:equalWidth="0" w:num="1">
            <w:col w:w="11240"/>
          </w:cols>
          <w:pgMar w:left="320" w:top="1413" w:right="339" w:bottom="1440" w:gutter="0" w:footer="0" w:header="0"/>
        </w:sectPr>
      </w:pPr>
    </w:p>
    <w:bookmarkStart w:id="70" w:name="page71"/>
    <w:bookmarkEnd w:id="70"/>
    <w:p>
      <w:pPr>
        <w:spacing w:after="0" w:line="4" w:lineRule="exact"/>
        <w:rPr>
          <w:sz w:val="20"/>
          <w:szCs w:val="20"/>
          <w:color w:val="auto"/>
        </w:rPr>
      </w:pPr>
    </w:p>
    <w:p>
      <w:pPr>
        <w:ind w:left="1940" w:hanging="636"/>
        <w:spacing w:after="0"/>
        <w:tabs>
          <w:tab w:leader="none" w:pos="1940" w:val="left"/>
        </w:tabs>
        <w:numPr>
          <w:ilvl w:val="0"/>
          <w:numId w:val="53"/>
        </w:numPr>
        <w:rPr>
          <w:rFonts w:ascii="Arial" w:cs="Arial" w:eastAsia="Arial" w:hAnsi="Arial"/>
          <w:sz w:val="22"/>
          <w:szCs w:val="22"/>
          <w:color w:val="auto"/>
        </w:rPr>
      </w:pPr>
      <w:r>
        <w:rPr>
          <w:rFonts w:ascii="Arial" w:cs="Arial" w:eastAsia="Arial" w:hAnsi="Arial"/>
          <w:sz w:val="20"/>
          <w:szCs w:val="20"/>
          <w:color w:val="auto"/>
        </w:rPr>
        <w:t>Chair of Compensation Committee: $15,000</w:t>
      </w:r>
    </w:p>
    <w:p>
      <w:pPr>
        <w:spacing w:after="0" w:line="5" w:lineRule="exact"/>
        <w:rPr>
          <w:rFonts w:ascii="Arial" w:cs="Arial" w:eastAsia="Arial" w:hAnsi="Arial"/>
          <w:sz w:val="22"/>
          <w:szCs w:val="22"/>
          <w:color w:val="auto"/>
        </w:rPr>
      </w:pPr>
    </w:p>
    <w:p>
      <w:pPr>
        <w:ind w:left="1960" w:hanging="656"/>
        <w:spacing w:after="0" w:line="237" w:lineRule="auto"/>
        <w:tabs>
          <w:tab w:leader="none" w:pos="1960" w:val="left"/>
        </w:tabs>
        <w:numPr>
          <w:ilvl w:val="0"/>
          <w:numId w:val="53"/>
        </w:numPr>
        <w:rPr>
          <w:rFonts w:ascii="Arial" w:cs="Arial" w:eastAsia="Arial" w:hAnsi="Arial"/>
          <w:sz w:val="22"/>
          <w:szCs w:val="22"/>
          <w:color w:val="auto"/>
        </w:rPr>
      </w:pPr>
      <w:r>
        <w:rPr>
          <w:rFonts w:ascii="Arial" w:cs="Arial" w:eastAsia="Arial" w:hAnsi="Arial"/>
          <w:sz w:val="20"/>
          <w:szCs w:val="20"/>
          <w:color w:val="auto"/>
        </w:rPr>
        <w:t>Chair of the Nominating and Governance Committee: $10,000</w:t>
      </w:r>
    </w:p>
    <w:p>
      <w:pPr>
        <w:spacing w:after="0" w:line="6" w:lineRule="exact"/>
        <w:rPr>
          <w:rFonts w:ascii="Arial" w:cs="Arial" w:eastAsia="Arial" w:hAnsi="Arial"/>
          <w:sz w:val="22"/>
          <w:szCs w:val="22"/>
          <w:color w:val="auto"/>
        </w:rPr>
      </w:pPr>
    </w:p>
    <w:p>
      <w:pPr>
        <w:ind w:left="1940" w:hanging="636"/>
        <w:spacing w:after="0" w:line="237" w:lineRule="auto"/>
        <w:tabs>
          <w:tab w:leader="none" w:pos="1940" w:val="left"/>
        </w:tabs>
        <w:numPr>
          <w:ilvl w:val="0"/>
          <w:numId w:val="53"/>
        </w:numPr>
        <w:rPr>
          <w:rFonts w:ascii="Arial" w:cs="Arial" w:eastAsia="Arial" w:hAnsi="Arial"/>
          <w:sz w:val="22"/>
          <w:szCs w:val="22"/>
          <w:color w:val="auto"/>
        </w:rPr>
      </w:pPr>
      <w:r>
        <w:rPr>
          <w:rFonts w:ascii="Arial" w:cs="Arial" w:eastAsia="Arial" w:hAnsi="Arial"/>
          <w:sz w:val="20"/>
          <w:szCs w:val="20"/>
          <w:color w:val="auto"/>
        </w:rPr>
        <w:t>Chair of the Strategy Committee: $10,000</w:t>
      </w:r>
    </w:p>
    <w:p>
      <w:pPr>
        <w:spacing w:after="0" w:line="223" w:lineRule="exact"/>
        <w:rPr>
          <w:sz w:val="20"/>
          <w:szCs w:val="20"/>
          <w:color w:val="auto"/>
        </w:rPr>
      </w:pPr>
    </w:p>
    <w:p>
      <w:pPr>
        <w:ind w:right="80" w:firstLine="648"/>
        <w:spacing w:after="0" w:line="271" w:lineRule="auto"/>
        <w:rPr>
          <w:sz w:val="20"/>
          <w:szCs w:val="20"/>
          <w:color w:val="auto"/>
        </w:rPr>
      </w:pPr>
      <w:r>
        <w:rPr>
          <w:rFonts w:ascii="Arial" w:cs="Arial" w:eastAsia="Arial" w:hAnsi="Arial"/>
          <w:sz w:val="18"/>
          <w:szCs w:val="18"/>
          <w:color w:val="auto"/>
        </w:rPr>
        <w:t>Prior to December 31 of each year, each Non-Employee Director shall be given the opportunity to elect to receive 50% or 100% of his or her Retainers with respect to the following calendar year in the form of common stock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rather than cash, which Common Stock shall be granted in the form of fully-vested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If the Non-Employee Director elects to receive 50% of his or her Retainers in the form of Common Stock, the value of such Common Stock on the date of grant shall equal 110% of the cash value of the related Retainers. If the Non-Employee Director elects to receive 100% of his or her Retainers in the form of Common Stock, the value of such Common Stock on the date of grant shall equal 120% of the cash value of the related Retainers. Each such grant shall take place without any further action of the Board or Compensation Committee, and shall be made at the close of business on the same date that the corresponding Retainer would have been paid. The number of shares of Common Stock granted to the Non-Employee Director shall be determined in a manner consistent with the section below entitled “Calculation of Value of an RSU Award.” The grant shall be made under the Company’s 2020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Company’s Restricted Stock Unit Award Notice and Agreement, in the form adopted from time to time by the Board or Compensation Committee (the “</w:t>
      </w:r>
      <w:r>
        <w:rPr>
          <w:rFonts w:ascii="Arial" w:cs="Arial" w:eastAsia="Arial" w:hAnsi="Arial"/>
          <w:sz w:val="18"/>
          <w:szCs w:val="18"/>
          <w:b w:val="1"/>
          <w:bCs w:val="1"/>
          <w:i w:val="1"/>
          <w:iCs w:val="1"/>
          <w:color w:val="auto"/>
        </w:rPr>
        <w:t>Form of RSU Agreement</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w:t>
      </w:r>
    </w:p>
    <w:p>
      <w:pPr>
        <w:spacing w:after="0" w:line="222" w:lineRule="exact"/>
        <w:rPr>
          <w:sz w:val="20"/>
          <w:szCs w:val="20"/>
          <w:color w:val="auto"/>
        </w:rPr>
      </w:pPr>
    </w:p>
    <w:p>
      <w:pPr>
        <w:ind w:right="20" w:firstLine="271"/>
        <w:spacing w:after="0" w:line="260" w:lineRule="auto"/>
        <w:rPr>
          <w:sz w:val="20"/>
          <w:szCs w:val="20"/>
          <w:color w:val="auto"/>
        </w:rPr>
      </w:pPr>
      <w:r>
        <w:rPr>
          <w:rFonts w:ascii="Arial" w:cs="Arial" w:eastAsia="Arial" w:hAnsi="Arial"/>
          <w:sz w:val="20"/>
          <w:szCs w:val="20"/>
          <w:color w:val="auto"/>
        </w:rPr>
        <w:t>Commencing on the Effective Date, each eligible Non-Employee Director will be eligible to receive the equity compensation set forth below. Equity awards will be granted under the Plan and Form of RSU Agreement.</w:t>
      </w:r>
    </w:p>
    <w:p>
      <w:pPr>
        <w:spacing w:after="0" w:line="171" w:lineRule="exact"/>
        <w:rPr>
          <w:sz w:val="20"/>
          <w:szCs w:val="20"/>
          <w:color w:val="auto"/>
        </w:rPr>
      </w:pPr>
    </w:p>
    <w:p>
      <w:pPr>
        <w:jc w:val="both"/>
        <w:ind w:firstLine="233"/>
        <w:spacing w:after="0" w:line="248" w:lineRule="auto"/>
        <w:tabs>
          <w:tab w:leader="none" w:pos="669" w:val="left"/>
        </w:tabs>
        <w:numPr>
          <w:ilvl w:val="0"/>
          <w:numId w:val="54"/>
        </w:numPr>
        <w:rPr>
          <w:rFonts w:ascii="Arial" w:cs="Arial" w:eastAsia="Arial" w:hAnsi="Arial"/>
          <w:sz w:val="20"/>
          <w:szCs w:val="20"/>
          <w:color w:val="auto"/>
        </w:rPr>
      </w:pPr>
      <w:r>
        <w:rPr>
          <w:rFonts w:ascii="Arial" w:cs="Arial" w:eastAsia="Arial" w:hAnsi="Arial"/>
          <w:sz w:val="20"/>
          <w:szCs w:val="20"/>
          <w:b w:val="1"/>
          <w:bCs w:val="1"/>
          <w:color w:val="auto"/>
        </w:rPr>
        <w:t>Initial Equity Grant</w:t>
      </w:r>
      <w:r>
        <w:rPr>
          <w:rFonts w:ascii="Arial" w:cs="Arial" w:eastAsia="Arial" w:hAnsi="Arial"/>
          <w:sz w:val="20"/>
          <w:szCs w:val="20"/>
          <w:color w:val="auto"/>
        </w:rPr>
        <w:t>. Upon appointment to the Board, and without any further action of the Board or Compensation Committee, at</w:t>
      </w:r>
      <w:r>
        <w:rPr>
          <w:rFonts w:ascii="Arial" w:cs="Arial" w:eastAsia="Arial" w:hAnsi="Arial"/>
          <w:sz w:val="20"/>
          <w:szCs w:val="20"/>
          <w:b w:val="1"/>
          <w:bCs w:val="1"/>
          <w:color w:val="auto"/>
        </w:rPr>
        <w:t xml:space="preserve"> </w:t>
      </w:r>
      <w:r>
        <w:rPr>
          <w:rFonts w:ascii="Arial" w:cs="Arial" w:eastAsia="Arial" w:hAnsi="Arial"/>
          <w:sz w:val="20"/>
          <w:szCs w:val="20"/>
          <w:color w:val="auto"/>
        </w:rPr>
        <w:t>the close of business on the day of such appointment, a Non-Employee Director will automatically receive a restricted stock unit (“</w:t>
      </w:r>
      <w:r>
        <w:rPr>
          <w:rFonts w:ascii="Arial" w:cs="Arial" w:eastAsia="Arial" w:hAnsi="Arial"/>
          <w:sz w:val="20"/>
          <w:szCs w:val="20"/>
          <w:b w:val="1"/>
          <w:bCs w:val="1"/>
          <w:i w:val="1"/>
          <w:iCs w:val="1"/>
          <w:color w:val="auto"/>
        </w:rPr>
        <w:t>RSU</w:t>
      </w:r>
      <w:r>
        <w:rPr>
          <w:rFonts w:ascii="Arial" w:cs="Arial" w:eastAsia="Arial" w:hAnsi="Arial"/>
          <w:sz w:val="20"/>
          <w:szCs w:val="20"/>
          <w:color w:val="auto"/>
        </w:rPr>
        <w:t>”) award having a value of $150,000 (the “</w:t>
      </w:r>
      <w:r>
        <w:rPr>
          <w:rFonts w:ascii="Arial" w:cs="Arial" w:eastAsia="Arial" w:hAnsi="Arial"/>
          <w:sz w:val="20"/>
          <w:szCs w:val="20"/>
          <w:b w:val="1"/>
          <w:bCs w:val="1"/>
          <w:i w:val="1"/>
          <w:iCs w:val="1"/>
          <w:color w:val="auto"/>
        </w:rPr>
        <w:t>Initial RSU</w:t>
      </w:r>
      <w:r>
        <w:rPr>
          <w:rFonts w:ascii="Arial" w:cs="Arial" w:eastAsia="Arial" w:hAnsi="Arial"/>
          <w:sz w:val="20"/>
          <w:szCs w:val="20"/>
          <w:color w:val="auto"/>
        </w:rPr>
        <w:t>”). Each Initial RSU will vest over three years, with one-third of the Initial RSU vesting on the first, second, and third anniversaries of the date of grant.</w:t>
      </w:r>
    </w:p>
    <w:p>
      <w:pPr>
        <w:spacing w:after="0" w:line="183" w:lineRule="exact"/>
        <w:rPr>
          <w:rFonts w:ascii="Arial" w:cs="Arial" w:eastAsia="Arial" w:hAnsi="Arial"/>
          <w:sz w:val="20"/>
          <w:szCs w:val="20"/>
          <w:color w:val="auto"/>
        </w:rPr>
      </w:pPr>
    </w:p>
    <w:p>
      <w:pPr>
        <w:jc w:val="both"/>
        <w:ind w:firstLine="213"/>
        <w:spacing w:after="0" w:line="275"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Annual Equity Grants</w:t>
      </w:r>
      <w:r>
        <w:rPr>
          <w:rFonts w:ascii="Arial" w:cs="Arial" w:eastAsia="Arial" w:hAnsi="Arial"/>
          <w:sz w:val="18"/>
          <w:szCs w:val="18"/>
          <w:color w:val="auto"/>
        </w:rPr>
        <w:t>. Without any further action of the Board or Compensation Committee, at the close of business 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Annual Meeting of the Company’s Stockholders following the Effective Date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each person who is then a Non-Employee Director, and who is not as of such date the holder of a stock option award, restricted stock unit award or other equity award with respect to Common Stock, in each case that is unvested in whole or in part as of the date of such Annual Meeting, will automatically receive an RSU having a value of $150,000 (the “</w:t>
      </w:r>
      <w:r>
        <w:rPr>
          <w:rFonts w:ascii="Arial" w:cs="Arial" w:eastAsia="Arial" w:hAnsi="Arial"/>
          <w:sz w:val="18"/>
          <w:szCs w:val="18"/>
          <w:b w:val="1"/>
          <w:bCs w:val="1"/>
          <w:i w:val="1"/>
          <w:iCs w:val="1"/>
          <w:color w:val="auto"/>
        </w:rPr>
        <w:t>Annual RSU</w:t>
      </w:r>
      <w:r>
        <w:rPr>
          <w:rFonts w:ascii="Arial" w:cs="Arial" w:eastAsia="Arial" w:hAnsi="Arial"/>
          <w:sz w:val="18"/>
          <w:szCs w:val="18"/>
          <w:color w:val="auto"/>
        </w:rPr>
        <w:t>”). Each Annual RSU will vest on the date of the following year’s Annual Meeting (or the date immediately preceding the date of the following year’s Annual Meeting if the Non-Employee Director’s service as a director ends at such meeting as a result of the director’s failure to be re-elected or the director not standing for re-election).</w:t>
      </w:r>
    </w:p>
    <w:p>
      <w:pPr>
        <w:spacing w:after="0" w:line="162" w:lineRule="exact"/>
        <w:rPr>
          <w:rFonts w:ascii="Arial" w:cs="Arial" w:eastAsia="Arial" w:hAnsi="Arial"/>
          <w:sz w:val="18"/>
          <w:szCs w:val="18"/>
          <w:color w:val="auto"/>
        </w:rPr>
      </w:pPr>
    </w:p>
    <w:p>
      <w:pPr>
        <w:jc w:val="both"/>
        <w:ind w:firstLine="253"/>
        <w:spacing w:after="0" w:line="246" w:lineRule="auto"/>
        <w:tabs>
          <w:tab w:leader="none" w:pos="710" w:val="left"/>
        </w:tabs>
        <w:numPr>
          <w:ilvl w:val="1"/>
          <w:numId w:val="54"/>
        </w:numPr>
        <w:rPr>
          <w:rFonts w:ascii="Arial" w:cs="Arial" w:eastAsia="Arial" w:hAnsi="Arial"/>
          <w:sz w:val="20"/>
          <w:szCs w:val="20"/>
          <w:color w:val="auto"/>
        </w:rPr>
      </w:pPr>
      <w:r>
        <w:rPr>
          <w:rFonts w:ascii="Arial" w:cs="Arial" w:eastAsia="Arial" w:hAnsi="Arial"/>
          <w:sz w:val="20"/>
          <w:szCs w:val="20"/>
          <w:b w:val="1"/>
          <w:bCs w:val="1"/>
          <w:color w:val="auto"/>
        </w:rPr>
        <w:t>Vesting; Change of Control</w:t>
      </w:r>
      <w:r>
        <w:rPr>
          <w:rFonts w:ascii="Arial" w:cs="Arial" w:eastAsia="Arial" w:hAnsi="Arial"/>
          <w:sz w:val="20"/>
          <w:szCs w:val="20"/>
          <w:color w:val="auto"/>
        </w:rPr>
        <w:t>. The vesting of each Annual RSU is subject to the Non-Employee Director’s Continuous Service (as</w:t>
      </w:r>
      <w:r>
        <w:rPr>
          <w:rFonts w:ascii="Arial" w:cs="Arial" w:eastAsia="Arial" w:hAnsi="Arial"/>
          <w:sz w:val="20"/>
          <w:szCs w:val="20"/>
          <w:b w:val="1"/>
          <w:bCs w:val="1"/>
          <w:color w:val="auto"/>
        </w:rPr>
        <w:t xml:space="preserve"> </w:t>
      </w:r>
      <w:r>
        <w:rPr>
          <w:rFonts w:ascii="Arial" w:cs="Arial" w:eastAsia="Arial" w:hAnsi="Arial"/>
          <w:sz w:val="20"/>
          <w:szCs w:val="20"/>
          <w:color w:val="auto"/>
        </w:rPr>
        <w:t>defined in the Plan) on the applicable vesting date of each such award. Notwithstanding the foregoing, for each Non-Employee Director who remains in Continuous Service with the Company until immediately prior to the closing of a Change in Control (as defined in the Plan), such Non-Employee Director’s then-outstanding Annual RSU will become fully vested immediately prior to the closing of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71" w:name="page72"/>
    <w:bookmarkEnd w:id="71"/>
    <w:p>
      <w:pPr>
        <w:jc w:val="both"/>
        <w:ind w:firstLine="656"/>
        <w:spacing w:after="0" w:line="259" w:lineRule="auto"/>
        <w:tabs>
          <w:tab w:leader="none" w:pos="1291" w:val="left"/>
        </w:tabs>
        <w:numPr>
          <w:ilvl w:val="0"/>
          <w:numId w:val="55"/>
        </w:numPr>
        <w:rPr>
          <w:rFonts w:ascii="Arial" w:cs="Arial" w:eastAsia="Arial" w:hAnsi="Arial"/>
          <w:sz w:val="21"/>
          <w:szCs w:val="21"/>
          <w:color w:val="auto"/>
        </w:rPr>
      </w:pPr>
      <w:r>
        <w:rPr>
          <w:rFonts w:ascii="Arial" w:cs="Arial" w:eastAsia="Arial" w:hAnsi="Arial"/>
          <w:sz w:val="19"/>
          <w:szCs w:val="19"/>
          <w:b w:val="1"/>
          <w:bCs w:val="1"/>
          <w:color w:val="auto"/>
        </w:rPr>
        <w:t>Calculation of Value of an RSU Award</w:t>
      </w:r>
      <w:r>
        <w:rPr>
          <w:rFonts w:ascii="Arial" w:cs="Arial" w:eastAsia="Arial" w:hAnsi="Arial"/>
          <w:sz w:val="19"/>
          <w:szCs w:val="19"/>
          <w:color w:val="auto"/>
        </w:rPr>
        <w:t>. The value of an RSU award to be granted under this Director Compensation Policy</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determined based on the unweighted average closing price of a share of Common Stock over the thirty (30) consecutive trading day period immediately preceding the date that is five (5) trading days prior to the date of grant of such award.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Non-Employee Director Compensation Limit</w:t>
      </w:r>
    </w:p>
    <w:p>
      <w:pPr>
        <w:spacing w:after="0" w:line="249" w:lineRule="exact"/>
        <w:rPr>
          <w:sz w:val="20"/>
          <w:szCs w:val="20"/>
          <w:color w:val="auto"/>
        </w:rPr>
      </w:pPr>
    </w:p>
    <w:p>
      <w:pPr>
        <w:jc w:val="both"/>
        <w:ind w:firstLine="279"/>
        <w:spacing w:after="0" w:line="287" w:lineRule="auto"/>
        <w:rPr>
          <w:sz w:val="20"/>
          <w:szCs w:val="20"/>
          <w:color w:val="auto"/>
        </w:rPr>
      </w:pPr>
      <w:r>
        <w:rPr>
          <w:rFonts w:ascii="Arial" w:cs="Arial" w:eastAsia="Arial" w:hAnsi="Arial"/>
          <w:sz w:val="19"/>
          <w:szCs w:val="19"/>
          <w:color w:val="auto"/>
        </w:rPr>
        <w:t>Notwithstanding anything herein to the contrary, the cash compensation and equity compensation that each Non-Employee Director is eligible to receive under this Director Compensation Policy shall be subject to the limits set forth in Section 3(d) of the Plan.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Ability to Decline Compensation</w:t>
      </w:r>
    </w:p>
    <w:p>
      <w:pPr>
        <w:spacing w:after="0" w:line="2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 Non-Employee Director may decline all or any portion of his or her compensation under this Director Compensation Policy by giving notice to the Company prior to the date cash is to be paid or equity awards are to be granted, as the case may be.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Expenses</w:t>
      </w:r>
    </w:p>
    <w:p>
      <w:pPr>
        <w:spacing w:after="0" w:line="24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will reimburse each Non-Employee Director for any ordinary and reasonable out-of-pocket expenses actually incurred by such director in connection with in-person attendance at and participation in Board and committee meetings; provided, that such director timely submits to the Company appropriate documentation substantiating such expenses in accordance with the Company’s travel and expense policy as in effect from time to time.</w:t>
      </w:r>
    </w:p>
    <w:p>
      <w:pPr>
        <w:spacing w:after="0" w:line="212" w:lineRule="exact"/>
        <w:rPr>
          <w:sz w:val="20"/>
          <w:szCs w:val="20"/>
          <w:color w:val="auto"/>
        </w:rPr>
      </w:pPr>
    </w:p>
    <w:p>
      <w:pPr>
        <w:jc w:val="center"/>
        <w:spacing w:after="0"/>
        <w:tabs>
          <w:tab w:leader="none" w:pos="180" w:val="left"/>
          <w:tab w:leader="none" w:pos="180" w:val="left"/>
          <w:tab w:leader="none" w:pos="180" w:val="left"/>
          <w:tab w:leader="none" w:pos="160" w:val="left"/>
        </w:tabs>
        <w:rPr>
          <w:sz w:val="20"/>
          <w:szCs w:val="20"/>
          <w:color w:val="auto"/>
        </w:rPr>
      </w:pPr>
      <w:r>
        <w:rPr>
          <w:rFonts w:ascii="Arial" w:cs="Arial" w:eastAsia="Arial" w:hAnsi="Arial"/>
          <w:sz w:val="20"/>
          <w:szCs w:val="20"/>
          <w:b w:val="1"/>
          <w:bCs w:val="1"/>
          <w:color w:val="auto"/>
        </w:rPr>
        <w:t>*</w:t>
        <w:tab/>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Root,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RSU Award Grant Notice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Equity Incentive Plan)</w:t>
      </w:r>
    </w:p>
    <w:p>
      <w:pPr>
        <w:jc w:val="both"/>
        <w:spacing w:after="0" w:line="294" w:lineRule="auto"/>
        <w:rPr>
          <w:sz w:val="20"/>
          <w:szCs w:val="20"/>
          <w:color w:val="auto"/>
        </w:rPr>
      </w:pPr>
      <w:r>
        <w:rPr>
          <w:rFonts w:ascii="Arial" w:cs="Arial" w:eastAsia="Arial" w:hAnsi="Arial"/>
          <w:sz w:val="16"/>
          <w:szCs w:val="16"/>
          <w:color w:val="auto"/>
        </w:rPr>
        <w:t xml:space="preserve">Root,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awarded to you (the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xml:space="preserve">”) the number of restricted stock units specified and on the terms set forth below in consideration of your services (the </w:t>
      </w:r>
      <w:r>
        <w:rPr>
          <w:rFonts w:ascii="Arial" w:cs="Arial" w:eastAsia="Arial" w:hAnsi="Arial"/>
          <w:sz w:val="16"/>
          <w:szCs w:val="16"/>
          <w:b w:val="1"/>
          <w:bCs w:val="1"/>
          <w:i w:val="1"/>
          <w:iCs w:val="1"/>
          <w:color w:val="auto"/>
        </w:rPr>
        <w:t>“RSU Award”</w:t>
      </w:r>
      <w:r>
        <w:rPr>
          <w:rFonts w:ascii="Arial" w:cs="Arial" w:eastAsia="Arial" w:hAnsi="Arial"/>
          <w:sz w:val="16"/>
          <w:szCs w:val="16"/>
          <w:color w:val="auto"/>
        </w:rPr>
        <w:t xml:space="preserve">). Your RSU Award is subject to all of the terms and conditions as set forth herein and in the Company’s 2020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and the Award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which are incorporated herein in their entirety. Capitalized terms not explicitly defined herein but defined in the Plan or the Agreement shall have the meanings set forth in the Plan or the Agreement.</w:t>
      </w:r>
    </w:p>
    <w:p>
      <w:pPr>
        <w:spacing w:after="0" w:line="16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Participant:</w:t>
      </w:r>
      <w:r>
        <w:rPr>
          <w:sz w:val="20"/>
          <w:szCs w:val="20"/>
          <w:color w:val="auto"/>
        </w:rPr>
        <w:tab/>
      </w:r>
      <w:r>
        <w:rPr>
          <w:rFonts w:ascii="Arial" w:cs="Arial" w:eastAsia="Arial" w:hAnsi="Arial"/>
          <w:sz w:val="16"/>
          <w:szCs w:val="16"/>
          <w:color w:val="auto"/>
        </w:rPr>
        <w:t>____________________________________</w:t>
      </w:r>
    </w:p>
    <w:p>
      <w:pPr>
        <w:spacing w:after="0" w:line="2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Date of Grant:</w:t>
      </w:r>
      <w:r>
        <w:rPr>
          <w:sz w:val="20"/>
          <w:szCs w:val="20"/>
          <w:color w:val="auto"/>
        </w:rPr>
        <w:tab/>
      </w:r>
      <w:r>
        <w:rPr>
          <w:rFonts w:ascii="Arial" w:cs="Arial" w:eastAsia="Arial" w:hAnsi="Arial"/>
          <w:sz w:val="16"/>
          <w:szCs w:val="16"/>
          <w:color w:val="auto"/>
        </w:rPr>
        <w:t>____________________________________</w:t>
      </w:r>
    </w:p>
    <w:p>
      <w:pPr>
        <w:spacing w:after="0" w:line="9"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Vesting Commencement Date:</w:t>
      </w:r>
      <w:r>
        <w:rPr>
          <w:sz w:val="20"/>
          <w:szCs w:val="20"/>
          <w:color w:val="auto"/>
        </w:rPr>
        <w:tab/>
      </w:r>
      <w:r>
        <w:rPr>
          <w:rFonts w:ascii="Arial" w:cs="Arial" w:eastAsia="Arial" w:hAnsi="Arial"/>
          <w:sz w:val="16"/>
          <w:szCs w:val="16"/>
          <w:color w:val="auto"/>
        </w:rPr>
        <w:t>____________________________________</w:t>
      </w:r>
    </w:p>
    <w:p>
      <w:pPr>
        <w:spacing w:after="0" w:line="9"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Number of Restricted Stock Units:</w:t>
      </w:r>
      <w:r>
        <w:rPr>
          <w:sz w:val="20"/>
          <w:szCs w:val="20"/>
          <w:color w:val="auto"/>
        </w:rPr>
        <w:tab/>
      </w:r>
      <w:r>
        <w:rPr>
          <w:rFonts w:ascii="Arial" w:cs="Arial" w:eastAsia="Arial" w:hAnsi="Arial"/>
          <w:sz w:val="16"/>
          <w:szCs w:val="16"/>
          <w:color w:val="auto"/>
        </w:rPr>
        <w:t>____________________________________</w:t>
      </w:r>
    </w:p>
    <w:p>
      <w:pPr>
        <w:spacing w:after="0" w:line="234"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[__________________________________________________________________]. Notwithstanding the foregoing, vesting shall</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terminate upon the Participant’s termination of Continuous Service.</w:t>
      </w:r>
    </w:p>
    <w:p>
      <w:pPr>
        <w:spacing w:after="0" w:line="234" w:lineRule="exact"/>
        <w:rPr>
          <w:sz w:val="20"/>
          <w:szCs w:val="20"/>
          <w:color w:val="auto"/>
        </w:rPr>
      </w:pPr>
    </w:p>
    <w:p>
      <w:pPr>
        <w:jc w:val="both"/>
        <w:ind w:left="1620" w:hanging="1619"/>
        <w:spacing w:after="0" w:line="277" w:lineRule="auto"/>
        <w:tabs>
          <w:tab w:leader="none" w:pos="1600" w:val="left"/>
        </w:tabs>
        <w:rPr>
          <w:sz w:val="20"/>
          <w:szCs w:val="20"/>
          <w:color w:val="auto"/>
        </w:rPr>
      </w:pPr>
      <w:r>
        <w:rPr>
          <w:rFonts w:ascii="Arial" w:cs="Arial" w:eastAsia="Arial" w:hAnsi="Arial"/>
          <w:sz w:val="18"/>
          <w:szCs w:val="18"/>
          <w:b w:val="1"/>
          <w:bCs w:val="1"/>
          <w:color w:val="auto"/>
        </w:rPr>
        <w:t>Issuance Schedule:</w:t>
      </w:r>
      <w:r>
        <w:rPr>
          <w:sz w:val="20"/>
          <w:szCs w:val="20"/>
          <w:color w:val="auto"/>
        </w:rPr>
        <w:tab/>
      </w:r>
      <w:r>
        <w:rPr>
          <w:rFonts w:ascii="Arial" w:cs="Arial" w:eastAsia="Arial" w:hAnsi="Arial"/>
          <w:sz w:val="18"/>
          <w:szCs w:val="18"/>
          <w:color w:val="auto"/>
        </w:rPr>
        <w:t>One share of Common Stock will be issued for each restricted stock unit which vests at the time set forth in Section 5 of the Agreement.</w:t>
      </w:r>
    </w:p>
    <w:p>
      <w:pPr>
        <w:spacing w:after="0" w:line="17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Participant Acknowledgements: </w:t>
      </w:r>
      <w:r>
        <w:rPr>
          <w:rFonts w:ascii="Arial" w:cs="Arial" w:eastAsia="Arial" w:hAnsi="Arial"/>
          <w:sz w:val="18"/>
          <w:szCs w:val="18"/>
          <w:color w:val="auto"/>
        </w:rPr>
        <w:t>By your signature below or by electronic acceptance or authentication in a form authorized by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and agree that:</w:t>
      </w:r>
    </w:p>
    <w:p>
      <w:pPr>
        <w:spacing w:after="0" w:line="58" w:lineRule="exact"/>
        <w:rPr>
          <w:sz w:val="20"/>
          <w:szCs w:val="20"/>
          <w:color w:val="auto"/>
        </w:rPr>
      </w:pPr>
    </w:p>
    <w:p>
      <w:pPr>
        <w:jc w:val="both"/>
        <w:ind w:left="660" w:hanging="328"/>
        <w:spacing w:after="0" w:line="311" w:lineRule="auto"/>
        <w:tabs>
          <w:tab w:leader="none" w:pos="6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RSU Award is governed by this RSU Award Grant Notice (the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and the provisions of the Plan and the Agreement, all of which are made a part of this document. Unless otherwise provided in the Plan, this Grant Notice and the Agreement (together, the “</w:t>
      </w:r>
      <w:r>
        <w:rPr>
          <w:rFonts w:ascii="Arial" w:cs="Arial" w:eastAsia="Arial" w:hAnsi="Arial"/>
          <w:sz w:val="16"/>
          <w:szCs w:val="16"/>
          <w:b w:val="1"/>
          <w:bCs w:val="1"/>
          <w:i w:val="1"/>
          <w:iCs w:val="1"/>
          <w:color w:val="auto"/>
        </w:rPr>
        <w:t>RSU Award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may not be modified, amended or revised except in a writing signed by you and a duly authorized officer of the Company.</w:t>
      </w:r>
    </w:p>
    <w:p>
      <w:pPr>
        <w:spacing w:after="0" w:line="40" w:lineRule="exact"/>
        <w:rPr>
          <w:rFonts w:ascii="Arial" w:cs="Arial" w:eastAsia="Arial" w:hAnsi="Arial"/>
          <w:sz w:val="16"/>
          <w:szCs w:val="16"/>
          <w:color w:val="auto"/>
        </w:rPr>
      </w:pPr>
    </w:p>
    <w:p>
      <w:pPr>
        <w:ind w:left="660" w:hanging="328"/>
        <w:spacing w:after="0" w:line="308" w:lineRule="auto"/>
        <w:tabs>
          <w:tab w:leader="none" w:pos="6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38" w:lineRule="exact"/>
        <w:rPr>
          <w:rFonts w:ascii="Arial" w:cs="Arial" w:eastAsia="Arial" w:hAnsi="Arial"/>
          <w:sz w:val="17"/>
          <w:szCs w:val="17"/>
          <w:color w:val="auto"/>
        </w:rPr>
      </w:pPr>
    </w:p>
    <w:p>
      <w:pPr>
        <w:jc w:val="both"/>
        <w:ind w:left="660" w:hanging="328"/>
        <w:spacing w:after="0" w:line="279" w:lineRule="auto"/>
        <w:tabs>
          <w:tab w:leader="none" w:pos="6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Root, Inc.</w:t>
      </w:r>
      <w:r>
        <w:rPr>
          <w:sz w:val="20"/>
          <w:szCs w:val="20"/>
          <w:color w:val="auto"/>
        </w:rPr>
        <w:tab/>
      </w:r>
      <w:r>
        <w:rPr>
          <w:rFonts w:ascii="Arial" w:cs="Arial" w:eastAsia="Arial" w:hAnsi="Arial"/>
          <w:sz w:val="17"/>
          <w:szCs w:val="17"/>
          <w:b w:val="1"/>
          <w:bCs w:val="1"/>
          <w:color w:val="auto"/>
        </w:rPr>
        <w:t>Participant:</w:t>
      </w:r>
    </w:p>
    <w:p>
      <w:pPr>
        <w:sectPr>
          <w:pgSz w:w="11900" w:h="16838" w:orient="portrait"/>
          <w:cols w:equalWidth="0" w:num="1">
            <w:col w:w="11240"/>
          </w:cols>
          <w:pgMar w:left="320" w:top="1413" w:right="339" w:bottom="144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____________________________________</w:t>
      </w:r>
    </w:p>
    <w:p>
      <w:pPr>
        <w:spacing w:after="0" w:line="46" w:lineRule="exact"/>
        <w:rPr>
          <w:sz w:val="20"/>
          <w:szCs w:val="20"/>
          <w:color w:val="auto"/>
        </w:rPr>
      </w:pPr>
    </w:p>
    <w:p>
      <w:pPr>
        <w:ind w:left="180"/>
        <w:spacing w:after="0"/>
        <w:tabs>
          <w:tab w:leader="none" w:pos="10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____________________________________</w:t>
      </w:r>
    </w:p>
    <w:p>
      <w:pPr>
        <w:spacing w:after="0" w:line="453" w:lineRule="exact"/>
        <w:rPr>
          <w:sz w:val="20"/>
          <w:szCs w:val="20"/>
          <w:color w:val="auto"/>
        </w:rPr>
      </w:pPr>
    </w:p>
    <w:p>
      <w:pPr>
        <w:sectPr>
          <w:pgSz w:w="11900" w:h="16838" w:orient="portrait"/>
          <w:cols w:equalWidth="0" w:num="2">
            <w:col w:w="3560" w:space="220"/>
            <w:col w:w="7460"/>
          </w:cols>
          <w:pgMar w:left="320" w:top="1413"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Title: 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 __________________________________</w:t>
      </w:r>
    </w:p>
    <w:p>
      <w:pPr>
        <w:sectPr>
          <w:pgSz w:w="11900" w:h="16838" w:orient="portrait"/>
          <w:cols w:equalWidth="0" w:num="2">
            <w:col w:w="3500" w:space="220"/>
            <w:col w:w="7520"/>
          </w:cols>
          <w:pgMar w:left="320" w:top="1413"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6"/>
          <w:szCs w:val="16"/>
          <w:color w:val="auto"/>
        </w:rPr>
        <w:t>Date: __________________________________</w:t>
      </w:r>
    </w:p>
    <w:p>
      <w:pPr>
        <w:sectPr>
          <w:pgSz w:w="11900" w:h="16838" w:orient="portrait"/>
          <w:cols w:equalWidth="0" w:num="1">
            <w:col w:w="10139"/>
          </w:cols>
          <w:pgMar w:left="320" w:top="1421" w:right="1440" w:bottom="1440" w:gutter="0" w:footer="0" w:header="0"/>
        </w:sectPr>
      </w:pPr>
    </w:p>
    <w:bookmarkStart w:id="74" w:name="page75"/>
    <w:bookmarkEnd w:id="74"/>
    <w:p>
      <w:pPr>
        <w:jc w:val="center"/>
        <w:spacing w:after="0"/>
        <w:rPr>
          <w:sz w:val="20"/>
          <w:szCs w:val="20"/>
          <w:color w:val="auto"/>
        </w:rPr>
      </w:pPr>
      <w:r>
        <w:rPr>
          <w:rFonts w:ascii="Arial" w:cs="Arial" w:eastAsia="Arial" w:hAnsi="Arial"/>
          <w:sz w:val="25"/>
          <w:szCs w:val="25"/>
          <w:b w:val="1"/>
          <w:bCs w:val="1"/>
          <w:color w:val="auto"/>
        </w:rPr>
        <w:t>Root,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2020 Equity Incentive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Award Agreement (RSU Award)</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As reflected by your Restricted Stock Unit Grant Notice (“</w:t>
      </w:r>
      <w:r>
        <w:rPr>
          <w:rFonts w:ascii="Arial" w:cs="Arial" w:eastAsia="Arial" w:hAnsi="Arial"/>
          <w:sz w:val="22"/>
          <w:szCs w:val="22"/>
          <w:b w:val="1"/>
          <w:bCs w:val="1"/>
          <w:i w:val="1"/>
          <w:iCs w:val="1"/>
          <w:color w:val="auto"/>
        </w:rPr>
        <w:t>Grant Notice</w:t>
      </w:r>
      <w:r>
        <w:rPr>
          <w:rFonts w:ascii="Arial" w:cs="Arial" w:eastAsia="Arial" w:hAnsi="Arial"/>
          <w:sz w:val="22"/>
          <w:szCs w:val="22"/>
          <w:color w:val="auto"/>
        </w:rPr>
        <w:t>”), Root,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granted you a RSU Award under its 2020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for the number of restricted stock units as indicated in your Grant Notice (the “</w:t>
      </w:r>
      <w:r>
        <w:rPr>
          <w:rFonts w:ascii="Arial" w:cs="Arial" w:eastAsia="Arial" w:hAnsi="Arial"/>
          <w:sz w:val="22"/>
          <w:szCs w:val="22"/>
          <w:b w:val="1"/>
          <w:bCs w:val="1"/>
          <w:i w:val="1"/>
          <w:iCs w:val="1"/>
          <w:color w:val="auto"/>
        </w:rPr>
        <w:t>RSU Award</w:t>
      </w:r>
      <w:r>
        <w:rPr>
          <w:rFonts w:ascii="Arial" w:cs="Arial" w:eastAsia="Arial" w:hAnsi="Arial"/>
          <w:sz w:val="22"/>
          <w:szCs w:val="22"/>
          <w:color w:val="auto"/>
        </w:rPr>
        <w:t>”). The terms of your RSU Award as specified in this Award Agreement for your RSU Award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and the Grant Notice constitute your “</w:t>
      </w:r>
      <w:r>
        <w:rPr>
          <w:rFonts w:ascii="Arial" w:cs="Arial" w:eastAsia="Arial" w:hAnsi="Arial"/>
          <w:sz w:val="22"/>
          <w:szCs w:val="22"/>
          <w:b w:val="1"/>
          <w:bCs w:val="1"/>
          <w:i w:val="1"/>
          <w:iCs w:val="1"/>
          <w:color w:val="auto"/>
        </w:rPr>
        <w:t>RSU Award Agreement</w:t>
      </w:r>
      <w:r>
        <w:rPr>
          <w:rFonts w:ascii="Arial" w:cs="Arial" w:eastAsia="Arial" w:hAnsi="Arial"/>
          <w:sz w:val="22"/>
          <w:szCs w:val="22"/>
          <w:color w:val="auto"/>
        </w:rPr>
        <w:t>”. Defined terms not explicitly defined in this Agreement but defined in the Grant Notice or the Plan shall have the same definitions as in the Grant Notice or Plan, as applicable.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general terms applicable to your RSU Award are as follows:</w:t>
      </w:r>
    </w:p>
    <w:p>
      <w:pPr>
        <w:spacing w:after="0" w:line="214" w:lineRule="exact"/>
        <w:rPr>
          <w:sz w:val="20"/>
          <w:szCs w:val="20"/>
          <w:color w:val="auto"/>
        </w:rPr>
      </w:pPr>
    </w:p>
    <w:p>
      <w:pPr>
        <w:jc w:val="both"/>
        <w:ind w:firstLine="656"/>
        <w:spacing w:after="0" w:line="252" w:lineRule="auto"/>
        <w:tabs>
          <w:tab w:leader="none" w:pos="1296"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Plan Document. </w:t>
      </w:r>
      <w:r>
        <w:rPr>
          <w:rFonts w:ascii="Arial" w:cs="Arial" w:eastAsia="Arial" w:hAnsi="Arial"/>
          <w:sz w:val="22"/>
          <w:szCs w:val="22"/>
          <w:color w:val="auto"/>
        </w:rPr>
        <w:t>Your RSU Award is subject to all the provisions of the Plan. Your RSU Award is</w:t>
      </w:r>
      <w:r>
        <w:rPr>
          <w:rFonts w:ascii="Arial" w:cs="Arial" w:eastAsia="Arial" w:hAnsi="Arial"/>
          <w:sz w:val="22"/>
          <w:szCs w:val="22"/>
          <w:b w:val="1"/>
          <w:bCs w:val="1"/>
          <w:color w:val="auto"/>
        </w:rPr>
        <w:t xml:space="preserve"> </w:t>
      </w:r>
      <w:r>
        <w:rPr>
          <w:rFonts w:ascii="Arial" w:cs="Arial" w:eastAsia="Arial" w:hAnsi="Arial"/>
          <w:sz w:val="22"/>
          <w:szCs w:val="22"/>
          <w:color w:val="auto"/>
        </w:rPr>
        <w:t>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79" w:lineRule="exact"/>
        <w:rPr>
          <w:rFonts w:ascii="Arial" w:cs="Arial" w:eastAsia="Arial" w:hAnsi="Arial"/>
          <w:sz w:val="22"/>
          <w:szCs w:val="22"/>
          <w:b w:val="1"/>
          <w:bCs w:val="1"/>
          <w:color w:val="auto"/>
        </w:rPr>
      </w:pPr>
    </w:p>
    <w:p>
      <w:pPr>
        <w:jc w:val="both"/>
        <w:ind w:firstLine="656"/>
        <w:spacing w:after="0" w:line="295" w:lineRule="auto"/>
        <w:tabs>
          <w:tab w:leader="none" w:pos="1296"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Grant of the RSU Award. </w:t>
      </w:r>
      <w:r>
        <w:rPr>
          <w:rFonts w:ascii="Arial" w:cs="Arial" w:eastAsia="Arial" w:hAnsi="Arial"/>
          <w:sz w:val="19"/>
          <w:szCs w:val="19"/>
          <w:color w:val="auto"/>
        </w:rPr>
        <w:t>This RSU Award represents your right to be issued on a future date the number of</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the Company’s Common Stock that is equal to the number of restricted stock units indicated in the Grant Notice subject to your satisfaction of the vesting conditions set forth therein (the “</w:t>
      </w:r>
      <w:r>
        <w:rPr>
          <w:rFonts w:ascii="Arial" w:cs="Arial" w:eastAsia="Arial" w:hAnsi="Arial"/>
          <w:sz w:val="19"/>
          <w:szCs w:val="19"/>
          <w:b w:val="1"/>
          <w:bCs w:val="1"/>
          <w:i w:val="1"/>
          <w:iCs w:val="1"/>
          <w:color w:val="auto"/>
        </w:rPr>
        <w:t>Restricted Stock Units</w:t>
      </w:r>
      <w:r>
        <w:rPr>
          <w:rFonts w:ascii="Arial" w:cs="Arial" w:eastAsia="Arial" w:hAnsi="Arial"/>
          <w:sz w:val="19"/>
          <w:szCs w:val="19"/>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43" w:lineRule="exact"/>
        <w:rPr>
          <w:rFonts w:ascii="Arial" w:cs="Arial" w:eastAsia="Arial" w:hAnsi="Arial"/>
          <w:sz w:val="19"/>
          <w:szCs w:val="19"/>
          <w:b w:val="1"/>
          <w:bCs w:val="1"/>
          <w:color w:val="auto"/>
        </w:rPr>
      </w:pPr>
    </w:p>
    <w:p>
      <w:pPr>
        <w:jc w:val="both"/>
        <w:ind w:right="280" w:firstLine="656"/>
        <w:spacing w:after="0" w:line="252" w:lineRule="auto"/>
        <w:tabs>
          <w:tab w:leader="none" w:pos="1296"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Dividends. </w:t>
      </w:r>
      <w:r>
        <w:rPr>
          <w:rFonts w:ascii="Arial" w:cs="Arial" w:eastAsia="Arial" w:hAnsi="Arial"/>
          <w:sz w:val="22"/>
          <w:szCs w:val="22"/>
          <w:color w:val="auto"/>
        </w:rPr>
        <w:t>You shall receive no benefit or adjustment to your RSU Award with respect to any cash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stock dividend or other distribution that does not result from a Capitalization Adjustment as provided in the Plan; provided, however, that this sentence shall not apply with respect to any shares of Common Stock that are delivered to you in connection with your RSU Award after such shares have been delivered to you.</w:t>
      </w:r>
    </w:p>
    <w:p>
      <w:pPr>
        <w:spacing w:after="0" w:line="179" w:lineRule="exact"/>
        <w:rPr>
          <w:rFonts w:ascii="Arial" w:cs="Arial" w:eastAsia="Arial" w:hAnsi="Arial"/>
          <w:sz w:val="22"/>
          <w:szCs w:val="22"/>
          <w:b w:val="1"/>
          <w:bCs w:val="1"/>
          <w:color w:val="auto"/>
        </w:rPr>
      </w:pPr>
    </w:p>
    <w:p>
      <w:pPr>
        <w:ind w:left="1300" w:hanging="644"/>
        <w:spacing w:after="0"/>
        <w:tabs>
          <w:tab w:leader="none" w:pos="130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Withholding Obligations.</w:t>
      </w:r>
    </w:p>
    <w:p>
      <w:pPr>
        <w:spacing w:after="0" w:line="225" w:lineRule="exact"/>
        <w:rPr>
          <w:rFonts w:ascii="Arial" w:cs="Arial" w:eastAsia="Arial" w:hAnsi="Arial"/>
          <w:sz w:val="22"/>
          <w:szCs w:val="22"/>
          <w:b w:val="1"/>
          <w:bCs w:val="1"/>
          <w:color w:val="auto"/>
        </w:rPr>
      </w:pPr>
    </w:p>
    <w:p>
      <w:pPr>
        <w:jc w:val="both"/>
        <w:ind w:firstLine="1304"/>
        <w:spacing w:after="0" w:line="248" w:lineRule="auto"/>
        <w:tabs>
          <w:tab w:leader="none" w:pos="1939" w:val="left"/>
        </w:tabs>
        <w:numPr>
          <w:ilvl w:val="1"/>
          <w:numId w:val="57"/>
        </w:numPr>
        <w:rPr>
          <w:rFonts w:ascii="Arial" w:cs="Arial" w:eastAsia="Arial" w:hAnsi="Arial"/>
          <w:sz w:val="22"/>
          <w:szCs w:val="22"/>
          <w:b w:val="1"/>
          <w:bCs w:val="1"/>
          <w:color w:val="auto"/>
        </w:rPr>
      </w:pPr>
      <w:r>
        <w:rPr>
          <w:rFonts w:ascii="Arial" w:cs="Arial" w:eastAsia="Arial" w:hAnsi="Arial"/>
          <w:sz w:val="22"/>
          <w:szCs w:val="22"/>
          <w:color w:val="auto"/>
        </w:rPr>
        <w:t>Regardless of any action taken by the Company or, if different, the Affiliate to which you provide Continuous Service (the “</w:t>
      </w:r>
      <w:r>
        <w:rPr>
          <w:rFonts w:ascii="Arial" w:cs="Arial" w:eastAsia="Arial" w:hAnsi="Arial"/>
          <w:sz w:val="22"/>
          <w:szCs w:val="22"/>
          <w:b w:val="1"/>
          <w:bCs w:val="1"/>
          <w:i w:val="1"/>
          <w:iCs w:val="1"/>
          <w:color w:val="auto"/>
        </w:rPr>
        <w:t>Service Recipient</w:t>
      </w:r>
      <w:r>
        <w:rPr>
          <w:rFonts w:ascii="Arial" w:cs="Arial" w:eastAsia="Arial" w:hAnsi="Arial"/>
          <w:sz w:val="22"/>
          <w:szCs w:val="22"/>
          <w:color w:val="auto"/>
        </w:rPr>
        <w:t>”) with respect to any income tax, social insurance, payroll tax, fringe benefits tax, payment on account or other tax-related items associated with the grant or vesting of the RSU Award or sale of the underlying Common Stock or other tax-related items related to your participation in the Plan and legally applicable to you (the “</w:t>
      </w:r>
      <w:r>
        <w:rPr>
          <w:rFonts w:ascii="Arial" w:cs="Arial" w:eastAsia="Arial" w:hAnsi="Arial"/>
          <w:sz w:val="22"/>
          <w:szCs w:val="22"/>
          <w:b w:val="1"/>
          <w:bCs w:val="1"/>
          <w:i w:val="1"/>
          <w:iCs w:val="1"/>
          <w:color w:val="auto"/>
        </w:rPr>
        <w:t>Tax</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Liability</w:t>
      </w:r>
      <w:r>
        <w:rPr>
          <w:rFonts w:ascii="Arial" w:cs="Arial" w:eastAsia="Arial" w:hAnsi="Arial"/>
          <w:sz w:val="22"/>
          <w:szCs w:val="22"/>
          <w:color w:val="auto"/>
        </w:rPr>
        <w:t>”), you hereby acknowledge and agree that the Tax Liability</w:t>
      </w:r>
    </w:p>
    <w:p>
      <w:pPr>
        <w:sectPr>
          <w:pgSz w:w="11900" w:h="16838" w:orient="portrait"/>
          <w:cols w:equalWidth="0" w:num="1">
            <w:col w:w="11240"/>
          </w:cols>
          <w:pgMar w:left="320" w:top="1413" w:right="339" w:bottom="1440" w:gutter="0" w:footer="0" w:header="0"/>
        </w:sectPr>
      </w:pPr>
    </w:p>
    <w:bookmarkStart w:id="75" w:name="page76"/>
    <w:bookmarkEnd w:id="75"/>
    <w:p>
      <w:pPr>
        <w:jc w:val="both"/>
        <w:spacing w:after="0" w:line="290" w:lineRule="auto"/>
        <w:rPr>
          <w:sz w:val="20"/>
          <w:szCs w:val="20"/>
          <w:color w:val="auto"/>
        </w:rPr>
      </w:pPr>
      <w:r>
        <w:rPr>
          <w:rFonts w:ascii="Arial" w:cs="Arial" w:eastAsia="Arial" w:hAnsi="Arial"/>
          <w:sz w:val="19"/>
          <w:szCs w:val="19"/>
          <w:color w:val="auto"/>
        </w:rPr>
        <w:t>is your ultimate responsibility and may exceed the amount, if any, actually withheld by the Company or the Service Recipient. You further acknowledge that the Company and the Service Recipient (i) make no representations or undertakings regarding any Tax Liability in connection with any aspect of this RSU Award, including, but not limited to, the grant or vesting of the RSU Award, the issuance of Common Stock pursuant to such vesting, the subsequent sale of shares of Common Stock, and the payment of any dividends on the Common Stock; and (ii) do not commit to and are under no obligation to structure the terms of the grant or any aspect of the RSU Award to reduce or eliminate your Tax Liability or achieve a particular tax result. Further, if you are subject to Tax Liability in more than one jurisdiction, you acknowledge that the Company and/or the Service Recipient (or former service recipient, as applicable) may be required to withhold or account for Tax Liability in more than one jurisdiction.</w:t>
      </w:r>
    </w:p>
    <w:p>
      <w:pPr>
        <w:spacing w:after="0" w:line="156" w:lineRule="exact"/>
        <w:rPr>
          <w:sz w:val="20"/>
          <w:szCs w:val="20"/>
          <w:color w:val="auto"/>
        </w:rPr>
      </w:pPr>
    </w:p>
    <w:p>
      <w:pPr>
        <w:jc w:val="both"/>
        <w:ind w:firstLine="1304"/>
        <w:spacing w:after="0" w:line="283" w:lineRule="auto"/>
        <w:tabs>
          <w:tab w:leader="none" w:pos="1938" w:val="left"/>
        </w:tabs>
        <w:numPr>
          <w:ilvl w:val="1"/>
          <w:numId w:val="58"/>
        </w:numPr>
        <w:rPr>
          <w:rFonts w:ascii="Arial" w:cs="Arial" w:eastAsia="Arial" w:hAnsi="Arial"/>
          <w:sz w:val="19"/>
          <w:szCs w:val="19"/>
          <w:b w:val="1"/>
          <w:bCs w:val="1"/>
          <w:color w:val="auto"/>
        </w:rPr>
      </w:pPr>
      <w:r>
        <w:rPr>
          <w:rFonts w:ascii="Arial" w:cs="Arial" w:eastAsia="Arial" w:hAnsi="Arial"/>
          <w:sz w:val="19"/>
          <w:szCs w:val="19"/>
          <w:color w:val="auto"/>
        </w:rPr>
        <w:t xml:space="preserve">Prior to any relevant taxable or tax withholding event, as applicable, you agree to make adequate arrangements satisfactory to the Company and/or the Service Recipient to satisfy all Tax Liability. As further provided in Section 8 of the Plan, you hereby authorize the Company and any applicable Service Recipient to satisfy any applicable withholding obligations with regard to the Tax Liability by any of the following means or by a combination of such means: (i) causing you to pay any portion of the Tax Liability in cash or cash equivalent in a form acceptable to the Company; (ii) withholding from any compensation otherwise payable to you by the Company or the Service Recipient; (iii) withholding shares of Common Stock from the shares of Common Stock issued or otherwise issuable to you in connection with the Award; </w:t>
      </w:r>
      <w:r>
        <w:rPr>
          <w:rFonts w:ascii="Arial" w:cs="Arial" w:eastAsia="Arial" w:hAnsi="Arial"/>
          <w:sz w:val="19"/>
          <w:szCs w:val="19"/>
          <w:i w:val="1"/>
          <w:iCs w:val="1"/>
          <w:color w:val="auto"/>
        </w:rPr>
        <w:t>provided</w:t>
      </w:r>
      <w:r>
        <w:rPr>
          <w:rFonts w:ascii="Arial" w:cs="Arial" w:eastAsia="Arial" w:hAnsi="Arial"/>
          <w:sz w:val="19"/>
          <w:szCs w:val="19"/>
          <w:color w:val="auto"/>
        </w:rPr>
        <w:t>, however, that to the extent necessary to qualify for an exemption from application of Section 16(b) of the Exchange Act, if applicable, such share withholding procedure will be subject to the express prior approval of the Board or the Company’s Compensation Committee;</w:t>
      </w:r>
    </w:p>
    <w:p>
      <w:pPr>
        <w:spacing w:after="0" w:line="7" w:lineRule="exact"/>
        <w:rPr>
          <w:rFonts w:ascii="Arial" w:cs="Arial" w:eastAsia="Arial" w:hAnsi="Arial"/>
          <w:sz w:val="19"/>
          <w:szCs w:val="19"/>
          <w:b w:val="1"/>
          <w:bCs w:val="1"/>
          <w:color w:val="auto"/>
        </w:rPr>
      </w:pPr>
    </w:p>
    <w:p>
      <w:pPr>
        <w:jc w:val="both"/>
        <w:ind w:firstLine="8"/>
        <w:spacing w:after="0" w:line="285" w:lineRule="auto"/>
        <w:tabs>
          <w:tab w:leader="none" w:pos="372" w:val="left"/>
        </w:tabs>
        <w:numPr>
          <w:ilvl w:val="0"/>
          <w:numId w:val="59"/>
        </w:numPr>
        <w:rPr>
          <w:rFonts w:ascii="Arial" w:cs="Arial" w:eastAsia="Arial" w:hAnsi="Arial"/>
          <w:sz w:val="19"/>
          <w:szCs w:val="19"/>
          <w:color w:val="auto"/>
        </w:rPr>
      </w:pPr>
      <w:r>
        <w:rPr>
          <w:rFonts w:ascii="Arial" w:cs="Arial" w:eastAsia="Arial" w:hAnsi="Arial"/>
          <w:sz w:val="19"/>
          <w:szCs w:val="19"/>
          <w:color w:val="auto"/>
        </w:rPr>
        <w:t>permitting or requiring you to enter into a “same day sale” commitment, if applicable, with a broker-dealer that is a member of the Financial Industry Regulatory Authority (a “</w:t>
      </w:r>
      <w:r>
        <w:rPr>
          <w:rFonts w:ascii="Arial" w:cs="Arial" w:eastAsia="Arial" w:hAnsi="Arial"/>
          <w:sz w:val="19"/>
          <w:szCs w:val="19"/>
          <w:b w:val="1"/>
          <w:bCs w:val="1"/>
          <w:i w:val="1"/>
          <w:iCs w:val="1"/>
          <w:color w:val="auto"/>
        </w:rPr>
        <w:t>FINRA Dealer</w:t>
      </w:r>
      <w:r>
        <w:rPr>
          <w:rFonts w:ascii="Arial" w:cs="Arial" w:eastAsia="Arial" w:hAnsi="Arial"/>
          <w:sz w:val="19"/>
          <w:szCs w:val="19"/>
          <w:color w:val="auto"/>
        </w:rPr>
        <w:t>”), pursuant to this authorization and without further consent, whereby you irrevocably elect to sell a portion of the shares of Common Stock to be delivered in connection with your Restricted Stock Units to satisfy the Tax Liability and whereby the FINRA Dealer irrevocably commits to forward the proceeds necessary to satisfy the Tax Liability directly to the Company or the Service Recipient; and/or (v) any other method determined by the Company to be in compliance with Applicable Law. Furthermore, you agree to pay the Company or the Service Recipient any amount the Company or the Service Recipient may be required to withhold, collect, or pay as a result of your participation in the Plan or that cannot be satisfied by the means previously described. In the event it is determined that the amount of the Tax Liability was greater than the amount withheld by the Company and/or the Service Recipient (as applicable), you agree to indemnify and hold the Company and/or the Service Recipient (as applicable) harmless from any failure by the Company or the applicable Service Recipient to withhold the proper amount.</w:t>
      </w:r>
    </w:p>
    <w:p>
      <w:pPr>
        <w:spacing w:after="0" w:line="165" w:lineRule="exact"/>
        <w:rPr>
          <w:rFonts w:ascii="Arial" w:cs="Arial" w:eastAsia="Arial" w:hAnsi="Arial"/>
          <w:sz w:val="19"/>
          <w:szCs w:val="19"/>
          <w:color w:val="auto"/>
        </w:rPr>
      </w:pPr>
    </w:p>
    <w:p>
      <w:pPr>
        <w:jc w:val="both"/>
        <w:ind w:firstLine="1304"/>
        <w:spacing w:after="0" w:line="250" w:lineRule="auto"/>
        <w:tabs>
          <w:tab w:leader="none" w:pos="1941" w:val="left"/>
        </w:tabs>
        <w:numPr>
          <w:ilvl w:val="1"/>
          <w:numId w:val="59"/>
        </w:numPr>
        <w:rPr>
          <w:rFonts w:ascii="Arial" w:cs="Arial" w:eastAsia="Arial" w:hAnsi="Arial"/>
          <w:sz w:val="22"/>
          <w:szCs w:val="22"/>
          <w:b w:val="1"/>
          <w:bCs w:val="1"/>
          <w:color w:val="auto"/>
        </w:rPr>
      </w:pPr>
      <w:r>
        <w:rPr>
          <w:rFonts w:ascii="Arial" w:cs="Arial" w:eastAsia="Arial" w:hAnsi="Arial"/>
          <w:sz w:val="22"/>
          <w:szCs w:val="22"/>
          <w:color w:val="auto"/>
        </w:rPr>
        <w:t>The Company may withhold or account for your Tax Liability by considering statutory withholding amounts or other withholding rates applicable in your jurisdiction(s), including (i) maximum applicable rates in your jurisdiction(s), in which case you may receive a refund of any over-withheld amount in cash (whether from applicable tax authorities or the Company) and you will have no entitlement to the equivalent amount in</w:t>
      </w:r>
    </w:p>
    <w:p>
      <w:pPr>
        <w:sectPr>
          <w:pgSz w:w="11900" w:h="16838" w:orient="portrait"/>
          <w:cols w:equalWidth="0" w:num="1">
            <w:col w:w="11240"/>
          </w:cols>
          <w:pgMar w:left="320" w:top="1428" w:right="339" w:bottom="1440" w:gutter="0" w:footer="0" w:header="0"/>
        </w:sectPr>
      </w:pPr>
    </w:p>
    <w:bookmarkStart w:id="76" w:name="page77"/>
    <w:bookmarkEnd w:id="76"/>
    <w:p>
      <w:pPr>
        <w:jc w:val="both"/>
        <w:spacing w:after="0" w:line="297" w:lineRule="auto"/>
        <w:rPr>
          <w:sz w:val="20"/>
          <w:szCs w:val="20"/>
          <w:color w:val="auto"/>
        </w:rPr>
      </w:pPr>
      <w:r>
        <w:rPr>
          <w:rFonts w:ascii="Arial" w:cs="Arial" w:eastAsia="Arial" w:hAnsi="Arial"/>
          <w:sz w:val="19"/>
          <w:szCs w:val="19"/>
          <w:color w:val="auto"/>
        </w:rPr>
        <w:t>Common Stock or (ii) minimum or such other applicable rates in your jurisdiction(s), in which case you may be solely responsible for paying any additional Tax Liability to the applicable tax authorities or to the Company and/or the Service Recipient. If the Tax Liability withholding obligation is satisfied by withholding shares of Common Stock, for tax purposes, you are deemed to have been issued the full number of shares of Common Stock subject to the vested portion of the RSU Award, notwithstanding that a number of the shares of Common Stock is held back solely for the purpose of paying such Tax Liability.</w:t>
      </w:r>
    </w:p>
    <w:p>
      <w:pPr>
        <w:spacing w:after="0" w:line="147" w:lineRule="exact"/>
        <w:rPr>
          <w:sz w:val="20"/>
          <w:szCs w:val="20"/>
          <w:color w:val="auto"/>
        </w:rPr>
      </w:pPr>
    </w:p>
    <w:p>
      <w:pPr>
        <w:jc w:val="both"/>
        <w:ind w:firstLine="1304"/>
        <w:spacing w:after="0" w:line="250" w:lineRule="auto"/>
        <w:tabs>
          <w:tab w:leader="none" w:pos="1938" w:val="left"/>
        </w:tabs>
        <w:numPr>
          <w:ilvl w:val="1"/>
          <w:numId w:val="60"/>
        </w:numPr>
        <w:rPr>
          <w:rFonts w:ascii="Arial" w:cs="Arial" w:eastAsia="Arial" w:hAnsi="Arial"/>
          <w:sz w:val="22"/>
          <w:szCs w:val="22"/>
          <w:b w:val="1"/>
          <w:bCs w:val="1"/>
          <w:color w:val="auto"/>
        </w:rPr>
      </w:pPr>
      <w:r>
        <w:rPr>
          <w:rFonts w:ascii="Arial" w:cs="Arial" w:eastAsia="Arial" w:hAnsi="Arial"/>
          <w:sz w:val="22"/>
          <w:szCs w:val="22"/>
          <w:color w:val="auto"/>
        </w:rPr>
        <w:t>You acknowledge that you may not participate in the Plan and the Company shall have no obligation to deliver shares of Common Stock until you have fully satisfied the Tax Liability, as determined by the Company. Unless any withholding obligation for the Tax Liability is satisfied, the Company shall have no obligation to deliver to you any Common Stock in respect of the RSU Award.</w:t>
      </w:r>
    </w:p>
    <w:p>
      <w:pPr>
        <w:spacing w:after="0" w:line="181" w:lineRule="exact"/>
        <w:rPr>
          <w:rFonts w:ascii="Arial" w:cs="Arial" w:eastAsia="Arial" w:hAnsi="Arial"/>
          <w:sz w:val="22"/>
          <w:szCs w:val="22"/>
          <w:b w:val="1"/>
          <w:bCs w:val="1"/>
          <w:color w:val="auto"/>
        </w:rPr>
      </w:pPr>
    </w:p>
    <w:p>
      <w:pPr>
        <w:ind w:left="1300" w:hanging="644"/>
        <w:spacing w:after="0"/>
        <w:tabs>
          <w:tab w:leader="none" w:pos="130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Date of Issuance.</w:t>
      </w:r>
    </w:p>
    <w:p>
      <w:pPr>
        <w:spacing w:after="0" w:line="225" w:lineRule="exact"/>
        <w:rPr>
          <w:rFonts w:ascii="Arial" w:cs="Arial" w:eastAsia="Arial" w:hAnsi="Arial"/>
          <w:sz w:val="22"/>
          <w:szCs w:val="22"/>
          <w:b w:val="1"/>
          <w:bCs w:val="1"/>
          <w:color w:val="auto"/>
        </w:rPr>
      </w:pPr>
    </w:p>
    <w:p>
      <w:pPr>
        <w:jc w:val="both"/>
        <w:ind w:firstLine="1304"/>
        <w:spacing w:after="0" w:line="248" w:lineRule="auto"/>
        <w:tabs>
          <w:tab w:leader="none" w:pos="1939" w:val="left"/>
        </w:tabs>
        <w:numPr>
          <w:ilvl w:val="1"/>
          <w:numId w:val="61"/>
        </w:numPr>
        <w:rPr>
          <w:rFonts w:ascii="Arial" w:cs="Arial" w:eastAsia="Arial" w:hAnsi="Arial"/>
          <w:sz w:val="22"/>
          <w:szCs w:val="22"/>
          <w:b w:val="1"/>
          <w:bCs w:val="1"/>
          <w:color w:val="auto"/>
        </w:rPr>
      </w:pPr>
      <w:r>
        <w:rPr>
          <w:rFonts w:ascii="Arial" w:cs="Arial" w:eastAsia="Arial" w:hAnsi="Arial"/>
          <w:sz w:val="22"/>
          <w:szCs w:val="22"/>
          <w:color w:val="auto"/>
        </w:rPr>
        <w:t>The issuance of shares in respect of the Restricted Stock Units is intended to comply with U.S. Treasury Regulations Section 1.409A-3(a) and will be construed and administered in such a manner. Subject to the satisfaction of the Tax Liability withholding obligation, if any, in the event one or more Restricted Stock Units vests, the Company shall issue to you one (1) share of Common Stock for each vested Restricted Stock Unit. Each issuance date determined by this paragraph is referred to as an “</w:t>
      </w:r>
      <w:r>
        <w:rPr>
          <w:rFonts w:ascii="Arial" w:cs="Arial" w:eastAsia="Arial" w:hAnsi="Arial"/>
          <w:sz w:val="22"/>
          <w:szCs w:val="22"/>
          <w:b w:val="1"/>
          <w:bCs w:val="1"/>
          <w:i w:val="1"/>
          <w:iCs w:val="1"/>
          <w:color w:val="auto"/>
        </w:rPr>
        <w:t>Original Issuance Date</w:t>
      </w:r>
      <w:r>
        <w:rPr>
          <w:rFonts w:ascii="Arial" w:cs="Arial" w:eastAsia="Arial" w:hAnsi="Arial"/>
          <w:sz w:val="22"/>
          <w:szCs w:val="22"/>
          <w:color w:val="auto"/>
        </w:rPr>
        <w:t>.”</w:t>
      </w:r>
    </w:p>
    <w:p>
      <w:pPr>
        <w:spacing w:after="0" w:line="191" w:lineRule="exact"/>
        <w:rPr>
          <w:rFonts w:ascii="Arial" w:cs="Arial" w:eastAsia="Arial" w:hAnsi="Arial"/>
          <w:sz w:val="22"/>
          <w:szCs w:val="22"/>
          <w:b w:val="1"/>
          <w:bCs w:val="1"/>
          <w:color w:val="auto"/>
        </w:rPr>
      </w:pPr>
    </w:p>
    <w:p>
      <w:pPr>
        <w:ind w:right="20" w:firstLine="1304"/>
        <w:spacing w:after="0" w:line="263" w:lineRule="auto"/>
        <w:tabs>
          <w:tab w:leader="none" w:pos="1938" w:val="left"/>
        </w:tabs>
        <w:numPr>
          <w:ilvl w:val="1"/>
          <w:numId w:val="61"/>
        </w:numPr>
        <w:rPr>
          <w:rFonts w:ascii="Arial" w:cs="Arial" w:eastAsia="Arial" w:hAnsi="Arial"/>
          <w:sz w:val="22"/>
          <w:szCs w:val="22"/>
          <w:b w:val="1"/>
          <w:bCs w:val="1"/>
          <w:color w:val="auto"/>
        </w:rPr>
      </w:pPr>
      <w:r>
        <w:rPr>
          <w:rFonts w:ascii="Arial" w:cs="Arial" w:eastAsia="Arial" w:hAnsi="Arial"/>
          <w:sz w:val="22"/>
          <w:szCs w:val="22"/>
          <w:color w:val="auto"/>
        </w:rPr>
        <w:t>If the Original Issuance Date falls on a date that is not a business day, delivery shall instead occur on the next following business day. In addition, if:</w:t>
      </w:r>
    </w:p>
    <w:p>
      <w:pPr>
        <w:spacing w:after="0" w:line="174" w:lineRule="exact"/>
        <w:rPr>
          <w:rFonts w:ascii="Arial" w:cs="Arial" w:eastAsia="Arial" w:hAnsi="Arial"/>
          <w:sz w:val="22"/>
          <w:szCs w:val="22"/>
          <w:b w:val="1"/>
          <w:bCs w:val="1"/>
          <w:color w:val="auto"/>
        </w:rPr>
      </w:pPr>
    </w:p>
    <w:p>
      <w:pPr>
        <w:jc w:val="both"/>
        <w:ind w:firstLine="1532"/>
        <w:spacing w:after="0" w:line="297" w:lineRule="auto"/>
        <w:tabs>
          <w:tab w:leader="none" w:pos="1971" w:val="left"/>
        </w:tabs>
        <w:numPr>
          <w:ilvl w:val="2"/>
          <w:numId w:val="61"/>
        </w:numPr>
        <w:rPr>
          <w:rFonts w:ascii="Arial" w:cs="Arial" w:eastAsia="Arial" w:hAnsi="Arial"/>
          <w:sz w:val="19"/>
          <w:szCs w:val="19"/>
          <w:b w:val="1"/>
          <w:bCs w:val="1"/>
          <w:color w:val="auto"/>
        </w:rPr>
      </w:pPr>
      <w:r>
        <w:rPr>
          <w:rFonts w:ascii="Arial" w:cs="Arial" w:eastAsia="Arial" w:hAnsi="Arial"/>
          <w:sz w:val="19"/>
          <w:szCs w:val="19"/>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9"/>
          <w:szCs w:val="19"/>
          <w:b w:val="1"/>
          <w:bCs w:val="1"/>
          <w:i w:val="1"/>
          <w:iCs w:val="1"/>
          <w:color w:val="auto"/>
        </w:rPr>
        <w:t>10b5-1 Arrangement</w:t>
      </w:r>
      <w:r>
        <w:rPr>
          <w:rFonts w:ascii="Arial" w:cs="Arial" w:eastAsia="Arial" w:hAnsi="Arial"/>
          <w:sz w:val="19"/>
          <w:szCs w:val="19"/>
          <w:color w:val="auto"/>
        </w:rPr>
        <w:t xml:space="preserve">)), </w:t>
      </w:r>
      <w:r>
        <w:rPr>
          <w:rFonts w:ascii="Arial" w:cs="Arial" w:eastAsia="Arial" w:hAnsi="Arial"/>
          <w:sz w:val="19"/>
          <w:szCs w:val="19"/>
          <w:i w:val="1"/>
          <w:iCs w:val="1"/>
          <w:color w:val="auto"/>
        </w:rPr>
        <w:t>and</w:t>
      </w:r>
    </w:p>
    <w:p>
      <w:pPr>
        <w:spacing w:after="0" w:line="146" w:lineRule="exact"/>
        <w:rPr>
          <w:rFonts w:ascii="Arial" w:cs="Arial" w:eastAsia="Arial" w:hAnsi="Arial"/>
          <w:sz w:val="19"/>
          <w:szCs w:val="19"/>
          <w:b w:val="1"/>
          <w:bCs w:val="1"/>
          <w:color w:val="auto"/>
        </w:rPr>
      </w:pPr>
    </w:p>
    <w:p>
      <w:pPr>
        <w:jc w:val="both"/>
        <w:ind w:firstLine="1472"/>
        <w:spacing w:after="0" w:line="289" w:lineRule="auto"/>
        <w:tabs>
          <w:tab w:leader="none" w:pos="1958" w:val="left"/>
        </w:tabs>
        <w:numPr>
          <w:ilvl w:val="2"/>
          <w:numId w:val="61"/>
        </w:numPr>
        <w:rPr>
          <w:rFonts w:ascii="Arial" w:cs="Arial" w:eastAsia="Arial" w:hAnsi="Arial"/>
          <w:sz w:val="19"/>
          <w:szCs w:val="19"/>
          <w:b w:val="1"/>
          <w:bCs w:val="1"/>
          <w:color w:val="auto"/>
        </w:rPr>
      </w:pPr>
      <w:r>
        <w:rPr>
          <w:rFonts w:ascii="Arial" w:cs="Arial" w:eastAsia="Arial" w:hAnsi="Arial"/>
          <w:sz w:val="19"/>
          <w:szCs w:val="19"/>
          <w:color w:val="auto"/>
        </w:rPr>
        <w:t xml:space="preserve">either (1) a Tax Liability withholding obligation does not apply, or (2) the Company decides, prior to the Original Issuance Date, (A) not to satisfy the Tax Liability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Tax Liability in cash, </w:t>
      </w:r>
      <w:r>
        <w:rPr>
          <w:rFonts w:ascii="Arial" w:cs="Arial" w:eastAsia="Arial" w:hAnsi="Arial"/>
          <w:sz w:val="19"/>
          <w:szCs w:val="19"/>
          <w:u w:val="single" w:color="auto"/>
          <w:color w:val="auto"/>
        </w:rPr>
        <w:t>then</w:t>
      </w:r>
      <w:r>
        <w:rPr>
          <w:rFonts w:ascii="Arial" w:cs="Arial" w:eastAsia="Arial" w:hAnsi="Arial"/>
          <w:sz w:val="19"/>
          <w:szCs w:val="19"/>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9"/>
          <w:szCs w:val="19"/>
          <w:u w:val="single" w:color="auto"/>
          <w:color w:val="auto"/>
        </w:rPr>
        <w:t>if and only if</w:t>
      </w:r>
      <w:r>
        <w:rPr>
          <w:rFonts w:ascii="Arial" w:cs="Arial" w:eastAsia="Arial" w:hAnsi="Arial"/>
          <w:sz w:val="19"/>
          <w:szCs w:val="19"/>
          <w:color w:val="auto"/>
        </w:rPr>
        <w:t xml:space="preserve"> permitted in a manner that complies with U.S. Treasury Regulations Section</w:t>
      </w:r>
    </w:p>
    <w:p>
      <w:pPr>
        <w:sectPr>
          <w:pgSz w:w="11900" w:h="16838" w:orient="portrait"/>
          <w:cols w:equalWidth="0" w:num="1">
            <w:col w:w="11240"/>
          </w:cols>
          <w:pgMar w:left="320" w:top="1428" w:right="339" w:bottom="1440" w:gutter="0" w:footer="0" w:header="0"/>
        </w:sectPr>
      </w:pPr>
    </w:p>
    <w:bookmarkStart w:id="77" w:name="page78"/>
    <w:bookmarkEnd w:id="77"/>
    <w:p>
      <w:pPr>
        <w:jc w:val="both"/>
        <w:spacing w:after="0" w:line="253" w:lineRule="auto"/>
        <w:rPr>
          <w:sz w:val="20"/>
          <w:szCs w:val="20"/>
          <w:color w:val="auto"/>
        </w:rPr>
      </w:pPr>
      <w:r>
        <w:rPr>
          <w:rFonts w:ascii="Arial" w:cs="Arial" w:eastAsia="Arial" w:hAnsi="Arial"/>
          <w:sz w:val="22"/>
          <w:szCs w:val="22"/>
          <w:color w:val="auto"/>
        </w:rPr>
        <w:t>1.409A-1(b)(4), no later than the date that is the 15th day of the third calendar month of the applicable year following the year in which the shares of Common Stock under this Award are no longer subject to a “substantial risk of forfeiture” within the meaning of U.S. Treasury Regulations Section 1.409A-1(d).</w:t>
      </w:r>
    </w:p>
    <w:p>
      <w:pPr>
        <w:spacing w:after="0" w:line="179" w:lineRule="exact"/>
        <w:rPr>
          <w:sz w:val="20"/>
          <w:szCs w:val="20"/>
          <w:color w:val="auto"/>
        </w:rPr>
      </w:pPr>
    </w:p>
    <w:p>
      <w:pPr>
        <w:ind w:firstLine="656"/>
        <w:spacing w:after="0" w:line="269" w:lineRule="auto"/>
        <w:tabs>
          <w:tab w:leader="none" w:pos="1296"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Transferability. </w:t>
      </w:r>
      <w:r>
        <w:rPr>
          <w:rFonts w:ascii="Arial" w:cs="Arial" w:eastAsia="Arial" w:hAnsi="Arial"/>
          <w:sz w:val="22"/>
          <w:szCs w:val="22"/>
          <w:color w:val="auto"/>
        </w:rPr>
        <w:t>Except as otherwise provided in the Plan, your RSU Award is not transferable, except by will or</w:t>
      </w:r>
      <w:r>
        <w:rPr>
          <w:rFonts w:ascii="Arial" w:cs="Arial" w:eastAsia="Arial" w:hAnsi="Arial"/>
          <w:sz w:val="22"/>
          <w:szCs w:val="22"/>
          <w:b w:val="1"/>
          <w:bCs w:val="1"/>
          <w:color w:val="auto"/>
        </w:rPr>
        <w:t xml:space="preserve"> </w:t>
      </w:r>
      <w:r>
        <w:rPr>
          <w:rFonts w:ascii="Arial" w:cs="Arial" w:eastAsia="Arial" w:hAnsi="Arial"/>
          <w:sz w:val="22"/>
          <w:szCs w:val="22"/>
          <w:color w:val="auto"/>
        </w:rPr>
        <w:t>by the applicable laws of descent and distribution</w:t>
      </w:r>
    </w:p>
    <w:p>
      <w:pPr>
        <w:spacing w:after="0" w:line="161" w:lineRule="exact"/>
        <w:rPr>
          <w:rFonts w:ascii="Arial" w:cs="Arial" w:eastAsia="Arial" w:hAnsi="Arial"/>
          <w:sz w:val="22"/>
          <w:szCs w:val="22"/>
          <w:b w:val="1"/>
          <w:bCs w:val="1"/>
          <w:color w:val="auto"/>
        </w:rPr>
      </w:pPr>
    </w:p>
    <w:p>
      <w:pPr>
        <w:jc w:val="both"/>
        <w:ind w:firstLine="656"/>
        <w:spacing w:after="0" w:line="315" w:lineRule="auto"/>
        <w:tabs>
          <w:tab w:leader="none" w:pos="1296"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Corporate Transaction. </w:t>
      </w:r>
      <w:r>
        <w:rPr>
          <w:rFonts w:ascii="Arial" w:cs="Arial" w:eastAsia="Arial" w:hAnsi="Arial"/>
          <w:sz w:val="19"/>
          <w:szCs w:val="19"/>
          <w:color w:val="auto"/>
        </w:rPr>
        <w:t>Your RSU Award is subject to the terms of any agreement governing a Corporate</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involving the Company, including, without limitation, a provision for the appointment of a stockholder representative that is authorized to act on your behalf with respect to any escrow, indemnities and any contingent consideration.</w:t>
      </w:r>
    </w:p>
    <w:p>
      <w:pPr>
        <w:spacing w:after="0" w:line="125" w:lineRule="exact"/>
        <w:rPr>
          <w:rFonts w:ascii="Arial" w:cs="Arial" w:eastAsia="Arial" w:hAnsi="Arial"/>
          <w:sz w:val="19"/>
          <w:szCs w:val="19"/>
          <w:b w:val="1"/>
          <w:bCs w:val="1"/>
          <w:color w:val="auto"/>
        </w:rPr>
      </w:pPr>
    </w:p>
    <w:p>
      <w:pPr>
        <w:jc w:val="both"/>
        <w:ind w:firstLine="656"/>
        <w:spacing w:after="0" w:line="249" w:lineRule="auto"/>
        <w:tabs>
          <w:tab w:leader="none" w:pos="1296"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No Liability for Taxes</w:t>
      </w:r>
      <w:r>
        <w:rPr>
          <w:rFonts w:ascii="Arial" w:cs="Arial" w:eastAsia="Arial" w:hAnsi="Arial"/>
          <w:sz w:val="22"/>
          <w:szCs w:val="22"/>
          <w:color w:val="auto"/>
        </w:rPr>
        <w:t>. As a condition to accepting the RSU Award, you hereby (a) agree to not make any claim</w:t>
      </w:r>
      <w:r>
        <w:rPr>
          <w:rFonts w:ascii="Arial" w:cs="Arial" w:eastAsia="Arial" w:hAnsi="Arial"/>
          <w:sz w:val="22"/>
          <w:szCs w:val="22"/>
          <w:b w:val="1"/>
          <w:bCs w:val="1"/>
          <w:color w:val="auto"/>
        </w:rPr>
        <w:t xml:space="preserve"> </w:t>
      </w:r>
      <w:r>
        <w:rPr>
          <w:rFonts w:ascii="Arial" w:cs="Arial" w:eastAsia="Arial" w:hAnsi="Arial"/>
          <w:sz w:val="22"/>
          <w:szCs w:val="22"/>
          <w:color w:val="auto"/>
        </w:rPr>
        <w:t>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186" w:lineRule="exact"/>
        <w:rPr>
          <w:rFonts w:ascii="Arial" w:cs="Arial" w:eastAsia="Arial" w:hAnsi="Arial"/>
          <w:sz w:val="22"/>
          <w:szCs w:val="22"/>
          <w:b w:val="1"/>
          <w:bCs w:val="1"/>
          <w:color w:val="auto"/>
        </w:rPr>
      </w:pPr>
    </w:p>
    <w:p>
      <w:pPr>
        <w:jc w:val="both"/>
        <w:ind w:firstLine="656"/>
        <w:spacing w:after="0" w:line="249" w:lineRule="auto"/>
        <w:tabs>
          <w:tab w:leader="none" w:pos="1296"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any part of this Agreement or the Plan is declared by any court or governmental authority to be</w:t>
      </w:r>
      <w:r>
        <w:rPr>
          <w:rFonts w:ascii="Arial" w:cs="Arial" w:eastAsia="Arial" w:hAnsi="Arial"/>
          <w:sz w:val="22"/>
          <w:szCs w:val="22"/>
          <w:b w:val="1"/>
          <w:bCs w:val="1"/>
          <w:color w:val="auto"/>
        </w:rPr>
        <w:t xml:space="preserve"> </w:t>
      </w:r>
      <w:r>
        <w:rPr>
          <w:rFonts w:ascii="Arial" w:cs="Arial" w:eastAsia="Arial" w:hAnsi="Arial"/>
          <w:sz w:val="22"/>
          <w:szCs w:val="22"/>
          <w:color w:val="auto"/>
        </w:rPr>
        <w:t>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86" w:lineRule="exact"/>
        <w:rPr>
          <w:rFonts w:ascii="Arial" w:cs="Arial" w:eastAsia="Arial" w:hAnsi="Arial"/>
          <w:sz w:val="22"/>
          <w:szCs w:val="22"/>
          <w:b w:val="1"/>
          <w:bCs w:val="1"/>
          <w:color w:val="auto"/>
        </w:rPr>
      </w:pPr>
    </w:p>
    <w:p>
      <w:pPr>
        <w:jc w:val="both"/>
        <w:ind w:firstLine="656"/>
        <w:spacing w:after="0" w:line="256" w:lineRule="auto"/>
        <w:tabs>
          <w:tab w:leader="none" w:pos="1296"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Other Documents. </w:t>
      </w:r>
      <w:r>
        <w:rPr>
          <w:rFonts w:ascii="Arial" w:cs="Arial" w:eastAsia="Arial" w:hAnsi="Arial"/>
          <w:sz w:val="22"/>
          <w:szCs w:val="22"/>
          <w:color w:val="auto"/>
        </w:rPr>
        <w:t>You hereby acknowledge receipt of or the right to receive a document providing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required by Rule 428(b)(1) promulgated under the Securities Act, which includes the Prospectus. In addition, you acknowledge receipt of the Company’s Trading Policy.</w:t>
      </w:r>
    </w:p>
    <w:p>
      <w:pPr>
        <w:spacing w:after="0" w:line="176" w:lineRule="exact"/>
        <w:rPr>
          <w:rFonts w:ascii="Arial" w:cs="Arial" w:eastAsia="Arial" w:hAnsi="Arial"/>
          <w:sz w:val="22"/>
          <w:szCs w:val="22"/>
          <w:b w:val="1"/>
          <w:bCs w:val="1"/>
          <w:color w:val="auto"/>
        </w:rPr>
      </w:pPr>
    </w:p>
    <w:p>
      <w:pPr>
        <w:ind w:firstLine="656"/>
        <w:spacing w:after="0" w:line="293" w:lineRule="auto"/>
        <w:tabs>
          <w:tab w:leader="none" w:pos="1284"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Questions. </w:t>
      </w:r>
      <w:r>
        <w:rPr>
          <w:rFonts w:ascii="Arial" w:cs="Arial" w:eastAsia="Arial" w:hAnsi="Arial"/>
          <w:sz w:val="21"/>
          <w:szCs w:val="21"/>
          <w:color w:val="auto"/>
        </w:rPr>
        <w:t>If you have questions regarding these or any other terms and conditions applicable to your RSU</w:t>
      </w:r>
      <w:r>
        <w:rPr>
          <w:rFonts w:ascii="Arial" w:cs="Arial" w:eastAsia="Arial" w:hAnsi="Arial"/>
          <w:sz w:val="21"/>
          <w:szCs w:val="21"/>
          <w:b w:val="1"/>
          <w:bCs w:val="1"/>
          <w:color w:val="auto"/>
        </w:rPr>
        <w:t xml:space="preserve"> </w:t>
      </w:r>
      <w:r>
        <w:rPr>
          <w:rFonts w:ascii="Arial" w:cs="Arial" w:eastAsia="Arial" w:hAnsi="Arial"/>
          <w:sz w:val="21"/>
          <w:szCs w:val="21"/>
          <w:color w:val="auto"/>
        </w:rPr>
        <w:t>Award, including a summary of the applicable federal income tax consequences please see the Prospectus.</w:t>
      </w:r>
    </w:p>
    <w:p>
      <w:pPr>
        <w:sectPr>
          <w:pgSz w:w="11900" w:h="16838" w:orient="portrait"/>
          <w:cols w:equalWidth="0" w:num="1">
            <w:col w:w="11240"/>
          </w:cols>
          <w:pgMar w:left="320" w:top="1428"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Alexander Timm, certify that:</w:t>
      </w:r>
    </w:p>
    <w:p>
      <w:pPr>
        <w:spacing w:after="0" w:line="50" w:lineRule="exact"/>
        <w:rPr>
          <w:sz w:val="20"/>
          <w:szCs w:val="20"/>
          <w:color w:val="auto"/>
        </w:rPr>
      </w:pPr>
    </w:p>
    <w:p>
      <w:pPr>
        <w:ind w:left="520" w:hanging="510"/>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Root, Inc.;</w:t>
      </w:r>
    </w:p>
    <w:p>
      <w:pPr>
        <w:spacing w:after="0" w:line="49" w:lineRule="exact"/>
        <w:rPr>
          <w:rFonts w:ascii="Arial" w:cs="Arial" w:eastAsia="Arial" w:hAnsi="Arial"/>
          <w:sz w:val="18"/>
          <w:szCs w:val="18"/>
          <w:color w:val="auto"/>
        </w:rPr>
      </w:pPr>
    </w:p>
    <w:p>
      <w:pPr>
        <w:jc w:val="both"/>
        <w:ind w:left="200" w:right="20" w:hanging="190"/>
        <w:spacing w:after="0" w:line="248" w:lineRule="auto"/>
        <w:tabs>
          <w:tab w:leader="none" w:pos="524"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200" w:right="20" w:hanging="190"/>
        <w:spacing w:after="0" w:line="281" w:lineRule="auto"/>
        <w:tabs>
          <w:tab w:leader="none" w:pos="524"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200" w:right="40" w:hanging="190"/>
        <w:spacing w:after="0" w:line="261" w:lineRule="auto"/>
        <w:tabs>
          <w:tab w:leader="none" w:pos="52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we have:</w:t>
      </w:r>
    </w:p>
    <w:p>
      <w:pPr>
        <w:spacing w:after="0" w:line="8" w:lineRule="exact"/>
        <w:rPr>
          <w:rFonts w:ascii="Arial" w:cs="Arial" w:eastAsia="Arial" w:hAnsi="Arial"/>
          <w:sz w:val="18"/>
          <w:szCs w:val="18"/>
          <w:color w:val="auto"/>
        </w:rPr>
      </w:pPr>
    </w:p>
    <w:p>
      <w:pPr>
        <w:jc w:val="both"/>
        <w:ind w:left="780" w:right="20" w:hanging="257"/>
        <w:spacing w:after="0" w:line="248" w:lineRule="auto"/>
        <w:tabs>
          <w:tab w:leader="none" w:pos="1104"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100" w:hanging="577"/>
        <w:spacing w:after="0"/>
        <w:tabs>
          <w:tab w:leader="none" w:pos="11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49" w:lineRule="exact"/>
        <w:rPr>
          <w:rFonts w:ascii="Arial" w:cs="Arial" w:eastAsia="Arial" w:hAnsi="Arial"/>
          <w:sz w:val="18"/>
          <w:szCs w:val="18"/>
          <w:color w:val="auto"/>
        </w:rPr>
      </w:pPr>
    </w:p>
    <w:p>
      <w:pPr>
        <w:ind w:left="780" w:right="20" w:hanging="257"/>
        <w:spacing w:after="0" w:line="299" w:lineRule="auto"/>
        <w:tabs>
          <w:tab w:leader="none" w:pos="1104"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780" w:right="20" w:hanging="257"/>
        <w:spacing w:after="0" w:line="248" w:lineRule="auto"/>
        <w:tabs>
          <w:tab w:leader="none" w:pos="1104"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200" w:right="40" w:hanging="190"/>
        <w:spacing w:after="0" w:line="299" w:lineRule="auto"/>
        <w:tabs>
          <w:tab w:leader="none" w:pos="524"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780" w:right="40" w:hanging="257"/>
        <w:spacing w:after="0" w:line="281" w:lineRule="auto"/>
        <w:tabs>
          <w:tab w:leader="none" w:pos="1104"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780" w:right="40" w:hanging="257"/>
        <w:spacing w:after="0" w:line="261" w:lineRule="auto"/>
        <w:tabs>
          <w:tab w:leader="none" w:pos="1104"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0"/>
        <w:spacing w:after="0"/>
        <w:tabs>
          <w:tab w:leader="none" w:pos="694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6"/>
          <w:szCs w:val="16"/>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4203700</wp:posOffset>
            </wp:positionH>
            <wp:positionV relativeFrom="paragraph">
              <wp:posOffset>23495</wp:posOffset>
            </wp:positionV>
            <wp:extent cx="27171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4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Alexander Timm</w:t>
      </w:r>
    </w:p>
    <w:p>
      <w:pPr>
        <w:spacing w:after="0" w:line="5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Executive Officer and Director</w:t>
      </w:r>
    </w:p>
    <w:p>
      <w:pPr>
        <w:spacing w:after="0" w:line="36" w:lineRule="exact"/>
        <w:rPr>
          <w:sz w:val="20"/>
          <w:szCs w:val="20"/>
          <w:color w:val="auto"/>
        </w:rPr>
      </w:pPr>
    </w:p>
    <w:p>
      <w:pPr>
        <w:ind w:left="69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900"/>
          </w:cols>
          <w:pgMar w:left="660" w:top="1417"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Daniel Rosenthal, certify that:</w:t>
      </w:r>
    </w:p>
    <w:p>
      <w:pPr>
        <w:spacing w:after="0" w:line="117" w:lineRule="exact"/>
        <w:rPr>
          <w:sz w:val="20"/>
          <w:szCs w:val="20"/>
          <w:color w:val="auto"/>
        </w:rPr>
      </w:pPr>
    </w:p>
    <w:p>
      <w:pPr>
        <w:ind w:left="340" w:hanging="33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Root, Inc.;</w:t>
      </w:r>
    </w:p>
    <w:p>
      <w:pPr>
        <w:spacing w:after="0" w:line="50" w:lineRule="exact"/>
        <w:rPr>
          <w:sz w:val="20"/>
          <w:szCs w:val="20"/>
          <w:color w:val="auto"/>
        </w:rPr>
      </w:pPr>
    </w:p>
    <w:p>
      <w:pPr>
        <w:jc w:val="both"/>
        <w:ind w:left="340" w:right="20" w:hanging="334"/>
        <w:spacing w:after="0" w:line="248"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 w:lineRule="exact"/>
        <w:rPr>
          <w:sz w:val="20"/>
          <w:szCs w:val="20"/>
          <w:color w:val="auto"/>
        </w:rPr>
      </w:pPr>
    </w:p>
    <w:p>
      <w:pPr>
        <w:ind w:left="340" w:right="20" w:hanging="334"/>
        <w:spacing w:after="0" w:line="261"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sz w:val="20"/>
          <w:szCs w:val="20"/>
          <w:color w:val="auto"/>
        </w:rPr>
      </w:pPr>
    </w:p>
    <w:p>
      <w:pPr>
        <w:ind w:left="340" w:right="20" w:hanging="334"/>
        <w:spacing w:after="0" w:line="261"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we have:</w:t>
      </w:r>
    </w:p>
    <w:p>
      <w:pPr>
        <w:spacing w:after="0" w:line="8" w:lineRule="exact"/>
        <w:rPr>
          <w:rFonts w:ascii="Arial" w:cs="Arial" w:eastAsia="Arial" w:hAnsi="Arial"/>
          <w:sz w:val="18"/>
          <w:szCs w:val="18"/>
          <w:color w:val="auto"/>
        </w:rPr>
      </w:pPr>
    </w:p>
    <w:p>
      <w:pPr>
        <w:jc w:val="both"/>
        <w:ind w:left="720" w:right="20" w:hanging="390"/>
        <w:spacing w:after="0" w:line="248" w:lineRule="auto"/>
        <w:tabs>
          <w:tab w:leader="none" w:pos="7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720" w:hanging="390"/>
        <w:spacing w:after="0"/>
        <w:tabs>
          <w:tab w:leader="none" w:pos="7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49" w:lineRule="exact"/>
        <w:rPr>
          <w:rFonts w:ascii="Arial" w:cs="Arial" w:eastAsia="Arial" w:hAnsi="Arial"/>
          <w:sz w:val="18"/>
          <w:szCs w:val="18"/>
          <w:color w:val="auto"/>
        </w:rPr>
      </w:pPr>
    </w:p>
    <w:p>
      <w:pPr>
        <w:ind w:left="720" w:right="20" w:hanging="390"/>
        <w:spacing w:after="0" w:line="281" w:lineRule="auto"/>
        <w:tabs>
          <w:tab w:leader="none" w:pos="720" w:val="left"/>
        </w:tabs>
        <w:numPr>
          <w:ilvl w:val="1"/>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7"/>
          <w:szCs w:val="17"/>
          <w:color w:val="auto"/>
        </w:rPr>
      </w:pPr>
    </w:p>
    <w:p>
      <w:pPr>
        <w:jc w:val="both"/>
        <w:ind w:left="720" w:right="20" w:hanging="390"/>
        <w:spacing w:after="0" w:line="248" w:lineRule="auto"/>
        <w:tabs>
          <w:tab w:leader="none" w:pos="7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p>
    <w:p>
      <w:pPr>
        <w:ind w:left="340" w:right="20" w:hanging="334"/>
        <w:spacing w:after="0" w:line="281"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720" w:right="20" w:hanging="390"/>
        <w:spacing w:after="0" w:line="261" w:lineRule="auto"/>
        <w:tabs>
          <w:tab w:leader="none" w:pos="7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720" w:right="20" w:hanging="390"/>
        <w:spacing w:after="0" w:line="261" w:lineRule="auto"/>
        <w:tabs>
          <w:tab w:leader="none" w:pos="7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tabs>
          <w:tab w:leader="none" w:pos="720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6"/>
          <w:szCs w:val="16"/>
          <w:color w:val="auto"/>
        </w:rPr>
        <w:t>/s/ Daniel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4570095</wp:posOffset>
            </wp:positionH>
            <wp:positionV relativeFrom="paragraph">
              <wp:posOffset>23495</wp:posOffset>
            </wp:positionV>
            <wp:extent cx="25546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4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Daniel Rosenthal</w:t>
      </w:r>
    </w:p>
    <w:p>
      <w:pPr>
        <w:spacing w:after="0" w:line="5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220"/>
          </w:cols>
          <w:pgMar w:left="340" w:top="1417"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Chief Financial Officer and Chief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Pursuant to the requirements set forth in Rule 13a-14(b) of the Securities Exchange Act of 1934, as amended (the “Exchange Act”), and Section 1350 of Chapter 63 of Title 18 of the United States Code (“18 U.S.C. 1350”), Alexander Timm, Chief Executive Officer of Root, Inc. (the “Company”) and Daniel Rosenthal, Chief Financial Officer of the Company, each hereby certifies that, to the best of his knowledge:</w:t>
      </w:r>
    </w:p>
    <w:p>
      <w:pPr>
        <w:spacing w:after="0" w:line="246" w:lineRule="exact"/>
        <w:rPr>
          <w:sz w:val="20"/>
          <w:szCs w:val="20"/>
          <w:color w:val="auto"/>
        </w:rPr>
      </w:pPr>
    </w:p>
    <w:p>
      <w:pPr>
        <w:ind w:left="340" w:right="280" w:hanging="125"/>
        <w:spacing w:after="0" w:line="261" w:lineRule="auto"/>
        <w:rPr>
          <w:sz w:val="20"/>
          <w:szCs w:val="20"/>
          <w:color w:val="auto"/>
        </w:rPr>
      </w:pPr>
      <w:r>
        <w:rPr>
          <w:rFonts w:ascii="Arial" w:cs="Arial" w:eastAsia="Arial" w:hAnsi="Arial"/>
          <w:sz w:val="18"/>
          <w:szCs w:val="18"/>
          <w:color w:val="auto"/>
        </w:rPr>
        <w:t>1 The Company’s Quarterly Report on Form 10-Q for the period ended September 30, 2020 to which this certification is attached as Exhibit 32.1 (the “Periodic Report”), fully complies with the requirements of Section 13(a) or Section 15(d) of the Exchange Act; and</w:t>
      </w:r>
    </w:p>
    <w:p>
      <w:pPr>
        <w:spacing w:after="0" w:line="9" w:lineRule="exact"/>
        <w:rPr>
          <w:sz w:val="20"/>
          <w:szCs w:val="20"/>
          <w:color w:val="auto"/>
        </w:rPr>
      </w:pPr>
    </w:p>
    <w:p>
      <w:pPr>
        <w:ind w:left="340" w:right="600" w:hanging="125"/>
        <w:spacing w:after="0" w:line="261" w:lineRule="auto"/>
        <w:rPr>
          <w:sz w:val="20"/>
          <w:szCs w:val="20"/>
          <w:color w:val="auto"/>
        </w:rPr>
      </w:pPr>
      <w:r>
        <w:rPr>
          <w:rFonts w:ascii="Arial" w:cs="Arial" w:eastAsia="Arial" w:hAnsi="Arial"/>
          <w:sz w:val="18"/>
          <w:szCs w:val="18"/>
          <w:color w:val="auto"/>
        </w:rPr>
        <w:t>2 The information contained in the Periodic Report fairly presents, in all material respects, the financial condition and results of operations of the Company.</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Dated: May 6, 2021</w:t>
      </w:r>
    </w:p>
    <w:p>
      <w:pPr>
        <w:spacing w:after="0" w:line="200" w:lineRule="exact"/>
        <w:rPr>
          <w:sz w:val="20"/>
          <w:szCs w:val="20"/>
          <w:color w:val="auto"/>
        </w:rPr>
      </w:pPr>
    </w:p>
    <w:p>
      <w:pPr>
        <w:spacing w:after="0" w:line="34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14605</wp:posOffset>
            </wp:positionV>
            <wp:extent cx="22631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Alexander Timm</w:t>
      </w:r>
    </w:p>
    <w:p>
      <w:pPr>
        <w:spacing w:after="0" w:line="5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Executive Officer and Director</w:t>
      </w:r>
    </w:p>
    <w:p>
      <w:pPr>
        <w:spacing w:after="0" w:line="36"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(Principal Executive Officer)</w:t>
      </w:r>
    </w:p>
    <w:p>
      <w:pPr>
        <w:spacing w:after="0" w:line="27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Daniel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14605</wp:posOffset>
            </wp:positionV>
            <wp:extent cx="22631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Daniel Rosenthal</w:t>
      </w:r>
    </w:p>
    <w:p>
      <w:pPr>
        <w:spacing w:after="0" w:line="5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(Principal Financial Officer)</w:t>
      </w:r>
    </w:p>
    <w:p>
      <w:pPr>
        <w:spacing w:after="0" w:line="320" w:lineRule="exact"/>
        <w:rPr>
          <w:sz w:val="20"/>
          <w:szCs w:val="20"/>
          <w:color w:val="auto"/>
        </w:rPr>
      </w:pPr>
    </w:p>
    <w:p>
      <w:pPr>
        <w:jc w:val="both"/>
        <w:ind w:right="240"/>
        <w:spacing w:after="0" w:line="259" w:lineRule="auto"/>
        <w:rPr>
          <w:sz w:val="20"/>
          <w:szCs w:val="20"/>
          <w:color w:val="auto"/>
        </w:rPr>
      </w:pPr>
      <w:r>
        <w:rPr>
          <w:rFonts w:ascii="Arial" w:cs="Arial" w:eastAsia="Arial" w:hAnsi="Arial"/>
          <w:sz w:val="16"/>
          <w:szCs w:val="16"/>
          <w:color w:val="auto"/>
        </w:rPr>
        <w:t>This certification accompanies this Quarterly Report on Form 10-Q. The certification is not deemed filed with the Securities and Exchange Commission and is not to be incorporated by reference into any filing of Root, Inc. under the Securities Act of 1933, as amended, or the Exchange Act, whether made before or after the date of this Quarterly Report on Form 10-Q, irrespective of any general incorporation language contained in any such filing.</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1."/>
      <w:numFmt w:val="decimal"/>
      <w:start w:val="2"/>
    </w:lvl>
  </w:abstractNum>
  <w:abstractNum w:abstractNumId="6">
    <w:nsid w:val="7724C67E"/>
    <w:multiLevelType w:val="hybridMultilevel"/>
    <w:lvl w:ilvl="0">
      <w:lvlJc w:val="left"/>
      <w:lvlText w:val="%1."/>
      <w:numFmt w:val="decimal"/>
      <w:start w:val="3"/>
    </w:lvl>
  </w:abstractNum>
  <w:abstractNum w:abstractNumId="7">
    <w:nsid w:val="5C482A97"/>
    <w:multiLevelType w:val="hybridMultilevel"/>
    <w:lvl w:ilvl="0">
      <w:lvlJc w:val="left"/>
      <w:lvlText w:val="%1."/>
      <w:numFmt w:val="decimal"/>
      <w:start w:val="4"/>
    </w:lvl>
  </w:abstractNum>
  <w:abstractNum w:abstractNumId="8">
    <w:nsid w:val="2463B9EA"/>
    <w:multiLevelType w:val="hybridMultilevel"/>
    <w:lvl w:ilvl="0">
      <w:lvlJc w:val="left"/>
      <w:lvlText w:val="%1."/>
      <w:numFmt w:val="decimal"/>
      <w:start w:val="5"/>
    </w:lvl>
  </w:abstractNum>
  <w:abstractNum w:abstractNumId="9">
    <w:nsid w:val="5E884ADC"/>
    <w:multiLevelType w:val="hybridMultilevel"/>
    <w:lvl w:ilvl="0">
      <w:lvlJc w:val="left"/>
      <w:lvlText w:val="%1."/>
      <w:numFmt w:val="decimal"/>
      <w:start w:val="6"/>
    </w:lvl>
  </w:abstractNum>
  <w:abstractNum w:abstractNumId="10">
    <w:nsid w:val="51EAD36B"/>
    <w:multiLevelType w:val="hybridMultilevel"/>
    <w:lvl w:ilvl="0">
      <w:lvlJc w:val="left"/>
      <w:lvlText w:val="%1."/>
      <w:numFmt w:val="decimal"/>
      <w:start w:val="7"/>
    </w:lvl>
  </w:abstractNum>
  <w:abstractNum w:abstractNumId="11">
    <w:nsid w:val="2D517796"/>
    <w:multiLevelType w:val="hybridMultilevel"/>
    <w:lvl w:ilvl="0">
      <w:lvlJc w:val="left"/>
      <w:lvlText w:val="%1."/>
      <w:numFmt w:val="decimal"/>
      <w:start w:val="8"/>
    </w:lvl>
  </w:abstractNum>
  <w:abstractNum w:abstractNumId="12">
    <w:nsid w:val="580BD78F"/>
    <w:multiLevelType w:val="hybridMultilevel"/>
    <w:lvl w:ilvl="0">
      <w:lvlJc w:val="left"/>
      <w:lvlText w:val="%1."/>
      <w:numFmt w:val="decimal"/>
      <w:start w:val="9"/>
    </w:lvl>
  </w:abstractNum>
  <w:abstractNum w:abstractNumId="13">
    <w:nsid w:val="153EA438"/>
    <w:multiLevelType w:val="hybridMultilevel"/>
    <w:lvl w:ilvl="0">
      <w:lvlJc w:val="left"/>
      <w:lvlText w:val="%1."/>
      <w:numFmt w:val="decimal"/>
      <w:start w:val="10"/>
    </w:lvl>
  </w:abstractNum>
  <w:abstractNum w:abstractNumId="14">
    <w:nsid w:val="3855585C"/>
    <w:multiLevelType w:val="hybridMultilevel"/>
    <w:lvl w:ilvl="0">
      <w:lvlJc w:val="left"/>
      <w:lvlText w:val="%1."/>
      <w:numFmt w:val="decimal"/>
      <w:start w:val="11"/>
    </w:lvl>
  </w:abstractNum>
  <w:abstractNum w:abstractNumId="15">
    <w:nsid w:val="70A64E2A"/>
    <w:multiLevelType w:val="hybridMultilevel"/>
    <w:lvl w:ilvl="0">
      <w:lvlJc w:val="left"/>
      <w:lvlText w:val="%1."/>
      <w:numFmt w:val="decimal"/>
      <w:start w:val="13"/>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1"/>
      <w:numFmt w:val="decimal"/>
      <w:start w:val="104"/>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1)"/>
      <w:numFmt w:val="lowerLetter"/>
      <w:start w:val="1"/>
    </w:lvl>
  </w:abstractNum>
  <w:abstractNum w:abstractNumId="21">
    <w:nsid w:val="57E4CCAF"/>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22">
    <w:nsid w:val="7A6D8D3C"/>
    <w:multiLevelType w:val="hybridMultilevel"/>
    <w:lvl w:ilvl="0">
      <w:lvlJc w:val="left"/>
      <w:lvlText w:val="%1"/>
      <w:numFmt w:val="lowerLetter"/>
      <w:start w:val="1"/>
    </w:lvl>
    <w:lvl w:ilvl="1">
      <w:lvlJc w:val="left"/>
      <w:lvlText w:val="(%2)"/>
      <w:numFmt w:val="lowerRoman"/>
      <w:start w:val="3"/>
    </w:lvl>
  </w:abstractNum>
  <w:abstractNum w:abstractNumId="23">
    <w:nsid w:val="4B588F54"/>
    <w:multiLevelType w:val="hybridMultilevel"/>
    <w:lvl w:ilvl="0">
      <w:lvlJc w:val="left"/>
      <w:lvlText w:val="(%1)"/>
      <w:numFmt w:val="lowerLetter"/>
      <w:start w:val="3"/>
    </w:lvl>
    <w:lvl w:ilvl="1">
      <w:lvlJc w:val="left"/>
      <w:lvlText w:val="%2"/>
      <w:numFmt w:val="lowerRoman"/>
      <w:start w:val="1"/>
    </w:lvl>
  </w:abstractNum>
  <w:abstractNum w:abstractNumId="24">
    <w:nsid w:val="542289EC"/>
    <w:multiLevelType w:val="hybridMultilevel"/>
    <w:lvl w:ilvl="0">
      <w:lvlJc w:val="left"/>
      <w:lvlText w:val="(%1)"/>
      <w:numFmt w:val="lowerLetter"/>
      <w:start w:val="4"/>
    </w:lvl>
    <w:lvl w:ilvl="1">
      <w:lvlJc w:val="left"/>
      <w:lvlText w:val="(%2)"/>
      <w:numFmt w:val="lowerRoman"/>
      <w:start w:val="1"/>
    </w:lvl>
  </w:abstractNum>
  <w:abstractNum w:abstractNumId="25">
    <w:nsid w:val="6DE91B18"/>
    <w:multiLevelType w:val="hybridMultilevel"/>
    <w:lvl w:ilvl="0">
      <w:lvlJc w:val="left"/>
      <w:lvlText w:val="(%1)"/>
      <w:numFmt w:val="lowerRoman"/>
      <w:start w:val="4"/>
    </w:lvl>
  </w:abstractNum>
  <w:abstractNum w:abstractNumId="26">
    <w:nsid w:val="38437FDB"/>
    <w:multiLevelType w:val="hybridMultilevel"/>
    <w:lvl w:ilvl="0">
      <w:lvlJc w:val="left"/>
      <w:lvlText w:val="(%1)"/>
      <w:numFmt w:val="lowerLetter"/>
      <w:start w:val="1"/>
    </w:lvl>
  </w:abstractNum>
  <w:abstractNum w:abstractNumId="27">
    <w:nsid w:val="7644A45C"/>
    <w:multiLevelType w:val="hybridMultilevel"/>
    <w:lvl w:ilvl="0">
      <w:lvlJc w:val="left"/>
      <w:lvlText w:val="(%1)"/>
      <w:numFmt w:val="lowerLetter"/>
      <w:start w:val="5"/>
    </w:lvl>
  </w:abstractNum>
  <w:abstractNum w:abstractNumId="28">
    <w:nsid w:val="32FFF902"/>
    <w:multiLevelType w:val="hybridMultilevel"/>
    <w:lvl w:ilvl="0">
      <w:lvlJc w:val="left"/>
      <w:lvlText w:val="(%1)"/>
      <w:numFmt w:val="lowerLetter"/>
      <w:start w:val="1"/>
    </w:lvl>
  </w:abstractNum>
  <w:abstractNum w:abstractNumId="29">
    <w:nsid w:val="684A481A"/>
    <w:multiLevelType w:val="hybridMultilevel"/>
    <w:lvl w:ilvl="0">
      <w:lvlJc w:val="left"/>
      <w:lvlText w:val="(%1)"/>
      <w:numFmt w:val="lowerLetter"/>
      <w:start w:val="1"/>
    </w:lvl>
  </w:abstractNum>
  <w:abstractNum w:abstractNumId="30">
    <w:nsid w:val="579478FE"/>
    <w:multiLevelType w:val="hybridMultilevel"/>
    <w:lvl w:ilvl="0">
      <w:lvlJc w:val="left"/>
      <w:lvlText w:val="(%1)"/>
      <w:numFmt w:val="decimal"/>
      <w:start w:val="24"/>
    </w:lvl>
    <w:lvl w:ilvl="1">
      <w:lvlJc w:val="left"/>
      <w:lvlText w:val="(%2)"/>
      <w:numFmt w:val="lowerLetter"/>
      <w:start w:val="5"/>
    </w:lvl>
  </w:abstractNum>
  <w:abstractNum w:abstractNumId="31">
    <w:nsid w:val="749ABB43"/>
    <w:multiLevelType w:val="hybridMultilevel"/>
    <w:lvl w:ilvl="0">
      <w:lvlJc w:val="left"/>
      <w:lvlText w:val="(%1)"/>
      <w:numFmt w:val="lowerLetter"/>
      <w:start w:val="1"/>
    </w:lvl>
  </w:abstractNum>
  <w:abstractNum w:abstractNumId="32">
    <w:nsid w:val="3DC240FB"/>
    <w:multiLevelType w:val="hybridMultilevel"/>
    <w:lvl w:ilvl="0">
      <w:lvlJc w:val="left"/>
      <w:lvlText w:val="(%1)"/>
      <w:numFmt w:val="lowerLetter"/>
      <w:start w:val="1"/>
    </w:lvl>
  </w:abstractNum>
  <w:abstractNum w:abstractNumId="33">
    <w:nsid w:val="1BA026FA"/>
    <w:multiLevelType w:val="hybridMultilevel"/>
    <w:lvl w:ilvl="0">
      <w:lvlJc w:val="left"/>
      <w:lvlText w:val="(%1)"/>
      <w:numFmt w:val="lowerLetter"/>
      <w:start w:val="2"/>
    </w:lvl>
  </w:abstractNum>
  <w:abstractNum w:abstractNumId="34">
    <w:nsid w:val="79A1DEAA"/>
    <w:multiLevelType w:val="hybridMultilevel"/>
    <w:lvl w:ilvl="0">
      <w:lvlJc w:val="left"/>
      <w:lvlText w:val="(%1)"/>
      <w:numFmt w:val="lowerLetter"/>
      <w:start w:val="1"/>
    </w:lvl>
  </w:abstractNum>
  <w:abstractNum w:abstractNumId="35">
    <w:nsid w:val="75C6C33A"/>
    <w:multiLevelType w:val="hybridMultilevel"/>
    <w:lvl w:ilvl="0">
      <w:lvlJc w:val="left"/>
      <w:lvlText w:val="(%1)"/>
      <w:numFmt w:val="lowerLetter"/>
      <w:start w:val="3"/>
    </w:lvl>
  </w:abstractNum>
  <w:abstractNum w:abstractNumId="36">
    <w:nsid w:val="12E685FB"/>
    <w:multiLevelType w:val="hybridMultilevel"/>
    <w:lvl w:ilvl="0">
      <w:lvlJc w:val="left"/>
      <w:lvlText w:val="(%1)"/>
      <w:numFmt w:val="lowerLetter"/>
      <w:start w:val="7"/>
    </w:lvl>
  </w:abstractNum>
  <w:abstractNum w:abstractNumId="37">
    <w:nsid w:val="70C6A529"/>
    <w:multiLevelType w:val="hybridMultilevel"/>
    <w:lvl w:ilvl="0">
      <w:lvlJc w:val="left"/>
      <w:lvlText w:val="(%1)"/>
      <w:numFmt w:val="lowerLetter"/>
      <w:start w:val="1"/>
    </w:lvl>
  </w:abstractNum>
  <w:abstractNum w:abstractNumId="38">
    <w:nsid w:val="520EEDD1"/>
    <w:multiLevelType w:val="hybridMultilevel"/>
    <w:lvl w:ilvl="0">
      <w:lvlJc w:val="left"/>
      <w:lvlText w:val="(%1)"/>
      <w:numFmt w:val="lowerLetter"/>
      <w:start w:val="1"/>
    </w:lvl>
  </w:abstractNum>
  <w:abstractNum w:abstractNumId="39">
    <w:nsid w:val="374A3FE6"/>
    <w:multiLevelType w:val="hybridMultilevel"/>
    <w:lvl w:ilvl="0">
      <w:lvlJc w:val="left"/>
      <w:lvlText w:val="(%1)"/>
      <w:numFmt w:val="lowerLetter"/>
      <w:start w:val="1"/>
    </w:lvl>
  </w:abstractNum>
  <w:abstractNum w:abstractNumId="40">
    <w:nsid w:val="4F4EF005"/>
    <w:multiLevelType w:val="hybridMultilevel"/>
    <w:lvl w:ilvl="0">
      <w:lvlJc w:val="left"/>
      <w:lvlText w:val="(%1)"/>
      <w:numFmt w:val="lowerLetter"/>
      <w:start w:val="2"/>
    </w:lvl>
  </w:abstractNum>
  <w:abstractNum w:abstractNumId="41">
    <w:nsid w:val="23F9C13C"/>
    <w:multiLevelType w:val="hybridMultilevel"/>
    <w:lvl w:ilvl="0">
      <w:lvlJc w:val="left"/>
      <w:lvlText w:val="(%1)"/>
      <w:numFmt w:val="lowerLetter"/>
      <w:start w:val="4"/>
    </w:lvl>
  </w:abstractNum>
  <w:abstractNum w:abstractNumId="42">
    <w:nsid w:val="649BB77C"/>
    <w:multiLevelType w:val="hybridMultilevel"/>
    <w:lvl w:ilvl="0">
      <w:lvlJc w:val="left"/>
      <w:lvlText w:val="(%1)"/>
      <w:numFmt w:val="lowerLetter"/>
      <w:start w:val="5"/>
    </w:lvl>
  </w:abstractNum>
  <w:abstractNum w:abstractNumId="43">
    <w:nsid w:val="275AC794"/>
    <w:multiLevelType w:val="hybridMultilevel"/>
    <w:lvl w:ilvl="0">
      <w:lvlJc w:val="left"/>
      <w:lvlText w:val="(%1)"/>
      <w:numFmt w:val="lowerLetter"/>
      <w:start w:val="10"/>
    </w:lvl>
    <w:lvl w:ilvl="1">
      <w:lvlJc w:val="left"/>
      <w:lvlText w:val="(%2)"/>
      <w:numFmt w:val="lowerRoman"/>
      <w:start w:val="1"/>
    </w:lvl>
  </w:abstractNum>
  <w:abstractNum w:abstractNumId="44">
    <w:nsid w:val="39386575"/>
    <w:multiLevelType w:val="hybridMultilevel"/>
    <w:lvl w:ilvl="0">
      <w:lvlJc w:val="left"/>
      <w:lvlText w:val="(%1)"/>
      <w:numFmt w:val="lowerLetter"/>
      <w:start w:val="1"/>
    </w:lvl>
  </w:abstractNum>
  <w:abstractNum w:abstractNumId="45">
    <w:nsid w:val="1CF10FD8"/>
    <w:multiLevelType w:val="hybridMultilevel"/>
    <w:lvl w:ilvl="0">
      <w:lvlJc w:val="left"/>
      <w:lvlText w:val="(%1)"/>
      <w:numFmt w:val="lowerLetter"/>
      <w:start w:val="3"/>
    </w:lvl>
  </w:abstractNum>
  <w:abstractNum w:abstractNumId="46">
    <w:nsid w:val="180115BE"/>
    <w:multiLevelType w:val="hybridMultilevel"/>
    <w:lvl w:ilvl="0">
      <w:lvlJc w:val="left"/>
      <w:lvlText w:val="(%1)"/>
      <w:numFmt w:val="lowerLetter"/>
      <w:start w:val="1"/>
    </w:lvl>
  </w:abstractNum>
  <w:abstractNum w:abstractNumId="47">
    <w:nsid w:val="235BA861"/>
    <w:multiLevelType w:val="hybridMultilevel"/>
    <w:lvl w:ilvl="0">
      <w:lvlJc w:val="left"/>
      <w:lvlText w:val="(%1)"/>
      <w:numFmt w:val="lowerRoman"/>
      <w:start w:val="1"/>
    </w:lvl>
  </w:abstractNum>
  <w:abstractNum w:abstractNumId="48">
    <w:nsid w:val="47398C89"/>
    <w:multiLevelType w:val="hybridMultilevel"/>
    <w:lvl w:ilvl="0">
      <w:lvlJc w:val="left"/>
      <w:lvlText w:val="%1"/>
      <w:numFmt w:val="lowerLetter"/>
      <w:start w:val="1"/>
    </w:lvl>
    <w:lvl w:ilvl="1">
      <w:lvlJc w:val="left"/>
      <w:lvlText w:val="(%2)"/>
      <w:numFmt w:val="lowerLetter"/>
      <w:start w:val="61"/>
    </w:lvl>
  </w:abstractNum>
  <w:abstractNum w:abstractNumId="49">
    <w:nsid w:val="354FE9F9"/>
    <w:multiLevelType w:val="hybridMultilevel"/>
    <w:lvl w:ilvl="0">
      <w:lvlJc w:val="left"/>
      <w:lvlText w:val="(%1)"/>
      <w:numFmt w:val="lowerLetter"/>
      <w:start w:val="2"/>
    </w:lvl>
    <w:lvl w:ilvl="1">
      <w:lvlJc w:val="left"/>
      <w:lvlText w:val="(%2)"/>
      <w:numFmt w:val="lowerLetter"/>
      <w:start w:val="9"/>
    </w:lvl>
  </w:abstractNum>
  <w:abstractNum w:abstractNumId="50">
    <w:nsid w:val="15B5AF5C"/>
    <w:multiLevelType w:val="hybridMultilevel"/>
    <w:lvl w:ilvl="0">
      <w:lvlJc w:val="left"/>
      <w:lvlText w:val="%1"/>
      <w:numFmt w:val="lowerLetter"/>
      <w:start w:val="1"/>
    </w:lvl>
    <w:lvl w:ilvl="1">
      <w:lvlJc w:val="left"/>
      <w:lvlText w:val="(%2)"/>
      <w:numFmt w:val="lowerRoman"/>
      <w:start w:val="2"/>
    </w:lvl>
  </w:abstractNum>
  <w:abstractNum w:abstractNumId="51">
    <w:nsid w:val="741226BB"/>
    <w:multiLevelType w:val="hybridMultilevel"/>
    <w:lvl w:ilvl="0">
      <w:lvlJc w:val="left"/>
      <w:lvlText w:val="(%1)"/>
      <w:numFmt w:val="lowerLetter"/>
      <w:start w:val="3"/>
    </w:lvl>
    <w:lvl w:ilvl="1">
      <w:lvlJc w:val="left"/>
      <w:lvlText w:val="(%2)"/>
      <w:numFmt w:val="lowerRoman"/>
      <w:start w:val="1"/>
    </w:lvl>
  </w:abstractNum>
  <w:abstractNum w:abstractNumId="52">
    <w:nsid w:val="D34B6A8"/>
    <w:multiLevelType w:val="hybridMultilevel"/>
    <w:lvl w:ilvl="0">
      <w:lvlJc w:val="left"/>
      <w:lvlText w:val="(%1)"/>
      <w:numFmt w:val="lowerRoman"/>
      <w:start w:val="2"/>
    </w:lvl>
  </w:abstractNum>
  <w:abstractNum w:abstractNumId="53">
    <w:nsid w:val="10233C99"/>
    <w:multiLevelType w:val="hybridMultilevel"/>
    <w:lvl w:ilvl="0">
      <w:lvlJc w:val="left"/>
      <w:lvlText w:val="(%1)"/>
      <w:numFmt w:val="lowerLetter"/>
      <w:start w:val="1"/>
    </w:lvl>
    <w:lvl w:ilvl="1">
      <w:lvlJc w:val="left"/>
      <w:lvlText w:val="(%2)"/>
      <w:numFmt w:val="lowerLetter"/>
      <w:start w:val="3"/>
    </w:lvl>
  </w:abstractNum>
  <w:abstractNum w:abstractNumId="54">
    <w:nsid w:val="3F6AB60F"/>
    <w:multiLevelType w:val="hybridMultilevel"/>
    <w:lvl w:ilvl="0">
      <w:lvlJc w:val="left"/>
      <w:lvlText w:val="(%1)"/>
      <w:numFmt w:val="lowerLetter"/>
      <w:start w:val="4"/>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1."/>
      <w:numFmt w:val="decimal"/>
      <w:start w:val="1"/>
    </w:lvl>
    <w:lvl w:ilvl="1">
      <w:lvlJc w:val="left"/>
      <w:lvlText w:val="(%2)"/>
      <w:numFmt w:val="lowerLetter"/>
      <w:start w:val="1"/>
    </w:lvl>
  </w:abstractNum>
  <w:abstractNum w:abstractNumId="57">
    <w:nsid w:val="77AE35EB"/>
    <w:multiLevelType w:val="hybridMultilevel"/>
    <w:lvl w:ilvl="0">
      <w:lvlJc w:val="left"/>
      <w:lvlText w:val="%1"/>
      <w:numFmt w:val="lowerRoman"/>
      <w:start w:val="1"/>
    </w:lvl>
    <w:lvl w:ilvl="1">
      <w:lvlJc w:val="left"/>
      <w:lvlText w:val="(%2)"/>
      <w:numFmt w:val="lowerLetter"/>
      <w:start w:val="2"/>
    </w:lvl>
  </w:abstractNum>
  <w:abstractNum w:abstractNumId="58">
    <w:nsid w:val="579BE4F1"/>
    <w:multiLevelType w:val="hybridMultilevel"/>
    <w:lvl w:ilvl="0">
      <w:lvlJc w:val="left"/>
      <w:lvlText w:val="(%1)"/>
      <w:numFmt w:val="lowerRoman"/>
      <w:start w:val="4"/>
    </w:lvl>
    <w:lvl w:ilvl="1">
      <w:lvlJc w:val="left"/>
      <w:lvlText w:val="(%2)"/>
      <w:numFmt w:val="lowerLetter"/>
      <w:start w:val="3"/>
    </w:lvl>
  </w:abstractNum>
  <w:abstractNum w:abstractNumId="59">
    <w:nsid w:val="310C50B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0">
    <w:nsid w:val="5FF87E0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1">
    <w:nsid w:val="2F305DEF"/>
    <w:multiLevelType w:val="hybridMultilevel"/>
    <w:lvl w:ilvl="0">
      <w:lvlJc w:val="left"/>
      <w:lvlText w:val="%1."/>
      <w:numFmt w:val="decimal"/>
      <w:start w:val="6"/>
    </w:lvl>
  </w:abstractNum>
  <w:abstractNum w:abstractNumId="62">
    <w:nsid w:val="25A70BF7"/>
    <w:multiLevelType w:val="hybridMultilevel"/>
    <w:lvl w:ilvl="0">
      <w:lvlJc w:val="left"/>
      <w:lvlText w:val="%1."/>
      <w:numFmt w:val="decimal"/>
      <w:start w:val="1"/>
    </w:lvl>
    <w:lvl w:ilvl="1">
      <w:lvlJc w:val="left"/>
      <w:lvlText w:val="(%2)"/>
      <w:numFmt w:val="lowerLetter"/>
      <w:start w:val="1"/>
    </w:lvl>
  </w:abstractNum>
  <w:abstractNum w:abstractNumId="63">
    <w:nsid w:val="1DBABF00"/>
    <w:multiLevelType w:val="hybridMultilevel"/>
    <w:lvl w:ilvl="0">
      <w:lvlJc w:val="left"/>
      <w:lvlText w:val="1"/>
      <w:numFmt w:val="bullet"/>
      <w:start w:val="1"/>
    </w:lvl>
  </w:abstractNum>
  <w:abstractNum w:abstractNumId="64">
    <w:nsid w:val="4AD084E9"/>
    <w:multiLevelType w:val="hybridMultilevel"/>
    <w:lvl w:ilvl="0">
      <w:lvlJc w:val="left"/>
      <w:lvlText w:val="2"/>
      <w:numFmt w:val="bullet"/>
      <w:start w:val="1"/>
    </w:lvl>
  </w:abstractNum>
  <w:abstractNum w:abstractNumId="65">
    <w:nsid w:val="1F48EAA1"/>
    <w:multiLevelType w:val="hybridMultilevel"/>
    <w:lvl w:ilvl="0">
      <w:lvlJc w:val="left"/>
      <w:lvlText w:val="3"/>
      <w:numFmt w:val="bullet"/>
      <w:start w:val="1"/>
    </w:lvl>
  </w:abstractNum>
  <w:abstractNum w:abstractNumId="66">
    <w:nsid w:val="1381823A"/>
    <w:multiLevelType w:val="hybridMultilevel"/>
    <w:lvl w:ilvl="0">
      <w:lvlJc w:val="left"/>
      <w:lvlText w:val="4"/>
      <w:numFmt w:val="bullet"/>
      <w:start w:val="1"/>
    </w:lvl>
    <w:lvl w:ilvl="1">
      <w:lvlJc w:val="left"/>
      <w:lvlText w:val="(%2)"/>
      <w:numFmt w:val="lowerLetter"/>
      <w:start w:val="1"/>
    </w:lvl>
  </w:abstractNum>
  <w:abstractNum w:abstractNumId="67">
    <w:nsid w:val="5DB70AE5"/>
    <w:multiLevelType w:val="hybridMultilevel"/>
    <w:lvl w:ilvl="0">
      <w:lvlJc w:val="left"/>
      <w:lvlText w:val="5"/>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74" Type="http://schemas.openxmlformats.org/officeDocument/2006/relationships/hyperlink" Target="http://www.sec.gov/Archives/edgar/data/1788882/000162828020014581/exhibit33-sx1a1xformof.htm" TargetMode="External"/><Relationship Id="rId75" Type="http://schemas.openxmlformats.org/officeDocument/2006/relationships/hyperlink" Target="http://www.sec.gov/Archives/edgar/data/1788882/000162828020014581/exhibit41-sx1a1xformo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2021-05-06T15:43:59Z</dcterms:created>
  <dcterms:modified xsi:type="dcterms:W3CDTF">2021-05-06T15:43:59Z</dcterms:modified>
</cp:coreProperties>
</file>