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spacing w:before="0" w:after="0"/>
        <w:jc w:val="center"/>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0" w:after="0"/>
        <w:jc w:val="center"/>
        <w:rPr>
          <w:color w:val="000000"/>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or </w:t>
      </w:r>
    </w:p>
    <w:p>
      <w:pPr>
        <w:pStyle w:val="TextBody"/>
        <w:spacing w:lineRule="auto" w:line="288" w:before="0" w:after="0"/>
        <w:jc w:val="center"/>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from____________to____________</w:t>
      </w:r>
    </w:p>
    <w:p>
      <w:pPr>
        <w:pStyle w:val="TextBody"/>
        <w:spacing w:before="0" w:after="180"/>
        <w:jc w:val="center"/>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 001-39658</w:t>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ROOT,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5065" w:type="dxa"/>
        <w:jc w:val="center"/>
        <w:tblInd w:w="0" w:type="dxa"/>
        <w:tblCellMar>
          <w:top w:w="28" w:type="dxa"/>
          <w:left w:w="28" w:type="dxa"/>
          <w:bottom w:w="28" w:type="dxa"/>
          <w:right w:w="28" w:type="dxa"/>
        </w:tblCellMar>
      </w:tblPr>
      <w:tblGrid>
        <w:gridCol w:w="1060"/>
        <w:gridCol w:w="929"/>
        <w:gridCol w:w="935"/>
        <w:gridCol w:w="109"/>
        <w:gridCol w:w="109"/>
        <w:gridCol w:w="109"/>
        <w:gridCol w:w="528"/>
        <w:gridCol w:w="528"/>
        <w:gridCol w:w="758"/>
      </w:tblGrid>
      <w:tr>
        <w:trPr/>
        <w:tc>
          <w:tcPr>
            <w:tcW w:w="1060"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84-2717903</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80 E. Rich Street, Suite 500</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Columbus, Ohio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43215</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(866) 980-9431</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6837" w:type="dxa"/>
        <w:jc w:val="left"/>
        <w:tblInd w:w="0" w:type="dxa"/>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124" w:type="dxa"/>
        <w:jc w:val="left"/>
        <w:tblInd w:w="0" w:type="dxa"/>
        <w:tblCellMar>
          <w:top w:w="28" w:type="dxa"/>
          <w:left w:w="28" w:type="dxa"/>
          <w:bottom w:w="28" w:type="dxa"/>
          <w:right w:w="28" w:type="dxa"/>
        </w:tblCellMar>
      </w:tblPr>
      <w:tblGrid>
        <w:gridCol w:w="674"/>
        <w:gridCol w:w="592"/>
        <w:gridCol w:w="594"/>
        <w:gridCol w:w="662"/>
        <w:gridCol w:w="662"/>
        <w:gridCol w:w="940"/>
      </w:tblGrid>
      <w:tr>
        <w:trPr/>
        <w:tc>
          <w:tcPr>
            <w:tcW w:w="67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r>
      <w:tr>
        <w:trPr/>
        <w:tc>
          <w:tcPr>
            <w:tcW w:w="1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April 27, 2023, the number of outstanding shares of the registrant’s Class A common stock, par value $0.0001 per share, was 9.3 million and the number of outstanding shares of the registrant’s Class B common stock, par value $0.0001 per share, was 5.0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693"/>
        <w:gridCol w:w="608"/>
        <w:gridCol w:w="608"/>
        <w:gridCol w:w="2659"/>
        <w:gridCol w:w="2507"/>
        <w:gridCol w:w="2557"/>
        <w:gridCol w:w="167"/>
        <w:gridCol w:w="167"/>
        <w:gridCol w:w="239"/>
      </w:tblGrid>
      <w:tr>
        <w:trPr/>
        <w:tc>
          <w:tcPr>
            <w:tcW w:w="693"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255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3">
              <w:r>
                <w:rPr>
                  <w:rStyle w:val="InternetLink"/>
                  <w:rFonts w:ascii="Times New Roman;sans-serif" w:hAnsi="Times New Roman;sans-serif"/>
                  <w:b w:val="false"/>
                  <w:color w:val="0000FF"/>
                  <w:sz w:val="20"/>
                  <w:u w:val="single"/>
                </w:rPr>
                <w:t>Special Note Regarding Forward-Looking Statements</w:t>
              </w:r>
            </w:hyperlink>
          </w:p>
        </w:tc>
        <w:tc>
          <w:tcPr>
            <w:tcW w:w="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6">
              <w:r>
                <w:rPr>
                  <w:rStyle w:val="InternetLink"/>
                  <w:rFonts w:ascii="Times New Roman;sans-serif" w:hAnsi="Times New Roman;sans-serif"/>
                  <w:b/>
                  <w:color w:val="0000FF"/>
                  <w:sz w:val="20"/>
                  <w:u w:val="single"/>
                </w:rPr>
                <w:t>Part I. Financial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6">
              <w:r>
                <w:rPr>
                  <w:rStyle w:val="InternetLink"/>
                  <w:rFonts w:ascii="Times New Roman;sans-serif" w:hAnsi="Times New Roman;sans-serif"/>
                  <w:b w:val="false"/>
                  <w:color w:val="0000FF"/>
                  <w:sz w:val="20"/>
                  <w:u w:val="single"/>
                </w:rPr>
                <w:t>1</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9">
              <w:r>
                <w:rPr>
                  <w:rStyle w:val="InternetLink"/>
                  <w:rFonts w:ascii="Times New Roman;sans-serif" w:hAnsi="Times New Roman;sans-serif"/>
                  <w:b w:val="false"/>
                  <w:color w:val="0000FF"/>
                  <w:sz w:val="20"/>
                  <w:u w:val="single"/>
                </w:rPr>
                <w:t xml:space="preserve">Item 1. </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22">
              <w:r>
                <w:rPr>
                  <w:rStyle w:val="InternetLink"/>
                  <w:rFonts w:ascii="Times New Roman;sans-serif" w:hAnsi="Times New Roman;sans-serif"/>
                  <w:b w:val="false"/>
                  <w:color w:val="0000FF"/>
                  <w:sz w:val="20"/>
                  <w:u w:val="single"/>
                </w:rPr>
                <w:t>Condensed Consolidated Balance Sheets - Unaudited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22">
              <w:r>
                <w:rPr>
                  <w:rStyle w:val="InternetLink"/>
                  <w:rFonts w:ascii="Times New Roman;sans-serif" w:hAnsi="Times New Roman;sans-serif"/>
                  <w:b w:val="false"/>
                  <w:color w:val="0000FF"/>
                  <w:sz w:val="20"/>
                  <w:u w:val="single"/>
                </w:rPr>
                <w:t>1</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28">
              <w:r>
                <w:rPr>
                  <w:rStyle w:val="InternetLink"/>
                  <w:rFonts w:ascii="Times New Roman;sans-serif" w:hAnsi="Times New Roman;sans-serif"/>
                  <w:b w:val="false"/>
                  <w:color w:val="0000FF"/>
                  <w:sz w:val="20"/>
                  <w:u w:val="single"/>
                </w:rPr>
                <w:t>Condensed Consolidated Statements of Operations and Comprehensive Loss - Unaudited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28">
              <w:r>
                <w:rPr>
                  <w:rStyle w:val="InternetLink"/>
                  <w:rFonts w:ascii="Times New Roman;sans-serif" w:hAnsi="Times New Roman;sans-serif"/>
                  <w:b w:val="false"/>
                  <w:color w:val="0000FF"/>
                  <w:sz w:val="20"/>
                  <w:u w:val="single"/>
                </w:rPr>
                <w:t>2</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84a9d1c7f994dbab8a8de63c12ec0e8_34">
              <w:r>
                <w:rPr>
                  <w:rStyle w:val="InternetLink"/>
                  <w:rFonts w:ascii="Times New Roman;sans-serif" w:hAnsi="Times New Roman;sans-serif"/>
                  <w:b w:val="false"/>
                  <w:color w:val="0000FF"/>
                  <w:sz w:val="20"/>
                  <w:u w:val="single"/>
                </w:rPr>
                <w:t>Condensed Consolidated Statements of Redeemable Convertible Preferred Stock and Stockholders’ Equity - Unaudited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34">
              <w:r>
                <w:rPr>
                  <w:rStyle w:val="InternetLink"/>
                  <w:rFonts w:ascii="Times New Roman;sans-serif" w:hAnsi="Times New Roman;sans-serif"/>
                  <w:b w:val="false"/>
                  <w:color w:val="0000FF"/>
                  <w:sz w:val="20"/>
                  <w:u w:val="single"/>
                </w:rPr>
                <w:t>3</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40">
              <w:r>
                <w:rPr>
                  <w:rStyle w:val="InternetLink"/>
                  <w:rFonts w:ascii="Times New Roman;sans-serif" w:hAnsi="Times New Roman;sans-serif"/>
                  <w:b w:val="false"/>
                  <w:color w:val="0000FF"/>
                  <w:sz w:val="20"/>
                  <w:u w:val="single"/>
                </w:rPr>
                <w:t>Condensed Consolidated Statements of Cash Flows - Unaudited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40">
              <w:r>
                <w:rPr>
                  <w:rStyle w:val="InternetLink"/>
                  <w:rFonts w:ascii="Times New Roman;sans-serif" w:hAnsi="Times New Roman;sans-serif"/>
                  <w:b w:val="false"/>
                  <w:color w:val="0000FF"/>
                  <w:sz w:val="20"/>
                  <w:u w:val="single"/>
                </w:rPr>
                <w:t>4</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43">
              <w:r>
                <w:rPr>
                  <w:rStyle w:val="InternetLink"/>
                  <w:rFonts w:ascii="Times New Roman;sans-serif" w:hAnsi="Times New Roman;sans-serif"/>
                  <w:b w:val="false"/>
                  <w:color w:val="0000FF"/>
                  <w:sz w:val="20"/>
                  <w:u w:val="single"/>
                </w:rPr>
                <w:t>Notes to Condensed Consolidated Financial Statements - Unaudited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43">
              <w:r>
                <w:rPr>
                  <w:rStyle w:val="InternetLink"/>
                  <w:rFonts w:ascii="Times New Roman;sans-serif" w:hAnsi="Times New Roman;sans-serif"/>
                  <w:b w:val="false"/>
                  <w:color w:val="0000FF"/>
                  <w:sz w:val="20"/>
                  <w:u w:val="single"/>
                </w:rPr>
                <w:t>5</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03">
              <w:r>
                <w:rPr>
                  <w:rStyle w:val="InternetLink"/>
                  <w:rFonts w:ascii="Times New Roman;sans-serif" w:hAnsi="Times New Roman;sans-serif"/>
                  <w:b w:val="false"/>
                  <w:color w:val="0000FF"/>
                  <w:sz w:val="20"/>
                  <w:u w:val="single"/>
                </w:rPr>
                <w:t xml:space="preserve">Item 2. </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03">
              <w:r>
                <w:rPr>
                  <w:rStyle w:val="InternetLink"/>
                  <w:rFonts w:ascii="Times New Roman;sans-serif" w:hAnsi="Times New Roman;sans-serif"/>
                  <w:b w:val="false"/>
                  <w:color w:val="0000FF"/>
                  <w:sz w:val="20"/>
                  <w:u w:val="single"/>
                </w:rPr>
                <w:t>21</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30">
              <w:r>
                <w:rPr>
                  <w:rStyle w:val="InternetLink"/>
                  <w:rFonts w:ascii="Times New Roman;sans-serif" w:hAnsi="Times New Roman;sans-serif"/>
                  <w:b w:val="false"/>
                  <w:color w:val="0000FF"/>
                  <w:sz w:val="20"/>
                  <w:u w:val="single"/>
                </w:rPr>
                <w:t>Item 3.</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30">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30">
              <w:r>
                <w:rPr>
                  <w:rStyle w:val="InternetLink"/>
                  <w:rFonts w:ascii="Times New Roman;sans-serif" w:hAnsi="Times New Roman;sans-serif"/>
                  <w:b w:val="false"/>
                  <w:color w:val="0000FF"/>
                  <w:sz w:val="20"/>
                  <w:u w:val="single"/>
                </w:rPr>
                <w:t>37</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33">
              <w:r>
                <w:rPr>
                  <w:rStyle w:val="InternetLink"/>
                  <w:rFonts w:ascii="Times New Roman;sans-serif" w:hAnsi="Times New Roman;sans-serif"/>
                  <w:b w:val="false"/>
                  <w:color w:val="0000FF"/>
                  <w:sz w:val="20"/>
                  <w:u w:val="single"/>
                </w:rPr>
                <w:t xml:space="preserve">Item 4. </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33">
              <w:r>
                <w:rPr>
                  <w:rStyle w:val="InternetLink"/>
                  <w:rFonts w:ascii="Times New Roman;sans-serif" w:hAnsi="Times New Roman;sans-serif"/>
                  <w:b w:val="false"/>
                  <w:color w:val="0000FF"/>
                  <w:sz w:val="20"/>
                  <w:u w:val="single"/>
                </w:rPr>
                <w:t>Controls and Procedures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33">
              <w:r>
                <w:rPr>
                  <w:rStyle w:val="InternetLink"/>
                  <w:rFonts w:ascii="Times New Roman;sans-serif" w:hAnsi="Times New Roman;sans-serif"/>
                  <w:b w:val="false"/>
                  <w:color w:val="0000FF"/>
                  <w:sz w:val="20"/>
                  <w:u w:val="single"/>
                </w:rPr>
                <w:t>38</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36">
              <w:r>
                <w:rPr>
                  <w:rStyle w:val="InternetLink"/>
                  <w:rFonts w:ascii="Times New Roman;sans-serif" w:hAnsi="Times New Roman;sans-serif"/>
                  <w:b/>
                  <w:color w:val="0000FF"/>
                  <w:sz w:val="20"/>
                  <w:u w:val="single"/>
                </w:rPr>
                <w:t>Part II. Other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36">
              <w:r>
                <w:rPr>
                  <w:rStyle w:val="InternetLink"/>
                  <w:rFonts w:ascii="Times New Roman;sans-serif" w:hAnsi="Times New Roman;sans-serif"/>
                  <w:b w:val="false"/>
                  <w:color w:val="0000FF"/>
                  <w:sz w:val="20"/>
                  <w:u w:val="single"/>
                </w:rPr>
                <w:t>39</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39">
              <w:r>
                <w:rPr>
                  <w:rStyle w:val="InternetLink"/>
                  <w:rFonts w:ascii="Times New Roman;sans-serif" w:hAnsi="Times New Roman;sans-serif"/>
                  <w:b w:val="false"/>
                  <w:color w:val="0000FF"/>
                  <w:sz w:val="20"/>
                  <w:u w:val="single"/>
                </w:rPr>
                <w:t xml:space="preserve">Item 1. </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39">
              <w:r>
                <w:rPr>
                  <w:rStyle w:val="InternetLink"/>
                  <w:rFonts w:ascii="Times New Roman;sans-serif" w:hAnsi="Times New Roman;sans-serif"/>
                  <w:b w:val="false"/>
                  <w:color w:val="0000FF"/>
                  <w:sz w:val="20"/>
                  <w:u w:val="single"/>
                </w:rPr>
                <w:t>Legal Proceedings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39">
              <w:r>
                <w:rPr>
                  <w:rStyle w:val="InternetLink"/>
                  <w:rFonts w:ascii="Times New Roman;sans-serif" w:hAnsi="Times New Roman;sans-serif"/>
                  <w:b w:val="false"/>
                  <w:color w:val="0000FF"/>
                  <w:sz w:val="20"/>
                  <w:u w:val="single"/>
                </w:rPr>
                <w:t>39</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42">
              <w:r>
                <w:rPr>
                  <w:rStyle w:val="InternetLink"/>
                  <w:rFonts w:ascii="Times New Roman;sans-serif" w:hAnsi="Times New Roman;sans-serif"/>
                  <w:b w:val="false"/>
                  <w:color w:val="0000FF"/>
                  <w:sz w:val="20"/>
                  <w:u w:val="single"/>
                </w:rPr>
                <w:t>Item 1A.</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42">
              <w:r>
                <w:rPr>
                  <w:rStyle w:val="InternetLink"/>
                  <w:rFonts w:ascii="Times New Roman;sans-serif" w:hAnsi="Times New Roman;sans-serif"/>
                  <w:b w:val="false"/>
                  <w:color w:val="0000FF"/>
                  <w:sz w:val="20"/>
                  <w:u w:val="single"/>
                </w:rPr>
                <w:t>Risk Factors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42">
              <w:r>
                <w:rPr>
                  <w:rStyle w:val="InternetLink"/>
                  <w:rFonts w:ascii="Times New Roman;sans-serif" w:hAnsi="Times New Roman;sans-serif"/>
                  <w:b w:val="false"/>
                  <w:color w:val="0000FF"/>
                  <w:sz w:val="20"/>
                  <w:u w:val="single"/>
                </w:rPr>
                <w:t>40</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45">
              <w:r>
                <w:rPr>
                  <w:rStyle w:val="InternetLink"/>
                  <w:rFonts w:ascii="Times New Roman;sans-serif" w:hAnsi="Times New Roman;sans-serif"/>
                  <w:b w:val="false"/>
                  <w:color w:val="0000FF"/>
                  <w:sz w:val="20"/>
                  <w:u w:val="single"/>
                </w:rPr>
                <w:t xml:space="preserve">Item 2. </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45">
              <w:r>
                <w:rPr>
                  <w:rStyle w:val="InternetLink"/>
                  <w:rFonts w:ascii="Times New Roman;sans-serif" w:hAnsi="Times New Roman;sans-serif"/>
                  <w:b w:val="false"/>
                  <w:color w:val="0000FF"/>
                  <w:sz w:val="20"/>
                  <w:u w:val="single"/>
                </w:rPr>
                <w:t>Unregistered Sales of Equity Securities and Use of Proceeds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45">
              <w:r>
                <w:rPr>
                  <w:rStyle w:val="InternetLink"/>
                  <w:rFonts w:ascii="Times New Roman;sans-serif" w:hAnsi="Times New Roman;sans-serif"/>
                  <w:b w:val="false"/>
                  <w:color w:val="0000FF"/>
                  <w:sz w:val="20"/>
                  <w:u w:val="single"/>
                </w:rPr>
                <w:t>41</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48">
              <w:r>
                <w:rPr>
                  <w:rStyle w:val="InternetLink"/>
                  <w:rFonts w:ascii="Times New Roman;sans-serif" w:hAnsi="Times New Roman;sans-serif"/>
                  <w:b w:val="false"/>
                  <w:color w:val="0000FF"/>
                  <w:sz w:val="20"/>
                  <w:u w:val="single"/>
                </w:rPr>
                <w:t xml:space="preserve">Item 3. </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48">
              <w:r>
                <w:rPr>
                  <w:rStyle w:val="InternetLink"/>
                  <w:rFonts w:ascii="Times New Roman;sans-serif" w:hAnsi="Times New Roman;sans-serif"/>
                  <w:b w:val="false"/>
                  <w:color w:val="0000FF"/>
                  <w:sz w:val="20"/>
                  <w:u w:val="single"/>
                </w:rPr>
                <w:t>Defaults Upon Senior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48">
              <w:r>
                <w:rPr>
                  <w:rStyle w:val="InternetLink"/>
                  <w:rFonts w:ascii="Times New Roman;sans-serif" w:hAnsi="Times New Roman;sans-serif"/>
                  <w:b w:val="false"/>
                  <w:color w:val="0000FF"/>
                  <w:sz w:val="20"/>
                  <w:u w:val="single"/>
                </w:rPr>
                <w:t>42</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51">
              <w:r>
                <w:rPr>
                  <w:rStyle w:val="InternetLink"/>
                  <w:rFonts w:ascii="Times New Roman;sans-serif" w:hAnsi="Times New Roman;sans-serif"/>
                  <w:b w:val="false"/>
                  <w:color w:val="0000FF"/>
                  <w:sz w:val="20"/>
                  <w:u w:val="single"/>
                </w:rPr>
                <w:t>Item 4.</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51">
              <w:r>
                <w:rPr>
                  <w:rStyle w:val="InternetLink"/>
                  <w:rFonts w:ascii="Times New Roman;sans-serif" w:hAnsi="Times New Roman;sans-serif"/>
                  <w:b w:val="false"/>
                  <w:color w:val="0000FF"/>
                  <w:sz w:val="20"/>
                  <w:u w:val="single"/>
                </w:rPr>
                <w:t>Mine Safety Disclosures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51">
              <w:r>
                <w:rPr>
                  <w:rStyle w:val="InternetLink"/>
                  <w:rFonts w:ascii="Times New Roman;sans-serif" w:hAnsi="Times New Roman;sans-serif"/>
                  <w:b w:val="false"/>
                  <w:color w:val="0000FF"/>
                  <w:sz w:val="20"/>
                  <w:u w:val="single"/>
                </w:rPr>
                <w:t>43</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54">
              <w:r>
                <w:rPr>
                  <w:rStyle w:val="InternetLink"/>
                  <w:rFonts w:ascii="Times New Roman;sans-serif" w:hAnsi="Times New Roman;sans-serif"/>
                  <w:b w:val="false"/>
                  <w:color w:val="0000FF"/>
                  <w:sz w:val="20"/>
                  <w:u w:val="single"/>
                </w:rPr>
                <w:t xml:space="preserve">Item 5. </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54">
              <w:r>
                <w:rPr>
                  <w:rStyle w:val="InternetLink"/>
                  <w:rFonts w:ascii="Times New Roman;sans-serif" w:hAnsi="Times New Roman;sans-serif"/>
                  <w:b w:val="false"/>
                  <w:color w:val="0000FF"/>
                  <w:sz w:val="20"/>
                  <w:u w:val="single"/>
                </w:rPr>
                <w:t>Other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54">
              <w:r>
                <w:rPr>
                  <w:rStyle w:val="InternetLink"/>
                  <w:rFonts w:ascii="Times New Roman;sans-serif" w:hAnsi="Times New Roman;sans-serif"/>
                  <w:b w:val="false"/>
                  <w:color w:val="0000FF"/>
                  <w:sz w:val="20"/>
                  <w:u w:val="single"/>
                </w:rPr>
                <w:t>44</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57">
              <w:r>
                <w:rPr>
                  <w:rStyle w:val="InternetLink"/>
                  <w:rFonts w:ascii="Times New Roman;sans-serif" w:hAnsi="Times New Roman;sans-serif"/>
                  <w:b w:val="false"/>
                  <w:color w:val="0000FF"/>
                  <w:sz w:val="20"/>
                  <w:u w:val="single"/>
                </w:rPr>
                <w:t>Item 6.</w:t>
              </w:r>
            </w:hyperlink>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57">
              <w:r>
                <w:rPr>
                  <w:rStyle w:val="InternetLink"/>
                  <w:rFonts w:ascii="Times New Roman;sans-serif" w:hAnsi="Times New Roman;sans-serif"/>
                  <w:b w:val="false"/>
                  <w:color w:val="0000FF"/>
                  <w:sz w:val="20"/>
                  <w:u w:val="single"/>
                </w:rPr>
                <w:t>Exhibits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57">
              <w:r>
                <w:rPr>
                  <w:rStyle w:val="InternetLink"/>
                  <w:rFonts w:ascii="Times New Roman;sans-serif" w:hAnsi="Times New Roman;sans-serif"/>
                  <w:b w:val="false"/>
                  <w:color w:val="0000FF"/>
                  <w:sz w:val="20"/>
                  <w:u w:val="single"/>
                </w:rPr>
                <w:t>45</w:t>
              </w:r>
            </w:hyperlink>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4a9d1c7f994dbab8a8de63c12ec0e8_160">
              <w:r>
                <w:rPr>
                  <w:rStyle w:val="InternetLink"/>
                  <w:rFonts w:ascii="Times New Roman;sans-serif" w:hAnsi="Times New Roman;sans-serif"/>
                  <w:b w:val="false"/>
                  <w:color w:val="0000FF"/>
                  <w:sz w:val="20"/>
                  <w:u w:val="single"/>
                </w:rPr>
                <w:t>Signatures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84a9d1c7f994dbab8a8de63c12ec0e8_160">
              <w:r>
                <w:rPr>
                  <w:rStyle w:val="InternetLink"/>
                  <w:rFonts w:ascii="Times New Roman;sans-serif" w:hAnsi="Times New Roman;sans-serif"/>
                  <w:b w:val="false"/>
                  <w:color w:val="0000FF"/>
                  <w:sz w:val="20"/>
                  <w:u w:val="single"/>
                </w:rPr>
                <w:t>47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retain existing customers, acquire new customers and expand our customer reach;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our future financial performance, including total revenue, gross profit/(loss), net income/(loss), direct contribution, adjusted EBITDA, net loss and loss adjustment expense, or LAE, ratio, net expense ratio, net combined ratio, gross loss ratio, marketing costs, gross LAE ratio, gross expense ratio, gross combined ratio, quota share levels and expansion of our new and renewal premium base;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realize profits, acquire customers, retain customers, contract with additional partners to utilize the product, or achieve other benefits from our embedded insurance offering;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expand our distribution channels through additional partnership relationships, digital media and referrals;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reduce customer acquisition costs and realize other expected benefits related to the partnership with Carvana Group, LLC, or Carvana;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drive a significant long-term competitive advantage through our partnership with Carvana;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supply chain disruptions, increasing inflation, a recession and/or disruptions to properly functioning financial and capital markets and interest rates on our business and financial condition;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reduce operating losses and extend our capital runway;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goal to be licensed in all states in the United States and the timing of obtaining additional licenses and launching in new states;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accuracy and efficiency of our telematics and behavioral data, and our ability to gather and leverage additional data;</w:t>
      </w:r>
    </w:p>
    <w:p>
      <w:pPr>
        <w:pStyle w:val="TextBody"/>
        <w:spacing w:lineRule="auto" w:line="288" w:before="0" w:after="180"/>
        <w:rPr/>
      </w:pPr>
      <w:r>
        <w:rPr>
          <w:color w:val="000000"/>
        </w:rPr>
        <w:t>•</w:t>
      </w:r>
      <w:r>
        <w:rPr>
          <w:rFonts w:ascii="Times New Roman;sans-serif" w:hAnsi="Times New Roman;sans-serif"/>
          <w:b w:val="false"/>
          <w:color w:val="000000"/>
          <w:sz w:val="20"/>
        </w:rPr>
        <w:t>our ability to materially improve retention rates and our ability to realize benefits from retaining customers;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underwrite risks accurately and charge profitable rates;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maintain our business model and improve our capital and marketing efficiency;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drive improved conversion and decrease the cost of customer acquisition;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maintain and enhance our brand and reputation;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effectively manage the growth of our business;</w:t>
      </w:r>
    </w:p>
    <w:p>
      <w:pPr>
        <w:pStyle w:val="TextBody"/>
        <w:spacing w:lineRule="auto" w:line="288" w:before="0" w:after="180"/>
        <w:rPr/>
      </w:pPr>
      <w:r>
        <w:rPr>
          <w:color w:val="000000"/>
        </w:rPr>
        <w:t>•</w:t>
      </w:r>
      <w:r>
        <w:rPr>
          <w:rFonts w:ascii="Times New Roman;sans-serif" w:hAnsi="Times New Roman;sans-serif"/>
          <w:b w:val="false"/>
          <w:color w:val="000000"/>
          <w:sz w:val="20"/>
        </w:rPr>
        <w:t>our ability to raise additional capital efficiently or at all;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improve our product offerings, introduce new products and expand into additional insurance lines;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cross sell our products and attain greater value from each customer;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our lack of operating history and ability to attain profitability;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compete effectively with existing competitors and new market entrants in our industry;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future performance of the markets in which we operate;</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operate a “capital-efficient” business and obtain and maintain reinsurance contracts;</w:t>
      </w:r>
    </w:p>
    <w:p>
      <w:pPr>
        <w:pStyle w:val="TextBody"/>
        <w:spacing w:lineRule="auto" w:line="288" w:before="0" w:after="180"/>
        <w:rPr/>
      </w:pPr>
      <w:r>
        <w:rPr>
          <w:color w:val="000000"/>
        </w:rPr>
        <w:t>•</w:t>
      </w:r>
      <w:r>
        <w:rPr>
          <w:rFonts w:ascii="Times New Roman;sans-serif" w:hAnsi="Times New Roman;sans-serif"/>
          <w:b w:val="false"/>
          <w:color w:val="000000"/>
          <w:sz w:val="20"/>
        </w:rPr>
        <w:t>our ability to realize economies of scale;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the COVID-19 pandemic and governmental responses thereto on our business and financial condition;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attract, motivate and retain key personnel, or hire personnel, and to offer competitive compensation and benefits;</w:t>
      </w:r>
    </w:p>
    <w:p>
      <w:pPr>
        <w:pStyle w:val="TextBody"/>
        <w:spacing w:lineRule="auto" w:line="288" w:before="0" w:after="180"/>
        <w:rPr/>
      </w:pPr>
      <w:r>
        <w:rPr>
          <w:color w:val="000000"/>
        </w:rPr>
        <w:t>•</w:t>
      </w:r>
      <w:r>
        <w:rPr>
          <w:rFonts w:ascii="Times New Roman;sans-serif" w:hAnsi="Times New Roman;sans-serif"/>
          <w:b w:val="false"/>
          <w:color w:val="000000"/>
          <w:sz w:val="20"/>
        </w:rPr>
        <w:t>our ability to deliver a vertically integrated customer experience;</w:t>
      </w:r>
    </w:p>
    <w:p>
      <w:pPr>
        <w:pStyle w:val="TextBody"/>
        <w:spacing w:lineRule="auto" w:line="288" w:before="0" w:after="180"/>
        <w:rPr/>
      </w:pPr>
      <w:r>
        <w:rPr>
          <w:color w:val="000000"/>
        </w:rPr>
        <w:t>•</w:t>
      </w:r>
      <w:r>
        <w:rPr>
          <w:rFonts w:ascii="Times New Roman;sans-serif" w:hAnsi="Times New Roman;sans-serif"/>
          <w:b w:val="false"/>
          <w:color w:val="000000"/>
          <w:sz w:val="20"/>
        </w:rPr>
        <w:t>our ability to develop products that utilize our telematics to drive better customer satisfaction and retention;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protect our intellectual property and any costs associated therewith;</w:t>
      </w:r>
    </w:p>
    <w:p>
      <w:pPr>
        <w:pStyle w:val="TextBody"/>
        <w:spacing w:lineRule="auto" w:line="288" w:before="0" w:after="180"/>
        <w:rPr/>
      </w:pPr>
      <w:r>
        <w:rPr>
          <w:color w:val="000000"/>
        </w:rPr>
        <w:t>•</w:t>
      </w:r>
      <w:r>
        <w:rPr>
          <w:rFonts w:ascii="Times New Roman;sans-serif" w:hAnsi="Times New Roman;sans-serif"/>
          <w:b w:val="false"/>
          <w:color w:val="000000"/>
          <w:sz w:val="20"/>
        </w:rPr>
        <w:t>our ability to develop an autonomous claims experience;</w:t>
      </w:r>
    </w:p>
    <w:p>
      <w:pPr>
        <w:pStyle w:val="TextBody"/>
        <w:spacing w:lineRule="auto" w:line="288" w:before="0" w:after="180"/>
        <w:rPr/>
      </w:pPr>
      <w:r>
        <w:rPr>
          <w:color w:val="000000"/>
        </w:rPr>
        <w:t>•</w:t>
      </w:r>
      <w:r>
        <w:rPr>
          <w:rFonts w:ascii="Times New Roman;sans-serif" w:hAnsi="Times New Roman;sans-serif"/>
          <w:b w:val="false"/>
          <w:color w:val="000000"/>
          <w:sz w:val="20"/>
        </w:rPr>
        <w:t>our ability to take rate action early and react to changing environments;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meet risk-based capital requirements;</w:t>
      </w:r>
    </w:p>
    <w:p>
      <w:pPr>
        <w:pStyle w:val="TextBody"/>
        <w:spacing w:lineRule="auto" w:line="288" w:before="0" w:after="180"/>
        <w:rPr/>
      </w:pPr>
      <w:r>
        <w:rPr>
          <w:color w:val="000000"/>
        </w:rPr>
        <w:t>•</w:t>
      </w:r>
      <w:r>
        <w:rPr>
          <w:rFonts w:ascii="Times New Roman;sans-serif" w:hAnsi="Times New Roman;sans-serif"/>
          <w:b w:val="false"/>
          <w:color w:val="000000"/>
          <w:sz w:val="20"/>
        </w:rPr>
        <w:t>our ability to realize the benefits anticipated from our Texas county mutual fronting arrangement;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expand domestically;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our ability to stay in compliance with laws and regulations that currently apply or become applicable to our business;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litigation or other losses;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effect of increasing interest rates on our available cash and our ability to maintain compliance with our credit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maintain proper and effective internal control over financial reporting and remediate existing deficiencies;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continue to meet the Nasdaq Stock Market, or Nasdaq, listing standards;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growth rates of the markets in which we compete.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report to the terms “Root,” “the Company,” “we,” “our” and “us” refer to Root, Inc. and its subsidiaries.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2738"/>
        <w:gridCol w:w="2404"/>
        <w:gridCol w:w="1516"/>
        <w:gridCol w:w="293"/>
        <w:gridCol w:w="1068"/>
        <w:gridCol w:w="151"/>
        <w:gridCol w:w="151"/>
        <w:gridCol w:w="151"/>
        <w:gridCol w:w="151"/>
        <w:gridCol w:w="293"/>
        <w:gridCol w:w="1068"/>
        <w:gridCol w:w="221"/>
      </w:tblGrid>
      <w:tr>
        <w:trPr/>
        <w:tc>
          <w:tcPr>
            <w:tcW w:w="2738" w:type="dxa"/>
            <w:tcBorders/>
            <w:shd w:fill="auto" w:val="clear"/>
            <w:vAlign w:val="center"/>
          </w:tcPr>
          <w:p>
            <w:pPr>
              <w:pStyle w:val="TableContents"/>
              <w:spacing w:before="0" w:after="283"/>
              <w:rPr>
                <w:sz w:val="4"/>
                <w:szCs w:val="4"/>
              </w:rPr>
            </w:pPr>
            <w:r>
              <w:rPr>
                <w:sz w:val="4"/>
                <w:szCs w:val="4"/>
              </w:rPr>
            </w:r>
          </w:p>
        </w:tc>
        <w:tc>
          <w:tcPr>
            <w:tcW w:w="2404"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tc>
      </w:tr>
      <w:tr>
        <w:trPr/>
        <w:tc>
          <w:tcPr>
            <w:tcW w:w="6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6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w:t>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w:t>
            </w:r>
          </w:p>
        </w:tc>
        <w:tc>
          <w:tcPr>
            <w:tcW w:w="15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Fixed maturities available-for-sale, at fair value (amortized cost: $131.1 and $134.2 at March 31, 2023 and December 31, 2022, respectively)</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Short-term investments (amortized cost: $0.1 and $0.4 at March 31, 2023 and December 31, 2022, respectively)</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22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investments</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Total investments </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679.3 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762.1 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Premiums receivable, net of allowance of $2.3 and $2.8 at March 31, 2023 and December 31, 2022, respectively</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111.9 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Reinsurance recoverable and receivable, net of allowance of $0.2 at March 31, 2023 and December 31, 2022</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148.8 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reinsurance premiums</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74.2 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1,201.1 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1,312.9 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Redeemable Convertible Preferred Stock and Stockholders’ Equity</w:t>
            </w:r>
          </w:p>
        </w:tc>
        <w:tc>
          <w:tcPr>
            <w:tcW w:w="15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w:t>
            </w:r>
          </w:p>
        </w:tc>
        <w:tc>
          <w:tcPr>
            <w:tcW w:w="1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and loss adjustment expense reserves</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Unearned premiums</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136.5 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and warrants</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Reinsurance premiums payable</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expenses</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auto" w:val="clear"/>
            <w:vAlign w:val="center"/>
          </w:tcPr>
          <w:p>
            <w:pPr>
              <w:pStyle w:val="TableContents"/>
              <w:spacing w:before="0" w:after="283"/>
              <w:rPr>
                <w:sz w:val="4"/>
                <w:szCs w:val="4"/>
              </w:rPr>
            </w:pPr>
            <w:r>
              <w:rPr>
                <w:sz w:val="4"/>
                <w:szCs w:val="4"/>
              </w:rPr>
            </w:r>
          </w:p>
        </w:tc>
        <w:tc>
          <w:tcPr>
            <w:tcW w:w="151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582" w:type="dxa"/>
            <w:gridSpan w:val="3"/>
            <w:tcBorders/>
            <w:shd w:fill="auto" w:val="cle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845.4 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923.8 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11)</w:t>
            </w:r>
          </w:p>
        </w:tc>
        <w:tc>
          <w:tcPr>
            <w:tcW w:w="1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Redeemable convertible preferred stock, $0.0001 par value, 100.0 shares authorized, 14.1 shares issued and outstanding at March 31, 2023 and December 31, 2022 (liquidation preference of $126.5) </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auto" w:val="clear"/>
            <w:vAlign w:val="center"/>
          </w:tcPr>
          <w:p>
            <w:pPr>
              <w:pStyle w:val="TableContents"/>
              <w:spacing w:before="0" w:after="283"/>
              <w:rPr>
                <w:sz w:val="4"/>
                <w:szCs w:val="4"/>
              </w:rPr>
            </w:pPr>
            <w:r>
              <w:rPr>
                <w:sz w:val="4"/>
                <w:szCs w:val="4"/>
              </w:rPr>
            </w:r>
          </w:p>
        </w:tc>
        <w:tc>
          <w:tcPr>
            <w:tcW w:w="151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582" w:type="dxa"/>
            <w:gridSpan w:val="3"/>
            <w:tcBorders/>
            <w:shd w:fill="auto" w:val="cle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Class A common stock, $0.0001 par value, 1,000.0 shares authorized, 9.2 shares issued and outstanding at March 31, 2023 and December 31, 2022</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Class B common stock, $0.0001 par value, 269.0 shares authorized, 5.0 shares issued and outstanding at March 31, 2023 and December 31, 2022</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auto" w:val="clear"/>
            <w:vAlign w:val="center"/>
          </w:tcPr>
          <w:p>
            <w:pPr>
              <w:pStyle w:val="TableContents"/>
              <w:spacing w:before="0" w:after="283"/>
              <w:rPr>
                <w:sz w:val="4"/>
                <w:szCs w:val="4"/>
              </w:rPr>
            </w:pPr>
            <w:r>
              <w:rPr>
                <w:sz w:val="4"/>
                <w:szCs w:val="4"/>
              </w:rPr>
            </w:r>
          </w:p>
        </w:tc>
        <w:tc>
          <w:tcPr>
            <w:tcW w:w="151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582" w:type="dxa"/>
            <w:gridSpan w:val="3"/>
            <w:tcBorders/>
            <w:shd w:fill="auto" w:val="cle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1,857.1 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1,850.7 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loss</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(1,608.7)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(1,567.8)</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redeemable convertible preferred stock and stockholders’ equity</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1,201.1 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1,312.9 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1895"/>
        <w:gridCol w:w="1407"/>
        <w:gridCol w:w="1366"/>
        <w:gridCol w:w="1007"/>
        <w:gridCol w:w="1007"/>
        <w:gridCol w:w="1023"/>
        <w:gridCol w:w="109"/>
        <w:gridCol w:w="235"/>
        <w:gridCol w:w="628"/>
        <w:gridCol w:w="121"/>
        <w:gridCol w:w="121"/>
        <w:gridCol w:w="121"/>
        <w:gridCol w:w="121"/>
        <w:gridCol w:w="235"/>
        <w:gridCol w:w="628"/>
        <w:gridCol w:w="181"/>
      </w:tblGrid>
      <w:tr>
        <w:trPr/>
        <w:tc>
          <w:tcPr>
            <w:tcW w:w="1895"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7705"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c>
          <w:tcPr>
            <w:tcW w:w="2500" w:type="dxa"/>
            <w:gridSpan w:val="10"/>
            <w:tcBorders/>
            <w:shd w:fill="auto" w:val="clear"/>
          </w:tcPr>
          <w:p>
            <w:pPr>
              <w:pStyle w:val="TableContents"/>
              <w:spacing w:before="0" w:after="283"/>
              <w:rPr>
                <w:sz w:val="4"/>
                <w:szCs w:val="4"/>
              </w:rPr>
            </w:pPr>
            <w:r>
              <w:rPr>
                <w:sz w:val="4"/>
                <w:szCs w:val="4"/>
              </w:rPr>
            </w:r>
          </w:p>
        </w:tc>
      </w:tr>
      <w:tr>
        <w:trPr/>
        <w:tc>
          <w:tcPr>
            <w:tcW w:w="7705"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 UNAUDITED</w:t>
            </w:r>
          </w:p>
        </w:tc>
        <w:tc>
          <w:tcPr>
            <w:tcW w:w="2500" w:type="dxa"/>
            <w:gridSpan w:val="10"/>
            <w:tcBorders/>
            <w:shd w:fill="auto" w:val="clear"/>
          </w:tcPr>
          <w:p>
            <w:pPr>
              <w:pStyle w:val="TableContents"/>
              <w:spacing w:before="0" w:after="283"/>
              <w:rPr>
                <w:sz w:val="4"/>
                <w:szCs w:val="4"/>
              </w:rPr>
            </w:pPr>
            <w:r>
              <w:rPr>
                <w:sz w:val="4"/>
                <w:szCs w:val="4"/>
              </w:rPr>
            </w:r>
          </w:p>
        </w:tc>
      </w:tr>
      <w:tr>
        <w:trPr/>
        <w:tc>
          <w:tcPr>
            <w:tcW w:w="46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211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07" w:type="dxa"/>
            <w:gridSpan w:val="6"/>
            <w:tcBorders/>
            <w:shd w:fill="auto" w:val="clear"/>
          </w:tcPr>
          <w:p>
            <w:pPr>
              <w:pStyle w:val="TableContents"/>
              <w:spacing w:before="0" w:after="283"/>
              <w:rPr>
                <w:sz w:val="4"/>
                <w:szCs w:val="4"/>
              </w:rPr>
            </w:pPr>
            <w:r>
              <w:rPr>
                <w:sz w:val="4"/>
                <w:szCs w:val="4"/>
              </w:rPr>
            </w:r>
          </w:p>
        </w:tc>
      </w:tr>
      <w:tr>
        <w:trPr/>
        <w:tc>
          <w:tcPr>
            <w:tcW w:w="4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gains (losses) on investments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100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rPr/>
      </w:pPr>
      <w:r>
        <w:rPr/>
      </w:r>
    </w:p>
    <w:tbl>
      <w:tblPr>
        <w:tblW w:w="12193" w:type="dxa"/>
        <w:jc w:val="left"/>
        <w:tblInd w:w="0" w:type="dxa"/>
        <w:tblCellMar>
          <w:top w:w="28" w:type="dxa"/>
          <w:left w:w="28" w:type="dxa"/>
          <w:bottom w:w="28" w:type="dxa"/>
          <w:right w:w="28" w:type="dxa"/>
        </w:tblCellMar>
      </w:tblPr>
      <w:tblGrid>
        <w:gridCol w:w="659"/>
        <w:gridCol w:w="263"/>
        <w:gridCol w:w="264"/>
        <w:gridCol w:w="235"/>
        <w:gridCol w:w="231"/>
        <w:gridCol w:w="109"/>
        <w:gridCol w:w="109"/>
        <w:gridCol w:w="109"/>
        <w:gridCol w:w="109"/>
        <w:gridCol w:w="196"/>
        <w:gridCol w:w="556"/>
        <w:gridCol w:w="109"/>
        <w:gridCol w:w="109"/>
        <w:gridCol w:w="109"/>
        <w:gridCol w:w="109"/>
        <w:gridCol w:w="109"/>
        <w:gridCol w:w="109"/>
        <w:gridCol w:w="109"/>
        <w:gridCol w:w="207"/>
        <w:gridCol w:w="199"/>
        <w:gridCol w:w="109"/>
        <w:gridCol w:w="109"/>
        <w:gridCol w:w="109"/>
        <w:gridCol w:w="109"/>
        <w:gridCol w:w="207"/>
        <w:gridCol w:w="199"/>
        <w:gridCol w:w="109"/>
        <w:gridCol w:w="109"/>
        <w:gridCol w:w="109"/>
        <w:gridCol w:w="109"/>
        <w:gridCol w:w="196"/>
        <w:gridCol w:w="406"/>
        <w:gridCol w:w="109"/>
        <w:gridCol w:w="109"/>
        <w:gridCol w:w="109"/>
        <w:gridCol w:w="109"/>
        <w:gridCol w:w="109"/>
        <w:gridCol w:w="109"/>
        <w:gridCol w:w="751"/>
        <w:gridCol w:w="109"/>
        <w:gridCol w:w="221"/>
        <w:gridCol w:w="691"/>
        <w:gridCol w:w="109"/>
        <w:gridCol w:w="109"/>
        <w:gridCol w:w="109"/>
        <w:gridCol w:w="109"/>
        <w:gridCol w:w="366"/>
        <w:gridCol w:w="396"/>
        <w:gridCol w:w="109"/>
        <w:gridCol w:w="109"/>
        <w:gridCol w:w="109"/>
        <w:gridCol w:w="109"/>
        <w:gridCol w:w="196"/>
        <w:gridCol w:w="706"/>
        <w:gridCol w:w="109"/>
        <w:gridCol w:w="109"/>
        <w:gridCol w:w="109"/>
        <w:gridCol w:w="109"/>
        <w:gridCol w:w="196"/>
        <w:gridCol w:w="556"/>
        <w:gridCol w:w="154"/>
      </w:tblGrid>
      <w:tr>
        <w:trPr/>
        <w:tc>
          <w:tcPr>
            <w:tcW w:w="6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22" w:type="dxa"/>
            <w:gridSpan w:val="4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c>
          <w:tcPr>
            <w:tcW w:w="2571" w:type="dxa"/>
            <w:gridSpan w:val="12"/>
            <w:tcBorders/>
            <w:shd w:fill="auto" w:val="clear"/>
          </w:tcPr>
          <w:p>
            <w:pPr>
              <w:pStyle w:val="TableContents"/>
              <w:spacing w:before="0" w:after="283"/>
              <w:rPr>
                <w:sz w:val="4"/>
                <w:szCs w:val="4"/>
              </w:rPr>
            </w:pPr>
            <w:r>
              <w:rPr>
                <w:sz w:val="4"/>
                <w:szCs w:val="4"/>
              </w:rPr>
            </w:r>
          </w:p>
        </w:tc>
      </w:tr>
      <w:tr>
        <w:trPr/>
        <w:tc>
          <w:tcPr>
            <w:tcW w:w="9622" w:type="dxa"/>
            <w:gridSpan w:val="4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 UNAUDITED</w:t>
            </w:r>
          </w:p>
        </w:tc>
        <w:tc>
          <w:tcPr>
            <w:tcW w:w="2571" w:type="dxa"/>
            <w:gridSpan w:val="12"/>
            <w:tcBorders/>
            <w:shd w:fill="auto" w:val="clear"/>
          </w:tcPr>
          <w:p>
            <w:pPr>
              <w:pStyle w:val="TableContents"/>
              <w:spacing w:before="0" w:after="283"/>
              <w:rPr>
                <w:sz w:val="4"/>
                <w:szCs w:val="4"/>
              </w:rPr>
            </w:pPr>
            <w:r>
              <w:rPr>
                <w:sz w:val="4"/>
                <w:szCs w:val="4"/>
              </w:rPr>
            </w:r>
          </w:p>
        </w:tc>
      </w:tr>
      <w:tr>
        <w:trPr/>
        <w:tc>
          <w:tcPr>
            <w:tcW w:w="11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3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233" w:type="dxa"/>
            <w:gridSpan w:val="6"/>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019" w:type="dxa"/>
            <w:gridSpan w:val="3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571" w:type="dxa"/>
            <w:gridSpan w:val="12"/>
            <w:tcBorders/>
            <w:shd w:fill="auto" w:val="clea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Balance—January 1, 2023</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gain</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stock—share-based compensation expense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compensation expense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issuance costs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Balance—March 31, 2023</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Balance—January 1, 2022</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to Class A</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stock—option exercises and restricted stock units vesting, net of shares withheld for employee taxes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early-exercised stock options from liabilities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stock—share-based compensation expense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compensation expense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issuance costs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warrants issued</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Balance—March 31, 2022</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rPr/>
      </w:pPr>
      <w:r>
        <w:rPr/>
      </w:r>
    </w:p>
    <w:tbl>
      <w:tblPr>
        <w:tblW w:w="10205" w:type="dxa"/>
        <w:jc w:val="center"/>
        <w:tblInd w:w="0" w:type="dxa"/>
        <w:tblCellMar>
          <w:top w:w="28" w:type="dxa"/>
          <w:left w:w="28" w:type="dxa"/>
          <w:bottom w:w="28" w:type="dxa"/>
          <w:right w:w="28" w:type="dxa"/>
        </w:tblCellMar>
      </w:tblPr>
      <w:tblGrid>
        <w:gridCol w:w="2002"/>
        <w:gridCol w:w="1662"/>
        <w:gridCol w:w="1610"/>
        <w:gridCol w:w="461"/>
        <w:gridCol w:w="1311"/>
        <w:gridCol w:w="255"/>
        <w:gridCol w:w="255"/>
        <w:gridCol w:w="255"/>
        <w:gridCol w:w="255"/>
        <w:gridCol w:w="461"/>
        <w:gridCol w:w="1311"/>
        <w:gridCol w:w="367"/>
      </w:tblGrid>
      <w:tr>
        <w:trPr/>
        <w:tc>
          <w:tcPr>
            <w:tcW w:w="2002"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tc>
      </w:tr>
      <w:tr>
        <w:trPr/>
        <w:tc>
          <w:tcPr>
            <w:tcW w:w="52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2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2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compensation expense</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realized gains on investments</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2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receivable</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recoverable and receivable</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reinsurance premiums</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and loss adjustment expenses reserves</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premiums</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premiums payable</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20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call and pay downs of investments</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investments</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internally developed software</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indefinite-lived intangible assets and transaction costs</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20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 and restricted stock units, net of tax proceeds/(withholding)</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 and related warrants, net of issuance costs</w:t>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(decrease) increase in cash, cash equivalents and restricted cash </w:t>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935.7 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r>
        <w:trPr/>
        <w:tc>
          <w:tcPr>
            <w:tcW w:w="5274" w:type="dxa"/>
            <w:gridSpan w:val="3"/>
            <w:tcBorders/>
            <w:shd w:fill="auto" w:val="clear"/>
            <w:vAlign w:val="center"/>
          </w:tcPr>
          <w:p>
            <w:pPr>
              <w:pStyle w:val="TableContents"/>
              <w:spacing w:before="0" w:after="283"/>
              <w:rPr>
                <w:sz w:val="4"/>
                <w:szCs w:val="4"/>
              </w:rPr>
            </w:pPr>
            <w:r>
              <w:rPr>
                <w:sz w:val="4"/>
                <w:szCs w:val="4"/>
              </w:rPr>
            </w:r>
          </w:p>
        </w:tc>
        <w:tc>
          <w:tcPr>
            <w:tcW w:w="2027"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21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8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w:t>
      </w:r>
      <w:r>
        <w:rPr>
          <w:rFonts w:ascii="Times New Roman;sans-serif" w:hAnsi="Times New Roman;sans-serif"/>
          <w:b/>
          <w:color w:val="000000"/>
          <w:sz w:val="20"/>
        </w:rPr>
        <w:t>NATURE OF BUSINESS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Root, Inc. is a holding company which, directly or indirectly, maintains 100% ownership of each of its subsidiaries, including, among others, Root Insurance Company, an Ohio-domiciled insurance company; Root Property &amp; Casualty Insurance Company, a Delaware-domiciled insurance company; and Root Reinsurance Company, Ltd., a Cayman Islands-domiciled reinsurance company, together with Root, Inc., “we,” “us” or “our.” We were formed in 2015 and began writing personal auto insurance in July 2016.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company operating a primarily direct-to-consumer model with the majority of our personal insurance customers acquired through mobile applications and our embedded platform. We offer auto and renters insurance products underwritten by Root Insurance Company and Root Property &amp; Casualty Insurance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2.</w:t>
      </w:r>
      <w:r>
        <w:rPr>
          <w:rFonts w:ascii="Times New Roman;sans-serif" w:hAnsi="Times New Roman;sans-serif"/>
          <w:b/>
          <w:color w:val="000000"/>
          <w:sz w:val="20"/>
        </w:rPr>
        <w:t>BASIS OF PRESENTATION AND SUMMARY OF SIGNIFICANT ACCOUNTING POLICIES</w:t>
      </w:r>
    </w:p>
    <w:p>
      <w:pPr>
        <w:pStyle w:val="TextBody"/>
        <w:spacing w:lineRule="auto" w:line="288" w:before="0" w:after="180"/>
        <w:rPr/>
      </w:pPr>
      <w:r>
        <w:rPr>
          <w:rFonts w:ascii="Times New Roman;sans-serif" w:hAnsi="Times New Roman;sans-serif"/>
          <w:b/>
          <w:color w:val="000000"/>
          <w:sz w:val="20"/>
        </w:rPr>
        <w:t>Basis of Presentation</w:t>
      </w:r>
      <w:r>
        <w:rPr>
          <w:color w:val="000000"/>
        </w:rPr>
        <w:t>—</w:t>
      </w:r>
      <w:r>
        <w:rPr>
          <w:rFonts w:ascii="Times New Roman;sans-serif" w:hAnsi="Times New Roman;sans-serif"/>
          <w:b w:val="false"/>
          <w:color w:val="000000"/>
          <w:sz w:val="20"/>
        </w:rPr>
        <w:t>In our opinion, all adjustments necessary for a fair presentation of the condensed consolidated financial statements have been 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2022 filed with the SEC on February 22, 2023, or the 2022 10-K.</w:t>
      </w:r>
    </w:p>
    <w:p>
      <w:pPr>
        <w:pStyle w:val="TextBody"/>
        <w:spacing w:lineRule="auto" w:line="288" w:before="0" w:after="180"/>
        <w:rPr/>
      </w:pPr>
      <w:r>
        <w:rPr>
          <w:rFonts w:ascii="Times New Roman;sans-serif" w:hAnsi="Times New Roman;sans-serif"/>
          <w:b/>
          <w:color w:val="000000"/>
          <w:sz w:val="20"/>
        </w:rPr>
        <w:t>Basis of Consolidation</w:t>
      </w:r>
      <w:r>
        <w:rPr>
          <w:color w:val="000000"/>
        </w:rPr>
        <w:t>—</w:t>
      </w:r>
      <w:r>
        <w:rPr>
          <w:rFonts w:ascii="Times New Roman;sans-serif" w:hAnsi="Times New Roman;sans-serif"/>
          <w:b w:val="false"/>
          <w:color w:val="000000"/>
          <w:sz w:val="20"/>
        </w:rPr>
        <w:t>The unaudited condensed consolidated financial statements include the accounts of Root, Inc. and its subsidiaries, all of which are wholly owned. These financial statements have been prepared in accordance with accounting principles generally accepted in the United States, or GAAP. All intercompany accounts and transactions have been eliminated.</w:t>
      </w:r>
    </w:p>
    <w:p>
      <w:pPr>
        <w:pStyle w:val="TextBody"/>
        <w:spacing w:lineRule="auto" w:line="288" w:before="0" w:after="180"/>
        <w:rPr/>
      </w:pPr>
      <w:r>
        <w:rPr>
          <w:rFonts w:ascii="Times New Roman;sans-serif" w:hAnsi="Times New Roman;sans-serif"/>
          <w:b/>
          <w:color w:val="000000"/>
          <w:sz w:val="20"/>
        </w:rPr>
        <w:t>Use of Estimates</w:t>
      </w:r>
      <w:r>
        <w:rPr>
          <w:color w:val="000000"/>
        </w:rPr>
        <w:t>—</w:t>
      </w:r>
      <w:r>
        <w:rPr>
          <w:rFonts w:ascii="Times New Roman;sans-serif" w:hAnsi="Times New Roman;sans-serif"/>
          <w:b w:val="false"/>
          <w:color w:val="000000"/>
          <w:sz w:val="20"/>
        </w:rPr>
        <w:t>The preparation of the unaudited condensed consolidated financial statements requires management to make certain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allowance for expected credit losses on premium receivables and valuation allowances for income taxes.</w:t>
      </w:r>
    </w:p>
    <w:p>
      <w:pPr>
        <w:pStyle w:val="TextBody"/>
        <w:spacing w:lineRule="auto" w:line="288" w:before="0" w:after="180"/>
        <w:rPr/>
      </w:pPr>
      <w:r>
        <w:rPr>
          <w:rFonts w:ascii="Times New Roman;sans-serif" w:hAnsi="Times New Roman;sans-serif"/>
          <w:b/>
          <w:color w:val="000000"/>
          <w:sz w:val="20"/>
        </w:rPr>
        <w:t>Revision of Previously Issued Financial Statements</w:t>
      </w:r>
      <w:r>
        <w:rPr>
          <w:color w:val="000000"/>
        </w:rPr>
        <w:t>—</w:t>
      </w:r>
      <w:r>
        <w:rPr>
          <w:rFonts w:ascii="Times New Roman;sans-serif" w:hAnsi="Times New Roman;sans-serif"/>
          <w:b w:val="false"/>
          <w:color w:val="000000"/>
          <w:sz w:val="20"/>
        </w:rPr>
        <w:t>During the fourth quarter of 2022, we identified errors in our first, second and third quarter financial statements for 2022 and revised the quarterly presentation of certain sales and marketing and general and administrative expenses on our condensed consolidated statements of operations and comprehensive loss related to the purported misappropriation of funds by a senior marketing employee. The errors did not impact periods prior to 2022.</w:t>
      </w:r>
    </w:p>
    <w:p>
      <w:pPr>
        <w:pStyle w:val="TextBody"/>
        <w:spacing w:lineRule="auto" w:line="288" w:before="0" w:after="180"/>
        <w:rPr/>
      </w:pPr>
      <w:r>
        <w:rPr>
          <w:rFonts w:ascii="Times New Roman;sans-serif" w:hAnsi="Times New Roman;sans-serif"/>
          <w:b w:val="false"/>
          <w:color w:val="000000"/>
          <w:sz w:val="20"/>
        </w:rPr>
        <w:t xml:space="preserve">In accordance with SEC Staff Accounting Bulletin, or SAB, No. 99, </w:t>
      </w:r>
      <w:r>
        <w:rPr>
          <w:rFonts w:ascii="Times New Roman;sans-serif" w:hAnsi="Times New Roman;sans-serif"/>
          <w:b w:val="false"/>
          <w:i/>
          <w:color w:val="000000"/>
          <w:sz w:val="20"/>
        </w:rPr>
        <w:t>Materiality,</w:t>
      </w:r>
      <w:r>
        <w:rPr>
          <w:color w:val="000000"/>
        </w:rPr>
        <w:t xml:space="preserve"> </w:t>
      </w:r>
      <w:r>
        <w:rPr>
          <w:rFonts w:ascii="Times New Roman;sans-serif" w:hAnsi="Times New Roman;sans-serif"/>
          <w:b w:val="false"/>
          <w:color w:val="000000"/>
          <w:sz w:val="20"/>
        </w:rPr>
        <w:t xml:space="preserve">and SAB No. 108, </w:t>
      </w:r>
      <w:r>
        <w:rPr>
          <w:rFonts w:ascii="Times New Roman;sans-serif" w:hAnsi="Times New Roman;sans-serif"/>
          <w:b w:val="false"/>
          <w:i/>
          <w:color w:val="000000"/>
          <w:sz w:val="20"/>
        </w:rPr>
        <w:t>Considering the Effects of Prior Year Misstatements when Quantifying Misstatements in Current Year Financial Statements</w:t>
      </w:r>
      <w:r>
        <w:rPr>
          <w:rFonts w:ascii="Times New Roman;sans-serif" w:hAnsi="Times New Roman;sans-serif"/>
          <w:b w:val="false"/>
          <w:color w:val="000000"/>
          <w:sz w:val="20"/>
        </w:rPr>
        <w:t>, we assessed the materiality of these errors on our financial statements and concluded the errors were not material to the unaudited interim financial statements for the three months ended March 31, 2022.</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18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effect of the revision on the condensed consolidated statements of operations and comprehensive loss, condensed consolidated statements of redeemable convertible preferred stock and stockholders' equity and condensed consolidated statements of cash flows as of and for the three months ended March 31, 2022.</w:t>
      </w:r>
    </w:p>
    <w:tbl>
      <w:tblPr>
        <w:tblW w:w="10205" w:type="dxa"/>
        <w:jc w:val="left"/>
        <w:tblInd w:w="0" w:type="dxa"/>
        <w:tblCellMar>
          <w:top w:w="28" w:type="dxa"/>
          <w:left w:w="28" w:type="dxa"/>
          <w:bottom w:w="28" w:type="dxa"/>
          <w:right w:w="28" w:type="dxa"/>
        </w:tblCellMar>
      </w:tblPr>
      <w:tblGrid>
        <w:gridCol w:w="1849"/>
        <w:gridCol w:w="1536"/>
        <w:gridCol w:w="1543"/>
        <w:gridCol w:w="383"/>
        <w:gridCol w:w="1042"/>
        <w:gridCol w:w="197"/>
        <w:gridCol w:w="197"/>
        <w:gridCol w:w="197"/>
        <w:gridCol w:w="197"/>
        <w:gridCol w:w="197"/>
        <w:gridCol w:w="197"/>
        <w:gridCol w:w="197"/>
        <w:gridCol w:w="109"/>
        <w:gridCol w:w="286"/>
        <w:gridCol w:w="571"/>
        <w:gridCol w:w="149"/>
        <w:gridCol w:w="109"/>
        <w:gridCol w:w="109"/>
        <w:gridCol w:w="109"/>
        <w:gridCol w:w="232"/>
        <w:gridCol w:w="620"/>
        <w:gridCol w:w="179"/>
      </w:tblGrid>
      <w:tr>
        <w:trPr/>
        <w:tc>
          <w:tcPr>
            <w:tcW w:w="1849"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9"/>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 (unaudited)</w:t>
            </w:r>
          </w:p>
        </w:tc>
        <w:tc>
          <w:tcPr>
            <w:tcW w:w="2473" w:type="dxa"/>
            <w:gridSpan w:val="10"/>
            <w:tcBorders/>
            <w:shd w:fill="auto" w:val="clear"/>
          </w:tcPr>
          <w:p>
            <w:pPr>
              <w:pStyle w:val="TableContents"/>
              <w:spacing w:before="0" w:after="283"/>
              <w:rPr>
                <w:sz w:val="4"/>
                <w:szCs w:val="4"/>
              </w:rPr>
            </w:pPr>
            <w:r>
              <w:rPr>
                <w:sz w:val="4"/>
                <w:szCs w:val="4"/>
              </w:rPr>
            </w:r>
          </w:p>
        </w:tc>
      </w:tr>
      <w:tr>
        <w:trPr/>
        <w:tc>
          <w:tcPr>
            <w:tcW w:w="4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5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operations and comprehensive loss data:</w:t>
            </w:r>
          </w:p>
        </w:tc>
        <w:tc>
          <w:tcPr>
            <w:tcW w:w="28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2473" w:type="dxa"/>
            <w:gridSpan w:val="10"/>
            <w:tcBorders/>
            <w:shd w:fill="auto" w:val="clear"/>
          </w:tcPr>
          <w:p>
            <w:pPr>
              <w:pStyle w:val="TableContents"/>
              <w:spacing w:before="0" w:after="283"/>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7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492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2261"/>
        <w:gridCol w:w="1976"/>
        <w:gridCol w:w="1981"/>
        <w:gridCol w:w="211"/>
        <w:gridCol w:w="820"/>
        <w:gridCol w:w="109"/>
        <w:gridCol w:w="109"/>
        <w:gridCol w:w="109"/>
        <w:gridCol w:w="109"/>
        <w:gridCol w:w="286"/>
        <w:gridCol w:w="571"/>
        <w:gridCol w:w="149"/>
        <w:gridCol w:w="109"/>
        <w:gridCol w:w="109"/>
        <w:gridCol w:w="109"/>
        <w:gridCol w:w="211"/>
        <w:gridCol w:w="820"/>
        <w:gridCol w:w="156"/>
      </w:tblGrid>
      <w:tr>
        <w:trPr/>
        <w:tc>
          <w:tcPr>
            <w:tcW w:w="2261"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2022 (unaudited)</w:t>
            </w:r>
          </w:p>
        </w:tc>
      </w:tr>
      <w:tr>
        <w:trPr/>
        <w:tc>
          <w:tcPr>
            <w:tcW w:w="6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62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Condensed consolidated statement of redeemable convertible preferred stock and stockholders equity data: </w:t>
            </w:r>
          </w:p>
        </w:tc>
        <w:tc>
          <w:tcPr>
            <w:tcW w:w="39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tbl>
      <w:tblPr>
        <w:tblW w:w="8414" w:type="dxa"/>
        <w:jc w:val="left"/>
        <w:tblInd w:w="0" w:type="dxa"/>
        <w:tblCellMar>
          <w:top w:w="28" w:type="dxa"/>
          <w:left w:w="28" w:type="dxa"/>
          <w:bottom w:w="28" w:type="dxa"/>
          <w:right w:w="28" w:type="dxa"/>
        </w:tblCellMar>
      </w:tblPr>
      <w:tblGrid>
        <w:gridCol w:w="1646"/>
        <w:gridCol w:w="1448"/>
        <w:gridCol w:w="1451"/>
        <w:gridCol w:w="238"/>
        <w:gridCol w:w="661"/>
        <w:gridCol w:w="122"/>
        <w:gridCol w:w="122"/>
        <w:gridCol w:w="122"/>
        <w:gridCol w:w="122"/>
        <w:gridCol w:w="286"/>
        <w:gridCol w:w="571"/>
        <w:gridCol w:w="149"/>
        <w:gridCol w:w="122"/>
        <w:gridCol w:w="122"/>
        <w:gridCol w:w="122"/>
        <w:gridCol w:w="246"/>
        <w:gridCol w:w="685"/>
        <w:gridCol w:w="179"/>
      </w:tblGrid>
      <w:tr>
        <w:trPr/>
        <w:tc>
          <w:tcPr>
            <w:tcW w:w="1646"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 (unaudited)</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4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Condensed consolidated statement of cash flows data: </w:t>
            </w:r>
          </w:p>
        </w:tc>
        <w:tc>
          <w:tcPr>
            <w:tcW w:w="386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pPr>
      <w:r>
        <w:rPr>
          <w:rFonts w:ascii="Times New Roman;sans-serif" w:hAnsi="Times New Roman;sans-serif"/>
          <w:b/>
          <w:color w:val="000000"/>
          <w:sz w:val="20"/>
        </w:rPr>
        <w:t>Reverse Stock Split—</w:t>
      </w:r>
      <w:r>
        <w:rPr>
          <w:color w:val="000000"/>
        </w:rPr>
        <w:t xml:space="preserve"> </w:t>
      </w:r>
      <w:r>
        <w:rPr>
          <w:rFonts w:ascii="Times New Roman;sans-serif" w:hAnsi="Times New Roman;sans-serif"/>
          <w:b w:val="false"/>
          <w:color w:val="000000"/>
          <w:sz w:val="20"/>
        </w:rPr>
        <w:t>In August 2022, an authorized subcommittee of our board of directors approved a reverse stock split of our Class A and Class B common stock at a ratio of 1-for-18. On August 12, 2022, we filed a Certificate of Amendment to our Amended and Restated Certificate of Incorporation to effect a 1-for-18 reverse stock split of our Class A and Class B common stock. As a result of the reverse stock split, every 18 shares of our issued or outstanding pre-reverse split common stock of each class were combined into one share of common stock of such class. No fractional shares were issued upon the reverse stock split. On August 15, 2022, our Class A common stock began trading on a split-adjusted basis on the Nasdaq Stock Market. Accordingly, all historical per share data, number of shares outstanding and other common stock equivalents for the periods presented in the accompanying condensed consolidated financial statements and notes thereto have been adjusted retroactively, where applicable, to reflect the reverse stock split.</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COVID-19</w:t>
      </w:r>
      <w:r>
        <w:rPr>
          <w:color w:val="000000"/>
        </w:rPr>
        <w:t>—</w:t>
      </w:r>
      <w:r>
        <w:rPr>
          <w:rFonts w:ascii="Times New Roman;sans-serif" w:hAnsi="Times New Roman;sans-serif"/>
          <w:b w:val="false"/>
          <w:color w:val="000000"/>
          <w:sz w:val="20"/>
        </w:rPr>
        <w:t>In March 2020, the World Health Organization declared COVID-19 a global pandemic.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 As the COVID-19 pandemic continues, there is ongoing uncertainty around the severity and duration of the pandemic and the pandemic’s potential impact on our business and our financial performance. Accordingly, we cannot predict the impact that it may have on our future results of operations and financial condition.</w:t>
      </w:r>
    </w:p>
    <w:p>
      <w:pPr>
        <w:pStyle w:val="TextBody"/>
        <w:spacing w:lineRule="auto" w:line="288" w:before="0" w:after="180"/>
        <w:rPr/>
      </w:pPr>
      <w:r>
        <w:rPr>
          <w:rFonts w:ascii="Times New Roman;sans-serif" w:hAnsi="Times New Roman;sans-serif"/>
          <w:b/>
          <w:color w:val="000000"/>
          <w:sz w:val="20"/>
        </w:rPr>
        <w:t>Cash, Cash Equivalents and Restricted Cash</w:t>
      </w:r>
      <w:r>
        <w:rPr>
          <w:color w:val="000000"/>
        </w:rPr>
        <w:t>—</w:t>
      </w:r>
      <w:r>
        <w:rPr>
          <w:rFonts w:ascii="Times New Roman;sans-serif" w:hAnsi="Times New Roman;sans-serif"/>
          <w:b w:val="false"/>
          <w:color w:val="000000"/>
          <w:sz w:val="20"/>
        </w:rPr>
        <w:t>The following table provides a reconciliation of cash, cash equivalents and restricted cash reported within the condensed consolidated balance sheets that sum to the total of the same such amount in the condensed consolidated statements of cash flows:</w:t>
      </w:r>
    </w:p>
    <w:tbl>
      <w:tblPr>
        <w:tblW w:w="10205" w:type="dxa"/>
        <w:jc w:val="left"/>
        <w:tblInd w:w="0" w:type="dxa"/>
        <w:tblCellMar>
          <w:top w:w="28" w:type="dxa"/>
          <w:left w:w="28" w:type="dxa"/>
          <w:bottom w:w="28" w:type="dxa"/>
          <w:right w:w="28" w:type="dxa"/>
        </w:tblCellMar>
      </w:tblPr>
      <w:tblGrid>
        <w:gridCol w:w="2831"/>
        <w:gridCol w:w="2472"/>
        <w:gridCol w:w="2485"/>
        <w:gridCol w:w="211"/>
        <w:gridCol w:w="616"/>
        <w:gridCol w:w="109"/>
        <w:gridCol w:w="109"/>
        <w:gridCol w:w="109"/>
        <w:gridCol w:w="109"/>
        <w:gridCol w:w="248"/>
        <w:gridCol w:w="723"/>
        <w:gridCol w:w="183"/>
      </w:tblGrid>
      <w:tr>
        <w:trPr/>
        <w:tc>
          <w:tcPr>
            <w:tcW w:w="2831" w:type="dxa"/>
            <w:tcBorders/>
            <w:shd w:fill="auto" w:val="clear"/>
            <w:vAlign w:val="center"/>
          </w:tcPr>
          <w:p>
            <w:pPr>
              <w:pStyle w:val="TableContents"/>
              <w:spacing w:before="0" w:after="283"/>
              <w:rPr>
                <w:sz w:val="4"/>
                <w:szCs w:val="4"/>
              </w:rPr>
            </w:pPr>
            <w:r>
              <w:rPr>
                <w:sz w:val="4"/>
                <w:szCs w:val="4"/>
              </w:rPr>
            </w:r>
          </w:p>
        </w:tc>
        <w:tc>
          <w:tcPr>
            <w:tcW w:w="2472" w:type="dxa"/>
            <w:tcBorders/>
            <w:shd w:fill="auto" w:val="clear"/>
            <w:vAlign w:val="center"/>
          </w:tcPr>
          <w:p>
            <w:pPr>
              <w:pStyle w:val="TableContents"/>
              <w:spacing w:before="0" w:after="283"/>
              <w:rPr>
                <w:sz w:val="4"/>
                <w:szCs w:val="4"/>
              </w:rPr>
            </w:pPr>
            <w:r>
              <w:rPr>
                <w:sz w:val="4"/>
                <w:szCs w:val="4"/>
              </w:rPr>
            </w:r>
          </w:p>
        </w:tc>
        <w:tc>
          <w:tcPr>
            <w:tcW w:w="24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7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7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7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3.</w:t>
      </w:r>
      <w:r>
        <w:rPr>
          <w:rFonts w:ascii="Times New Roman;sans-serif" w:hAnsi="Times New Roman;sans-serif"/>
          <w:b/>
          <w:color w:val="000000"/>
          <w:sz w:val="20"/>
        </w:rPr>
        <w:t>INVESTMENTS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short-term investments and available-for-sale fixed maturity securities at March 31, 2023 and December 31, 2022 are as follows:</w:t>
      </w:r>
    </w:p>
    <w:tbl>
      <w:tblPr>
        <w:tblW w:w="10205" w:type="dxa"/>
        <w:jc w:val="left"/>
        <w:tblInd w:w="0" w:type="dxa"/>
        <w:tblCellMar>
          <w:top w:w="28" w:type="dxa"/>
          <w:left w:w="28" w:type="dxa"/>
          <w:bottom w:w="28" w:type="dxa"/>
          <w:right w:w="28" w:type="dxa"/>
        </w:tblCellMar>
      </w:tblPr>
      <w:tblGrid>
        <w:gridCol w:w="1068"/>
        <w:gridCol w:w="658"/>
        <w:gridCol w:w="663"/>
        <w:gridCol w:w="243"/>
        <w:gridCol w:w="711"/>
        <w:gridCol w:w="125"/>
        <w:gridCol w:w="109"/>
        <w:gridCol w:w="109"/>
        <w:gridCol w:w="109"/>
        <w:gridCol w:w="517"/>
        <w:gridCol w:w="997"/>
        <w:gridCol w:w="270"/>
        <w:gridCol w:w="109"/>
        <w:gridCol w:w="109"/>
        <w:gridCol w:w="109"/>
        <w:gridCol w:w="383"/>
        <w:gridCol w:w="739"/>
        <w:gridCol w:w="199"/>
        <w:gridCol w:w="109"/>
        <w:gridCol w:w="109"/>
        <w:gridCol w:w="109"/>
        <w:gridCol w:w="380"/>
        <w:gridCol w:w="759"/>
        <w:gridCol w:w="197"/>
        <w:gridCol w:w="109"/>
        <w:gridCol w:w="109"/>
        <w:gridCol w:w="109"/>
        <w:gridCol w:w="211"/>
        <w:gridCol w:w="616"/>
        <w:gridCol w:w="161"/>
      </w:tblGrid>
      <w:tr>
        <w:trPr/>
        <w:tc>
          <w:tcPr>
            <w:tcW w:w="106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6"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securities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6"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6"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securities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Management reviewed the available-for-sale securities at each balance sheet date to consider whether it was necessary to recognize a credit loss as of March 31, 2023 and December 31, 2022. We do not intend to sell the investments and it is not more likely than not that we will be required to sell the security before recovery. Management concluded that the available-for-sale securities’ unrealized losses were due to non-credit related factors and, therefore, there was no allowance for credit loss as of March 31, 2023 and December 31, 2022.</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March 31, 2023 and December 31, 2022:</w:t>
      </w:r>
    </w:p>
    <w:tbl>
      <w:tblPr>
        <w:tblW w:w="10205" w:type="dxa"/>
        <w:jc w:val="left"/>
        <w:tblInd w:w="0" w:type="dxa"/>
        <w:tblCellMar>
          <w:top w:w="28" w:type="dxa"/>
          <w:left w:w="28" w:type="dxa"/>
          <w:bottom w:w="28" w:type="dxa"/>
          <w:right w:w="28" w:type="dxa"/>
        </w:tblCellMar>
      </w:tblPr>
      <w:tblGrid>
        <w:gridCol w:w="1190"/>
        <w:gridCol w:w="988"/>
        <w:gridCol w:w="993"/>
        <w:gridCol w:w="222"/>
        <w:gridCol w:w="541"/>
        <w:gridCol w:w="115"/>
        <w:gridCol w:w="109"/>
        <w:gridCol w:w="109"/>
        <w:gridCol w:w="109"/>
        <w:gridCol w:w="252"/>
        <w:gridCol w:w="503"/>
        <w:gridCol w:w="131"/>
        <w:gridCol w:w="109"/>
        <w:gridCol w:w="109"/>
        <w:gridCol w:w="109"/>
        <w:gridCol w:w="222"/>
        <w:gridCol w:w="541"/>
        <w:gridCol w:w="115"/>
        <w:gridCol w:w="109"/>
        <w:gridCol w:w="109"/>
        <w:gridCol w:w="109"/>
        <w:gridCol w:w="252"/>
        <w:gridCol w:w="503"/>
        <w:gridCol w:w="131"/>
        <w:gridCol w:w="109"/>
        <w:gridCol w:w="109"/>
        <w:gridCol w:w="109"/>
        <w:gridCol w:w="211"/>
        <w:gridCol w:w="616"/>
        <w:gridCol w:w="109"/>
        <w:gridCol w:w="109"/>
        <w:gridCol w:w="109"/>
        <w:gridCol w:w="109"/>
        <w:gridCol w:w="249"/>
        <w:gridCol w:w="498"/>
        <w:gridCol w:w="188"/>
      </w:tblGrid>
      <w:tr>
        <w:trPr/>
        <w:tc>
          <w:tcPr>
            <w:tcW w:w="119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2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7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7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7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7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Investments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other investments related to our private equity investments were $4.4 million. We recognized zero and $1.2 million of realized gains for the three months ended March 31, 2023 and 2022, respectively. We recorded the gain on sale of our private equity investments within net realized gains on investments in our condensed consolidated statements of operations and comprehensive loss. There were no unrealized gains and losses or impairment losses recognized on private equity investments for the three months ended March 31, 2023 and 2022.</w:t>
      </w:r>
    </w:p>
    <w:p>
      <w:pPr>
        <w:pStyle w:val="TextBody"/>
        <w:spacing w:before="0" w:after="24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gross and net realized gains and losses on short-term investments, available-for-sale fixed maturities and other investments that have been included in the condensed consolidated statements of operations and comprehensive loss for the three months ended March 31, 2023 and 2022:</w:t>
      </w:r>
    </w:p>
    <w:tbl>
      <w:tblPr>
        <w:tblW w:w="6564" w:type="dxa"/>
        <w:jc w:val="left"/>
        <w:tblInd w:w="0" w:type="dxa"/>
        <w:tblCellMar>
          <w:top w:w="28" w:type="dxa"/>
          <w:left w:w="28" w:type="dxa"/>
          <w:bottom w:w="28" w:type="dxa"/>
          <w:right w:w="28" w:type="dxa"/>
        </w:tblCellMar>
      </w:tblPr>
      <w:tblGrid>
        <w:gridCol w:w="1032"/>
        <w:gridCol w:w="907"/>
        <w:gridCol w:w="910"/>
        <w:gridCol w:w="109"/>
        <w:gridCol w:w="109"/>
        <w:gridCol w:w="277"/>
        <w:gridCol w:w="277"/>
        <w:gridCol w:w="536"/>
        <w:gridCol w:w="1032"/>
        <w:gridCol w:w="277"/>
        <w:gridCol w:w="109"/>
        <w:gridCol w:w="109"/>
        <w:gridCol w:w="109"/>
        <w:gridCol w:w="211"/>
        <w:gridCol w:w="406"/>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8" w:type="dxa"/>
            <w:gridSpan w:val="6"/>
            <w:tcBorders/>
            <w:shd w:fill="auto" w:val="clea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9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amortized cost and fair value of short-term investments and available-for-sale fixed maturity securities by contractual maturity at March 31, 2023:</w:t>
      </w:r>
    </w:p>
    <w:tbl>
      <w:tblPr>
        <w:tblW w:w="6093" w:type="dxa"/>
        <w:jc w:val="left"/>
        <w:tblInd w:w="0" w:type="dxa"/>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09"/>
        <w:gridCol w:w="109"/>
        <w:gridCol w:w="109"/>
        <w:gridCol w:w="109"/>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net investment income for the three months ended March 31, 2023 and 2022:</w:t>
      </w:r>
    </w:p>
    <w:tbl>
      <w:tblPr>
        <w:tblW w:w="7149" w:type="dxa"/>
        <w:jc w:val="left"/>
        <w:tblInd w:w="0" w:type="dxa"/>
        <w:tblCellMar>
          <w:top w:w="28" w:type="dxa"/>
          <w:left w:w="28" w:type="dxa"/>
          <w:bottom w:w="28" w:type="dxa"/>
          <w:right w:w="28" w:type="dxa"/>
        </w:tblCellMar>
      </w:tblPr>
      <w:tblGrid>
        <w:gridCol w:w="1243"/>
        <w:gridCol w:w="1091"/>
        <w:gridCol w:w="1100"/>
        <w:gridCol w:w="109"/>
        <w:gridCol w:w="109"/>
        <w:gridCol w:w="277"/>
        <w:gridCol w:w="277"/>
        <w:gridCol w:w="536"/>
        <w:gridCol w:w="1032"/>
        <w:gridCol w:w="277"/>
        <w:gridCol w:w="109"/>
        <w:gridCol w:w="109"/>
        <w:gridCol w:w="109"/>
        <w:gridCol w:w="211"/>
        <w:gridCol w:w="406"/>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8" w:type="dxa"/>
            <w:gridSpan w:val="6"/>
            <w:tcBorders/>
            <w:shd w:fill="auto" w:val="clea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9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deposits and cash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credit ratings of short-term investments and available-for-sale fixed maturity securities at March 31, 2023 and December 31, 2022:</w:t>
      </w:r>
    </w:p>
    <w:tbl>
      <w:tblPr>
        <w:tblW w:w="6501" w:type="dxa"/>
        <w:jc w:val="left"/>
        <w:tblInd w:w="0" w:type="dxa"/>
        <w:tblCellMar>
          <w:top w:w="28" w:type="dxa"/>
          <w:left w:w="28" w:type="dxa"/>
          <w:bottom w:w="28" w:type="dxa"/>
          <w:right w:w="28" w:type="dxa"/>
        </w:tblCellMar>
      </w:tblPr>
      <w:tblGrid>
        <w:gridCol w:w="900"/>
        <w:gridCol w:w="792"/>
        <w:gridCol w:w="797"/>
        <w:gridCol w:w="280"/>
        <w:gridCol w:w="820"/>
        <w:gridCol w:w="145"/>
        <w:gridCol w:w="109"/>
        <w:gridCol w:w="109"/>
        <w:gridCol w:w="109"/>
        <w:gridCol w:w="211"/>
        <w:gridCol w:w="616"/>
        <w:gridCol w:w="109"/>
        <w:gridCol w:w="109"/>
        <w:gridCol w:w="109"/>
        <w:gridCol w:w="109"/>
        <w:gridCol w:w="307"/>
        <w:gridCol w:w="309"/>
        <w:gridCol w:w="561"/>
      </w:tblGrid>
      <w:tr>
        <w:trPr/>
        <w:tc>
          <w:tcPr>
            <w:tcW w:w="900"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S&amp;P Global rating or equivalent</w:t>
            </w:r>
          </w:p>
        </w:tc>
        <w:tc>
          <w:tcPr>
            <w:tcW w:w="40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r>
    </w:p>
    <w:tbl>
      <w:tblPr>
        <w:tblW w:w="6547" w:type="dxa"/>
        <w:jc w:val="left"/>
        <w:tblInd w:w="0" w:type="dxa"/>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S&amp;P Global rating or equivalent </w:t>
            </w:r>
          </w:p>
        </w:tc>
        <w:tc>
          <w:tcPr>
            <w:tcW w:w="40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4.</w:t>
      </w:r>
      <w:r>
        <w:rPr>
          <w:rFonts w:ascii="Times New Roman;sans-serif" w:hAnsi="Times New Roman;sans-serif"/>
          <w:b/>
          <w:color w:val="000000"/>
          <w:sz w:val="20"/>
        </w:rPr>
        <w:t>FAIR VALUE OF FINANCIAL INSTRUMENTS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assets measured and reported at fair value as of March 31, 2023 and December 31, 2022:</w:t>
      </w:r>
    </w:p>
    <w:tbl>
      <w:tblPr>
        <w:tblW w:w="7935" w:type="dxa"/>
        <w:jc w:val="left"/>
        <w:tblInd w:w="0" w:type="dxa"/>
        <w:tblCellMar>
          <w:top w:w="28" w:type="dxa"/>
          <w:left w:w="28" w:type="dxa"/>
          <w:bottom w:w="28" w:type="dxa"/>
          <w:right w:w="28" w:type="dxa"/>
        </w:tblCellMar>
      </w:tblPr>
      <w:tblGrid>
        <w:gridCol w:w="1218"/>
        <w:gridCol w:w="1073"/>
        <w:gridCol w:w="1084"/>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218"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Private Equity Investments Measured at Fair Value on a Non-Recurring Basis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equity investments that have been remeasured during the period due to an observable event or impairment are classified within Level 3 in the fair value hierarchy because we estimate the value based on valuation methods which may include a combination of the observable transaction price at the transaction date and other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unobservable inputs including volatility, rights, and obligations of the investments we hold. See Note 3, “Investments,” for further information on our private equity investments.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Long-Term Debt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March 31, 2023 and December 31, 2022, the carrying amounts and fair values of these financial instruments were as follows:</w:t>
      </w:r>
    </w:p>
    <w:tbl>
      <w:tblPr>
        <w:tblW w:w="10205" w:type="dxa"/>
        <w:jc w:val="left"/>
        <w:tblInd w:w="0" w:type="dxa"/>
        <w:tblCellMar>
          <w:top w:w="28" w:type="dxa"/>
          <w:left w:w="28" w:type="dxa"/>
          <w:bottom w:w="28" w:type="dxa"/>
          <w:right w:w="28" w:type="dxa"/>
        </w:tblCellMar>
      </w:tblPr>
      <w:tblGrid>
        <w:gridCol w:w="450"/>
        <w:gridCol w:w="396"/>
        <w:gridCol w:w="397"/>
        <w:gridCol w:w="318"/>
        <w:gridCol w:w="929"/>
        <w:gridCol w:w="164"/>
        <w:gridCol w:w="109"/>
        <w:gridCol w:w="109"/>
        <w:gridCol w:w="109"/>
        <w:gridCol w:w="556"/>
        <w:gridCol w:w="1626"/>
        <w:gridCol w:w="287"/>
        <w:gridCol w:w="109"/>
        <w:gridCol w:w="109"/>
        <w:gridCol w:w="109"/>
        <w:gridCol w:w="307"/>
        <w:gridCol w:w="898"/>
        <w:gridCol w:w="159"/>
        <w:gridCol w:w="109"/>
        <w:gridCol w:w="109"/>
        <w:gridCol w:w="109"/>
        <w:gridCol w:w="586"/>
        <w:gridCol w:w="1713"/>
        <w:gridCol w:w="438"/>
      </w:tblGrid>
      <w:tr>
        <w:trPr/>
        <w:tc>
          <w:tcPr>
            <w:tcW w:w="45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r>
      <w:tr>
        <w:trPr/>
        <w:tc>
          <w:tcPr>
            <w:tcW w:w="1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Carrying Amount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Carrying Amount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December 31, 2022</w:t>
            </w:r>
          </w:p>
        </w:tc>
      </w:tr>
      <w:tr>
        <w:trPr/>
        <w:tc>
          <w:tcPr>
            <w:tcW w:w="1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short-term financial instruments approximates their fair value due to their short-term nature.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5.</w:t>
      </w:r>
      <w:r>
        <w:rPr>
          <w:rFonts w:ascii="Times New Roman;sans-serif" w:hAnsi="Times New Roman;sans-serif"/>
          <w:b/>
          <w:color w:val="000000"/>
          <w:sz w:val="20"/>
        </w:rPr>
        <w:t>LOSS AND LOSS ADJUSTMENT EXPENSE RESERVES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reconciliation of the beginning and ending reserve balances for loss and LAE, net of reinsurance:</w:t>
      </w:r>
    </w:p>
    <w:tbl>
      <w:tblPr>
        <w:tblW w:w="6263" w:type="dxa"/>
        <w:jc w:val="left"/>
        <w:tblInd w:w="0" w:type="dxa"/>
        <w:tblCellMar>
          <w:top w:w="28" w:type="dxa"/>
          <w:left w:w="28" w:type="dxa"/>
          <w:bottom w:w="28" w:type="dxa"/>
          <w:right w:w="28" w:type="dxa"/>
        </w:tblCellMar>
      </w:tblPr>
      <w:tblGrid>
        <w:gridCol w:w="1387"/>
        <w:gridCol w:w="1216"/>
        <w:gridCol w:w="1221"/>
        <w:gridCol w:w="229"/>
        <w:gridCol w:w="671"/>
        <w:gridCol w:w="118"/>
        <w:gridCol w:w="118"/>
        <w:gridCol w:w="118"/>
        <w:gridCol w:w="118"/>
        <w:gridCol w:w="229"/>
        <w:gridCol w:w="671"/>
        <w:gridCol w:w="167"/>
      </w:tblGrid>
      <w:tr>
        <w:trPr/>
        <w:tc>
          <w:tcPr>
            <w:tcW w:w="1387"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January 1</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January 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incurred loss and LAE related to:</w:t>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paid loss and LAE related to:</w:t>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March 31</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 on unpaid losses</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March 31</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Incurred losses and LAE attributable to prior accident years was an increase of $1.4 million and a decrease of $0.1 million for the three months ended March 31, 2023 and 2022, respectively. For the three months ended March 31, 2023, the development of incurred losses and LAE related to prior periods was primarily driven by higher-than-expected reported losses on material damage claims due to higher vehicle repair costs and higher-than-expected LAE on prior accident period claims. For the three months ended March 31, 2022, the development of incurred losses related to prior periods was primarily related to lower-than-expected LAE on prior accident period claims, offset by higher-than-expected reported losses on material damage claims from inflationary impacts.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6.</w:t>
      </w:r>
      <w:r>
        <w:rPr>
          <w:rFonts w:ascii="Times New Roman;sans-serif" w:hAnsi="Times New Roman;sans-serif"/>
          <w:b/>
          <w:color w:val="000000"/>
          <w:sz w:val="20"/>
        </w:rPr>
        <w:t>REINSURANCE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amounts affecting the condensed consolidated statements of operations and comprehensive loss for reinsurance for the three months ended March 31, 2023 and 2022:</w:t>
      </w:r>
    </w:p>
    <w:tbl>
      <w:tblPr>
        <w:tblW w:w="6338" w:type="dxa"/>
        <w:jc w:val="left"/>
        <w:tblInd w:w="0" w:type="dxa"/>
        <w:tblCellMar>
          <w:top w:w="28" w:type="dxa"/>
          <w:left w:w="28" w:type="dxa"/>
          <w:bottom w:w="28" w:type="dxa"/>
          <w:right w:w="28" w:type="dxa"/>
        </w:tblCellMar>
      </w:tblPr>
      <w:tblGrid>
        <w:gridCol w:w="875"/>
        <w:gridCol w:w="768"/>
        <w:gridCol w:w="771"/>
        <w:gridCol w:w="109"/>
        <w:gridCol w:w="109"/>
        <w:gridCol w:w="226"/>
        <w:gridCol w:w="226"/>
        <w:gridCol w:w="439"/>
        <w:gridCol w:w="1281"/>
        <w:gridCol w:w="226"/>
        <w:gridCol w:w="109"/>
        <w:gridCol w:w="109"/>
        <w:gridCol w:w="109"/>
        <w:gridCol w:w="211"/>
        <w:gridCol w:w="616"/>
        <w:gridCol w:w="154"/>
      </w:tblGrid>
      <w:tr>
        <w:trPr/>
        <w:tc>
          <w:tcPr>
            <w:tcW w:w="8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2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LAE incurred: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and LAE incurred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In the event that all or any of the reinsuring companies might be unable to meet their obligations under existing reinsurance agreements, we would be liable to the policyholder for such defaulted amounts.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7.</w:t>
      </w:r>
      <w:r>
        <w:rPr>
          <w:rFonts w:ascii="Times New Roman;sans-serif" w:hAnsi="Times New Roman;sans-serif"/>
          <w:b/>
          <w:color w:val="000000"/>
          <w:sz w:val="20"/>
        </w:rPr>
        <w:t>LONG-TERM DEBT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a $300.0 million five-year term loan, or Term Loan, with the principal amount due and payable upon maturity on January 27, 2027. Interest is payable quarterly and is determined on a floating interest rate currently calculated on the Secured Overnight Financing Rate, with a 1.0% floor, plus 9.0%, plus 0.26161% per annum.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carrying value of long-term debt as of March 31, 2023 and December 31, 2022:</w:t>
      </w:r>
    </w:p>
    <w:tbl>
      <w:tblPr>
        <w:tblW w:w="7749" w:type="dxa"/>
        <w:jc w:val="left"/>
        <w:tblInd w:w="0" w:type="dxa"/>
        <w:tblCellMar>
          <w:top w:w="28" w:type="dxa"/>
          <w:left w:w="28" w:type="dxa"/>
          <w:bottom w:w="28" w:type="dxa"/>
          <w:right w:w="28" w:type="dxa"/>
        </w:tblCellMar>
      </w:tblPr>
      <w:tblGrid>
        <w:gridCol w:w="1674"/>
        <w:gridCol w:w="1468"/>
        <w:gridCol w:w="1477"/>
        <w:gridCol w:w="284"/>
        <w:gridCol w:w="829"/>
        <w:gridCol w:w="146"/>
        <w:gridCol w:w="109"/>
        <w:gridCol w:w="109"/>
        <w:gridCol w:w="109"/>
        <w:gridCol w:w="332"/>
        <w:gridCol w:w="970"/>
        <w:gridCol w:w="242"/>
      </w:tblGrid>
      <w:tr>
        <w:trPr/>
        <w:tc>
          <w:tcPr>
            <w:tcW w:w="1674"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8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1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debt issuance costs and warrants</w:t>
            </w:r>
          </w:p>
        </w:tc>
        <w:tc>
          <w:tcPr>
            <w:tcW w:w="11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8.</w:t>
      </w:r>
      <w:r>
        <w:rPr>
          <w:rFonts w:ascii="Times New Roman;sans-serif" w:hAnsi="Times New Roman;sans-serif"/>
          <w:b/>
          <w:color w:val="000000"/>
          <w:sz w:val="20"/>
        </w:rPr>
        <w:t>INCOME TAXES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effective tax rate was zero for the three months ended March 31, 2023 and 2022. The difference between these rates and the U.S. federal income tax rate of 21% was primarily due to a full valuation allowance on our U.S. deferred tax assets.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did not have any unrecognized tax benefits for uncertain tax positions and had no interest or penalties related to uncertain tax positions.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9.</w:t>
      </w:r>
      <w:r>
        <w:rPr>
          <w:rFonts w:ascii="Times New Roman;sans-serif" w:hAnsi="Times New Roman;sans-serif"/>
          <w:b/>
          <w:color w:val="000000"/>
          <w:sz w:val="20"/>
        </w:rPr>
        <w:t>RESTRUCTURING COSTS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 </w:t>
      </w:r>
    </w:p>
    <w:p>
      <w:pPr>
        <w:pStyle w:val="TextBody"/>
        <w:spacing w:lineRule="auto" w:line="288" w:before="0" w:after="180"/>
        <w:rPr/>
      </w:pPr>
      <w:r>
        <w:rPr>
          <w:rFonts w:ascii="Times New Roman;sans-serif" w:hAnsi="Times New Roman;sans-serif"/>
          <w:b/>
          <w:color w:val="000000"/>
          <w:sz w:val="20"/>
        </w:rPr>
        <w:t>Employee costs</w:t>
      </w:r>
      <w:r>
        <w:rPr>
          <w:color w:val="000000"/>
        </w:rPr>
        <w:t>—</w:t>
      </w:r>
      <w:r>
        <w:rPr>
          <w:rFonts w:ascii="Times New Roman;sans-serif" w:hAnsi="Times New Roman;sans-serif"/>
          <w:b w:val="false"/>
          <w:color w:val="000000"/>
          <w:sz w:val="20"/>
        </w:rPr>
        <w:t xml:space="preserve">consist of severance, benefits, share-based compensation, and employee compensation expense dependent upon continuous employment for certain employees and related employee costs. </w:t>
      </w:r>
    </w:p>
    <w:p>
      <w:pPr>
        <w:pStyle w:val="TextBody"/>
        <w:spacing w:lineRule="auto" w:line="288" w:before="0" w:after="180"/>
        <w:rPr/>
      </w:pPr>
      <w:r>
        <w:rPr>
          <w:rFonts w:ascii="Times New Roman;sans-serif" w:hAnsi="Times New Roman;sans-serif"/>
          <w:b/>
          <w:color w:val="000000"/>
          <w:sz w:val="20"/>
        </w:rPr>
        <w:t>Real estate exit costs</w:t>
      </w:r>
      <w:r>
        <w:rPr>
          <w:color w:val="000000"/>
        </w:rPr>
        <w:t>—</w:t>
      </w:r>
      <w:r>
        <w:rPr>
          <w:rFonts w:ascii="Times New Roman;sans-serif" w:hAnsi="Times New Roman;sans-serif"/>
          <w:b w:val="false"/>
          <w:color w:val="000000"/>
          <w:sz w:val="20"/>
        </w:rPr>
        <w:t>consist of real estate exit costs primarily related to accelerated amortization of right-of-use assets, leasehold improvements and furniture and fixtures.</w:t>
      </w:r>
    </w:p>
    <w:p>
      <w:pPr>
        <w:pStyle w:val="TextBody"/>
        <w:spacing w:lineRule="auto" w:line="288" w:before="0" w:after="180"/>
        <w:rPr/>
      </w:pPr>
      <w:r>
        <w:rPr>
          <w:rFonts w:ascii="Times New Roman;sans-serif" w:hAnsi="Times New Roman;sans-serif"/>
          <w:b/>
          <w:color w:val="000000"/>
          <w:sz w:val="20"/>
        </w:rPr>
        <w:t>Other costs</w:t>
      </w:r>
      <w:r>
        <w:rPr>
          <w:color w:val="000000"/>
        </w:rPr>
        <w:t>—</w:t>
      </w:r>
      <w:r>
        <w:rPr>
          <w:rFonts w:ascii="Times New Roman;sans-serif" w:hAnsi="Times New Roman;sans-serif"/>
          <w:b w:val="false"/>
          <w:color w:val="000000"/>
          <w:sz w:val="20"/>
        </w:rPr>
        <w:t>primarily consist of contract termination costs incurred as part of our efforts to improve efficiency and reduce operating costs and accelerated expense for software that no longer has economic benefit.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we expect to incur approximately $5.5 million of employee compensation expense, dependent upon continuous employment for certain employees, to be recognized ratably through the fourth quarter of 2023. We expect a cash expenditure related to these employee compensation costs in January 2024. As of March 31, 2023, we do not expect to incur any material additional expenditures related to real estate exit costs and other costs in future periods.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restructuring costs recorded in general and administrative expenses on the condensed consolidated statements of operations and comprehensive loss:</w:t>
      </w:r>
    </w:p>
    <w:tbl>
      <w:tblPr>
        <w:tblW w:w="9001" w:type="dxa"/>
        <w:jc w:val="left"/>
        <w:tblInd w:w="0" w:type="dxa"/>
        <w:tblCellMar>
          <w:top w:w="28" w:type="dxa"/>
          <w:left w:w="28" w:type="dxa"/>
          <w:bottom w:w="28" w:type="dxa"/>
          <w:right w:w="28" w:type="dxa"/>
        </w:tblCellMar>
      </w:tblPr>
      <w:tblGrid>
        <w:gridCol w:w="755"/>
        <w:gridCol w:w="664"/>
        <w:gridCol w:w="665"/>
        <w:gridCol w:w="284"/>
        <w:gridCol w:w="547"/>
        <w:gridCol w:w="147"/>
        <w:gridCol w:w="147"/>
        <w:gridCol w:w="147"/>
        <w:gridCol w:w="147"/>
        <w:gridCol w:w="284"/>
        <w:gridCol w:w="547"/>
        <w:gridCol w:w="147"/>
        <w:gridCol w:w="109"/>
        <w:gridCol w:w="109"/>
        <w:gridCol w:w="109"/>
        <w:gridCol w:w="886"/>
        <w:gridCol w:w="2147"/>
        <w:gridCol w:w="461"/>
        <w:gridCol w:w="109"/>
        <w:gridCol w:w="109"/>
        <w:gridCol w:w="109"/>
        <w:gridCol w:w="109"/>
        <w:gridCol w:w="109"/>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Incurred Through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621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costs</w:t>
            </w:r>
          </w:p>
        </w:tc>
        <w:tc>
          <w:tcPr>
            <w:tcW w:w="28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exit costs</w:t>
            </w:r>
          </w:p>
        </w:tc>
        <w:tc>
          <w:tcPr>
            <w:tcW w:w="8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8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a rollforward of the accrual for restructuring costs recorded in other liabilities on the condensed consolidated balance sheets:</w:t>
      </w:r>
    </w:p>
    <w:tbl>
      <w:tblPr>
        <w:tblW w:w="8047" w:type="dxa"/>
        <w:jc w:val="left"/>
        <w:tblInd w:w="0" w:type="dxa"/>
        <w:tblCellMar>
          <w:top w:w="28" w:type="dxa"/>
          <w:left w:w="28" w:type="dxa"/>
          <w:bottom w:w="28" w:type="dxa"/>
          <w:right w:w="28" w:type="dxa"/>
        </w:tblCellMar>
      </w:tblPr>
      <w:tblGrid>
        <w:gridCol w:w="1337"/>
        <w:gridCol w:w="1175"/>
        <w:gridCol w:w="1177"/>
        <w:gridCol w:w="348"/>
        <w:gridCol w:w="670"/>
        <w:gridCol w:w="182"/>
        <w:gridCol w:w="109"/>
        <w:gridCol w:w="109"/>
        <w:gridCol w:w="109"/>
        <w:gridCol w:w="109"/>
        <w:gridCol w:w="109"/>
        <w:gridCol w:w="270"/>
        <w:gridCol w:w="520"/>
        <w:gridCol w:w="139"/>
        <w:gridCol w:w="109"/>
        <w:gridCol w:w="109"/>
        <w:gridCol w:w="109"/>
        <w:gridCol w:w="318"/>
        <w:gridCol w:w="612"/>
        <w:gridCol w:w="164"/>
        <w:gridCol w:w="109"/>
        <w:gridCol w:w="154"/>
      </w:tblGrid>
      <w:tr>
        <w:trPr/>
        <w:tc>
          <w:tcPr>
            <w:tcW w:w="1337"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Employee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liability</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activity:</w:t>
            </w:r>
          </w:p>
        </w:tc>
        <w:tc>
          <w:tcPr>
            <w:tcW w:w="2674" w:type="dxa"/>
            <w:gridSpan w:val="1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ind w:left="0" w:right="0" w:hanging="180"/>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January 1, 2023</w:t>
            </w:r>
          </w:p>
        </w:tc>
        <w:tc>
          <w:tcPr>
            <w:tcW w:w="34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incurred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70"/>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March 31, 2023</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18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10.</w:t>
      </w:r>
      <w:r>
        <w:rPr>
          <w:rFonts w:ascii="Times New Roman;sans-serif" w:hAnsi="Times New Roman;sans-serif"/>
          <w:b/>
          <w:color w:val="000000"/>
          <w:sz w:val="20"/>
        </w:rPr>
        <w:t>SHARE-BASED COMPENSATION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spacing w:lineRule="auto" w:line="288" w:before="0" w:after="180"/>
        <w:rPr/>
      </w:pPr>
      <w:r>
        <w:rPr>
          <w:rFonts w:ascii="Times New Roman;sans-serif" w:hAnsi="Times New Roman;sans-serif"/>
          <w:b w:val="false"/>
          <w:color w:val="000000"/>
          <w:sz w:val="20"/>
        </w:rPr>
        <w:t xml:space="preserve">In October 2021, we issued Carvana </w:t>
      </w:r>
      <w:r>
        <w:rPr>
          <w:rFonts w:ascii="Times New Roman;sans-serif" w:hAnsi="Times New Roman;sans-serif"/>
          <w:b w:val="false"/>
          <w:color w:val="000000"/>
          <w:sz w:val="20"/>
          <w:highlight w:val="white"/>
        </w:rPr>
        <w:t>eight tranches of warrants, comprised of three tranches of “short-term warrants” and five tranches of “long-term warrants,” with the opportunity to purchase a maximum of 7.2 million</w:t>
      </w:r>
      <w:r>
        <w:rPr>
          <w:color w:val="000000"/>
        </w:rPr>
        <w:t xml:space="preserve"> </w:t>
      </w:r>
      <w:r>
        <w:rPr>
          <w:rFonts w:ascii="Times New Roman;sans-serif" w:hAnsi="Times New Roman;sans-serif"/>
          <w:b w:val="false"/>
          <w:color w:val="000000"/>
          <w:sz w:val="20"/>
        </w:rPr>
        <w:t>shares of Class A common stock.</w:t>
      </w:r>
      <w:r>
        <w:rPr>
          <w:color w:val="000000"/>
          <w:highlight w:val="white"/>
        </w:rPr>
        <w:t xml:space="preserve"> </w:t>
      </w:r>
      <w:r>
        <w:rPr>
          <w:rFonts w:ascii="Times New Roman;sans-serif" w:hAnsi="Times New Roman;sans-serif"/>
          <w:b w:val="false"/>
          <w:color w:val="000000"/>
          <w:sz w:val="20"/>
        </w:rPr>
        <w:t>As of March 31, 2023, we determined the remaining unvested short-term warrants were probable of vesting. Under that scenario, it is not a possible outcome for the long-term warrants to also vest, so they are considered not probable of vesting. We recognized warrant compensation expense related to these equity-classified warrants based on progress toward completing the integrated automobile insurance solution for Carvana’s online buying platform, or the Integrated Platform and policies originating through the Integrated Platform. All of these warrants are out-of-the-money and therefore have no intrinsic value as of March 31, 2023.</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warrant compensation expense recorded in the condensed consolidated statements of operations and comprehensive loss:</w:t>
      </w:r>
    </w:p>
    <w:tbl>
      <w:tblPr>
        <w:tblW w:w="6186" w:type="dxa"/>
        <w:jc w:val="left"/>
        <w:tblInd w:w="0" w:type="dxa"/>
        <w:tblCellMar>
          <w:top w:w="28" w:type="dxa"/>
          <w:left w:w="28" w:type="dxa"/>
          <w:bottom w:w="28" w:type="dxa"/>
          <w:right w:w="28" w:type="dxa"/>
        </w:tblCellMar>
      </w:tblPr>
      <w:tblGrid>
        <w:gridCol w:w="1120"/>
        <w:gridCol w:w="982"/>
        <w:gridCol w:w="988"/>
        <w:gridCol w:w="284"/>
        <w:gridCol w:w="547"/>
        <w:gridCol w:w="147"/>
        <w:gridCol w:w="147"/>
        <w:gridCol w:w="147"/>
        <w:gridCol w:w="147"/>
        <w:gridCol w:w="284"/>
        <w:gridCol w:w="547"/>
        <w:gridCol w:w="147"/>
        <w:gridCol w:w="109"/>
        <w:gridCol w:w="109"/>
        <w:gridCol w:w="109"/>
        <w:gridCol w:w="109"/>
        <w:gridCol w:w="109"/>
        <w:gridCol w:w="154"/>
      </w:tblGrid>
      <w:tr>
        <w:trPr/>
        <w:tc>
          <w:tcPr>
            <w:tcW w:w="112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8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 compensation expense</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$16.7 million of unrecognized compensation cost related to warrants. The remaining costs are expected to be recognized over a period of approximately two years.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Employee Share-Based Compensation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maintain an equity incentive plan, or the Plan, for the issuance and grant of equity awards (restricted stock, restricted stock units, or RSUs, and incentive and nonqualified stock options) to our officers, directors, employees and certain advisors. As of March 31, 2023, we had 2.6 million common shares authorized and available for issuance under the Plan.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share-based compensation expense recorded in the condensed consolidated statements of operations and comprehensive loss:</w:t>
      </w:r>
    </w:p>
    <w:tbl>
      <w:tblPr>
        <w:tblW w:w="6531" w:type="dxa"/>
        <w:jc w:val="left"/>
        <w:tblInd w:w="0" w:type="dxa"/>
        <w:tblCellMar>
          <w:top w:w="28" w:type="dxa"/>
          <w:left w:w="28" w:type="dxa"/>
          <w:bottom w:w="28" w:type="dxa"/>
          <w:right w:w="28" w:type="dxa"/>
        </w:tblCellMar>
      </w:tblPr>
      <w:tblGrid>
        <w:gridCol w:w="1245"/>
        <w:gridCol w:w="1092"/>
        <w:gridCol w:w="1098"/>
        <w:gridCol w:w="284"/>
        <w:gridCol w:w="547"/>
        <w:gridCol w:w="147"/>
        <w:gridCol w:w="147"/>
        <w:gridCol w:w="147"/>
        <w:gridCol w:w="147"/>
        <w:gridCol w:w="284"/>
        <w:gridCol w:w="547"/>
        <w:gridCol w:w="147"/>
        <w:gridCol w:w="109"/>
        <w:gridCol w:w="109"/>
        <w:gridCol w:w="109"/>
        <w:gridCol w:w="109"/>
        <w:gridCol w:w="109"/>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total share-based compensation expense by type of award: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r>
    </w:p>
    <w:tbl>
      <w:tblPr>
        <w:tblW w:w="6313" w:type="dxa"/>
        <w:jc w:val="left"/>
        <w:tblInd w:w="0" w:type="dxa"/>
        <w:tblCellMar>
          <w:top w:w="28" w:type="dxa"/>
          <w:left w:w="28" w:type="dxa"/>
          <w:bottom w:w="28" w:type="dxa"/>
          <w:right w:w="28" w:type="dxa"/>
        </w:tblCellMar>
      </w:tblPr>
      <w:tblGrid>
        <w:gridCol w:w="1245"/>
        <w:gridCol w:w="1092"/>
        <w:gridCol w:w="1098"/>
        <w:gridCol w:w="284"/>
        <w:gridCol w:w="547"/>
        <w:gridCol w:w="147"/>
        <w:gridCol w:w="147"/>
        <w:gridCol w:w="147"/>
        <w:gridCol w:w="147"/>
        <w:gridCol w:w="284"/>
        <w:gridCol w:w="547"/>
        <w:gridCol w:w="147"/>
        <w:gridCol w:w="109"/>
        <w:gridCol w:w="109"/>
        <w:gridCol w:w="109"/>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$1.7 million and $26.9 million of unrecognized compensation cost related to unvested stock options and RSUs, respectively. The remaining costs are expected to be recognized over a period of approximately three years for unvested stock options and four years for RSUs.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for the three months ended March 31, 2023 is as follows:</w:t>
      </w:r>
    </w:p>
    <w:tbl>
      <w:tblPr>
        <w:tblW w:w="8456" w:type="dxa"/>
        <w:jc w:val="left"/>
        <w:tblInd w:w="0" w:type="dxa"/>
        <w:tblCellMar>
          <w:top w:w="28" w:type="dxa"/>
          <w:left w:w="28" w:type="dxa"/>
          <w:bottom w:w="28" w:type="dxa"/>
          <w:right w:w="28" w:type="dxa"/>
        </w:tblCellMar>
      </w:tblPr>
      <w:tblGrid>
        <w:gridCol w:w="919"/>
        <w:gridCol w:w="805"/>
        <w:gridCol w:w="811"/>
        <w:gridCol w:w="109"/>
        <w:gridCol w:w="109"/>
        <w:gridCol w:w="109"/>
        <w:gridCol w:w="469"/>
        <w:gridCol w:w="469"/>
        <w:gridCol w:w="471"/>
        <w:gridCol w:w="115"/>
        <w:gridCol w:w="115"/>
        <w:gridCol w:w="115"/>
        <w:gridCol w:w="331"/>
        <w:gridCol w:w="968"/>
        <w:gridCol w:w="172"/>
        <w:gridCol w:w="115"/>
        <w:gridCol w:w="115"/>
        <w:gridCol w:w="115"/>
        <w:gridCol w:w="552"/>
        <w:gridCol w:w="1066"/>
        <w:gridCol w:w="406"/>
      </w:tblGrid>
      <w:tr>
        <w:trPr/>
        <w:tc>
          <w:tcPr>
            <w:tcW w:w="919"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5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for the three months ended March 31, 2023 is as follows:</w:t>
      </w:r>
    </w:p>
    <w:tbl>
      <w:tblPr>
        <w:tblW w:w="10205" w:type="dxa"/>
        <w:jc w:val="left"/>
        <w:tblInd w:w="0" w:type="dxa"/>
        <w:tblCellMar>
          <w:top w:w="28" w:type="dxa"/>
          <w:left w:w="28" w:type="dxa"/>
          <w:bottom w:w="28" w:type="dxa"/>
          <w:right w:w="28" w:type="dxa"/>
        </w:tblCellMar>
      </w:tblPr>
      <w:tblGrid>
        <w:gridCol w:w="825"/>
        <w:gridCol w:w="726"/>
        <w:gridCol w:w="732"/>
        <w:gridCol w:w="327"/>
        <w:gridCol w:w="327"/>
        <w:gridCol w:w="329"/>
        <w:gridCol w:w="109"/>
        <w:gridCol w:w="109"/>
        <w:gridCol w:w="109"/>
        <w:gridCol w:w="428"/>
        <w:gridCol w:w="1254"/>
        <w:gridCol w:w="222"/>
        <w:gridCol w:w="109"/>
        <w:gridCol w:w="109"/>
        <w:gridCol w:w="109"/>
        <w:gridCol w:w="892"/>
        <w:gridCol w:w="892"/>
        <w:gridCol w:w="894"/>
        <w:gridCol w:w="109"/>
        <w:gridCol w:w="109"/>
        <w:gridCol w:w="109"/>
        <w:gridCol w:w="373"/>
        <w:gridCol w:w="720"/>
        <w:gridCol w:w="283"/>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2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exercise price and term amounts)</w:t>
            </w:r>
          </w:p>
        </w:tc>
      </w:tr>
      <w:tr>
        <w:trPr/>
        <w:tc>
          <w:tcPr>
            <w:tcW w:w="2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January 1, 2023</w:t>
            </w:r>
          </w:p>
        </w:tc>
        <w:tc>
          <w:tcPr>
            <w:tcW w:w="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March 31, 2023</w:t>
            </w:r>
          </w:p>
        </w:tc>
        <w:tc>
          <w:tcPr>
            <w:tcW w:w="6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11.</w:t>
      </w:r>
      <w:r>
        <w:rPr>
          <w:rFonts w:ascii="Times New Roman;sans-serif" w:hAnsi="Times New Roman;sans-serif"/>
          <w:b/>
          <w:color w:val="000000"/>
          <w:sz w:val="20"/>
        </w:rPr>
        <w:t xml:space="preserve">COMMITMENTS AND CONTINGENCIES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On February 9, 2023, a purported class action complaint was filed against the Company’s subsidiary, Root Insurance Company, in the U.S. District Court for the Middle District of Louisiana (Case No. 3:23-cv-00089-JWD-RLB) by an individual on her behalf and further claiming to represent a putative class of insureds. The complaint alleges that Root Insurance Company breached its insurance contract and violated specific provisions of Louisiana law in settling her vehicle total loss claim. The complaint seeks damages to include payment of alleged benefits owed under the policy, in addition to pre- and post-judgment interest, statutory penalties, attorneys fees and costs, and injunctive relief on behalf of the named plaintiff and the putative class members. The Company believes that the claims in this lawsuit are without merit and intends to defend against them vigorously. The lawsuit is in its early stages. Therefore, at this time, we cannot predict the outcome or estimate the likelihood or magnitude of our possible or potential loss contingency.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On December 19, 2022, a purported class action complaint was filed against the Company’s subsidiary, Root Insurance Company, in the U.S. District Court for the Western District of Texas (Case No. 1:22-cv-01328-LY) by an individual on her behalf and further claiming to represent a putative class of insureds. The complaint alleges that Root Insurance Company breached its insurance contract and violated specific provisions of the Texas Prompt Payment of Claims Act for an alleged failure to include sales tax in total loss vehicle settlements. The complaint seeks damages to include payment of alleged benefits owed under the policy, in addition to pre- and post-judgment interest and attorneys fees on behalf of the named plaintiff and the putative class members. Root Insurance Company has moved to dismiss the claims set forth in the complaint. The Company believes that the claims in this lawsuit are without merit and intends to defend against them vigorously. The lawsuit is in its early stages. Therefore, at this time, we cannot predict the outcome or estimate the likelihood or magnitude of our possible or potential loss contingency.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Securities Exchange Act of 1934, or the Exchange Act, and Rule 10b-5 thereunder, breached their fiduciary duties and/or aided and abetted the breach of fiduciary duties, were unjustly enriched, wasted corporate assets, and are liable under Section 11(f) of the Securities Act of 1933, or the Securities Act, in connection with and following the Company’s initial public offering. The complaint seeks unspecified damages. The Company believes that the claims in this lawsuit are without merit and intends to defend against them vigorously. The lawsuit is currently stayed pending final resolution of the below matter and, at this time, we are unable to predict the outcome and we cannot estimate the likelihood or magnitude of our possible or potential loss contingency.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Exchange Act and Rule 10b-5 thereunder, and of Sections 11 and 15 of the Securities Act in connection with and following the Company’s initial public offering. The complaint seeks unspecified damages. The defendants motion to dismiss the claims set forth in the complaint was granted and the lawsuit was dismissed with prejudice on March 31, 2023, which dismissal has been appealed.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are contingently liable for possible future assessments under regulatory requirements for insolvencies and impairments of unaffiliated insurance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12.</w:t>
      </w:r>
      <w:r>
        <w:rPr>
          <w:rFonts w:ascii="Times New Roman;sans-serif" w:hAnsi="Times New Roman;sans-serif"/>
          <w:b/>
          <w:color w:val="000000"/>
          <w:sz w:val="20"/>
        </w:rPr>
        <w:t>LOSS PER SHARE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computation of basic and diluted loss per share for both Class A and Class B common stock for the three months ended March 31, 2023 and 2022:</w:t>
      </w:r>
    </w:p>
    <w:tbl>
      <w:tblPr>
        <w:tblW w:w="10205" w:type="dxa"/>
        <w:jc w:val="left"/>
        <w:tblInd w:w="0" w:type="dxa"/>
        <w:tblCellMar>
          <w:top w:w="28" w:type="dxa"/>
          <w:left w:w="28" w:type="dxa"/>
          <w:bottom w:w="28" w:type="dxa"/>
          <w:right w:w="28" w:type="dxa"/>
        </w:tblCellMar>
      </w:tblPr>
      <w:tblGrid>
        <w:gridCol w:w="2343"/>
        <w:gridCol w:w="2049"/>
        <w:gridCol w:w="2085"/>
        <w:gridCol w:w="109"/>
        <w:gridCol w:w="109"/>
        <w:gridCol w:w="217"/>
        <w:gridCol w:w="217"/>
        <w:gridCol w:w="421"/>
        <w:gridCol w:w="1164"/>
        <w:gridCol w:w="217"/>
        <w:gridCol w:w="109"/>
        <w:gridCol w:w="109"/>
        <w:gridCol w:w="109"/>
        <w:gridCol w:w="211"/>
        <w:gridCol w:w="578"/>
        <w:gridCol w:w="158"/>
      </w:tblGrid>
      <w:tr>
        <w:trPr/>
        <w:tc>
          <w:tcPr>
            <w:tcW w:w="2343"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74" w:type="dxa"/>
            <w:gridSpan w:val="6"/>
            <w:tcBorders/>
            <w:shd w:fill="auto" w:val="clear"/>
          </w:tcPr>
          <w:p>
            <w:pPr>
              <w:pStyle w:val="TableContents"/>
              <w:spacing w:before="0" w:after="283"/>
              <w:rPr>
                <w:sz w:val="4"/>
                <w:szCs w:val="4"/>
              </w:rPr>
            </w:pPr>
            <w:r>
              <w:rPr>
                <w:sz w:val="4"/>
                <w:szCs w:val="4"/>
              </w:rPr>
            </w:r>
          </w:p>
        </w:tc>
      </w:tr>
      <w:tr>
        <w:trPr/>
        <w:tc>
          <w:tcPr>
            <w:tcW w:w="6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07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6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58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We excluded the following potentially dilutive common stock equivalents, presented based on amounts outstanding at each period end, from the computation of diluted loss per share attributable to common shareholders for the periods indicated because including them would have had an anti-dilutive effect: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571" w:type="dxa"/>
        <w:jc w:val="left"/>
        <w:tblInd w:w="0" w:type="dxa"/>
        <w:tblCellMar>
          <w:top w:w="28" w:type="dxa"/>
          <w:left w:w="28" w:type="dxa"/>
          <w:bottom w:w="28" w:type="dxa"/>
          <w:right w:w="28" w:type="dxa"/>
        </w:tblCellMar>
      </w:tblPr>
      <w:tblGrid>
        <w:gridCol w:w="2157"/>
        <w:gridCol w:w="1903"/>
        <w:gridCol w:w="1910"/>
        <w:gridCol w:w="203"/>
        <w:gridCol w:w="203"/>
        <w:gridCol w:w="156"/>
        <w:gridCol w:w="140"/>
        <w:gridCol w:w="140"/>
        <w:gridCol w:w="140"/>
        <w:gridCol w:w="203"/>
        <w:gridCol w:w="203"/>
        <w:gridCol w:w="213"/>
      </w:tblGrid>
      <w:tr>
        <w:trPr/>
        <w:tc>
          <w:tcPr>
            <w:tcW w:w="2157"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5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subject to repurchase</w:t>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(as converted to common stock)</w:t>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562"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562"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562"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562"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562"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color w:val="000000"/>
          <w:sz w:val="20"/>
        </w:rPr>
        <w:t>13.</w:t>
      </w:r>
      <w:r>
        <w:rPr>
          <w:rFonts w:ascii="Times New Roman;sans-serif" w:hAnsi="Times New Roman;sans-serif"/>
          <w:b/>
          <w:color w:val="000000"/>
          <w:sz w:val="20"/>
        </w:rPr>
        <w:t>GEOGRAPHICAL BREAKDOWN OF GROSS PREMIUMS WRITTEN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Gross premiums written by state is as follows for the three months ended March 31, 2023 and 2022:</w:t>
      </w:r>
    </w:p>
    <w:tbl>
      <w:tblPr>
        <w:tblW w:w="8235" w:type="dxa"/>
        <w:jc w:val="left"/>
        <w:tblInd w:w="0" w:type="dxa"/>
        <w:tblCellMar>
          <w:top w:w="28" w:type="dxa"/>
          <w:left w:w="28" w:type="dxa"/>
          <w:bottom w:w="28" w:type="dxa"/>
          <w:right w:w="28" w:type="dxa"/>
        </w:tblCellMar>
      </w:tblPr>
      <w:tblGrid>
        <w:gridCol w:w="507"/>
        <w:gridCol w:w="446"/>
        <w:gridCol w:w="457"/>
        <w:gridCol w:w="109"/>
        <w:gridCol w:w="109"/>
        <w:gridCol w:w="164"/>
        <w:gridCol w:w="164"/>
        <w:gridCol w:w="164"/>
        <w:gridCol w:w="164"/>
        <w:gridCol w:w="164"/>
        <w:gridCol w:w="164"/>
        <w:gridCol w:w="318"/>
        <w:gridCol w:w="930"/>
        <w:gridCol w:w="164"/>
        <w:gridCol w:w="109"/>
        <w:gridCol w:w="109"/>
        <w:gridCol w:w="109"/>
        <w:gridCol w:w="307"/>
        <w:gridCol w:w="309"/>
        <w:gridCol w:w="501"/>
        <w:gridCol w:w="109"/>
        <w:gridCol w:w="109"/>
        <w:gridCol w:w="109"/>
        <w:gridCol w:w="211"/>
        <w:gridCol w:w="616"/>
        <w:gridCol w:w="109"/>
        <w:gridCol w:w="109"/>
        <w:gridCol w:w="109"/>
        <w:gridCol w:w="109"/>
        <w:gridCol w:w="307"/>
        <w:gridCol w:w="309"/>
        <w:gridCol w:w="561"/>
      </w:tblGrid>
      <w:tr>
        <w:trPr/>
        <w:tc>
          <w:tcPr>
            <w:tcW w:w="50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211" w:type="dxa"/>
            <w:gridSpan w:val="18"/>
            <w:tcBorders/>
            <w:shd w:fill="auto" w:val="clea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64"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767" w:type="dxa"/>
            <w:gridSpan w:val="12"/>
            <w:tcBorders/>
            <w:shd w:fill="auto" w:val="clea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56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2022 filed with the Securities and Exchange Commission, or SEC, on February 22, 2023, or the 2022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2022 10-K for a discussion of important factors that could cause our actual results to differ materially from those anticipated in these forward-looking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Root is a tech-enabled insurance company revolutionizing personal insurance with a pricing model based upon fairness and a modern customer experience. We operate primarily a direct-to-consumer model in which we currently acquire the majority of our customers through mobile applications. We are also focused on expanding our embedded insurance platform, where we acquire customers through strategic partnerships.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Root advantage is derived from our unique ability to efficiently and effectively bind auto insurance policies quickly, through direct and embedded channels, aided by segmenting individual risk based on complex behavioral data and proprietary telematics.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model benefits from portfolio maturity. As we scale the business and develop our embedded products, our results are disproportionately weighted towards new customers compared to traditional insurance carriers. As we build an underlying base of recurring customers, we expect the following financial impacts: </w:t>
      </w:r>
    </w:p>
    <w:p>
      <w:pPr>
        <w:pStyle w:val="TextBody"/>
        <w:spacing w:lineRule="auto" w:line="288" w:before="0" w:after="180"/>
        <w:rPr/>
      </w:pPr>
      <w:r>
        <w:rPr>
          <w:color w:val="000000"/>
        </w:rPr>
        <w:t>•</w:t>
      </w:r>
      <w:r>
        <w:rPr>
          <w:rFonts w:ascii="Times New Roman;sans-serif" w:hAnsi="Times New Roman;sans-serif"/>
          <w:b/>
          <w:i/>
          <w:color w:val="000000"/>
          <w:sz w:val="20"/>
        </w:rPr>
        <w:t>Improved loss ratio.</w:t>
      </w:r>
      <w:r>
        <w:rPr>
          <w:color w:val="000000"/>
        </w:rPr>
        <w:t xml:space="preserve"> </w:t>
      </w:r>
      <w:r>
        <w:rPr>
          <w:rFonts w:ascii="Times New Roman;sans-serif" w:hAnsi="Times New Roman;sans-serif"/>
          <w:b w:val="false"/>
          <w:color w:val="000000"/>
          <w:sz w:val="20"/>
        </w:rPr>
        <w:t xml:space="preserve">Renewal premiums, referring to premiums from a customer’s second term and beyond, have lower loss ratios as compared to new premiums in the customer’s first term. As we grow our business, we anticipate, consistent with industry norms, that a greater proportion of our premiums will be from customer renewals and drive down the loss ratio across our portfolio. We also continue to revise contracts to tighten underwriting and implement rate increases to control the impact of increased loss costs. </w:t>
      </w:r>
    </w:p>
    <w:p>
      <w:pPr>
        <w:pStyle w:val="TextBody"/>
        <w:spacing w:lineRule="auto" w:line="288" w:before="0" w:after="180"/>
        <w:rPr/>
      </w:pPr>
      <w:r>
        <w:rPr>
          <w:color w:val="000000"/>
        </w:rPr>
        <w:t>•</w:t>
      </w:r>
      <w:r>
        <w:rPr>
          <w:rFonts w:ascii="Times New Roman;sans-serif" w:hAnsi="Times New Roman;sans-serif"/>
          <w:b/>
          <w:i/>
          <w:color w:val="000000"/>
          <w:sz w:val="20"/>
        </w:rPr>
        <w:t>Reduced marketing as a percentage of premium</w:t>
      </w:r>
      <w:r>
        <w:rPr>
          <w:rFonts w:ascii="Times New Roman;sans-serif" w:hAnsi="Times New Roman;sans-serif"/>
          <w:b w:val="false"/>
          <w:color w:val="000000"/>
          <w:sz w:val="20"/>
        </w:rPr>
        <w:t>. Certain recurring customer premiums have no associated customer acquisition costs and minimal underwriting costs, driving profitability. As we grow our business, we anticipate, consistent with industry norms, that a greater proportion of our premiums will be from customer renewals without associated marketing costs.</w:t>
      </w:r>
    </w:p>
    <w:p>
      <w:pPr>
        <w:pStyle w:val="TextBody"/>
        <w:spacing w:lineRule="auto" w:line="288" w:before="0" w:after="180"/>
        <w:rPr/>
      </w:pPr>
      <w:r>
        <w:rPr>
          <w:color w:val="000000"/>
        </w:rPr>
        <w:t>•</w:t>
      </w:r>
      <w:r>
        <w:rPr>
          <w:rFonts w:ascii="Times New Roman;sans-serif" w:hAnsi="Times New Roman;sans-serif"/>
          <w:b/>
          <w:i/>
          <w:color w:val="000000"/>
          <w:sz w:val="20"/>
        </w:rPr>
        <w:t>Increased revenue per customer</w:t>
      </w:r>
      <w:r>
        <w:rPr>
          <w:rFonts w:ascii="Times New Roman;sans-serif" w:hAnsi="Times New Roman;sans-serif"/>
          <w:b w:val="false"/>
          <w:color w:val="000000"/>
          <w:sz w:val="20"/>
        </w:rPr>
        <w:t>. Over time we expect to refine our fee schedules to be more consistent with industry norms. This, paired with strengthened underwriting, will facilitate the opportunity to generate additional fee revenue per customer.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technology to drive efficiency across all functions, including distribution, underwriting, policy administration and claims in particular. We believe this allows us to operate with a cost to acquire and cost to serve advantage. We continue to develop machine learning loss models, which allows us to respond more quickly to changes in the market, improve pricing segmentation and take appropriate and timely rate actions. We efficiently acquire customers directly through multiple channels, including embedded, digital (performance), channel media, referrals and agency. Our evolving acquisition strategy includes utilizing our embedded platform through current and future embedded partners. Traditionally, our marketing costs have historically been well below industry averages, although in any given period, these costs can vary by acquisition strategy, channel mix, by state, or due to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seasonality or due to the competitive environment. Today, we acquire the vast majority of our customers through mobile applications and our embedded platform. We believe that through prudent investment in and diversification of our marketing channels, including a focus on embedded insurance through our current and future strategic partners, and leveraging proprietary data science and technology will position us for more sustainable, long-term and profitable growth.</w:t>
      </w:r>
    </w:p>
    <w:p>
      <w:pPr>
        <w:pStyle w:val="TextBody"/>
        <w:spacing w:lineRule="auto" w:line="288" w:before="0" w:after="180"/>
        <w:rPr/>
      </w:pPr>
      <w:r>
        <w:rPr>
          <w:rFonts w:ascii="Times New Roman;sans-serif" w:hAnsi="Times New Roman;sans-serif"/>
          <w:b w:val="false"/>
          <w:color w:val="000000"/>
          <w:sz w:val="20"/>
        </w:rPr>
        <w:t>As a full-stack insurance company, we currently employ a “capital-efficient”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expect to maintain an elevated level of third-party quota share reinsurance while scaling our business in order to operate a capital-efficient business model. As our business scales, we expect to have the flexibility to reduce our quota share levels to maximize the return to shareholders.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are not achievable under our regulatory landscape given our historical top-line growth and resulting capital requirements, which are relieved, in part, by obtaining reinsurance.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gross basis metrics, management uses adjusted earnings before interest, tax, depreciation,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key metrics, see “— Key Performance Indicators” and for reconciliations of Direct Contribution and adjusted EBITDA to the most directly comparable generally accepted accounting principles in the United States, or GAAP, metric, see “— Non-GAAP Financial Measures.”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Recent Developments Affecting Comparability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 Macroeconomic Factors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Economic instability has led to acute inflationary pressures, supply chain disruptions, rising interest rates, a downturn in equity markets and recent bank failures. There is a risk of inflation remaining elevated for an extended period, which could cause claims and claim expenses to increase, impact the performance of our investment portfolio or have other adverse effects. We have seen an increase in the value of used vehicles and replacement parts. These cost increases have resulted in greater claims severity while being partially offset by higher subrogation recoveries on damaged vehicles.We continue to file in multiple states to establish rates that more closely follow the evolving loss cost trends. Rising interest rates and reduced equity values have increased the cost of capital and may limit our ability to raise additional capital.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declared COVID-19 a global pandemic.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the COVID-19 pandemic continues, there is ongoing uncertainty around the severity and duration of the pandemic and the pandemic’s potential impact on our business and our financial performance. See the section titled “Risk Factors” in the 2022 10-K for more details.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Comprehensive Reinsurance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direct contribution and adjusted EBITDA and their reconciliations to the most directly comparable GAAP measures.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r>
    </w:p>
    <w:tbl>
      <w:tblPr>
        <w:tblW w:w="6988" w:type="dxa"/>
        <w:jc w:val="left"/>
        <w:tblInd w:w="0" w:type="dxa"/>
        <w:tblCellMar>
          <w:top w:w="28" w:type="dxa"/>
          <w:left w:w="28" w:type="dxa"/>
          <w:bottom w:w="28" w:type="dxa"/>
          <w:right w:w="28" w:type="dxa"/>
        </w:tblCellMar>
      </w:tblPr>
      <w:tblGrid>
        <w:gridCol w:w="960"/>
        <w:gridCol w:w="845"/>
        <w:gridCol w:w="849"/>
        <w:gridCol w:w="109"/>
        <w:gridCol w:w="109"/>
        <w:gridCol w:w="198"/>
        <w:gridCol w:w="198"/>
        <w:gridCol w:w="400"/>
        <w:gridCol w:w="1170"/>
        <w:gridCol w:w="514"/>
        <w:gridCol w:w="113"/>
        <w:gridCol w:w="113"/>
        <w:gridCol w:w="113"/>
        <w:gridCol w:w="219"/>
        <w:gridCol w:w="642"/>
        <w:gridCol w:w="282"/>
        <w:gridCol w:w="154"/>
      </w:tblGrid>
      <w:tr>
        <w:trPr/>
        <w:tc>
          <w:tcPr>
            <w:tcW w:w="9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97" w:type="dxa"/>
            <w:gridSpan w:val="4"/>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5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premiums per policy)</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Policies in force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199,685 </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335,273 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per policy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in force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28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expense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82"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28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514"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82"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LAE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14"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8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expense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82"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514"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8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514"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82"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Policies in Force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Premiums per Policy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Premiums in Force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Gross Premiums Written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Gross Premiums Earned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Gross Profit/(Loss)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gross profit/(loss) as total revenue minus net loss and LAE and other insurance expense. We view gross profit/(loss) as an important metric because we believe it is informative of the financial performance of our core insurance business.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direct contribution, a non-GAAP financial measure, as gross profit/(loss) excluding net investment income, net realized gains on investments, report costs, salaries, health benefits, bonuses, employee retirement plan related expenses and employee share-based compensation expense, allocated overhead, licenses, net commissions, professional fees and other expenses,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progress towards the profitability of our total policy portfolio prior to the impact of reinsurance.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See the section titled “— Non-GAAP Financial Measures” for a reconciliation of total revenue to direct contribution.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 non-GAAP financial measure, as net loss excluding interest expense, income tax expense, depreciation and amortization, share-based compensation, warrant compensation expense, restructuring charges, write-off of prepaid marketing expenses,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calculated in accordance with GAAP, and other companies may define adjusted EBITDA differently.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See the section titled “— Non-GAAP Financial Measures” for a reconciliation of net loss to adjusted EBITDA.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Net Loss and LAE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net loss and LAE ratio expressed as a percentage, as the ratio of net loss and LAE to net premiums earned. We view net loss and LAE ratio as important metric because it allows us to evaluate loss trends as a percentage of net premiums and believe it is useful for investors to evaluate those separately from other operating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Net Expense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Net Combined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Gross Loss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Gross LAE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Currently, we do not cede any of our LAE to our third-party quota share reinsurance treaties; therefore, we actively monitor LAE ratio as it has a direct impact on our results regardless of our reinsurance strategy.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Gross Expense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Gross Combined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reflects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Gross Accident Period Loss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net premiums earned, net investment income, net realized gains on investments, fee income and other income.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We expect net premiums earned to decrease in the short-term as our policies in force decrease continues to outpace premiums written from new business. In the near-term, we expect to grow new writings with our embedded products and greater premiums per policy to generate growth in net premiums earned.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Net Investment Income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Net investment income represents interest earned from our fixed maturity and short-term investments and cash and cash equivalents and unrealized gains and losses from our private equity investments less investment expenses. Net investment income is directly correlated with the overall size of our investment portfolio, market level of interest rates and changes in fair value of our private equity investments. Net investment income will vary with the size and composition of our investment portfolio, market returns and the investment strategy.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Net Realized Gains on Investments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 represents the difference between the amount received by us on the sale of an investment as compared to the investment’s amortized cost basis.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Fee Income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income is primarily comprised of revenue earned from distributing website and app policy inquiry leads in geographies where we do not have a presence, recognized when we generate the lead; commissions earned for homeowners policies placed with third-party insurance companies where we have no exposure to the insured risk, recognized on the effective date of the associated policy.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loss and LAE, sales and marketing, other insurance expense, technology and development, and general and administrative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Loss and LAE may be paid out over a period of years.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Various other expenses incurred during claims processing are considered LAE. These amounts include claims related salaries, health benefits, bonuses, employee retirement plan related expenses and employee share-based compensation expense, or Personnel Costs, for claims related employees; software expense; internally developed software amortization; and overhead allocated based on headcount, or Overhead.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includes spending related to performance and embedded channels, channel media, advertising, branding, public relations, sponsorship, consumer insights and referral fees. These expenses also include related Personnel Costs, Overhead and certain warrant compensation expense related to our embedded channel. We incur sales and marketing expenses for all product offerings. Sales and marketing are expensed as incurred. Certain warrant compensation expense is recognized on a pro-rata basis considering progress toward completing the Integrated Platform under the Carvana commercial agreement.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plan to continue investing in and diversifying our marketing channels, including costs incurred related to our embedded channel, to attract and acquire new customers, increase our brand awareness, and expand our product offerings within certain markets. We expect that in the long term, our sales and marketing will decrease as a percentage of revenue as the proportion of renewals to our total business increases.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Insurance Expense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insurance expense includes underwriting expenses, credit card and policy processing expenses, premium write-offs, insurance license expenses, certain warrant compensation expense related to our embedded channel, and Personnel Costs and Overhead related to actuarial and certain data science activities. Other insurance expense also includes amortization of deferred acquisition costs like certain commissions,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 These expenses are also recognized net of ceding commissions earned. Certain warrant compensation expense is recognized on a pro-rata basis for policies originated from the Integrated Platform towards milestones as defined under the Carvana commercial agreement.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relate to external professional service expenses; Personnel Costs and Overhead for corporate functions; and depreciation expense for computers, furniture and other fixed assets; write-offs; and restructuring costs which include employee costs, real estate exit costs and other costs. General and administrative expenses are expensed as incurred. We expect general and administrative expenses to decrease as a percentage of total revenue over time.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before="0" w:after="180"/>
        <w:rPr/>
      </w:pPr>
      <w:r>
        <w:rPr/>
      </w:r>
    </w:p>
    <w:tbl>
      <w:tblPr>
        <w:tblW w:w="9643" w:type="dxa"/>
        <w:jc w:val="left"/>
        <w:tblInd w:w="0" w:type="dxa"/>
        <w:tblCellMar>
          <w:top w:w="28" w:type="dxa"/>
          <w:left w:w="28" w:type="dxa"/>
          <w:bottom w:w="28" w:type="dxa"/>
          <w:right w:w="28" w:type="dxa"/>
        </w:tblCellMar>
      </w:tblPr>
      <w:tblGrid>
        <w:gridCol w:w="1676"/>
        <w:gridCol w:w="1476"/>
        <w:gridCol w:w="1482"/>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383"/>
        <w:gridCol w:w="383"/>
        <w:gridCol w:w="544"/>
      </w:tblGrid>
      <w:tr>
        <w:trPr/>
        <w:tc>
          <w:tcPr>
            <w:tcW w:w="1676"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gains (losses) on investments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Net premiums earned decreased $18.3 million, or 23.4%, to $60.0 million, for the three months ended March 31, 2023, compared to the same period in 2022. The decrease was primarily due to lower policies in force, partially offset by an increase in premium per policy resulting from rate actions.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ceded approximately 53.9% and 55.2% of our gross premiums earned to third-party reinsurers, respectively. The change in ceding percentage between periods was primarily driven by retaining a slightly larger share of our book of business.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18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premiums written, ceded premiums written, net premiums written, gross premiums earned, ceded premiums earned and net premiums earned for the three months ended March 31, 2023 and 2022: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191" w:type="dxa"/>
        <w:jc w:val="left"/>
        <w:tblInd w:w="0" w:type="dxa"/>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483"/>
        <w:gridCol w:w="109"/>
        <w:gridCol w:w="154"/>
      </w:tblGrid>
      <w:tr>
        <w:trPr/>
        <w:tc>
          <w:tcPr>
            <w:tcW w:w="761"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8"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4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48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4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48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decrease in gross premiums earned was primarily due to lower policies in force. This decrease was partially offset by 24.2% increase in premium per policy for automobile insurance primarily attributable to rate actions.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Net Investment Income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Net investment income increased $6.1 million, or 1,016.7%, to $6.7 million for the three months ended March 31, 2023 compared to the same period in 2022. The increase was primarily driven by $5.7 million in higher interest and dividends received as a result of investing more in higher yielding investments.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Loss and LAE decreased $33.4 million, or 34.5%, to $63.3 million for the three months ended March 31, 2023 compared to the same period in 2022. The decrease was primarily due to lower policies in force and better loss experience for the three months ended March 31, 2023 compared to the same period in 2022.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ratios decreased to 69.3% from 81.5% for the three months ended March 31, 2023 and 2022, respectively. The change in the ratios was driven by growth in average premium per policy primarily attributable to rate actions and improved tenure mix as our book of business matures. This was partially offset by higher loss costs as a result of increased severity per claim due to higher vehicle repair and medical costs. We experienced a 12% increase in severity per claim and a 7% decrease in claim frequency for the three months ended March 31, 2023 compared to the same period in 2022. The claim severity and frequency estimates are tenure mix adjusted based on bodily injury, collision, and property damage coverages.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$11.7 million, or 76.5%, to $3.6 million for the three months ended March 31, 2023 compared to the same period in 2022. The decrease was due to a $5.3 million decline in warrant compensation expense related to the completion of the Integrated Platform pursuant to the Carvana commercial agreement in the prior year and a $2.6 million decrease in content development and partnership costs due to a shift in direct marketing strategy. We also experienced a $1.7 million decrease in Personnel Costs as a result of a decrease in headcount, primarily attributable to the involuntary workforce reductions in 2022.</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Insurance Expense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insurance expense increased $0.3 million, or 30.0%, to $1.3 million for the three months ended March 31, 2023 compared to the same period in 2022. The increase was primarily driven by a $4.4 million increase in Carvana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warrant expense as a result of policies originating from the Integrated Platform and a $2.1 million increase in amortization of deferred acquisition costs related to the successful acquisition of policies. This was partially offset by decreases in premium write-offs of $1.9 million, premium taxes of $1.3 million, payment processing fees of $0.9 million and net ceding commission contra-expense of $0.7 million primarily attributable to a decline in gross premiums written. We also experienced a $1.3 million decrease in Personnel Costs as a result of a decrease in headcount, due to the involuntary workforce reductions in 2022.</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decreased $3.7 million, or 26.6%, to $10.2 million for the three months ended March 31, 2023 compared to the same period in 2022. The decrease was primarily driven by a $2.7 million decrease in Personnel Costs as a result of a decrease in headcount, primarily attributable to the involuntary workforce reductions in 2022.</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decreased $9.0 million, or 29.5%, to $21.5 million for the three months ended March 31, 2023 compared to the same period in 2022. The decrease was primarily driven by a $9.2 million decrease in Personnel Costs as a result of a decrease in headcount, primarily attributable to the involuntary workforce reductions in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$5.6 million, or 101.8%, to $11.1 million for the three months ended March 31, 2023 compared to the same period in 2022. The increase was primarily due to a $5.4 million increase in debt interest expense as a result of a greater average interest rate and a higher average outstanding debt as of March 31, 2023 compared to the same period in 2022.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Comprehensive Income (Loss)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Changes in Net Unrealized Gains (Losses) on Investments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net unrealized gains (losses) on investments increased $4.8 million, or 129.7%, to net unrealized gains of $1.1 million for the three months ended March 31, 2023 compared to the same period in 2022. The increase is primarily attributable to investments being reinvested at maturity in securities that reflect the current interest rate environment.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strategic planning decisions regarding future operating investments; and (6) plan for and prepare future annual operating budgets and determine appropriate levels of operating investments.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the definition of direct contribution and why management believes this measure provides useful information to investors, see “— Key Performance Indicators.”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total revenue to direct contribution for the three months ended March 31, 2023 and 2022:</w:t>
      </w:r>
    </w:p>
    <w:tbl>
      <w:tblPr>
        <w:tblW w:w="7538" w:type="dxa"/>
        <w:jc w:val="left"/>
        <w:tblInd w:w="0" w:type="dxa"/>
        <w:tblCellMar>
          <w:top w:w="28" w:type="dxa"/>
          <w:left w:w="28" w:type="dxa"/>
          <w:bottom w:w="28" w:type="dxa"/>
          <w:right w:w="28" w:type="dxa"/>
        </w:tblCellMar>
      </w:tblPr>
      <w:tblGrid>
        <w:gridCol w:w="1345"/>
        <w:gridCol w:w="1184"/>
        <w:gridCol w:w="1190"/>
        <w:gridCol w:w="109"/>
        <w:gridCol w:w="109"/>
        <w:gridCol w:w="249"/>
        <w:gridCol w:w="249"/>
        <w:gridCol w:w="482"/>
        <w:gridCol w:w="1169"/>
        <w:gridCol w:w="249"/>
        <w:gridCol w:w="109"/>
        <w:gridCol w:w="109"/>
        <w:gridCol w:w="109"/>
        <w:gridCol w:w="211"/>
        <w:gridCol w:w="511"/>
        <w:gridCol w:w="154"/>
      </w:tblGrid>
      <w:tr>
        <w:trPr/>
        <w:tc>
          <w:tcPr>
            <w:tcW w:w="1345"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03" w:type="dxa"/>
            <w:gridSpan w:val="6"/>
            <w:tcBorders/>
            <w:shd w:fill="auto" w:val="clea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31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Adjustments from other insurance expense</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loss and loss adjustment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Net ceding commission and other</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spacing w:lineRule="auto" w:line="288" w:before="0" w:after="120"/>
        <w:ind w:left="0" w:right="0" w:hanging="360"/>
        <w:rPr/>
      </w:pPr>
      <w:r>
        <w:rPr>
          <w:rFonts w:ascii="Times New Roman;sans-serif" w:hAnsi="Times New Roman;sans-serif"/>
          <w:b w:val="false"/>
          <w:color w:val="000000"/>
          <w:sz w:val="16"/>
        </w:rPr>
        <w:t>(1) Adjustments from other insurance expense includes report costs, personnel costs, allocated overhead, licenses, net commissions, professional fees and other</w:t>
      </w:r>
      <w:r>
        <w:rPr>
          <w:rFonts w:ascii="Times New Roman;sans-serif" w:hAnsi="Times New Roman;sans-serif"/>
          <w:b w:val="false"/>
          <w:color w:val="000000"/>
          <w:sz w:val="20"/>
        </w:rPr>
        <w:t xml:space="preserve">. </w:t>
      </w:r>
    </w:p>
    <w:p>
      <w:pPr>
        <w:pStyle w:val="TextBody"/>
        <w:spacing w:lineRule="auto" w:line="288" w:before="0" w:after="120"/>
        <w:ind w:left="0" w:right="0" w:hanging="360"/>
        <w:rPr/>
      </w:pPr>
      <w:r>
        <w:rPr>
          <w:rFonts w:ascii="Times New Roman;sans-serif" w:hAnsi="Times New Roman;sans-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ans-serif" w:hAnsi="Times New Roman;sans-serif"/>
          <w:b w:val="false"/>
          <w:color w:val="000000"/>
          <w:sz w:val="20"/>
        </w:rPr>
        <w:t xml:space="preserve">. </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the definition of adjusted EBITDA and why management believes this measure provides useful information to investors, see “— Key Performance Indicators.”</w:t>
      </w:r>
    </w:p>
    <w:p>
      <w:pPr>
        <w:pStyle w:val="TextBody"/>
        <w:spacing w:lineRule="auto" w:line="288" w:before="0" w:after="180"/>
        <w:rPr/>
      </w:pPr>
      <w:r>
        <w:rPr>
          <w:rFonts w:ascii="Times New Roman;sans-serif" w:hAnsi="Times New Roman;sans-serif"/>
          <w:b w:val="false"/>
          <w:color w:val="000000"/>
          <w:sz w:val="20"/>
        </w:rPr>
        <w:t>The following table provides a reconciliation of net loss to adjusted EBITDA for the three months ended March 31, 2023 and 2022:</w:t>
      </w:r>
      <w:r>
        <w:rPr>
          <w:color w:val="000000"/>
        </w:rPr>
        <w:t xml:space="preserve"> </w:t>
      </w:r>
    </w:p>
    <w:tbl>
      <w:tblPr>
        <w:tblW w:w="6547" w:type="dxa"/>
        <w:jc w:val="left"/>
        <w:tblInd w:w="0" w:type="dxa"/>
        <w:tblCellMar>
          <w:top w:w="28" w:type="dxa"/>
          <w:left w:w="28" w:type="dxa"/>
          <w:bottom w:w="28" w:type="dxa"/>
          <w:right w:w="28" w:type="dxa"/>
        </w:tblCellMar>
      </w:tblPr>
      <w:tblGrid>
        <w:gridCol w:w="961"/>
        <w:gridCol w:w="839"/>
        <w:gridCol w:w="854"/>
        <w:gridCol w:w="109"/>
        <w:gridCol w:w="109"/>
        <w:gridCol w:w="232"/>
        <w:gridCol w:w="232"/>
        <w:gridCol w:w="450"/>
        <w:gridCol w:w="1251"/>
        <w:gridCol w:w="232"/>
        <w:gridCol w:w="109"/>
        <w:gridCol w:w="109"/>
        <w:gridCol w:w="109"/>
        <w:gridCol w:w="211"/>
        <w:gridCol w:w="586"/>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78" w:type="dxa"/>
            <w:gridSpan w:val="6"/>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21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Write-offs and other</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Restructuring costs consist of employee costs, real estate exit costs, and other. This includes $0.4 million and $2.1 million of share-based compensation for the three months ended March 31, 2023 and 2022, respectively. This also includes $0.1 million and $1.0 million in depreciation and amortization for the three months ended March 31, 2023 and 2022, respectively. For further information on restructuring costs, see Note 9, “Restructuring Costs,” in the Notes to Condensed Consolidated Financial Statements.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 Write-offs and other primarily reflects legal costs, write-off of prepaid marketing expense and other items that do not reflect our ongoing operating performance.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Certain events may impact our liquidity such as the economic instability resulting in acute inflationary pressures, supply chain disruptions, rising interest rates, a downturn in equity markets and recent bank failures. There is a risk of inflation remaining elevated for an extended period, which could cause claims and claim expenses to increase, impact the performance of our investment portfolio or have other adverse effects. Rising interest rates and reduced equity values have increased the cost of capital and may limit our ability to raise additional capital.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Regulatory Considerations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as a holding company, but our primary operations are conducted by two of our wholly-owned insurance subsidiaries, Root Insurance Company, an Ohio-domiciled insurance company, and Root Property &amp; Casualty Insurance Company, a Delaware-domiciled insurance company. The payment of dividends by our insurance subsidiaries is subject to restrictions set forth in the insurance laws and regulations of the States of Ohio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and Delaware. To date, our insurance subsidiaries have not paid any dividends and, as of March 31, 2023, they were not permitted to pay any dividends without approval of the applicable superintendent, commissioner and/or director.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If our insurance subsidiaries’ businesses grow or the regulatory requirements change,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March 31, 2023, our insurance subsidiaries maintained a risk-based capital level that is in excess of an amount that would require any corrective actions on our part.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wholly-owned, Cayman Islands-based reinsurance subsidiary, Root Reinsurance Company, Ltd., or Root Re, maintains a Class B(iii) insurer license under Cayman Islands Monetary Authority, or CIMA. At March 31, 2023, Root Re was subject to compliance with certain capital levels and a net premiums earned to capital ratio of 15:1, which we maintained as of March 31, 2023.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Financing Arrangements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26, 2022, we closed on a $300.0 million five-year term loan, or Term Loan. The maturity of the Term Loan is January 27, 2027. Interest is payable quarterly and is determined on a floating interest rate calculated on the Secured Overnight Financing Rate, with a 1.0% floor, plus 9%, plus 0.26161% per annum.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$679.3 million in cash and cash equivalents, of which $523.6 million was held outside of regulated insurance entities. We also had $126.5 million in marketable securities.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capital requirements depend on many factors, including our insurance premium growth rate, rate adequacy, renewal activity, the timing and the amount of cash received from customers, the performance of our products, including the success of our embedded partnerships, loss cost trends, the timing and extent of spending to support development efforts, the introduction of new and enhanced products, the continuing market adoption of offerings on our platform, operating costs, and the ongoing uncertainty in the global markets resulting from the global COVID-19 pandemic.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Currently, our debt covenants require cash and cash equivalents held in entities other than our insurance subsidiaries to be at least $200.0 million at all times. This threshold may be reduced to $150.0 million under two sets of circumstances: issuing 62,500 insurance policies through our Carvana embedded product and achieving a ratio of direct contribution to gross premiums earned of 12%; or ceasing any customer acquisition spend outside of the Carvana commercial agreement and reducing our monthly cash burn to no greater than $12.0 million.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Through prudent deployment of capital we believe we have sufficient resources, and access to additional debt and equity capital, to adequately meet our obligations as they come due.</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data for the periods presented:</w:t>
      </w:r>
    </w:p>
    <w:tbl>
      <w:tblPr>
        <w:tblW w:w="6643" w:type="dxa"/>
        <w:jc w:val="left"/>
        <w:tblInd w:w="0" w:type="dxa"/>
        <w:tblCellMar>
          <w:top w:w="28" w:type="dxa"/>
          <w:left w:w="28" w:type="dxa"/>
          <w:bottom w:w="28" w:type="dxa"/>
          <w:right w:w="28" w:type="dxa"/>
        </w:tblCellMar>
      </w:tblPr>
      <w:tblGrid>
        <w:gridCol w:w="1519"/>
        <w:gridCol w:w="1338"/>
        <w:gridCol w:w="1342"/>
        <w:gridCol w:w="236"/>
        <w:gridCol w:w="656"/>
        <w:gridCol w:w="122"/>
        <w:gridCol w:w="122"/>
        <w:gridCol w:w="122"/>
        <w:gridCol w:w="122"/>
        <w:gridCol w:w="236"/>
        <w:gridCol w:w="656"/>
        <w:gridCol w:w="172"/>
      </w:tblGrid>
      <w:tr>
        <w:trPr/>
        <w:tc>
          <w:tcPr>
            <w:tcW w:w="1519"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6"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9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9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three months ended March 31, 2023 was $83.7 million compared to $51.2 million of net cash used in operating activities for the three months ended March 31, 2022. The increase in cash used in operating activities was primarily due to timing of reinsurance payments and receipts, claim payments and payments of accounts payable and accrued expenses during the three months ended March 31, 2023 compared to the same period in 2022. This was partially offset by a decline in net loss incurred.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for the three months ended March 31, 2023 was $0.9 million, primarily due to proceeds from maturities, calls and pay downs, which was partially offset by purchases of investments and capitalization of internally developed software. Net cash used in investing activities for the three months ended March 31, 2022 was $6.3 million, primarily due to purchases of investments and indefinite-lived intangible assets and capitalization of internally developed software, which was partially offset by sales, maturities, calls and pay downs of investments.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2023 was zero. Net cash provided by financing activities for the three months ended March 31, 2022 was $286.2 million primarily due to proceeds from our Term Loan.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Material Cash Requirements from Contractual and Other Obligations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contractual and other obligations from those described in our 2022 10-K. We believe we have sufficient resources, and access to additional debt and equity capital, to adequately meet our obligations as they come due.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material effect on our financial condition, results of operations, liquidity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premium write-offs and valuation allowance on our deferred tax assets.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under the heading “Management’s Discussion and Analysis of Financial Condition and Results of Operations—Critical Accounting Estimates,” in our 2022 10-K and the Notes to Condensed Consolidated Financial Statements appearing elsewhere in this Quarterly Report on Form 10-Q. During the three months ended March 31, 2023, there were no material changes to our critical accounting estimates from those discussed in our 2022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180"/>
        <w:rPr/>
      </w:pPr>
      <w:r>
        <w:rPr/>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quantitative and qualitative market risk disclosures included in the 2022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2023, our disclosure controls and procedures were not effective at the reasonable assurance level, due to the material weakness in internal control over financial reporting described below.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Previously Disclosed Material Weakness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disclosed in Part II, Item 9A Controls and Procedures in the 2022 Form 10-K that we had identified a material weakness in internal control over financial reporting related to monitoring and the control environment, including the circumvention of control activities, that contributed to the fraud perpetrated by a former senior marketing employee, and aggregated to a material weakness. Specifically, the material weakness related to inadequate hiring practices for employees in senior leadership positions whose roles and responsibilities include the initiation of transactions with third parties, and ineffective control and monitoring activities, including the circumvention of certain control activities, related to the review, authorization and approval of third-party vendors, and associated contracts for services, and approval of third-party vendor payments.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Status of Management’s Remediation Efforts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are in process of taking, or have taken the following steps to remediate the material weakness described above:</w:t>
      </w:r>
    </w:p>
    <w:p>
      <w:pPr>
        <w:pStyle w:val="TextBody"/>
        <w:spacing w:lineRule="auto" w:line="288" w:before="0" w:after="180"/>
        <w:rPr/>
      </w:pPr>
      <w:r>
        <w:rPr>
          <w:color w:val="000000"/>
        </w:rPr>
        <w:t>•</w:t>
      </w:r>
      <w:r>
        <w:rPr>
          <w:rFonts w:ascii="Times New Roman;sans-serif" w:hAnsi="Times New Roman;sans-serif"/>
          <w:b w:val="false"/>
          <w:color w:val="000000"/>
          <w:sz w:val="20"/>
        </w:rPr>
        <w:t>Enhanced our policy to require more comprehensive hiring practices for individuals in senior leadership positions, which includes more robust background checks than we require for all employees.</w:t>
      </w:r>
    </w:p>
    <w:p>
      <w:pPr>
        <w:pStyle w:val="TextBody"/>
        <w:spacing w:lineRule="auto" w:line="288" w:before="0" w:after="180"/>
        <w:rPr/>
      </w:pPr>
      <w:r>
        <w:rPr>
          <w:color w:val="000000"/>
        </w:rPr>
        <w:t>•</w:t>
      </w:r>
      <w:r>
        <w:rPr>
          <w:rFonts w:ascii="Times New Roman;sans-serif" w:hAnsi="Times New Roman;sans-serif"/>
          <w:b w:val="false"/>
          <w:color w:val="000000"/>
          <w:sz w:val="20"/>
        </w:rPr>
        <w:t>Improving the design of internal vendor management processes and controls, including the hiring of dedicated procurement resources in the first quarter of 2023 to ensure contracts, including amendments, are appropriately reviewed, authorized in accordance with our delegation of authority policies, and approved.</w:t>
      </w:r>
    </w:p>
    <w:p>
      <w:pPr>
        <w:pStyle w:val="TextBody"/>
        <w:spacing w:lineRule="auto" w:line="288" w:before="0" w:after="180"/>
        <w:rPr/>
      </w:pPr>
      <w:r>
        <w:rPr>
          <w:color w:val="000000"/>
        </w:rPr>
        <w:t>•</w:t>
      </w:r>
      <w:r>
        <w:rPr>
          <w:rFonts w:ascii="Times New Roman;sans-serif" w:hAnsi="Times New Roman;sans-serif"/>
          <w:b w:val="false"/>
          <w:color w:val="000000"/>
          <w:sz w:val="20"/>
        </w:rPr>
        <w:t>Clarified the design of vendor payment controls to prescribe the criteria an approver must review, in addition to invoice requests, to adequately support payments to vendors.</w:t>
      </w:r>
    </w:p>
    <w:p>
      <w:pPr>
        <w:pStyle w:val="TextBody"/>
        <w:spacing w:lineRule="auto" w:line="288" w:before="0" w:after="180"/>
        <w:rPr/>
      </w:pPr>
      <w:r>
        <w:rPr>
          <w:color w:val="000000"/>
        </w:rPr>
        <w:t>•</w:t>
      </w:r>
      <w:r>
        <w:rPr>
          <w:rFonts w:ascii="Times New Roman;sans-serif" w:hAnsi="Times New Roman;sans-serif"/>
          <w:b w:val="false"/>
          <w:color w:val="000000"/>
          <w:sz w:val="20"/>
        </w:rPr>
        <w:t>Implemented more stringent monitoring controls to ensure compliance with contract reviews, approval authority limits and vendor payment policies.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are committed to maintaining a strong internal control environment, and believe that these remediation actions, when fully implemented, will represent significant improvements in our controls under the Internal Control – Integrated Framework issued by the Committee of Sponsoring Organizations of the Treadway Commission. Additional remediation measures may be required, which may require additional implementation time. We will continue to assess the effectiveness of our remediation efforts in connection with our evaluation of internal control over financial reporting. The material weakness will not be considered remediated until the applicable remedial controls operate for a sufficient period of time and management has concluded, through testing, that these controls are designed and operating effectively.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Except as described above, there were no changes during the quarter ended March 31, 2023 in our internal control over financial reporting that have materially affected, or are reasonably likely to materially affect, our internal control over financial reporting.</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w:t>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risk factors from those disclosed in the 2022 10-K. In addition to the other information set forth in this Quarterly Report on Form 10-Q, you should carefully consider the risk factors discussed in Part I, Item 1A, “Risk Factors” in the 2022 10-K. You should not interpret the disclosure of any risk factor to imply the risk has not already materialized. </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Dividend, Repurchase and Working Capital Restrictions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that transacts a majority of its business through operating subsidiaries. Our regulated insurance subsidiaries are subject to restrictions on the dividends they may pay, which could impact our ability to pay dividends to stockholders in the future.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payment of any extraordinary dividend by one of our regulated insurance subsidiaries requires the prior approval of the superintendent of the supervisory Department of Insurance, or DOI. “Extraordinary dividend” is defined under the Ohio Revised Code and Delaware Insurance Code, or Code, as: (i) 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2022, neither Root Insurance Company nor Root Property &amp; Casualty Insurance Company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 included in the 2022 10-K.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applicable loan agreements.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18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(a)Exhibits. </w:t>
      </w:r>
    </w:p>
    <w:tbl>
      <w:tblPr>
        <w:tblW w:w="10205" w:type="dxa"/>
        <w:jc w:val="left"/>
        <w:tblInd w:w="0" w:type="dxa"/>
        <w:tblCellMar>
          <w:top w:w="28" w:type="dxa"/>
          <w:left w:w="28" w:type="dxa"/>
          <w:bottom w:w="28" w:type="dxa"/>
          <w:right w:w="28" w:type="dxa"/>
        </w:tblCellMar>
      </w:tblPr>
      <w:tblGrid>
        <w:gridCol w:w="262"/>
        <w:gridCol w:w="231"/>
        <w:gridCol w:w="232"/>
        <w:gridCol w:w="109"/>
        <w:gridCol w:w="109"/>
        <w:gridCol w:w="109"/>
        <w:gridCol w:w="1607"/>
        <w:gridCol w:w="1366"/>
        <w:gridCol w:w="1371"/>
        <w:gridCol w:w="176"/>
        <w:gridCol w:w="176"/>
        <w:gridCol w:w="163"/>
        <w:gridCol w:w="282"/>
        <w:gridCol w:w="282"/>
        <w:gridCol w:w="283"/>
        <w:gridCol w:w="210"/>
        <w:gridCol w:w="210"/>
        <w:gridCol w:w="211"/>
        <w:gridCol w:w="402"/>
        <w:gridCol w:w="261"/>
        <w:gridCol w:w="244"/>
        <w:gridCol w:w="291"/>
        <w:gridCol w:w="291"/>
        <w:gridCol w:w="292"/>
        <w:gridCol w:w="109"/>
        <w:gridCol w:w="109"/>
        <w:gridCol w:w="109"/>
        <w:gridCol w:w="109"/>
        <w:gridCol w:w="109"/>
        <w:gridCol w:w="109"/>
        <w:gridCol w:w="109"/>
        <w:gridCol w:w="109"/>
        <w:gridCol w:w="163"/>
      </w:tblGrid>
      <w:tr>
        <w:trPr/>
        <w:tc>
          <w:tcPr>
            <w:tcW w:w="26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0"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SEC File Number</w:t>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9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18"/>
                  <w:u w:val="single"/>
                </w:rPr>
                <w:t>Amended and Restated Certificate of Incorporation of Root, Inc.</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30, 2020</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18"/>
                  <w:u w:val="single"/>
                </w:rPr>
                <w:t>Certificate of Amendment to Amended and Restated Certificate of Incorporation of Root, Inc.</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15, 2022</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18"/>
                  <w:u w:val="single"/>
                </w:rPr>
                <w:t>Amended and Restated Bylaws of Root, Inc.</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18"/>
                  <w:u w:val="single"/>
                </w:rPr>
                <w:t>Certificate of Designations of Series A Preferred Stock, filed with the Delaware Secretary of State on October 1, 2021</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18"/>
                  <w:u w:val="single"/>
                </w:rPr>
                <w:t>Form of Class A common stock certificate.</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20, 2020</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8"/>
                  <w:u w:val="single"/>
                </w:rPr>
                <w:t>Common Stock Purchase Warrants, dated as of October 1, 2021, by and between Root, Inc. and Carvana Group, LLC</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18"/>
                  <w:u w:val="single"/>
                </w:rPr>
                <w:t>Form of Common Stock Purchase Warrant (Tranche 1), dated January 26, 2022</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18"/>
                  <w:u w:val="single"/>
                </w:rPr>
                <w:t>Form of Common Stock Purchase Warrant (Tranche 2)</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Pr>
                <w:t>Executive Employment Agreement with Megan</w:t>
              </w:r>
            </w:hyperlink>
            <w:hyperlink r:id="rId11">
              <w:r>
                <w:rPr>
                  <w:rStyle w:val="InternetLink"/>
                </w:rPr>
                <w:t xml:space="preserve"> Binkley</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2023</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
              <w:r>
                <w:rPr>
                  <w:rStyle w:val="InternetLink"/>
                  <w:rFonts w:ascii="Times New Roman;sans-serif" w:hAnsi="Times New Roman;sans-serif"/>
                  <w:b w:val="false"/>
                  <w:color w:val="0000FF"/>
                  <w:sz w:val="18"/>
                  <w:u w:val="single"/>
                </w:rPr>
                <w:t>Separation and Transition Agreement dated February 20, 2023, between Daniel Rosenthal and Root, Inc.</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103retentionbonusagreemen.htm">
              <w:r>
                <w:rPr>
                  <w:rStyle w:val="InternetLink"/>
                  <w:rFonts w:ascii="Times New Roman;sans-serif" w:hAnsi="Times New Roman;sans-serif"/>
                  <w:b w:val="false"/>
                  <w:color w:val="0000FF"/>
                  <w:sz w:val="18"/>
                  <w:u w:val="single"/>
                </w:rPr>
                <w:t>Retention Bonus Agreement between Megan Binkley and Root, Inc.</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311certificationofprincip.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312certificationofprincip.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321certificationofprincip.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285"/>
        <w:gridCol w:w="251"/>
        <w:gridCol w:w="252"/>
        <w:gridCol w:w="109"/>
        <w:gridCol w:w="109"/>
        <w:gridCol w:w="109"/>
        <w:gridCol w:w="2141"/>
        <w:gridCol w:w="2139"/>
        <w:gridCol w:w="214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28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 Indicates management contract or compensatory plan. </w:t>
      </w:r>
    </w:p>
    <w:p>
      <w:pPr>
        <w:pStyle w:val="TextBody"/>
        <w:spacing w:lineRule="auto" w:line="288" w:before="0" w:after="0"/>
        <w:ind w:left="0" w:right="0" w:hanging="90"/>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Exchange Act of 1934, the registrant has duly caused this Quarterly Report on Form 10-Q to be signed on its behalf by the undersigned.</w:t>
      </w:r>
    </w:p>
    <w:p>
      <w:pPr>
        <w:pStyle w:val="TextBody"/>
        <w:spacing w:before="0" w:after="0"/>
        <w:jc w:val="right"/>
        <w:rPr/>
      </w:pPr>
      <w:r>
        <w:rPr/>
      </w:r>
    </w:p>
    <w:tbl>
      <w:tblPr>
        <w:tblW w:w="8577" w:type="dxa"/>
        <w:jc w:val="right"/>
        <w:tblInd w:w="0" w:type="dxa"/>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109"/>
        <w:gridCol w:w="109"/>
        <w:gridCol w:w="109"/>
        <w:gridCol w:w="109"/>
        <w:gridCol w:w="109"/>
        <w:gridCol w:w="109"/>
        <w:gridCol w:w="167"/>
        <w:gridCol w:w="167"/>
        <w:gridCol w:w="167"/>
        <w:gridCol w:w="1402"/>
        <w:gridCol w:w="1402"/>
        <w:gridCol w:w="200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6" w:type="dxa"/>
            <w:gridSpan w:val="18"/>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Root,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2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3" w:type="dxa"/>
            <w:gridSpan w:val="21"/>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9" w:type="dxa"/>
            <w:gridSpan w:val="15"/>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9" w:type="dxa"/>
            <w:gridSpan w:val="15"/>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35" w:type="dxa"/>
            <w:gridSpan w:val="9"/>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35" w:type="dxa"/>
            <w:gridSpan w:val="9"/>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35" w:type="dxa"/>
            <w:gridSpan w:val="9"/>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35" w:type="dxa"/>
            <w:gridSpan w:val="9"/>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6" w:type="dxa"/>
            <w:gridSpan w:val="18"/>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6" w:type="dxa"/>
            <w:gridSpan w:val="18"/>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2"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8"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8"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and Treasurer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spacing w:before="0" w:after="18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95095"/>
                <wp:effectExtent l="0" t="0" r="0" b="0"/>
                <wp:wrapNone/>
                <wp:docPr id="51" name="Frame51"/>
                <a:graphic xmlns:a="http://schemas.openxmlformats.org/drawingml/2006/main">
                  <a:graphicData uri="http://schemas.microsoft.com/office/word/2010/wordprocessingShape">
                    <wps:wsp>
                      <wps:cNvSpPr txBox="1"/>
                      <wps:spPr>
                        <a:xfrm>
                          <a:off x="0" y="0"/>
                          <a:ext cx="6480175" cy="1395095"/>
                        </a:xfrm>
                        <a:prstGeom prst="rect"/>
                      </wps:spPr>
                      <wps:txbx>
                        <w:txbxContent>
                          <w:p>
                            <w:pPr>
                              <w:pStyle w:val="TextBody"/>
                              <w:spacing w:before="0" w:after="180"/>
                              <w:jc w:val="center"/>
                              <w:rPr/>
                            </w:pPr>
                            <w:r>
                              <w:rPr/>
                            </w:r>
                          </w:p>
                          <w:p>
                            <w:pPr>
                              <w:pStyle w:val="TextBody"/>
                              <w:spacing w:before="0" w:after="180"/>
                              <w:jc w:val="center"/>
                              <w:rPr/>
                            </w:pPr>
                            <w:r>
                              <w:rPr/>
                            </w:r>
                          </w:p>
                          <w:p>
                            <w:pPr>
                              <w:pStyle w:val="TextBody"/>
                              <w:spacing w:before="0" w:after="18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before="0" w:after="180"/>
                        <w:jc w:val="center"/>
                        <w:rPr/>
                      </w:pPr>
                      <w:r>
                        <w:rPr/>
                      </w:r>
                    </w:p>
                    <w:p>
                      <w:pPr>
                        <w:pStyle w:val="TextBody"/>
                        <w:spacing w:before="0" w:after="18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68" w:before="0" w:after="0"/>
        <w:jc w:val="right"/>
        <w:rPr>
          <w:rFonts w:ascii="Tahoma;sans-serif" w:hAnsi="Tahoma;sans-serif"/>
          <w:b/>
          <w:color w:val="000000"/>
          <w:sz w:val="22"/>
        </w:rPr>
      </w:pPr>
      <w:r>
        <w:rPr>
          <w:rFonts w:ascii="Tahoma;sans-serif" w:hAnsi="Tahoma;sans-serif"/>
          <w:b/>
          <w:color w:val="000000"/>
          <w:sz w:val="22"/>
        </w:rPr>
        <w:t>Exhibit 10.3</w:t>
      </w:r>
    </w:p>
    <w:p>
      <w:pPr>
        <w:pStyle w:val="TextBody"/>
        <w:spacing w:lineRule="auto" w:line="268" w:before="0" w:after="0"/>
        <w:rPr>
          <w:rFonts w:ascii="Tahoma;sans-serif" w:hAnsi="Tahoma;sans-serif"/>
          <w:b w:val="false"/>
          <w:color w:val="000000"/>
          <w:sz w:val="22"/>
        </w:rPr>
      </w:pPr>
      <w:r>
        <w:rPr>
          <w:rFonts w:ascii="Tahoma;sans-serif" w:hAnsi="Tahoma;sans-serif"/>
          <w:b w:val="false"/>
          <w:color w:val="000000"/>
          <w:sz w:val="22"/>
        </w:rPr>
        <w:t>November 16, 2022</w:t>
      </w:r>
    </w:p>
    <w:p>
      <w:pPr>
        <w:pStyle w:val="TextBody"/>
        <w:spacing w:before="0" w:after="0"/>
        <w:rPr/>
      </w:pPr>
      <w:r>
        <w:rPr/>
      </w:r>
    </w:p>
    <w:p>
      <w:pPr>
        <w:pStyle w:val="TextBody"/>
        <w:spacing w:lineRule="auto" w:line="552" w:before="0" w:after="0"/>
        <w:jc w:val="both"/>
        <w:rPr>
          <w:rFonts w:ascii="Tahoma;sans-serif" w:hAnsi="Tahoma;sans-serif"/>
          <w:b w:val="false"/>
          <w:color w:val="000000"/>
          <w:sz w:val="22"/>
        </w:rPr>
      </w:pPr>
      <w:r>
        <w:rPr>
          <w:rFonts w:ascii="Tahoma;sans-serif" w:hAnsi="Tahoma;sans-serif"/>
          <w:b w:val="false"/>
          <w:color w:val="000000"/>
          <w:sz w:val="22"/>
        </w:rPr>
        <w:t>RE: Retention Bonus Agreement</w:t>
      </w:r>
    </w:p>
    <w:p>
      <w:pPr>
        <w:pStyle w:val="TextBody"/>
        <w:spacing w:lineRule="auto" w:line="552" w:before="0" w:after="0"/>
        <w:jc w:val="both"/>
        <w:rPr>
          <w:rFonts w:ascii="Tahoma;sans-serif" w:hAnsi="Tahoma;sans-serif"/>
          <w:b w:val="false"/>
          <w:color w:val="000000"/>
          <w:sz w:val="22"/>
        </w:rPr>
      </w:pPr>
      <w:r>
        <w:rPr>
          <w:rFonts w:ascii="Tahoma;sans-serif" w:hAnsi="Tahoma;sans-serif"/>
          <w:b w:val="false"/>
          <w:color w:val="000000"/>
          <w:sz w:val="22"/>
        </w:rPr>
        <w:t>Dear Megan,</w:t>
      </w:r>
    </w:p>
    <w:p>
      <w:pPr>
        <w:pStyle w:val="TextBody"/>
        <w:spacing w:lineRule="auto" w:line="276" w:before="0" w:after="0"/>
        <w:jc w:val="both"/>
        <w:rPr>
          <w:rFonts w:ascii="Tahoma;sans-serif" w:hAnsi="Tahoma;sans-serif"/>
          <w:b w:val="false"/>
          <w:color w:val="000000"/>
          <w:sz w:val="22"/>
        </w:rPr>
      </w:pPr>
      <w:r>
        <w:rPr>
          <w:rFonts w:ascii="Tahoma;sans-serif" w:hAnsi="Tahoma;sans-serif"/>
          <w:b w:val="false"/>
          <w:color w:val="000000"/>
          <w:sz w:val="22"/>
        </w:rPr>
        <w:t>We are pleased to offer you this Retention Bonus Agreement (“Agreement”) to encourage your continued employment with Root Inc. or one of its subsidiaries (collectively, “the Company”). This Agreement does not modify the terms of your employment, or any agreement relating to confidentiality, trade secrets, and non-competition/non-solicitation, including any letter agreement, employment agreement or proprietary information and inventions agreement, which shall continue in full force and effect.</w:t>
      </w:r>
    </w:p>
    <w:p>
      <w:pPr>
        <w:pStyle w:val="TextBody"/>
        <w:spacing w:before="0" w:after="0"/>
        <w:jc w:val="both"/>
        <w:rPr/>
      </w:pPr>
      <w:r>
        <w:rPr/>
      </w:r>
    </w:p>
    <w:p>
      <w:pPr>
        <w:pStyle w:val="TextBody"/>
        <w:spacing w:lineRule="auto" w:line="268" w:before="0" w:after="0"/>
        <w:rPr>
          <w:rFonts w:ascii="Tahoma;sans-serif" w:hAnsi="Tahoma;sans-serif"/>
          <w:b/>
          <w:color w:val="000000"/>
          <w:sz w:val="22"/>
        </w:rPr>
      </w:pPr>
      <w:r>
        <w:rPr>
          <w:rFonts w:ascii="Tahoma;sans-serif" w:hAnsi="Tahoma;sans-serif"/>
          <w:b/>
          <w:color w:val="000000"/>
          <w:sz w:val="22"/>
        </w:rPr>
        <w:t>Duration</w:t>
      </w:r>
    </w:p>
    <w:p>
      <w:pPr>
        <w:pStyle w:val="TextBody"/>
        <w:spacing w:lineRule="auto" w:line="276" w:before="0" w:after="0"/>
        <w:rPr>
          <w:rFonts w:ascii="Tahoma;sans-serif" w:hAnsi="Tahoma;sans-serif"/>
          <w:b w:val="false"/>
          <w:color w:val="000000"/>
          <w:sz w:val="22"/>
        </w:rPr>
      </w:pPr>
      <w:r>
        <w:rPr>
          <w:rFonts w:ascii="Tahoma;sans-serif" w:hAnsi="Tahoma;sans-serif"/>
          <w:b w:val="false"/>
          <w:color w:val="000000"/>
          <w:sz w:val="22"/>
        </w:rPr>
        <w:t>The term of this Agreement begins on November 16, 2022 and ends on December 29, 2023, with December 29, 2023 being the “Retention Date.”</w:t>
      </w:r>
    </w:p>
    <w:p>
      <w:pPr>
        <w:pStyle w:val="TextBody"/>
        <w:spacing w:before="0" w:after="0"/>
        <w:rPr/>
      </w:pPr>
      <w:r>
        <w:rPr/>
      </w:r>
    </w:p>
    <w:p>
      <w:pPr>
        <w:pStyle w:val="TextBody"/>
        <w:spacing w:lineRule="auto" w:line="268" w:before="0" w:after="0"/>
        <w:rPr>
          <w:rFonts w:ascii="Tahoma;sans-serif" w:hAnsi="Tahoma;sans-serif"/>
          <w:b/>
          <w:color w:val="000000"/>
          <w:sz w:val="22"/>
        </w:rPr>
      </w:pPr>
      <w:r>
        <w:rPr>
          <w:rFonts w:ascii="Tahoma;sans-serif" w:hAnsi="Tahoma;sans-serif"/>
          <w:b/>
          <w:color w:val="000000"/>
          <w:sz w:val="22"/>
        </w:rPr>
        <w:t>Duties</w:t>
      </w:r>
    </w:p>
    <w:p>
      <w:pPr>
        <w:pStyle w:val="TextBody"/>
        <w:spacing w:lineRule="auto" w:line="276" w:before="0" w:after="0"/>
        <w:rPr>
          <w:rFonts w:ascii="Tahoma;sans-serif" w:hAnsi="Tahoma;sans-serif"/>
          <w:b w:val="false"/>
          <w:color w:val="000000"/>
          <w:sz w:val="22"/>
        </w:rPr>
      </w:pPr>
      <w:r>
        <w:rPr>
          <w:rFonts w:ascii="Tahoma;sans-serif" w:hAnsi="Tahoma;sans-serif"/>
          <w:b w:val="false"/>
          <w:color w:val="000000"/>
          <w:sz w:val="22"/>
        </w:rPr>
        <w:t>You will be expected to perform all your job duties, as you do now, with a professional demeanor and quality work product.</w:t>
      </w:r>
    </w:p>
    <w:p>
      <w:pPr>
        <w:pStyle w:val="TextBody"/>
        <w:spacing w:before="0" w:after="0"/>
        <w:rPr/>
      </w:pPr>
      <w:r>
        <w:rPr/>
      </w:r>
    </w:p>
    <w:p>
      <w:pPr>
        <w:pStyle w:val="TextBody"/>
        <w:spacing w:lineRule="auto" w:line="268" w:before="0" w:after="0"/>
        <w:jc w:val="both"/>
        <w:rPr>
          <w:rFonts w:ascii="Tahoma;sans-serif" w:hAnsi="Tahoma;sans-serif"/>
          <w:b/>
          <w:color w:val="000000"/>
          <w:sz w:val="22"/>
        </w:rPr>
      </w:pPr>
      <w:r>
        <w:rPr>
          <w:rFonts w:ascii="Tahoma;sans-serif" w:hAnsi="Tahoma;sans-serif"/>
          <w:b/>
          <w:color w:val="000000"/>
          <w:sz w:val="22"/>
        </w:rPr>
        <w:t>Retention Bonus</w:t>
      </w:r>
    </w:p>
    <w:p>
      <w:pPr>
        <w:pStyle w:val="TextBody"/>
        <w:spacing w:lineRule="auto" w:line="276" w:before="0" w:after="0"/>
        <w:jc w:val="both"/>
        <w:rPr/>
      </w:pPr>
      <w:r>
        <w:rPr>
          <w:rFonts w:ascii="Tahoma;sans-serif" w:hAnsi="Tahoma;sans-serif"/>
          <w:b w:val="false"/>
          <w:color w:val="000000"/>
          <w:sz w:val="22"/>
        </w:rPr>
        <w:t xml:space="preserve">You will be eligible to earn a one-time retention bonus of $325,000 (the “Retention Bonus”), less applicable withholdings and payroll deductions, subject to the terms and conditions described below. In order to earn the Retention Bonus, </w:t>
      </w:r>
      <w:r>
        <w:rPr>
          <w:rFonts w:ascii="Tahoma;sans-serif" w:hAnsi="Tahoma;sans-serif"/>
          <w:b/>
          <w:color w:val="000000"/>
          <w:sz w:val="22"/>
        </w:rPr>
        <w:t xml:space="preserve">you must be actively employed with the Company on the Retention Date. </w:t>
      </w:r>
      <w:r>
        <w:rPr>
          <w:rFonts w:ascii="Tahoma;sans-serif" w:hAnsi="Tahoma;sans-serif"/>
          <w:b w:val="false"/>
          <w:color w:val="000000"/>
          <w:sz w:val="22"/>
        </w:rPr>
        <w:t>If earned, the Retention Bonus will be paid in a lump sum on the Company’s next regularly scheduled payroll date following the Retention Date.</w:t>
      </w:r>
    </w:p>
    <w:p>
      <w:pPr>
        <w:pStyle w:val="TextBody"/>
        <w:spacing w:before="0" w:after="0"/>
        <w:jc w:val="both"/>
        <w:rPr/>
      </w:pPr>
      <w:r>
        <w:rPr/>
      </w:r>
    </w:p>
    <w:p>
      <w:pPr>
        <w:pStyle w:val="TextBody"/>
        <w:spacing w:lineRule="auto" w:line="268" w:before="0" w:after="0"/>
        <w:rPr>
          <w:rFonts w:ascii="Tahoma;sans-serif" w:hAnsi="Tahoma;sans-serif"/>
          <w:b w:val="false"/>
          <w:color w:val="000000"/>
          <w:sz w:val="22"/>
        </w:rPr>
      </w:pPr>
      <w:r>
        <w:rPr>
          <w:rFonts w:ascii="Tahoma;sans-serif" w:hAnsi="Tahoma;sans-serif"/>
          <w:b w:val="false"/>
          <w:color w:val="000000"/>
          <w:sz w:val="22"/>
        </w:rPr>
        <w:t>You will not be eligible for or earn the Retention Bonus if, prior to the Retention Date, you voluntarily resign your employment or the Company terminates your employment for cause (as defined herein).</w:t>
      </w:r>
    </w:p>
    <w:p>
      <w:pPr>
        <w:pStyle w:val="TextBody"/>
        <w:spacing w:before="0" w:after="0"/>
        <w:rPr/>
      </w:pPr>
      <w:r>
        <w:rPr/>
      </w:r>
    </w:p>
    <w:p>
      <w:pPr>
        <w:pStyle w:val="TextBody"/>
        <w:spacing w:lineRule="auto" w:line="276" w:before="0" w:after="0"/>
        <w:jc w:val="both"/>
        <w:rPr>
          <w:rFonts w:ascii="Tahoma;sans-serif" w:hAnsi="Tahoma;sans-serif"/>
          <w:b w:val="false"/>
          <w:color w:val="000000"/>
          <w:sz w:val="22"/>
        </w:rPr>
      </w:pPr>
      <w:r>
        <w:rPr>
          <w:rFonts w:ascii="Tahoma;sans-serif" w:hAnsi="Tahoma;sans-serif"/>
          <w:b w:val="false"/>
          <w:color w:val="000000"/>
          <w:sz w:val="22"/>
        </w:rPr>
        <w:t>For purposes of this Agreement only, the term “for cause” shall have the meaning ascribed to such term in any written agreement between you and the Company defining such term and, in the absence of such agreement, such term means the occurrence of any of the following events: (A) your participation in a fraud or act of dishonesty (or an attempted fraud or act of dishonesty) that results in (or could result in) material harm to the Company or its affiliates, including but not limited to material harm to reputational interests; (B) your gross negligence, willful misconduct, or material failure to comply with a written instruction of the Company; (C) your violation of a fiduciary duty or duty of loyalty owed to the Company or its affiliates; (D) your misappropriation of the assets or business opportunities of the Company or any of its affiliates; (E) your conviction of, or plea of no contest with respect to, any felony, or of any misdemeanor involving dishonesty or moral turpitude; (F) your material breach of any fully executed agreement between you and the Company or any of its affiliates or any applicable Company policies; or (G) persistent, unsatisfactory performance or neglect of your job duties. The determination that a termination of your employment is either for cause or without cause will be made by the Company, in its sole discretion.</w:t>
      </w:r>
    </w:p>
    <w:p>
      <w:pPr>
        <w:pStyle w:val="TextBody"/>
        <w:spacing w:before="0" w:after="0"/>
        <w:jc w:val="both"/>
        <w:rPr/>
      </w:pPr>
      <w:r>
        <w:rPr/>
      </w:r>
    </w:p>
    <w:p>
      <w:pPr>
        <w:pStyle w:val="TextBody"/>
        <w:spacing w:lineRule="auto" w:line="268"/>
        <w:rPr>
          <w:rFonts w:ascii="Tahoma;sans-serif" w:hAnsi="Tahoma;sans-serif"/>
          <w:b w:val="false"/>
          <w:color w:val="000000"/>
          <w:sz w:val="22"/>
        </w:rPr>
      </w:pPr>
      <w:r>
        <w:rPr>
          <w:rFonts w:ascii="Tahoma;sans-serif" w:hAnsi="Tahoma;sans-serif"/>
          <w:b w:val="false"/>
          <w:color w:val="000000"/>
          <w:sz w:val="22"/>
        </w:rPr>
        <w:t xml:space="preserve">You may be eligible for payment of the Retention Bonus if, prior to the Retention Date, the Company terminates your employment without Cause, or if your employment is terminated by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pPr>
      <w:r>
        <w:rPr>
          <w:rFonts w:ascii="Tahoma;sans-serif" w:hAnsi="Tahoma;sans-serif"/>
          <w:b w:val="false"/>
          <w:color w:val="000000"/>
          <w:sz w:val="22"/>
        </w:rPr>
        <w:t>way of a reduction-in-force or due to a Change in Control as defined in the Root, Inc. 2020 Equity Incentive Plan, as amended or amended and restated from time to time. In any of these circumstances, to earn the Retention Bonus, you must execute and deliver a general release of all known and unknown claims in a release agreement acceptable to the Company (the “</w:t>
      </w:r>
      <w:r>
        <w:rPr>
          <w:rFonts w:ascii="Tahoma;sans-serif" w:hAnsi="Tahoma;sans-serif"/>
          <w:b/>
          <w:color w:val="000000"/>
          <w:sz w:val="22"/>
        </w:rPr>
        <w:t>Release</w:t>
      </w:r>
      <w:r>
        <w:rPr>
          <w:color w:val="000000"/>
        </w:rPr>
        <w:t>”</w:t>
      </w:r>
      <w:r>
        <w:rPr>
          <w:rFonts w:ascii="Tahoma;sans-serif" w:hAnsi="Tahoma;sans-serif"/>
          <w:b w:val="false"/>
          <w:color w:val="000000"/>
          <w:sz w:val="22"/>
        </w:rPr>
        <w:t>) within the applicable deadline set forth in the Release, but in no event later than forty five (45) calendar days following your employment termination date, and permit the Release to become effective and irrevocable in accordance with its terms (such effective date of the Release, the “</w:t>
      </w:r>
      <w:r>
        <w:rPr>
          <w:rFonts w:ascii="Tahoma;sans-serif" w:hAnsi="Tahoma;sans-serif"/>
          <w:b/>
          <w:color w:val="000000"/>
          <w:sz w:val="22"/>
        </w:rPr>
        <w:t>Release Effective Date</w:t>
      </w:r>
      <w:r>
        <w:rPr>
          <w:color w:val="000000"/>
        </w:rPr>
        <w:t>”</w:t>
      </w:r>
      <w:r>
        <w:rPr>
          <w:rFonts w:ascii="Tahoma;sans-serif" w:hAnsi="Tahoma;sans-serif"/>
          <w:b w:val="false"/>
          <w:color w:val="000000"/>
          <w:sz w:val="22"/>
        </w:rPr>
        <w:t>). If earned, the Retention Bonus will be paid to you in a lump sum amount, less applicable withholdings and payroll deductions, on the first administratively possible payroll pay date following the Release Effective Date.</w:t>
      </w:r>
    </w:p>
    <w:p>
      <w:pPr>
        <w:pStyle w:val="TextBody"/>
        <w:spacing w:before="0" w:after="0"/>
        <w:rPr/>
      </w:pPr>
      <w:r>
        <w:rPr/>
      </w:r>
    </w:p>
    <w:p>
      <w:pPr>
        <w:pStyle w:val="TextBody"/>
        <w:spacing w:lineRule="auto" w:line="268" w:before="0" w:after="0"/>
        <w:jc w:val="both"/>
        <w:rPr>
          <w:rFonts w:ascii="Tahoma;sans-serif" w:hAnsi="Tahoma;sans-serif"/>
          <w:b/>
          <w:color w:val="000000"/>
          <w:sz w:val="22"/>
        </w:rPr>
      </w:pPr>
      <w:r>
        <w:rPr>
          <w:rFonts w:ascii="Tahoma;sans-serif" w:hAnsi="Tahoma;sans-serif"/>
          <w:b/>
          <w:color w:val="000000"/>
          <w:sz w:val="22"/>
        </w:rPr>
        <w:t>At-Will Employment</w:t>
      </w:r>
    </w:p>
    <w:p>
      <w:pPr>
        <w:pStyle w:val="TextBody"/>
        <w:spacing w:lineRule="auto" w:line="276" w:before="0" w:after="0"/>
        <w:jc w:val="both"/>
        <w:rPr>
          <w:rFonts w:ascii="Tahoma;sans-serif" w:hAnsi="Tahoma;sans-serif"/>
          <w:b w:val="false"/>
          <w:color w:val="000000"/>
          <w:sz w:val="22"/>
        </w:rPr>
      </w:pPr>
      <w:r>
        <w:rPr>
          <w:rFonts w:ascii="Tahoma;sans-serif" w:hAnsi="Tahoma;sans-serif"/>
          <w:b w:val="false"/>
          <w:color w:val="000000"/>
          <w:sz w:val="22"/>
        </w:rPr>
        <w:t>No specific term of employment is intended by the terms outlined above, by inference or otherwise. Your employment is and continues to be at-will. In particular, this Agreement does not guarantee or imply your continued employment through the Retention Date or thereafter.</w:t>
      </w:r>
    </w:p>
    <w:p>
      <w:pPr>
        <w:pStyle w:val="TextBody"/>
        <w:spacing w:before="0" w:after="0"/>
        <w:jc w:val="both"/>
        <w:rPr/>
      </w:pPr>
      <w:r>
        <w:rPr/>
      </w:r>
    </w:p>
    <w:tbl>
      <w:tblPr>
        <w:tblW w:w="6550" w:type="dxa"/>
        <w:jc w:val="left"/>
        <w:tblInd w:w="0" w:type="dxa"/>
        <w:tblCellMar>
          <w:top w:w="28" w:type="dxa"/>
          <w:left w:w="28" w:type="dxa"/>
          <w:bottom w:w="28" w:type="dxa"/>
          <w:right w:w="28" w:type="dxa"/>
        </w:tblCellMar>
      </w:tblPr>
      <w:tblGrid>
        <w:gridCol w:w="1151"/>
        <w:gridCol w:w="1011"/>
        <w:gridCol w:w="1017"/>
        <w:gridCol w:w="109"/>
        <w:gridCol w:w="109"/>
        <w:gridCol w:w="109"/>
        <w:gridCol w:w="890"/>
        <w:gridCol w:w="890"/>
        <w:gridCol w:w="1264"/>
      </w:tblGrid>
      <w:tr>
        <w:trPr/>
        <w:tc>
          <w:tcPr>
            <w:tcW w:w="115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Employee 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Megan Binkley</w:t>
            </w:r>
          </w:p>
        </w:tc>
      </w:tr>
      <w:tr>
        <w:trPr/>
        <w:tc>
          <w:tcPr>
            <w:tcW w:w="3179"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Megan Binkley</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Rewards Leader 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Jennifer Neu</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Jennifer Neu</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Senior Director, Total Rewards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jc w:val="center"/>
        <w:rPr/>
      </w:pPr>
      <w:r>
        <w:rPr/>
      </w:r>
    </w:p>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jc w:val="center"/>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 Alexander Timm, certify that:</w:t>
      </w:r>
    </w:p>
    <w:tbl>
      <w:tblPr>
        <w:tblW w:w="10205" w:type="dxa"/>
        <w:jc w:val="left"/>
        <w:tblInd w:w="0" w:type="dxa"/>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Root, Inc.;</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5080" w:type="dxa"/>
        <w:jc w:val="left"/>
        <w:tblInd w:w="0" w:type="dxa"/>
        <w:tblCellMar>
          <w:top w:w="28" w:type="dxa"/>
          <w:left w:w="28" w:type="dxa"/>
          <w:bottom w:w="28" w:type="dxa"/>
          <w:right w:w="28" w:type="dxa"/>
        </w:tblCellMar>
      </w:tblPr>
      <w:tblGrid>
        <w:gridCol w:w="591"/>
        <w:gridCol w:w="520"/>
        <w:gridCol w:w="523"/>
        <w:gridCol w:w="109"/>
        <w:gridCol w:w="109"/>
        <w:gridCol w:w="109"/>
        <w:gridCol w:w="910"/>
        <w:gridCol w:w="910"/>
        <w:gridCol w:w="129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1634"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Interim Chief Financial Officer</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60"/>
        <w:jc w:val="center"/>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I, Megan Binkley, certify that:</w:t>
      </w:r>
    </w:p>
    <w:tbl>
      <w:tblPr>
        <w:tblW w:w="10205" w:type="dxa"/>
        <w:jc w:val="left"/>
        <w:tblInd w:w="0" w:type="dxa"/>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Root, Inc.;</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5741" w:type="dxa"/>
        <w:jc w:val="left"/>
        <w:tblInd w:w="0" w:type="dxa"/>
        <w:tblCellMar>
          <w:top w:w="28" w:type="dxa"/>
          <w:left w:w="28" w:type="dxa"/>
          <w:bottom w:w="28" w:type="dxa"/>
          <w:right w:w="28" w:type="dxa"/>
        </w:tblCellMar>
      </w:tblPr>
      <w:tblGrid>
        <w:gridCol w:w="591"/>
        <w:gridCol w:w="520"/>
        <w:gridCol w:w="523"/>
        <w:gridCol w:w="109"/>
        <w:gridCol w:w="109"/>
        <w:gridCol w:w="109"/>
        <w:gridCol w:w="1104"/>
        <w:gridCol w:w="1104"/>
        <w:gridCol w:w="157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1634"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and Treasurer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Interim Chief Financial Officer</w:t>
        <w:br/>
        <w:t>Pursuant to Section 906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Interim Chief Financial Officer of the Company, each hereby certifies that, to the best of his or her knowledge:</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period ended March 31, 2023 to which this certification is attached as Exhibit 32.1 (the “Periodic Report”), fully complies with the requirements of Section 13(a) or Section 15(d) of the Exchange Act;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Periodic Report fairly presents, in all material respects, the financial condition and results of operations of the Company.</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Dated: May 3, 2023</w:t>
      </w:r>
    </w:p>
    <w:tbl>
      <w:tblPr>
        <w:tblW w:w="510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103"/>
        <w:gridCol w:w="1103"/>
        <w:gridCol w:w="15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342"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342"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and Treasurer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0"/>
        <w:rPr/>
      </w:pPr>
      <w:r>
        <w:rPr/>
      </w:r>
    </w:p>
    <w:p>
      <w:pPr>
        <w:pStyle w:val="TextBody"/>
        <w:spacing w:lineRule="auto" w:line="247"/>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r>
        <w:br w:type="page"/>
      </w:r>
    </w:p>
    <w:p>
      <w:pPr>
        <w:pStyle w:val="TextBody"/>
        <w:spacing w:before="0" w:after="283"/>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Tahoma">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788882/000162828020015173/exhibit31-8xkxamendeda.htm" TargetMode="External"/><Relationship Id="rId3" Type="http://schemas.openxmlformats.org/officeDocument/2006/relationships/hyperlink" Target="https://www.sec.gov/Archives/edgar/data/1788882/000178888222000026/a31rootcharteramendment.htm" TargetMode="External"/><Relationship Id="rId4" Type="http://schemas.openxmlformats.org/officeDocument/2006/relationships/hyperlink" Target="https://www.sec.gov/Archives/edgar/data/1788882/000162828023004580/a33amendedandrestatedbylaws.htm" TargetMode="External"/><Relationship Id="rId5" Type="http://schemas.openxmlformats.org/officeDocument/2006/relationships/hyperlink" Target="http://www.sec.gov/Archives/edgar/data/0001788882/000119312521289291/d236036dex31.htm" TargetMode="External"/><Relationship Id="rId6" Type="http://schemas.openxmlformats.org/officeDocument/2006/relationships/hyperlink" Target="http://www.sec.gov/Archives/edgar/data/1788882/000162828020014581/exhibit41-sx1a1xformof.htm" TargetMode="External"/><Relationship Id="rId7" Type="http://schemas.openxmlformats.org/officeDocument/2006/relationships/hyperlink" Target="http://www.sec.gov/Archives/edgar/data/0001788882/000119312521289291/d236036dex41.htm" TargetMode="External"/><Relationship Id="rId8" Type="http://schemas.openxmlformats.org/officeDocument/2006/relationships/hyperlink" Target="http://www.sec.gov/Archives/edgar/data/1788882/000119312522018949/d295910dex41.htm" TargetMode="External"/><Relationship Id="rId9" Type="http://schemas.openxmlformats.org/officeDocument/2006/relationships/hyperlink" Target="https://www.sec.gov/Archives/edgar/data/1788882/000119312522018949/d295910dex42.htm" TargetMode="External"/><Relationship Id="rId10" Type="http://schemas.openxmlformats.org/officeDocument/2006/relationships/hyperlink" Target="https://www.sec.gov/Archives/edgar/data/1788882/000162828023005851/executiveemploymentagreeme.htm" TargetMode="External"/><Relationship Id="rId11" Type="http://schemas.openxmlformats.org/officeDocument/2006/relationships/hyperlink" Target="https://www.sec.gov/Archives/edgar/data/1788882/000162828023005851/executiveemploymentagreeme.htm" TargetMode="External"/><Relationship Id="rId12" Type="http://schemas.openxmlformats.org/officeDocument/2006/relationships/hyperlink" Target="https://www.sec.gov/Archives/edgar/data/1788882/000162828023004580/exhibit1034.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18973</Words>
  <CharactersWithSpaces>122783</CharactersWithSpaces>
  <Paragraphs>2660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