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60325</wp:posOffset>
            </wp:positionV>
            <wp:extent cx="1466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1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74" w:lineRule="exact"/>
        <w:rPr>
          <w:sz w:val="24"/>
          <w:szCs w:val="24"/>
          <w:color w:val="auto"/>
        </w:rPr>
      </w:pPr>
    </w:p>
    <w:p>
      <w:pPr>
        <w:jc w:val="center"/>
        <w:ind w:left="4000" w:right="1420" w:hanging="2587"/>
        <w:spacing w:after="0" w:line="261" w:lineRule="auto"/>
        <w:tabs>
          <w:tab w:leader="none" w:pos="1609"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9" w:lineRule="exact"/>
        <w:rPr>
          <w:sz w:val="24"/>
          <w:szCs w:val="24"/>
          <w:color w:val="auto"/>
        </w:rPr>
      </w:pPr>
    </w:p>
    <w:p>
      <w:pPr>
        <w:jc w:val="center"/>
        <w:ind w:left="3540" w:right="1420" w:hanging="2133"/>
        <w:spacing w:after="0" w:line="582" w:lineRule="auto"/>
        <w:tabs>
          <w:tab w:leader="none" w:pos="1598"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from____________to____________</w:t>
      </w:r>
    </w:p>
    <w:p>
      <w:pPr>
        <w:spacing w:after="0" w:line="1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Commission File Number: 001-39658</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ROOT, INC.</w:t>
      </w:r>
    </w:p>
    <w:p>
      <w:pPr>
        <w:sectPr>
          <w:pgSz w:w="11900" w:h="16838" w:orient="portrait"/>
          <w:cols w:equalWidth="0" w:num="1">
            <w:col w:w="11260"/>
          </w:cols>
          <w:pgMar w:left="320" w:top="1150" w:right="319" w:bottom="1440" w:gutter="0" w:footer="0" w:header="0"/>
        </w:sectPr>
      </w:pPr>
    </w:p>
    <w:p>
      <w:pPr>
        <w:spacing w:after="0" w:line="4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60325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9" w:lineRule="exact"/>
        <w:rPr>
          <w:sz w:val="24"/>
          <w:szCs w:val="24"/>
          <w:color w:val="auto"/>
        </w:rPr>
      </w:pPr>
    </w:p>
    <w:p>
      <w:pPr>
        <w:jc w:val="center"/>
        <w:ind w:right="42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6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29"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54" w:lineRule="exact"/>
        <w:rPr>
          <w:sz w:val="24"/>
          <w:szCs w:val="24"/>
          <w:color w:val="auto"/>
        </w:rPr>
      </w:pPr>
    </w:p>
    <w:p>
      <w:pPr>
        <w:jc w:val="center"/>
        <w:ind w:right="4200"/>
        <w:spacing w:after="0"/>
        <w:rPr>
          <w:sz w:val="20"/>
          <w:szCs w:val="20"/>
          <w:color w:val="auto"/>
        </w:rPr>
      </w:pPr>
      <w:r>
        <w:rPr>
          <w:rFonts w:ascii="Times New Roman" w:cs="Times New Roman" w:eastAsia="Times New Roman" w:hAnsi="Times New Roman"/>
          <w:sz w:val="14"/>
          <w:szCs w:val="14"/>
          <w:b w:val="1"/>
          <w:bCs w:val="1"/>
          <w:color w:val="auto"/>
        </w:rPr>
        <w:t>80 E. Rich Street, Suite 500</w:t>
      </w:r>
    </w:p>
    <w:p>
      <w:pPr>
        <w:spacing w:after="0" w:line="29" w:lineRule="exact"/>
        <w:rPr>
          <w:sz w:val="24"/>
          <w:szCs w:val="24"/>
          <w:color w:val="auto"/>
        </w:rPr>
      </w:pPr>
    </w:p>
    <w:p>
      <w:pPr>
        <w:jc w:val="center"/>
        <w:ind w:right="4200"/>
        <w:spacing w:after="0"/>
        <w:rPr>
          <w:sz w:val="20"/>
          <w:szCs w:val="20"/>
          <w:color w:val="auto"/>
        </w:rPr>
      </w:pPr>
      <w:r>
        <w:rPr>
          <w:rFonts w:ascii="Times New Roman" w:cs="Times New Roman" w:eastAsia="Times New Roman" w:hAnsi="Times New Roman"/>
          <w:sz w:val="14"/>
          <w:szCs w:val="14"/>
          <w:b w:val="1"/>
          <w:bCs w:val="1"/>
          <w:color w:val="auto"/>
        </w:rPr>
        <w:t>Columbus, Ohio</w:t>
      </w:r>
    </w:p>
    <w:p>
      <w:pPr>
        <w:spacing w:after="0" w:line="54"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38" w:lineRule="exact"/>
        <w:rPr>
          <w:sz w:val="24"/>
          <w:szCs w:val="24"/>
          <w:color w:val="auto"/>
        </w:rPr>
      </w:pPr>
    </w:p>
    <w:p>
      <w:pPr>
        <w:jc w:val="center"/>
        <w:ind w:left="3320"/>
        <w:spacing w:after="0"/>
        <w:rPr>
          <w:sz w:val="20"/>
          <w:szCs w:val="20"/>
          <w:color w:val="auto"/>
        </w:rPr>
      </w:pPr>
      <w:r>
        <w:rPr>
          <w:rFonts w:ascii="Times New Roman" w:cs="Times New Roman" w:eastAsia="Times New Roman" w:hAnsi="Times New Roman"/>
          <w:sz w:val="18"/>
          <w:szCs w:val="18"/>
          <w:b w:val="1"/>
          <w:bCs w:val="1"/>
          <w:color w:val="auto"/>
        </w:rPr>
        <w:t>(866) 980-9431</w:t>
      </w:r>
    </w:p>
    <w:p>
      <w:pPr>
        <w:spacing w:after="0" w:line="31" w:lineRule="exact"/>
        <w:rPr>
          <w:sz w:val="24"/>
          <w:szCs w:val="24"/>
          <w:color w:val="auto"/>
        </w:rPr>
      </w:pPr>
    </w:p>
    <w:p>
      <w:pPr>
        <w:jc w:val="center"/>
        <w:ind w:left="33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84-2717903</w:t>
      </w:r>
    </w:p>
    <w:p>
      <w:pPr>
        <w:spacing w:after="0" w:line="6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35"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43215</w:t>
      </w:r>
    </w:p>
    <w:p>
      <w:pPr>
        <w:spacing w:after="0" w:line="16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732" w:lineRule="exact"/>
        <w:rPr>
          <w:sz w:val="24"/>
          <w:szCs w:val="24"/>
          <w:color w:val="auto"/>
        </w:rPr>
      </w:pPr>
    </w:p>
    <w:p>
      <w:pPr>
        <w:sectPr>
          <w:pgSz w:w="11900" w:h="16838" w:orient="portrait"/>
          <w:cols w:equalWidth="0" w:num="2">
            <w:col w:w="7940" w:space="720"/>
            <w:col w:w="2600"/>
          </w:cols>
          <w:pgMar w:left="320" w:top="1150" w:right="3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57150</wp:posOffset>
            </wp:positionV>
            <wp:extent cx="1466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3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92"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r>
      <w:tr>
        <w:trPr>
          <w:trHeight w:val="173"/>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ROOT</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88"/>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$0.0001 par value per share</w:t>
            </w: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spacing w:after="0"/>
              <w:rPr>
                <w:sz w:val="16"/>
                <w:szCs w:val="16"/>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r>
    </w:tbl>
    <w:p>
      <w:pPr>
        <w:spacing w:after="0" w:line="117"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1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0" w:lineRule="exact"/>
        <w:rPr>
          <w:sz w:val="24"/>
          <w:szCs w:val="24"/>
          <w:color w:val="auto"/>
        </w:rPr>
      </w:pPr>
    </w:p>
    <w:p>
      <w:pPr>
        <w:ind w:left="20"/>
        <w:spacing w:after="0" w:line="161" w:lineRule="exact"/>
        <w:tabs>
          <w:tab w:leader="none" w:pos="562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81" w:lineRule="exact"/>
        <w:rPr>
          <w:sz w:val="24"/>
          <w:szCs w:val="24"/>
          <w:color w:val="auto"/>
        </w:rPr>
      </w:pPr>
    </w:p>
    <w:p>
      <w:pPr>
        <w:ind w:left="20"/>
        <w:spacing w:after="0" w:line="161" w:lineRule="exact"/>
        <w:tabs>
          <w:tab w:leader="none" w:pos="5620" w:val="left"/>
        </w:tabs>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69" w:lineRule="exact"/>
        <w:rPr>
          <w:sz w:val="24"/>
          <w:szCs w:val="24"/>
          <w:color w:val="auto"/>
        </w:rPr>
      </w:pPr>
    </w:p>
    <w:p>
      <w:pPr>
        <w:ind w:left="564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60"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April 30, 2025, the number of outstanding shares of the registrant’s Class A common stock, par value $0.0001 per share, was 12,093,450 and the number of outstanding shares of the registrant’s Class B common stock, par value $0.0001 per share, was 3,272,033.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50" w:right="319" w:bottom="1440" w:gutter="0" w:footer="0" w:header="0"/>
          <w:type w:val="continuous"/>
        </w:sectPr>
      </w:pPr>
    </w:p>
    <w:bookmarkStart w:id="1" w:name="page2"/>
    <w:bookmarkEnd w:id="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20" w:type="dxa"/>
            <w:vAlign w:val="bottom"/>
            <w:gridSpan w:val="12"/>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82"/>
        </w:trPr>
        <w:tc>
          <w:tcPr>
            <w:tcW w:w="10360" w:type="dxa"/>
            <w:vAlign w:val="bottom"/>
            <w:gridSpan w:val="24"/>
          </w:tcPr>
          <w:p>
            <w:pPr>
              <w:spacing w:after="0" w:line="182" w:lineRule="exact"/>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gridSpan w:val="5"/>
          </w:tcPr>
          <w:p>
            <w:pPr>
              <w:jc w:val="center"/>
              <w:ind w:right="380"/>
              <w:spacing w:after="0" w:line="182" w:lineRule="exact"/>
              <w:rPr>
                <w:sz w:val="20"/>
                <w:szCs w:val="20"/>
                <w:color w:val="auto"/>
              </w:rPr>
            </w:pPr>
            <w:r>
              <w:rPr>
                <w:rFonts w:ascii="Times New Roman" w:cs="Times New Roman" w:eastAsia="Times New Roman" w:hAnsi="Times New Roman"/>
                <w:sz w:val="18"/>
                <w:szCs w:val="18"/>
                <w:color w:val="0000FF"/>
                <w:w w:val="99"/>
              </w:rPr>
              <w:t>ii</w:t>
            </w:r>
          </w:p>
        </w:tc>
      </w:tr>
      <w:tr>
        <w:trPr>
          <w:trHeight w:val="480"/>
        </w:trPr>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22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3560" w:type="dxa"/>
            <w:vAlign w:val="bottom"/>
            <w:gridSpan w:val="4"/>
          </w:tcPr>
          <w:p>
            <w:pPr>
              <w:spacing w:after="0"/>
              <w:rPr>
                <w:sz w:val="24"/>
                <w:szCs w:val="24"/>
                <w:color w:val="auto"/>
              </w:rPr>
            </w:pPr>
          </w:p>
        </w:tc>
        <w:tc>
          <w:tcPr>
            <w:tcW w:w="380" w:type="dxa"/>
            <w:vAlign w:val="bottom"/>
            <w:gridSpan w:val="2"/>
          </w:tcPr>
          <w:p>
            <w:pPr>
              <w:spacing w:after="0"/>
              <w:rPr>
                <w:sz w:val="24"/>
                <w:szCs w:val="24"/>
                <w:color w:val="auto"/>
              </w:rPr>
            </w:pPr>
          </w:p>
        </w:tc>
        <w:tc>
          <w:tcPr>
            <w:tcW w:w="120" w:type="dxa"/>
            <w:vAlign w:val="bottom"/>
            <w:tcBorders>
              <w:top w:val="single" w:sz="8" w:color="0000FF"/>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80" w:type="dxa"/>
            <w:vAlign w:val="bottom"/>
            <w:gridSpan w:val="2"/>
          </w:tcPr>
          <w:p>
            <w:pPr>
              <w:spacing w:after="0"/>
              <w:rPr>
                <w:sz w:val="18"/>
                <w:szCs w:val="18"/>
                <w:color w:val="auto"/>
              </w:rPr>
            </w:pPr>
          </w:p>
        </w:tc>
        <w:tc>
          <w:tcPr>
            <w:tcW w:w="24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Financial Statements - Unaudited</w:t>
            </w:r>
          </w:p>
        </w:tc>
        <w:tc>
          <w:tcPr>
            <w:tcW w:w="1140" w:type="dxa"/>
            <w:vAlign w:val="bottom"/>
            <w:gridSpan w:val="2"/>
          </w:tcPr>
          <w:p>
            <w:pPr>
              <w:spacing w:after="0"/>
              <w:rPr>
                <w:sz w:val="18"/>
                <w:szCs w:val="18"/>
                <w:color w:val="auto"/>
              </w:rPr>
            </w:pPr>
          </w:p>
        </w:tc>
        <w:tc>
          <w:tcPr>
            <w:tcW w:w="2260" w:type="dxa"/>
            <w:vAlign w:val="bottom"/>
            <w:gridSpan w:val="8"/>
          </w:tcPr>
          <w:p>
            <w:pPr>
              <w:spacing w:after="0"/>
              <w:rPr>
                <w:sz w:val="18"/>
                <w:szCs w:val="18"/>
                <w:color w:val="auto"/>
              </w:rPr>
            </w:pPr>
          </w:p>
        </w:tc>
        <w:tc>
          <w:tcPr>
            <w:tcW w:w="3560" w:type="dxa"/>
            <w:vAlign w:val="bottom"/>
            <w:gridSpan w:val="4"/>
          </w:tcPr>
          <w:p>
            <w:pPr>
              <w:spacing w:after="0"/>
              <w:rPr>
                <w:sz w:val="18"/>
                <w:szCs w:val="18"/>
                <w:color w:val="auto"/>
              </w:rPr>
            </w:pPr>
          </w:p>
        </w:tc>
        <w:tc>
          <w:tcPr>
            <w:tcW w:w="50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 Unaudited</w:t>
            </w:r>
          </w:p>
        </w:tc>
        <w:tc>
          <w:tcPr>
            <w:tcW w:w="50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Income (Loss) - Unaudited</w:t>
            </w:r>
          </w:p>
        </w:tc>
        <w:tc>
          <w:tcPr>
            <w:tcW w:w="2240" w:type="dxa"/>
            <w:vAlign w:val="bottom"/>
            <w:gridSpan w:val="2"/>
          </w:tcPr>
          <w:p>
            <w:pPr>
              <w:spacing w:after="0"/>
              <w:rPr>
                <w:sz w:val="18"/>
                <w:szCs w:val="18"/>
                <w:color w:val="auto"/>
              </w:rPr>
            </w:pPr>
          </w:p>
        </w:tc>
        <w:tc>
          <w:tcPr>
            <w:tcW w:w="50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Redeemable Convertible Preferred Stock and Stockholders’ Equity - Unaudited</w:t>
            </w:r>
          </w:p>
        </w:tc>
        <w:tc>
          <w:tcPr>
            <w:tcW w:w="50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5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Unaudited</w:t>
            </w:r>
          </w:p>
        </w:tc>
        <w:tc>
          <w:tcPr>
            <w:tcW w:w="780" w:type="dxa"/>
            <w:vAlign w:val="bottom"/>
          </w:tcPr>
          <w:p>
            <w:pPr>
              <w:spacing w:after="0"/>
              <w:rPr>
                <w:sz w:val="18"/>
                <w:szCs w:val="18"/>
                <w:color w:val="auto"/>
              </w:rPr>
            </w:pPr>
          </w:p>
        </w:tc>
        <w:tc>
          <w:tcPr>
            <w:tcW w:w="50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 Unaudited</w:t>
            </w:r>
          </w:p>
        </w:tc>
        <w:tc>
          <w:tcPr>
            <w:tcW w:w="50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360" w:type="dxa"/>
            <w:vAlign w:val="bottom"/>
          </w:tcPr>
          <w:p>
            <w:pPr>
              <w:spacing w:after="0"/>
              <w:rPr>
                <w:sz w:val="18"/>
                <w:szCs w:val="18"/>
                <w:color w:val="auto"/>
              </w:rPr>
            </w:pPr>
          </w:p>
        </w:tc>
        <w:tc>
          <w:tcPr>
            <w:tcW w:w="64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2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18</w:t>
            </w:r>
          </w:p>
        </w:tc>
        <w:tc>
          <w:tcPr>
            <w:tcW w:w="340" w:type="dxa"/>
            <w:vAlign w:val="bottom"/>
          </w:tcPr>
          <w:p>
            <w:pPr>
              <w:spacing w:after="0"/>
              <w:rPr>
                <w:sz w:val="18"/>
                <w:szCs w:val="18"/>
                <w:color w:val="auto"/>
              </w:rPr>
            </w:pPr>
          </w:p>
        </w:tc>
      </w:tr>
      <w:tr>
        <w:trPr>
          <w:trHeight w:val="209"/>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80" w:type="dxa"/>
            <w:vAlign w:val="bottom"/>
            <w:gridSpan w:val="2"/>
          </w:tcPr>
          <w:p>
            <w:pPr>
              <w:spacing w:after="0"/>
              <w:rPr>
                <w:sz w:val="18"/>
                <w:szCs w:val="18"/>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00" w:type="dxa"/>
            <w:vAlign w:val="bottom"/>
            <w:gridSpan w:val="8"/>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340" w:type="dxa"/>
            <w:vAlign w:val="bottom"/>
          </w:tcPr>
          <w:p>
            <w:pPr>
              <w:spacing w:after="0"/>
              <w:rPr>
                <w:sz w:val="18"/>
                <w:szCs w:val="18"/>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80" w:type="dxa"/>
            <w:vAlign w:val="bottom"/>
            <w:gridSpan w:val="2"/>
          </w:tcPr>
          <w:p>
            <w:pPr>
              <w:spacing w:after="0"/>
              <w:rPr>
                <w:sz w:val="18"/>
                <w:szCs w:val="18"/>
                <w:color w:val="auto"/>
              </w:rPr>
            </w:pPr>
          </w:p>
        </w:tc>
        <w:tc>
          <w:tcPr>
            <w:tcW w:w="9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gridSpan w:val="6"/>
          </w:tcPr>
          <w:p>
            <w:pPr>
              <w:jc w:val="center"/>
              <w:ind w:left="250"/>
              <w:spacing w:after="0"/>
              <w:rPr>
                <w:sz w:val="20"/>
                <w:szCs w:val="20"/>
                <w:color w:val="auto"/>
              </w:rPr>
            </w:pPr>
            <w:r>
              <w:rPr>
                <w:rFonts w:ascii="Times New Roman" w:cs="Times New Roman" w:eastAsia="Times New Roman" w:hAnsi="Times New Roman"/>
                <w:sz w:val="18"/>
                <w:szCs w:val="18"/>
                <w:color w:val="0000FF"/>
                <w:w w:val="99"/>
              </w:rPr>
              <w:t>35</w:t>
            </w:r>
          </w:p>
        </w:tc>
        <w:tc>
          <w:tcPr>
            <w:tcW w:w="340" w:type="dxa"/>
            <w:vAlign w:val="bottom"/>
          </w:tcPr>
          <w:p>
            <w:pPr>
              <w:spacing w:after="0"/>
              <w:rPr>
                <w:sz w:val="18"/>
                <w:szCs w:val="18"/>
                <w:color w:val="auto"/>
              </w:rPr>
            </w:pPr>
          </w:p>
        </w:tc>
      </w:tr>
      <w:tr>
        <w:trPr>
          <w:trHeight w:val="479"/>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340" w:type="dxa"/>
            <w:vAlign w:val="bottom"/>
          </w:tcPr>
          <w:p>
            <w:pPr>
              <w:spacing w:after="0"/>
              <w:rPr>
                <w:sz w:val="24"/>
                <w:szCs w:val="24"/>
                <w:color w:val="auto"/>
              </w:rPr>
            </w:pPr>
          </w:p>
        </w:tc>
        <w:tc>
          <w:tcPr>
            <w:tcW w:w="180" w:type="dxa"/>
            <w:vAlign w:val="bottom"/>
            <w:tcBorders>
              <w:top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340" w:type="dxa"/>
            <w:vAlign w:val="bottom"/>
          </w:tcPr>
          <w:p>
            <w:pPr>
              <w:spacing w:after="0"/>
              <w:rPr>
                <w:sz w:val="24"/>
                <w:szCs w:val="24"/>
                <w:color w:val="auto"/>
              </w:rPr>
            </w:pPr>
          </w:p>
        </w:tc>
      </w:tr>
      <w:tr>
        <w:trPr>
          <w:trHeight w:val="210"/>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360" w:type="dxa"/>
            <w:vAlign w:val="bottom"/>
          </w:tcPr>
          <w:p>
            <w:pPr>
              <w:spacing w:after="0"/>
              <w:rPr>
                <w:sz w:val="18"/>
                <w:szCs w:val="18"/>
                <w:color w:val="auto"/>
              </w:rPr>
            </w:pPr>
          </w:p>
        </w:tc>
        <w:tc>
          <w:tcPr>
            <w:tcW w:w="36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060" w:type="dxa"/>
            <w:vAlign w:val="bottom"/>
            <w:tcBorders>
              <w:top w:val="single" w:sz="8" w:color="0000FF"/>
            </w:tcBorders>
            <w:gridSpan w:val="6"/>
          </w:tcPr>
          <w:p>
            <w:pPr>
              <w:spacing w:after="0"/>
              <w:rPr>
                <w:sz w:val="18"/>
                <w:szCs w:val="18"/>
                <w:color w:val="auto"/>
              </w:rPr>
            </w:pPr>
          </w:p>
        </w:tc>
        <w:tc>
          <w:tcPr>
            <w:tcW w:w="3660" w:type="dxa"/>
            <w:vAlign w:val="bottom"/>
            <w:gridSpan w:val="5"/>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340" w:type="dxa"/>
            <w:vAlign w:val="bottom"/>
          </w:tcPr>
          <w:p>
            <w:pPr>
              <w:spacing w:after="0"/>
              <w:rPr>
                <w:sz w:val="18"/>
                <w:szCs w:val="18"/>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9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gridSpan w:val="6"/>
          </w:tcPr>
          <w:p>
            <w:pPr>
              <w:jc w:val="center"/>
              <w:ind w:left="250"/>
              <w:spacing w:after="0"/>
              <w:rPr>
                <w:sz w:val="20"/>
                <w:szCs w:val="20"/>
                <w:color w:val="auto"/>
              </w:rPr>
            </w:pPr>
            <w:r>
              <w:rPr>
                <w:rFonts w:ascii="Times New Roman" w:cs="Times New Roman" w:eastAsia="Times New Roman" w:hAnsi="Times New Roman"/>
                <w:sz w:val="18"/>
                <w:szCs w:val="18"/>
                <w:color w:val="0000FF"/>
                <w:w w:val="99"/>
              </w:rPr>
              <w:t>37</w:t>
            </w:r>
          </w:p>
        </w:tc>
        <w:tc>
          <w:tcPr>
            <w:tcW w:w="340" w:type="dxa"/>
            <w:vAlign w:val="bottom"/>
          </w:tcPr>
          <w:p>
            <w:pPr>
              <w:spacing w:after="0"/>
              <w:rPr>
                <w:sz w:val="18"/>
                <w:szCs w:val="18"/>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020" w:type="dxa"/>
            <w:vAlign w:val="bottom"/>
            <w:gridSpan w:val="9"/>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38</w:t>
            </w:r>
          </w:p>
        </w:tc>
        <w:tc>
          <w:tcPr>
            <w:tcW w:w="340" w:type="dxa"/>
            <w:vAlign w:val="bottom"/>
          </w:tcPr>
          <w:p>
            <w:pPr>
              <w:spacing w:after="0"/>
              <w:rPr>
                <w:sz w:val="18"/>
                <w:szCs w:val="18"/>
                <w:color w:val="auto"/>
              </w:rPr>
            </w:pPr>
          </w:p>
        </w:tc>
      </w:tr>
      <w:tr>
        <w:trPr>
          <w:trHeight w:val="209"/>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80" w:type="dxa"/>
            <w:vAlign w:val="bottom"/>
            <w:gridSpan w:val="2"/>
          </w:tcPr>
          <w:p>
            <w:pPr>
              <w:spacing w:after="0"/>
              <w:rPr>
                <w:sz w:val="18"/>
                <w:szCs w:val="18"/>
                <w:color w:val="auto"/>
              </w:rPr>
            </w:pPr>
          </w:p>
        </w:tc>
        <w:tc>
          <w:tcPr>
            <w:tcW w:w="2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7040" w:type="dxa"/>
            <w:vAlign w:val="bottom"/>
            <w:gridSpan w:val="15"/>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39</w:t>
            </w:r>
          </w:p>
        </w:tc>
        <w:tc>
          <w:tcPr>
            <w:tcW w:w="340" w:type="dxa"/>
            <w:vAlign w:val="bottom"/>
          </w:tcPr>
          <w:p>
            <w:pPr>
              <w:spacing w:after="0"/>
              <w:rPr>
                <w:sz w:val="18"/>
                <w:szCs w:val="18"/>
                <w:color w:val="auto"/>
              </w:rPr>
            </w:pPr>
          </w:p>
        </w:tc>
      </w:tr>
      <w:tr>
        <w:trPr>
          <w:trHeight w:val="210"/>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gridSpan w:val="6"/>
          </w:tcPr>
          <w:p>
            <w:pPr>
              <w:jc w:val="center"/>
              <w:ind w:left="250"/>
              <w:spacing w:after="0"/>
              <w:rPr>
                <w:sz w:val="20"/>
                <w:szCs w:val="20"/>
                <w:color w:val="auto"/>
              </w:rPr>
            </w:pPr>
            <w:r>
              <w:rPr>
                <w:rFonts w:ascii="Times New Roman" w:cs="Times New Roman" w:eastAsia="Times New Roman" w:hAnsi="Times New Roman"/>
                <w:sz w:val="18"/>
                <w:szCs w:val="18"/>
                <w:color w:val="0000FF"/>
                <w:w w:val="99"/>
              </w:rPr>
              <w:t>40</w:t>
            </w:r>
          </w:p>
        </w:tc>
        <w:tc>
          <w:tcPr>
            <w:tcW w:w="340" w:type="dxa"/>
            <w:vAlign w:val="bottom"/>
          </w:tcPr>
          <w:p>
            <w:pPr>
              <w:spacing w:after="0"/>
              <w:rPr>
                <w:sz w:val="18"/>
                <w:szCs w:val="18"/>
                <w:color w:val="auto"/>
              </w:rPr>
            </w:pPr>
          </w:p>
        </w:tc>
      </w:tr>
      <w:tr>
        <w:trPr>
          <w:trHeight w:val="210"/>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480" w:type="dxa"/>
            <w:vAlign w:val="bottom"/>
            <w:tcBorders>
              <w:top w:val="single" w:sz="8" w:color="0000FF"/>
            </w:tcBorders>
            <w:gridSpan w:val="2"/>
          </w:tcPr>
          <w:p>
            <w:pPr>
              <w:spacing w:after="0"/>
              <w:rPr>
                <w:sz w:val="18"/>
                <w:szCs w:val="18"/>
                <w:color w:val="auto"/>
              </w:rPr>
            </w:pPr>
          </w:p>
        </w:tc>
        <w:tc>
          <w:tcPr>
            <w:tcW w:w="17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600" w:type="dxa"/>
            <w:vAlign w:val="bottom"/>
            <w:gridSpan w:val="16"/>
          </w:tcPr>
          <w:p>
            <w:pPr>
              <w:spacing w:after="0"/>
              <w:rPr>
                <w:sz w:val="18"/>
                <w:szCs w:val="18"/>
                <w:color w:val="auto"/>
              </w:rPr>
            </w:pPr>
          </w:p>
        </w:tc>
        <w:tc>
          <w:tcPr>
            <w:tcW w:w="520" w:type="dxa"/>
            <w:vAlign w:val="bottom"/>
            <w:gridSpan w:val="6"/>
          </w:tcPr>
          <w:p>
            <w:pPr>
              <w:jc w:val="center"/>
              <w:ind w:left="250"/>
              <w:spacing w:after="0"/>
              <w:rPr>
                <w:sz w:val="20"/>
                <w:szCs w:val="20"/>
                <w:color w:val="auto"/>
              </w:rPr>
            </w:pPr>
            <w:r>
              <w:rPr>
                <w:rFonts w:ascii="Times New Roman" w:cs="Times New Roman" w:eastAsia="Times New Roman" w:hAnsi="Times New Roman"/>
                <w:sz w:val="18"/>
                <w:szCs w:val="18"/>
                <w:color w:val="0000FF"/>
                <w:w w:val="99"/>
              </w:rPr>
              <w:t>41</w:t>
            </w:r>
          </w:p>
        </w:tc>
        <w:tc>
          <w:tcPr>
            <w:tcW w:w="340" w:type="dxa"/>
            <w:vAlign w:val="bottom"/>
          </w:tcPr>
          <w:p>
            <w:pPr>
              <w:spacing w:after="0"/>
              <w:rPr>
                <w:sz w:val="18"/>
                <w:szCs w:val="18"/>
                <w:color w:val="auto"/>
              </w:rPr>
            </w:pPr>
          </w:p>
        </w:tc>
      </w:tr>
      <w:tr>
        <w:trPr>
          <w:trHeight w:val="210"/>
        </w:trPr>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480" w:type="dxa"/>
            <w:vAlign w:val="bottom"/>
            <w:gridSpan w:val="2"/>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3"/>
          </w:tcPr>
          <w:p>
            <w:pPr>
              <w:spacing w:after="0"/>
              <w:rPr>
                <w:sz w:val="18"/>
                <w:szCs w:val="18"/>
                <w:color w:val="auto"/>
              </w:rPr>
            </w:pPr>
          </w:p>
        </w:tc>
        <w:tc>
          <w:tcPr>
            <w:tcW w:w="8040" w:type="dxa"/>
            <w:vAlign w:val="bottom"/>
            <w:gridSpan w:val="17"/>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0000FF"/>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c>
          <w:tcPr>
            <w:tcW w:w="340" w:type="dxa"/>
            <w:vAlign w:val="bottom"/>
          </w:tcPr>
          <w:p>
            <w:pPr>
              <w:spacing w:after="0"/>
              <w:rPr>
                <w:sz w:val="18"/>
                <w:szCs w:val="18"/>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600" w:type="dxa"/>
            <w:vAlign w:val="bottom"/>
            <w:gridSpan w:val="19"/>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c>
          <w:tcPr>
            <w:tcW w:w="3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“path,” “plan,” “potential,” “predict,” “project,” “should,” “target,” “will” or “would” or the negative of these words or other similar terms or expressions. These forward-looking statements include, but are not limited to, statements concerning the following:</w:t>
      </w:r>
    </w:p>
    <w:p>
      <w:pPr>
        <w:spacing w:after="0" w:line="129" w:lineRule="exact"/>
        <w:rPr>
          <w:sz w:val="20"/>
          <w:szCs w:val="20"/>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customers, acquire new customers and expand our customer reach;</w:t>
      </w:r>
    </w:p>
    <w:p>
      <w:pPr>
        <w:spacing w:after="0" w:line="171"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financial performance, including total revenue, gross profit, net income (loss), direct contribution, adjusted EBITDA, net loss and loss adjustment expense, or LAE, ratio, net expense ratio, net combined ratio, gross loss ratio, marketing costs and costs of customer acquisition, gross LAE ratio, gross expense ratio, gross combined ratio, operating expenses, quota share levels, changes in unencumbered cash balances and expansion of our new and renewal premium base;</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profits, acquire customers, retain customers, contract with additional partners to utilize the products, or achieve other benefits from our embedded insurance offering;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distribution channels through additional partnership relationships, digital media, independent agents and referrals;</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a significant long-term competitive advantage through our partnership with Carvana Group, LLC, or Carvana, and other partnerships, such as Hyundai Capital America and Experian;</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products for embedded insurance and other partners;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supply chain disruptions, increasing inflation, a potential increase in tariffs or the implementation of new tariffs, a recession and/or disruptions to properly functioning financial and capital markets and interest rates on our business and financial condition;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profitable and extend our capital runway;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 to be licensed in all states in the United States, or U.S., and the timing of obtaining additional licenses and launching in new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and efficiency of our telematics and behavioral data, and our ability to gather and leverage existing and additional data;</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materially improve retention rates and our ability to realize benefits from retaining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underwrite risks accurately and charge profitable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business model and improve our capital and marketing efficiency;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improved conversion and decrease the cost of customer acquisition;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brand and reputation;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the growth of our business;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efficiently or at all;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our product offerings, introduce new products and expand into additional insurance 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cross sell our products and attain greater value from each customer;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 in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performance of the markets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a “capital-efficient” business and obtain and maintain desirable levels of reinsurance;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7" w:right="399" w:bottom="1440" w:gutter="0" w:footer="0" w:header="0"/>
        </w:sectPr>
      </w:pPr>
    </w:p>
    <w:bookmarkStart w:id="3" w:name="page4"/>
    <w:bookmarkEnd w:id="3"/>
    <w:p>
      <w:pPr>
        <w:ind w:left="660" w:right="200" w:hanging="328"/>
        <w:spacing w:after="0" w:line="282" w:lineRule="auto"/>
        <w:tabs>
          <w:tab w:leader="none" w:pos="6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further reductions in the utilization of reinsurance, which would result in retention of more premium and losses and could cause our capital requirements to increase;</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economies of scale;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key personnel, or hire personnel, and to offer competitive compensation and benefits;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a vertically integrated customer experience;</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products that utilize telematics to drive better customer satisfaction and retention;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any costs associated therewith;</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 autonomous claims experience;</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take rate action early and react to changing environments;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risk-based capital requirements;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benefits from our Texas county mutual fronting arrangement;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domestically;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that currently apply or become applicable to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litigation or other losses;</w:t>
      </w:r>
    </w:p>
    <w:p>
      <w:pPr>
        <w:spacing w:after="0" w:line="17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or changes in the interpretation of laws or regulations by a regulatory authority, specific to the use of artificial intelligence, telematics data and the consent to use telematics data, connected card data, and other sources of data;</w:t>
      </w:r>
    </w:p>
    <w:p>
      <w:pPr>
        <w:spacing w:after="0" w:line="107"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6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against cybersecurity threats and prevent, or recover from, a security incident or other significant disruption of our technology systems or those of our partners and third-party service providers;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interest rates on our available cash and our ability to maintain compliance with our Amended Term Loan (as defined herein);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and effective internal control over financial reporting;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w:t>
      </w:r>
    </w:p>
    <w:p>
      <w:pPr>
        <w:spacing w:after="0" w:line="17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outcome of the events described in these forward-looking statements is subject to risks, uncertainties and other factors described under the heading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9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9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Quarterly Report on Form 10-Q to the terms “Root,” “the Company,” “we,” “our” and “us” refer to Root, Inc. and its subsidiaries.</w:t>
      </w:r>
    </w:p>
    <w:p>
      <w:pPr>
        <w:spacing w:after="0" w:line="6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(ir.joinroot.com). We therefore encourage investors and others interested in Root to review the information that we make available on our website, in addition to following our filings with the Securities and Exchange Commission, or SEC, webcasts, press releases and conference calls.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8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7"/>
                <w:szCs w:val="17"/>
                <w:color w:val="auto"/>
              </w:rPr>
            </w:pPr>
          </w:p>
        </w:tc>
        <w:tc>
          <w:tcPr>
            <w:tcW w:w="12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(in millions, except par value)</w:t>
            </w:r>
          </w:p>
        </w:tc>
        <w:tc>
          <w:tcPr>
            <w:tcW w:w="0" w:type="dxa"/>
            <w:vAlign w:val="bottom"/>
          </w:tcPr>
          <w:p>
            <w:pPr>
              <w:spacing w:after="0"/>
              <w:rPr>
                <w:sz w:val="1"/>
                <w:szCs w:val="1"/>
                <w:color w:val="auto"/>
              </w:rPr>
            </w:pPr>
          </w:p>
        </w:tc>
      </w:tr>
      <w:tr>
        <w:trPr>
          <w:trHeight w:val="37"/>
        </w:trPr>
        <w:tc>
          <w:tcPr>
            <w:tcW w:w="8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Fixed maturities available-for-sale, at fair value (amortized cost: $312.2 and $294.3 at March 31, 2025 and</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0" w:type="dxa"/>
            <w:vAlign w:val="bottom"/>
          </w:tcPr>
          <w:p>
            <w:pPr>
              <w:spacing w:after="0"/>
              <w:rPr>
                <w:sz w:val="1"/>
                <w:szCs w:val="1"/>
                <w:color w:val="auto"/>
              </w:rPr>
            </w:pPr>
          </w:p>
        </w:tc>
      </w:tr>
      <w:tr>
        <w:trPr>
          <w:trHeight w:val="176"/>
        </w:trPr>
        <w:tc>
          <w:tcPr>
            <w:tcW w:w="81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Short-term investments (amortized cost: $7.9 and $14.8 at March 31, 2025 and December 31, 2024,</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investments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76"/>
        </w:trPr>
        <w:tc>
          <w:tcPr>
            <w:tcW w:w="81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Premiums receivable, net of allowance of $7.2 and $9.8 at March 31, 2025 and December 31, 2024,</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0" w:type="dxa"/>
            <w:vAlign w:val="bottom"/>
          </w:tcPr>
          <w:p>
            <w:pPr>
              <w:spacing w:after="0"/>
              <w:rPr>
                <w:sz w:val="1"/>
                <w:szCs w:val="1"/>
                <w:color w:val="auto"/>
              </w:rPr>
            </w:pPr>
          </w:p>
        </w:tc>
      </w:tr>
      <w:tr>
        <w:trPr>
          <w:trHeight w:val="176"/>
        </w:trPr>
        <w:tc>
          <w:tcPr>
            <w:tcW w:w="8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Reinsurance recoverable and receivable, net of allowance of $0.2 and $0.1 at March 31, 2025 and</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1,495.7</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and loss adjustment expense reserves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Reinsurance premiums payable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23"/>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Redeemable convertible preferred stock, $0.0001 par value, 100.0 shares authorized, 14.1 shares issued and</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at March 31, 2025 and December 31, 2024 (redemption value of $126.5)</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1,000.0 shares authorized, 11.2 and 11.1 shares issued and</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outstanding at March 31, 2025 and December 31, 2024, respectively</w:t>
            </w:r>
          </w:p>
        </w:tc>
        <w:tc>
          <w:tcPr>
            <w:tcW w:w="2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1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B convertible common stock, $0.0001 par value, 269.0 shares authorized, 4.0 shares issued and</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outstanding at March 31, 2025 and December 31, 2024</w:t>
            </w: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1,887.9</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loss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223"/>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1,495.7</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880" w:type="dxa"/>
            <w:vAlign w:val="bottom"/>
            <w:gridSpan w:val="5"/>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3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360" w:type="dxa"/>
            <w:vAlign w:val="bottom"/>
          </w:tcPr>
          <w:p>
            <w:pPr>
              <w:spacing w:after="0"/>
              <w:rPr>
                <w:sz w:val="17"/>
                <w:szCs w:val="17"/>
                <w:color w:val="auto"/>
              </w:rPr>
            </w:pPr>
          </w:p>
        </w:tc>
        <w:tc>
          <w:tcPr>
            <w:tcW w:w="2880" w:type="dxa"/>
            <w:vAlign w:val="bottom"/>
            <w:gridSpan w:val="5"/>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r>
      <w:tr>
        <w:trPr>
          <w:trHeight w:val="23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premiums earned</w:t>
            </w:r>
          </w:p>
        </w:tc>
        <w:tc>
          <w:tcPr>
            <w:tcW w:w="880" w:type="dxa"/>
            <w:vAlign w:val="bottom"/>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Fee income</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8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2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29"/>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insurance expense</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8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Verdana" w:cs="Verdana" w:eastAsia="Verdana" w:hAnsi="Verdana"/>
                <w:sz w:val="14"/>
                <w:szCs w:val="14"/>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participating securities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6"/>
        </w:trPr>
        <w:tc>
          <w:tcPr>
            <w:tcW w:w="8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net unrealized gains (losses) on investments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8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8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(loss) per common share: (both Class A and B)</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880" w:type="dxa"/>
            <w:vAlign w:val="bottom"/>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88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(both Class A and B)</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4"/>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bl>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7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w:t>
      </w:r>
    </w:p>
    <w:p>
      <w:pPr>
        <w:jc w:val="center"/>
        <w:spacing w:after="0"/>
        <w:rPr>
          <w:sz w:val="20"/>
          <w:szCs w:val="20"/>
          <w:color w:val="auto"/>
        </w:rPr>
      </w:pPr>
      <w:r>
        <w:rPr>
          <w:rFonts w:ascii="Times New Roman" w:cs="Times New Roman" w:eastAsia="Times New Roman" w:hAnsi="Times New Roman"/>
          <w:sz w:val="18"/>
          <w:szCs w:val="18"/>
          <w:b w:val="1"/>
          <w:bCs w:val="1"/>
          <w:color w:val="auto"/>
        </w:rPr>
        <w:t>EQUITY -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80" w:type="dxa"/>
            <w:vAlign w:val="bottom"/>
            <w:tcBorders>
              <w:top w:val="single" w:sz="8" w:color="auto"/>
            </w:tcBorders>
          </w:tcPr>
          <w:p>
            <w:pPr>
              <w:spacing w:after="0"/>
              <w:rPr>
                <w:sz w:val="14"/>
                <w:szCs w:val="14"/>
                <w:color w:val="auto"/>
              </w:rPr>
            </w:pPr>
          </w:p>
        </w:tc>
        <w:tc>
          <w:tcPr>
            <w:tcW w:w="1380" w:type="dxa"/>
            <w:vAlign w:val="bottom"/>
            <w:tcBorders>
              <w:top w:val="single" w:sz="8" w:color="auto"/>
              <w:right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6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8"/>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Class A and Class B Convertible</w:t>
            </w: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80" w:type="dxa"/>
            <w:vAlign w:val="bottom"/>
          </w:tcPr>
          <w:p>
            <w:pPr>
              <w:spacing w:after="0"/>
              <w:rPr>
                <w:sz w:val="10"/>
                <w:szCs w:val="10"/>
                <w:color w:val="auto"/>
              </w:rPr>
            </w:pPr>
          </w:p>
        </w:tc>
        <w:tc>
          <w:tcPr>
            <w:tcW w:w="1380" w:type="dxa"/>
            <w:vAlign w:val="bottom"/>
            <w:tcBorders>
              <w:right w:val="single" w:sz="8" w:color="auto"/>
            </w:tcBorders>
            <w:gridSpan w:val="4"/>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Convertible Preferred</w:t>
            </w:r>
          </w:p>
        </w:tc>
        <w:tc>
          <w:tcPr>
            <w:tcW w:w="60" w:type="dxa"/>
            <w:vAlign w:val="bottom"/>
          </w:tcPr>
          <w:p>
            <w:pPr>
              <w:spacing w:after="0"/>
              <w:rPr>
                <w:sz w:val="10"/>
                <w:szCs w:val="10"/>
                <w:color w:val="auto"/>
              </w:rPr>
            </w:pPr>
          </w:p>
        </w:tc>
        <w:tc>
          <w:tcPr>
            <w:tcW w:w="2060" w:type="dxa"/>
            <w:vAlign w:val="bottom"/>
            <w:gridSpan w:val="8"/>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80" w:type="dxa"/>
            <w:vAlign w:val="bottom"/>
          </w:tcPr>
          <w:p>
            <w:pPr>
              <w:spacing w:after="0"/>
              <w:rPr>
                <w:sz w:val="10"/>
                <w:szCs w:val="10"/>
                <w:color w:val="auto"/>
              </w:rPr>
            </w:pPr>
          </w:p>
        </w:tc>
        <w:tc>
          <w:tcPr>
            <w:tcW w:w="1380" w:type="dxa"/>
            <w:vAlign w:val="bottom"/>
            <w:tcBorders>
              <w:right w:val="single" w:sz="8" w:color="auto"/>
            </w:tcBorders>
            <w:gridSpan w:val="4"/>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gridSpan w:val="5"/>
          </w:tcPr>
          <w:p>
            <w:pPr>
              <w:jc w:val="center"/>
              <w:ind w:right="75"/>
              <w:spacing w:after="0" w:line="122" w:lineRule="exact"/>
              <w:rPr>
                <w:sz w:val="20"/>
                <w:szCs w:val="20"/>
                <w:color w:val="auto"/>
              </w:rPr>
            </w:pPr>
            <w:r>
              <w:rPr>
                <w:rFonts w:ascii="Times New Roman" w:cs="Times New Roman" w:eastAsia="Times New Roman" w:hAnsi="Times New Roman"/>
                <w:sz w:val="13"/>
                <w:szCs w:val="13"/>
                <w:b w:val="1"/>
                <w:bCs w:val="1"/>
                <w:color w:val="auto"/>
                <w:w w:val="98"/>
              </w:rPr>
              <w:t>Common Stock</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68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tcPr>
          <w:p>
            <w:pPr>
              <w:jc w:val="center"/>
              <w:ind w:right="200"/>
              <w:spacing w:after="0" w:line="61" w:lineRule="exact"/>
              <w:rPr>
                <w:sz w:val="20"/>
                <w:szCs w:val="20"/>
                <w:color w:val="auto"/>
              </w:rPr>
            </w:pPr>
            <w:r>
              <w:rPr>
                <w:rFonts w:ascii="Times New Roman" w:cs="Times New Roman" w:eastAsia="Times New Roman" w:hAnsi="Times New Roman"/>
                <w:sz w:val="7"/>
                <w:szCs w:val="7"/>
                <w:b w:val="1"/>
                <w:bCs w:val="1"/>
                <w:color w:val="auto"/>
              </w:rPr>
              <w:t>Other</w:t>
            </w: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jc w:val="center"/>
              <w:ind w:right="36"/>
              <w:spacing w:after="0" w:line="61" w:lineRule="exact"/>
              <w:rPr>
                <w:sz w:val="20"/>
                <w:szCs w:val="20"/>
                <w:color w:val="auto"/>
              </w:rPr>
            </w:pPr>
            <w:r>
              <w:rPr>
                <w:rFonts w:ascii="Times New Roman" w:cs="Times New Roman" w:eastAsia="Times New Roman" w:hAnsi="Times New Roman"/>
                <w:sz w:val="7"/>
                <w:szCs w:val="7"/>
                <w:b w:val="1"/>
                <w:bCs w:val="1"/>
                <w:color w:val="auto"/>
              </w:rPr>
              <w:t>Total</w:t>
            </w:r>
          </w:p>
        </w:tc>
        <w:tc>
          <w:tcPr>
            <w:tcW w:w="0" w:type="dxa"/>
            <w:vAlign w:val="bottom"/>
          </w:tcPr>
          <w:p>
            <w:pPr>
              <w:spacing w:after="0"/>
              <w:rPr>
                <w:sz w:val="1"/>
                <w:szCs w:val="1"/>
                <w:color w:val="auto"/>
              </w:rPr>
            </w:pPr>
          </w:p>
        </w:tc>
      </w:tr>
      <w:tr>
        <w:trPr>
          <w:trHeight w:val="128"/>
        </w:trPr>
        <w:tc>
          <w:tcPr>
            <w:tcW w:w="3680" w:type="dxa"/>
            <w:vAlign w:val="bottom"/>
          </w:tcPr>
          <w:p>
            <w:pPr>
              <w:spacing w:after="0"/>
              <w:rPr>
                <w:sz w:val="11"/>
                <w:szCs w:val="11"/>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0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Class A</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6"/>
              </w:rPr>
              <w:t>Class B</w:t>
            </w:r>
          </w:p>
        </w:tc>
        <w:tc>
          <w:tcPr>
            <w:tcW w:w="7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Additional Paid-</w:t>
            </w:r>
          </w:p>
        </w:tc>
        <w:tc>
          <w:tcPr>
            <w:tcW w:w="104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1"/>
                <w:szCs w:val="11"/>
                <w:color w:val="auto"/>
              </w:rPr>
            </w:pPr>
          </w:p>
        </w:tc>
        <w:tc>
          <w:tcPr>
            <w:tcW w:w="92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1"/>
                <w:szCs w:val="11"/>
                <w:color w:val="auto"/>
              </w:rPr>
            </w:pPr>
          </w:p>
        </w:tc>
        <w:tc>
          <w:tcPr>
            <w:tcW w:w="840" w:type="dxa"/>
            <w:vAlign w:val="bottom"/>
          </w:tcPr>
          <w:p>
            <w:pPr>
              <w:jc w:val="center"/>
              <w:ind w:right="36"/>
              <w:spacing w:after="0" w:line="129"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7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4"/>
                <w:szCs w:val="14"/>
                <w:color w:val="auto"/>
              </w:rPr>
            </w:pPr>
          </w:p>
        </w:tc>
        <w:tc>
          <w:tcPr>
            <w:tcW w:w="8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Balance—January 1, 2025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$ 112.0</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stock—option exercises and restricted</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8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stock units vesting, net of shares withheld for</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taxes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stock—share-based compensation</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Balance—March 31, 2025</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$ 112.0</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Balance—January 1, 2024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$ 112.0</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176"/>
        </w:trPr>
        <w:tc>
          <w:tcPr>
            <w:tcW w:w="3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stock—restricted stock units vesting,</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shares withheld for employee taxes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stock—share-based compensation</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compensation expense</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issuance costs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6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Balance—March 31, 2024</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$ 112.0</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1,890.4</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(1,721.4)</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40" w:type="dxa"/>
            <w:vAlign w:val="bottom"/>
            <w:tcBorders>
              <w:top w:val="single" w:sz="8" w:color="auto"/>
            </w:tcBorders>
          </w:tcPr>
          <w:p>
            <w:pPr>
              <w:spacing w:after="0"/>
              <w:rPr>
                <w:sz w:val="16"/>
                <w:szCs w:val="16"/>
                <w:color w:val="auto"/>
              </w:rPr>
            </w:pPr>
          </w:p>
        </w:tc>
        <w:tc>
          <w:tcPr>
            <w:tcW w:w="25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top w:val="single" w:sz="8" w:color="auto"/>
              <w:bottom w:val="single" w:sz="8" w:color="auto"/>
            </w:tcBorders>
          </w:tcPr>
          <w:p>
            <w:pPr>
              <w:spacing w:after="0"/>
              <w:rPr>
                <w:sz w:val="16"/>
                <w:szCs w:val="16"/>
                <w:color w:val="auto"/>
              </w:rPr>
            </w:pPr>
          </w:p>
        </w:tc>
      </w:tr>
      <w:tr>
        <w:trPr>
          <w:trHeight w:val="193"/>
        </w:trPr>
        <w:tc>
          <w:tcPr>
            <w:tcW w:w="8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r>
      <w:tr>
        <w:trPr>
          <w:trHeight w:val="196"/>
        </w:trPr>
        <w:tc>
          <w:tcPr>
            <w:tcW w:w="8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7"/>
                <w:szCs w:val="17"/>
                <w:color w:val="auto"/>
              </w:rPr>
            </w:pPr>
          </w:p>
        </w:tc>
      </w:tr>
      <w:tr>
        <w:trPr>
          <w:trHeight w:val="23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 compensation expense</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Premiums receivable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Reinsurance recoverable and receivable</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Losses and loss adjustment expenses reserves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Reinsurance premiums payable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0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maturities, calls and pay downs of investments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of investments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Capitalization of internally developed software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fixed assets</w:t>
            </w:r>
          </w:p>
        </w:tc>
        <w:tc>
          <w:tcPr>
            <w:tcW w:w="9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1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 and restricted stock units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6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w:t>
            </w:r>
          </w:p>
        </w:tc>
      </w:tr>
      <w:tr>
        <w:trPr>
          <w:trHeight w:val="20"/>
        </w:trPr>
        <w:tc>
          <w:tcPr>
            <w:tcW w:w="8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w:t>
      </w:r>
    </w:p>
    <w:p>
      <w:pPr>
        <w:spacing w:after="0" w:line="149"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175"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Root, Inc. is a holding company which, directly or indirectly, maintains 100% ownership of each of its subsidiaries, including, among others, Root Insurance Company and Root Property &amp; Casualty Insurance Company, or Root Property &amp; Casualty, both Ohio-domiciled insurance companies, Root Florida Insurance Company, a Florida-domiciled insurance company, and Root Reinsurance Company, Ltd., a Cayman Islands-domiciled reinsurance company, together with Root, Inc., “we,” “us” or “our.”</w:t>
      </w:r>
    </w:p>
    <w:p>
      <w:pPr>
        <w:spacing w:after="0" w:line="12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were formed in 2015 and began writing personal auto insurance in July 2016. We are a technology company operating primarily a direct-to-consumer model with the majority of our personal insurance customers acquired through partnerships and mobile apps. We offer auto and renters insurance products underwritten by Root Insurance Company and Root Property &amp; Casualty Insurance Company.</w:t>
      </w:r>
    </w:p>
    <w:p>
      <w:pPr>
        <w:spacing w:after="0" w:line="118"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7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—In our opinion, all adjustments necessary for a fair presentation of the condensed consolidated financial statements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All such adjustments are of a normal and recurring nature. These condensed consolidated financial statements are unaudited and, accordingly, should be read in conjunction with the consolidated financial statements and related notes included in the Annual Report on Form 10-K for the year ended December 31, 2024 filed with the Securities and Exchange Commission, or SEC, on February 26, 2025.</w:t>
      </w:r>
    </w:p>
    <w:p>
      <w:pPr>
        <w:spacing w:after="0" w:line="122"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Basis of Consolidation</w:t>
      </w:r>
      <w:r>
        <w:rPr>
          <w:rFonts w:ascii="Times New Roman" w:cs="Times New Roman" w:eastAsia="Times New Roman" w:hAnsi="Times New Roman"/>
          <w:sz w:val="18"/>
          <w:szCs w:val="18"/>
          <w:color w:val="auto"/>
        </w:rPr>
        <w:t>—The unaudited condensed consolidated financial statements include the accounts of Root, Inc. and its subsidiaries,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wholly owned. These financial statements have been prepared in accordance with accounting principles generally accepted in the U.S., or GAAP. All intercompany accounts and transactions have been eliminated.</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the unaudited condensed consolidated financial statements requires management to make certain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reported amounts of assets and liabilities and disclosure of contingent assets and liabilities at the date of the unaudited condensed consolidated financial statements and the reported amounts of revenue and expenses during the reporting period. Actual results could differ from those estimates. Significant estimates reflected in our unaudited condensed consolidated financial statements include, but are not limited to, reserves for loss and loss adjustment expense, or LAE, valuation allowances on our deferred tax assets and the amount of reinsurance recoverable and receivable from reinsurance contracts.</w:t>
      </w:r>
    </w:p>
    <w:p>
      <w:pPr>
        <w:spacing w:after="0" w:line="128" w:lineRule="exact"/>
        <w:rPr>
          <w:sz w:val="20"/>
          <w:szCs w:val="20"/>
          <w:color w:val="auto"/>
        </w:rPr>
      </w:pPr>
    </w:p>
    <w:p>
      <w:pPr>
        <w:jc w:val="both"/>
        <w:ind w:right="500"/>
        <w:spacing w:after="0" w:line="268" w:lineRule="auto"/>
        <w:rPr>
          <w:sz w:val="20"/>
          <w:szCs w:val="20"/>
          <w:color w:val="auto"/>
        </w:rPr>
      </w:pPr>
      <w:r>
        <w:rPr>
          <w:rFonts w:ascii="Times New Roman" w:cs="Times New Roman" w:eastAsia="Times New Roman" w:hAnsi="Times New Roman"/>
          <w:sz w:val="18"/>
          <w:szCs w:val="18"/>
          <w:b w:val="1"/>
          <w:bCs w:val="1"/>
          <w:color w:val="auto"/>
        </w:rPr>
        <w:t>Legal and Other Contingencies</w:t>
      </w:r>
      <w:r>
        <w:rPr>
          <w:rFonts w:ascii="Times New Roman" w:cs="Times New Roman" w:eastAsia="Times New Roman" w:hAnsi="Times New Roman"/>
          <w:sz w:val="18"/>
          <w:szCs w:val="18"/>
          <w:color w:val="auto"/>
        </w:rPr>
        <w:t>—From time to time, we are party to litigation and legal proceedings relating to our business operations. While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outcome of all legal actions is not presently determinable, we do not believe that we are party to any current or pending legal action that if concluded adversely could reasonably be expected to have a material adverse effect on our financial condition or results of operations and cash flow.</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are contingently liable for possible future assessments under regulatory requirements for insolvencies and impairments of unaffiliated insurance companies.</w:t>
      </w:r>
    </w:p>
    <w:p>
      <w:pPr>
        <w:spacing w:after="0" w:line="10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Segment Information</w:t>
      </w:r>
      <w:r>
        <w:rPr>
          <w:rFonts w:ascii="Times New Roman" w:cs="Times New Roman" w:eastAsia="Times New Roman" w:hAnsi="Times New Roman"/>
          <w:sz w:val="18"/>
          <w:szCs w:val="18"/>
          <w:color w:val="auto"/>
        </w:rPr>
        <w:t>—We are a technology company that provides direct-to-consumer insurance products to customers. We operate as a single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segment that is managed on a consolidated basis. Our Chief Executive Officer is our chief operating decision maker, or CODM. The primary measure the CODM utilizes to manage operations, monitor budget versus actual results, and evaluate financial performance is net income (loss) as reported on the condensed consolidated statements of operations and comprehensive income (loss). This information is regularly provided to the CODM.</w:t>
      </w:r>
    </w:p>
    <w:p>
      <w:pPr>
        <w:spacing w:after="0" w:line="126"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The CODM allocates resources based on consolidated expense and forecasted expense information. Significant expenses, which are presented on the condensed consolidated statements of operations and comprehensive income (loss), include loss and loss adjustment expense, sales and marketing, other insurance expense and technology and development. Other segment items include expenses that our CODM does not evaluate for purposes of making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operating decisions. These items include general and administrative, interest expense, and income tax expense, which can all be found on the condensed consolidated statements of operations and comprehensive income (loss). Assets provided to the CODM are consistent with those reported on the condensed consolidated balance sheets.</w:t>
      </w:r>
    </w:p>
    <w:p>
      <w:pPr>
        <w:spacing w:after="0" w:line="11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Cash, Cash Equivalents and Restricted Cash</w:t>
      </w:r>
      <w:r>
        <w:rPr>
          <w:rFonts w:ascii="Times New Roman" w:cs="Times New Roman" w:eastAsia="Times New Roman" w:hAnsi="Times New Roman"/>
          <w:sz w:val="18"/>
          <w:szCs w:val="18"/>
          <w:color w:val="auto"/>
        </w:rPr>
        <w:t>—The following table provides a reconciliation of cash, cash equivalents and restricted cash reported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condensed consolidated balance sheets that sum to the total of the same such amount in the condensed consolidated statements of cash flows: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0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6"/>
                <w:szCs w:val="16"/>
                <w:color w:val="auto"/>
              </w:rPr>
            </w:pPr>
          </w:p>
        </w:tc>
        <w:tc>
          <w:tcPr>
            <w:tcW w:w="13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9"/>
        </w:trPr>
        <w:tc>
          <w:tcPr>
            <w:tcW w:w="8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0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4"/>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37"/>
        </w:trPr>
        <w:tc>
          <w:tcPr>
            <w:tcW w:w="8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140"/>
              <w:spacing w:after="0" w:line="205"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consolidated statements of cash</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0" w:type="dxa"/>
            <w:vAlign w:val="bottom"/>
          </w:tcPr>
          <w:p>
            <w:pPr>
              <w:spacing w:after="0"/>
              <w:rPr>
                <w:sz w:val="1"/>
                <w:szCs w:val="1"/>
                <w:color w:val="auto"/>
              </w:rPr>
            </w:pPr>
          </w:p>
        </w:tc>
      </w:tr>
      <w:tr>
        <w:trPr>
          <w:trHeight w:val="254"/>
        </w:trPr>
        <w:tc>
          <w:tcPr>
            <w:tcW w:w="80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flows</w:t>
            </w:r>
          </w:p>
        </w:tc>
        <w:tc>
          <w:tcPr>
            <w:tcW w:w="280" w:type="dxa"/>
            <w:vAlign w:val="bottom"/>
            <w:tcBorders>
              <w:bottom w:val="single" w:sz="8" w:color="auto"/>
            </w:tcBorders>
            <w:vMerge w:val="continue"/>
            <w:shd w:val="clear" w:color="auto" w:fill="CCEEFF"/>
          </w:tcPr>
          <w:p>
            <w:pPr>
              <w:spacing w:after="0"/>
              <w:rPr>
                <w:sz w:val="22"/>
                <w:szCs w:val="22"/>
                <w:color w:val="auto"/>
              </w:rPr>
            </w:pPr>
          </w:p>
        </w:tc>
        <w:tc>
          <w:tcPr>
            <w:tcW w:w="12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vMerge w:val="continue"/>
            <w:shd w:val="clear" w:color="auto" w:fill="CCEEFF"/>
          </w:tcPr>
          <w:p>
            <w:pPr>
              <w:spacing w:after="0"/>
              <w:rPr>
                <w:sz w:val="22"/>
                <w:szCs w:val="22"/>
                <w:color w:val="auto"/>
              </w:rPr>
            </w:pPr>
          </w:p>
        </w:tc>
        <w:tc>
          <w:tcPr>
            <w:tcW w:w="13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color w:val="auto"/>
        </w:rPr>
        <w:t>Deferred Policy Acquisition Costs</w:t>
      </w:r>
      <w:r>
        <w:rPr>
          <w:rFonts w:ascii="Times New Roman" w:cs="Times New Roman" w:eastAsia="Times New Roman" w:hAnsi="Times New Roman"/>
          <w:sz w:val="18"/>
          <w:szCs w:val="18"/>
          <w:color w:val="auto"/>
        </w:rPr>
        <w:t>—Deferred policy acquisition costs, net of accumulated amortization, was $36.2 million and $29.3 million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2025 and December 31, 2024, respectively. We amortized deferred policy acquisition costs of $11.4 million and $6.6 million for the three months ended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36"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short-term investments and available-for-sale fixed maturity securities at March 31, 2025 and December 31, 2024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4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Allowance for Expected</w:t>
            </w:r>
          </w:p>
        </w:tc>
        <w:tc>
          <w:tcPr>
            <w:tcW w:w="16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1"/>
                <w:szCs w:val="11"/>
                <w:color w:val="auto"/>
              </w:rPr>
            </w:pPr>
          </w:p>
        </w:tc>
        <w:tc>
          <w:tcPr>
            <w:tcW w:w="128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40" w:type="dxa"/>
            <w:vAlign w:val="bottom"/>
            <w:tcBorders>
              <w:bottom w:val="single" w:sz="8" w:color="auto"/>
            </w:tcBorders>
            <w:gridSpan w:val="3"/>
            <w:vMerge w:val="continue"/>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23"/>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maturities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4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Allowance for Expected</w:t>
            </w:r>
          </w:p>
        </w:tc>
        <w:tc>
          <w:tcPr>
            <w:tcW w:w="16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1"/>
                <w:szCs w:val="11"/>
                <w:color w:val="auto"/>
              </w:rPr>
            </w:pPr>
          </w:p>
        </w:tc>
        <w:tc>
          <w:tcPr>
            <w:tcW w:w="128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40" w:type="dxa"/>
            <w:vAlign w:val="bottom"/>
            <w:tcBorders>
              <w:bottom w:val="single" w:sz="8" w:color="auto"/>
            </w:tcBorders>
            <w:gridSpan w:val="3"/>
            <w:vMerge w:val="continue"/>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 and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23"/>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maturities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3"/>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Management reviewed the available-for-sale securities at each balance sheet date to consider whether it was necessary to recognize a credit loss as of March 31, 2025 and December 31, 2024. We do not intend to sell the securities and it is not more likely than not that we will be required to sell the securities before recovery. Management concluded that the available-for-sale securities’ unrealized losses were due to non-credit related factors and, therefore, there was no allowance for credit loss as of March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tables reflect the gross unrealized losses and fair value of short-term investments and available-for-sale fixed maturity securities, aggregated by investment category and length of time that individual securities have been in a continuous unrealized loss position at March 31, 2025 and December 31,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6"/>
                <w:szCs w:val="16"/>
                <w:color w:val="auto"/>
              </w:rPr>
            </w:pPr>
          </w:p>
        </w:tc>
        <w:tc>
          <w:tcPr>
            <w:tcW w:w="24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5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94"/>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14"/>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14"/>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6"/>
                <w:szCs w:val="16"/>
                <w:color w:val="auto"/>
              </w:rPr>
            </w:pPr>
          </w:p>
        </w:tc>
        <w:tc>
          <w:tcPr>
            <w:tcW w:w="24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5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94"/>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14"/>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14"/>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 and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backed securities</w:t>
            </w: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64"/>
        </w:trPr>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maturities</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Investments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other investments related to our private equity investments were $4.4 million. There were no realized or unrealized gains or losses or impairment losses recognized on private equity investments for the three months ended March 31, 2025 and 2024.</w:t>
      </w:r>
    </w:p>
    <w:p>
      <w:pPr>
        <w:spacing w:after="0" w:line="1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There were no realized gains or losses on short-term investments, available-for-sale fixed maturities and other investments for the three months ended March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4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amortized cost and fair value of short-term investments and available-for-sale fixed maturity securities by contractual maturity at March 31,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12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92"/>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37"/>
        </w:trPr>
        <w:tc>
          <w:tcPr>
            <w:tcW w:w="8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7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r>
      <w:tr>
        <w:trPr>
          <w:trHeight w:val="2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five years through 10 years</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7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10 years</w:t>
            </w: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48"/>
        </w:trPr>
        <w:tc>
          <w:tcPr>
            <w:tcW w:w="8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income for the three months ended March 31, 2025 and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72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r>
      <w:tr>
        <w:trPr>
          <w:trHeight w:val="196"/>
        </w:trPr>
        <w:tc>
          <w:tcPr>
            <w:tcW w:w="8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60" w:type="dxa"/>
            <w:vAlign w:val="bottom"/>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00" w:type="dxa"/>
            <w:vAlign w:val="bottom"/>
          </w:tcPr>
          <w:p>
            <w:pPr>
              <w:spacing w:after="0"/>
              <w:rPr>
                <w:sz w:val="17"/>
                <w:szCs w:val="17"/>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fixed maturities and short-term investments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1.7</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on cash and cash equivalents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133"/>
              <w:spacing w:after="0"/>
              <w:rPr>
                <w:sz w:val="20"/>
                <w:szCs w:val="20"/>
                <w:color w:val="auto"/>
              </w:rPr>
            </w:pPr>
            <w:r>
              <w:rPr>
                <w:rFonts w:ascii="Times New Roman" w:cs="Times New Roman" w:eastAsia="Times New Roman" w:hAnsi="Times New Roman"/>
                <w:sz w:val="18"/>
                <w:szCs w:val="18"/>
                <w:color w:val="auto"/>
                <w:w w:val="97"/>
              </w:rPr>
              <w:t>6.0</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8.1</w:t>
            </w:r>
          </w:p>
        </w:tc>
      </w:tr>
      <w:tr>
        <w:trPr>
          <w:trHeight w:val="223"/>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7"/>
              </w:rPr>
              <w:t>9.4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9.8</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 expense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113"/>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(0.6)</w:t>
            </w:r>
          </w:p>
        </w:tc>
      </w:tr>
      <w:tr>
        <w:trPr>
          <w:trHeight w:val="248"/>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7"/>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9.2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credit ratings of short-term investments and available-for-sale fixed maturity securities at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1"/>
                <w:szCs w:val="11"/>
                <w:color w:val="auto"/>
              </w:rPr>
            </w:pPr>
          </w:p>
        </w:tc>
        <w:tc>
          <w:tcPr>
            <w:tcW w:w="14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00" w:type="dxa"/>
            <w:vAlign w:val="bottom"/>
          </w:tcPr>
          <w:p>
            <w:pPr>
              <w:jc w:val="right"/>
              <w:ind w:right="435"/>
              <w:spacing w:after="0" w:line="131"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5"/>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7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S&amp;P Global rating or equivalent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 AA, AA-, A-1+</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A, A-</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BBB+, BBB, BBB-</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6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1"/>
                <w:szCs w:val="11"/>
                <w:color w:val="auto"/>
              </w:rPr>
            </w:pPr>
          </w:p>
        </w:tc>
        <w:tc>
          <w:tcPr>
            <w:tcW w:w="14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00" w:type="dxa"/>
            <w:vAlign w:val="bottom"/>
          </w:tcPr>
          <w:p>
            <w:pPr>
              <w:jc w:val="right"/>
              <w:ind w:right="435"/>
              <w:spacing w:after="0" w:line="131"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5"/>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7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S&amp;P Global rating or equivalent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 AA, AA-, A-1+</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A, A-</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BBB+, BBB, BBB-</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136"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about our financial assets measured and reported at fair value as of March 31, 2025 and December 31,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20" w:type="dxa"/>
            <w:vAlign w:val="bottom"/>
            <w:gridSpan w:val="3"/>
          </w:tcPr>
          <w:p>
            <w:pPr>
              <w:jc w:val="center"/>
              <w:ind w:right="516"/>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4"/>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20" w:type="dxa"/>
            <w:vAlign w:val="bottom"/>
            <w:gridSpan w:val="3"/>
          </w:tcPr>
          <w:p>
            <w:pPr>
              <w:jc w:val="center"/>
              <w:ind w:right="49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maturities: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maturities</w:t>
            </w: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0" w:type="dxa"/>
            <w:vAlign w:val="bottom"/>
          </w:tcPr>
          <w:p>
            <w:pPr>
              <w:spacing w:after="0"/>
              <w:rPr>
                <w:sz w:val="1"/>
                <w:szCs w:val="1"/>
                <w:color w:val="auto"/>
              </w:rPr>
            </w:pPr>
          </w:p>
        </w:tc>
      </w:tr>
      <w:tr>
        <w:trPr>
          <w:trHeight w:val="196"/>
        </w:trPr>
        <w:tc>
          <w:tcPr>
            <w:tcW w:w="4700" w:type="dxa"/>
            <w:vAlign w:val="bottom"/>
          </w:tcPr>
          <w:p>
            <w:pPr>
              <w:ind w:left="460"/>
              <w:spacing w:after="0" w:line="196" w:lineRule="exact"/>
              <w:rPr>
                <w:sz w:val="20"/>
                <w:szCs w:val="20"/>
                <w:color w:val="auto"/>
              </w:rPr>
            </w:pPr>
            <w:r>
              <w:rPr>
                <w:rFonts w:ascii="Times New Roman" w:cs="Times New Roman" w:eastAsia="Times New Roman" w:hAnsi="Times New Roman"/>
                <w:sz w:val="18"/>
                <w:szCs w:val="18"/>
                <w:color w:val="auto"/>
              </w:rPr>
              <w:t>Total assets at fair value</w:t>
            </w:r>
          </w:p>
        </w:tc>
        <w:tc>
          <w:tcPr>
            <w:tcW w:w="1040" w:type="dxa"/>
            <w:vAlign w:val="bottom"/>
            <w:tcBorders>
              <w:top w:val="single" w:sz="8" w:color="auto"/>
              <w:bottom w:val="single" w:sz="8" w:color="auto"/>
            </w:tcBorders>
          </w:tcPr>
          <w:p>
            <w:pPr>
              <w:jc w:val="right"/>
              <w:ind w:right="8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348.7</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1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265.5</w:t>
            </w:r>
          </w:p>
        </w:tc>
        <w:tc>
          <w:tcPr>
            <w:tcW w:w="10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97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614.2</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2"/>
        </w:trPr>
        <w:tc>
          <w:tcPr>
            <w:tcW w:w="4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20" w:type="dxa"/>
            <w:vAlign w:val="bottom"/>
            <w:gridSpan w:val="3"/>
          </w:tcPr>
          <w:p>
            <w:pPr>
              <w:jc w:val="center"/>
              <w:ind w:right="49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4"/>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20" w:type="dxa"/>
            <w:vAlign w:val="bottom"/>
            <w:gridSpan w:val="3"/>
          </w:tcPr>
          <w:p>
            <w:pPr>
              <w:jc w:val="center"/>
              <w:ind w:right="49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maturities: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 and agencies</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maturities</w:t>
            </w: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0" w:type="dxa"/>
            <w:vAlign w:val="bottom"/>
          </w:tcPr>
          <w:p>
            <w:pPr>
              <w:spacing w:after="0"/>
              <w:rPr>
                <w:sz w:val="1"/>
                <w:szCs w:val="1"/>
                <w:color w:val="auto"/>
              </w:rPr>
            </w:pPr>
          </w:p>
        </w:tc>
      </w:tr>
      <w:tr>
        <w:trPr>
          <w:trHeight w:val="223"/>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estimate the fair value of all our different classes of Level 2 fixed maturities and short-term investments by using quoted prices from a combination of an independent pricing vendor or broker/dealer, pricing models, quoted prices of securities with similar characteristics or discounted cash flows. All significant inputs were observable in the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Long-Term Debt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carrying amount of long-term debt is recorded at the unpaid balance, net of discount and debt issuance costs. The fair value of outstanding long-term debt is classified within Level 2 of the fair value hierarchy. The fair value is based on a model referencing observable interest rates and spreads to project and discount cash flows to present value. As of March 31, 2025 and December 31, 2024, the carrying amounts and fair values of these financial instruments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Fair Value as of</w:t>
            </w:r>
          </w:p>
        </w:tc>
        <w:tc>
          <w:tcPr>
            <w:tcW w:w="280" w:type="dxa"/>
            <w:vAlign w:val="bottom"/>
          </w:tcPr>
          <w:p>
            <w:pPr>
              <w:spacing w:after="0"/>
              <w:rPr>
                <w:sz w:val="13"/>
                <w:szCs w:val="13"/>
                <w:color w:val="auto"/>
              </w:rPr>
            </w:pPr>
          </w:p>
        </w:tc>
        <w:tc>
          <w:tcPr>
            <w:tcW w:w="156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 as of</w:t>
            </w: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center"/>
              <w:ind w:right="164"/>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18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jc w:val="center"/>
              <w:ind w:right="164"/>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1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5"/>
        </w:trPr>
        <w:tc>
          <w:tcPr>
            <w:tcW w:w="3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60" w:type="dxa"/>
            <w:vAlign w:val="bottom"/>
            <w:gridSpan w:val="3"/>
          </w:tcPr>
          <w:p>
            <w:pPr>
              <w:jc w:val="right"/>
              <w:ind w:right="1124"/>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200.0</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204.6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200.1</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other short-term financial instruments approximates their fair value due to their short-term nature.</w:t>
      </w:r>
    </w:p>
    <w:p>
      <w:pPr>
        <w:spacing w:after="0" w:line="167"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AND LOSS ADJUSTMENT EXPENSE RESERVES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a reconciliation of the beginning and ending reserve balances for loss and LAE, net of reinsurance: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r>
      <w:tr>
        <w:trPr>
          <w:trHeight w:val="196"/>
        </w:trPr>
        <w:tc>
          <w:tcPr>
            <w:tcW w:w="8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17"/>
                <w:szCs w:val="17"/>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loss and LAE reserves, January 1</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Reinsurance recoverable on unpaid losses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LAE reserves, January 1</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incurred loss and LAE related to:</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29"/>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incurred</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paid loss and LAE related to:</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paid</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LAE reserves, March 31</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 on unpaid losses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loss and LAE reserves, March 31</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Incurred losses and LAE attributable to prior accident years was a decrease of $13.1 million and $3.0 million for the three months ended March 31, 2025 and 2024, respectively. For the three months ended March 31, 2025, the development of incurred losses and LAE related to prior periods was primarily driven by lower-than-expected reported losses and LAE from accident year 2024 on both liability and physical damage coverages. For the three months ended March 31, 2024, the development of incurred losses and LAE related to prior periods was primarily driven by lower-than-expected reported losses from accident year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36"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REINSURANCE</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reflects amounts affecting the condensed consolidated statements of operations and comprehensive income (loss) for reinsurance for the three months ended March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00" w:type="dxa"/>
            <w:vAlign w:val="bottom"/>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written:</w:t>
            </w: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80" w:type="dxa"/>
            <w:vAlign w:val="bottom"/>
          </w:tcPr>
          <w:p>
            <w:pPr>
              <w:spacing w:after="0"/>
              <w:rPr>
                <w:sz w:val="19"/>
                <w:szCs w:val="19"/>
                <w:color w:val="auto"/>
              </w:rPr>
            </w:pPr>
          </w:p>
        </w:tc>
        <w:tc>
          <w:tcPr>
            <w:tcW w:w="102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Assumed</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Ceded</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premiums written</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Premiums earned:</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98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Assumed</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Ceded</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3"/>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 earned</w:t>
            </w:r>
          </w:p>
        </w:tc>
        <w:tc>
          <w:tcPr>
            <w:tcW w:w="98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80" w:type="dxa"/>
            <w:vAlign w:val="bottom"/>
          </w:tcPr>
          <w:p>
            <w:pPr>
              <w:spacing w:after="0"/>
              <w:rPr>
                <w:sz w:val="19"/>
                <w:szCs w:val="19"/>
                <w:color w:val="auto"/>
              </w:rPr>
            </w:pPr>
          </w:p>
        </w:tc>
        <w:tc>
          <w:tcPr>
            <w:tcW w:w="102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Losses and LAE incurred:</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80" w:type="dxa"/>
            <w:vAlign w:val="bottom"/>
          </w:tcPr>
          <w:p>
            <w:pPr>
              <w:spacing w:after="0"/>
              <w:rPr>
                <w:sz w:val="19"/>
                <w:szCs w:val="19"/>
                <w:color w:val="auto"/>
              </w:rPr>
            </w:pPr>
          </w:p>
        </w:tc>
        <w:tc>
          <w:tcPr>
            <w:tcW w:w="102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Assumed</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Ceded</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losses and LAE incurred</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that all or any of the reinsuring companies might be unable to meet their obligations under existing reinsurance agreements, we would be liable to the policyholder for such defaulted amounts.</w:t>
      </w:r>
    </w:p>
    <w:p>
      <w:pPr>
        <w:spacing w:after="0" w:line="347"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75"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In October 2024, we entered into a $200.0 million five-year term loan, or Amended Term Loan, with the principal amount due and payable upon maturity on October 29, 2030. Interest is payable quarterly and determined on a floating interest rate calculated on the Secured Overnight Financing Rate with a</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1.0% floor, plus an applicable margin ranging from 5.25% to 6.00% based upon the debt-to-capital ratio payable quarterly. The Amended Term Loan can be repaid at any time through the maturity date as long as we provide at least three business days written notice and a prepayment premium of 2.00% applicable between October 29, 2024 to October 28, 2025, 1.00% applicable between October 29, 2025 to October 25, 2026, and no prepayment premium thereafter.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carrying value of long-term debt as of March 31, 2025 and December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6"/>
                <w:szCs w:val="16"/>
                <w:color w:val="auto"/>
              </w:rPr>
            </w:pPr>
          </w:p>
        </w:tc>
        <w:tc>
          <w:tcPr>
            <w:tcW w:w="15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4"/>
          </w:tcPr>
          <w:p>
            <w:pPr>
              <w:spacing w:after="0"/>
              <w:rPr>
                <w:sz w:val="2"/>
                <w:szCs w:val="2"/>
                <w:color w:val="auto"/>
              </w:rPr>
            </w:pPr>
          </w:p>
        </w:tc>
      </w:tr>
      <w:tr>
        <w:trPr>
          <w:trHeight w:val="190"/>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20" w:type="dxa"/>
            <w:vAlign w:val="bottom"/>
            <w:gridSpan w:val="4"/>
          </w:tcPr>
          <w:p>
            <w:pPr>
              <w:jc w:val="right"/>
              <w:ind w:right="1094"/>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256"/>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balance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2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64"/>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w:t>
            </w: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136"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consolidated effective tax rate was zero for the three months ended March 31, 2025 and 2024. The difference between these rates and the U.S. federal income tax rate of 21% was primarily due to a full valuation allowance on our U.S. deferred tax assets.</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we did not have any unrecognized tax benefits for uncertain tax positions and had no interest or penalties related to uncertain tax positions.</w:t>
      </w:r>
    </w:p>
    <w:p>
      <w:pPr>
        <w:spacing w:after="0" w:line="104"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75"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In October 2021, we issued Carvana eight tranches of warrants, comprised of three tranches of “short-term warrants” and five tranches of “long-term warrants,” with the opportunity to purchase a maximum of 7.2 million shares of Class A common stock. The short-term and long-term warrants have expiration dates of September 1, 2025 and September 1, 2027, respectively. The following table provides other key terms of the warrants: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3500" w:type="dxa"/>
            <w:vAlign w:val="bottom"/>
          </w:tcPr>
          <w:p>
            <w:pPr>
              <w:spacing w:after="0"/>
              <w:rPr>
                <w:sz w:val="15"/>
                <w:szCs w:val="15"/>
                <w:color w:val="auto"/>
              </w:rPr>
            </w:pPr>
          </w:p>
        </w:tc>
      </w:tr>
      <w:tr>
        <w:trPr>
          <w:trHeight w:val="190"/>
        </w:trPr>
        <w:tc>
          <w:tcPr>
            <w:tcW w:w="2920" w:type="dxa"/>
            <w:vAlign w:val="bottom"/>
            <w:gridSpan w:val="2"/>
          </w:tcPr>
          <w:p>
            <w:pPr>
              <w:ind w:left="11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0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50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Vesting Condition</w:t>
            </w:r>
          </w:p>
        </w:tc>
      </w:tr>
      <w:tr>
        <w:trPr>
          <w:trHeight w:val="37"/>
        </w:trPr>
        <w:tc>
          <w:tcPr>
            <w:tcW w:w="2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r>
      <w:tr>
        <w:trPr>
          <w:trHeight w:val="244"/>
        </w:trPr>
        <w:tc>
          <w:tcPr>
            <w:tcW w:w="2920" w:type="dxa"/>
            <w:vAlign w:val="bottom"/>
            <w:tcBorders>
              <w:bottom w:val="single" w:sz="8" w:color="CCEEFF"/>
            </w:tcBorders>
            <w:gridSpan w:val="2"/>
            <w:shd w:val="clear" w:color="auto" w:fill="CCEEFF"/>
          </w:tcPr>
          <w:p>
            <w:pPr>
              <w:jc w:val="right"/>
              <w:ind w:right="2060"/>
              <w:spacing w:after="0"/>
              <w:rPr>
                <w:sz w:val="20"/>
                <w:szCs w:val="20"/>
                <w:color w:val="auto"/>
              </w:rPr>
            </w:pPr>
            <w:r>
              <w:rPr>
                <w:rFonts w:ascii="Times New Roman" w:cs="Times New Roman" w:eastAsia="Times New Roman" w:hAnsi="Times New Roman"/>
                <w:sz w:val="18"/>
                <w:szCs w:val="18"/>
                <w:color w:val="auto"/>
                <w:w w:val="99"/>
              </w:rPr>
              <w:t>Short-Term</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spacing w:after="0"/>
              <w:rPr>
                <w:sz w:val="21"/>
                <w:szCs w:val="21"/>
                <w:color w:val="auto"/>
              </w:rPr>
            </w:pPr>
          </w:p>
        </w:tc>
      </w:tr>
      <w:tr>
        <w:trPr>
          <w:trHeight w:val="243"/>
        </w:trPr>
        <w:tc>
          <w:tcPr>
            <w:tcW w:w="2920" w:type="dxa"/>
            <w:vAlign w:val="bottom"/>
            <w:gridSpan w:val="2"/>
          </w:tcPr>
          <w:p>
            <w:pPr>
              <w:jc w:val="right"/>
              <w:ind w:right="2060"/>
              <w:spacing w:after="0"/>
              <w:rPr>
                <w:sz w:val="20"/>
                <w:szCs w:val="20"/>
                <w:color w:val="auto"/>
              </w:rPr>
            </w:pPr>
            <w:r>
              <w:rPr>
                <w:rFonts w:ascii="Times New Roman" w:cs="Times New Roman" w:eastAsia="Times New Roman" w:hAnsi="Times New Roman"/>
                <w:sz w:val="18"/>
                <w:szCs w:val="18"/>
                <w:color w:val="auto"/>
              </w:rPr>
              <w:t>Tranche 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21"/>
                <w:szCs w:val="21"/>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Completing the Integrated Platform</w:t>
            </w: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2920" w:type="dxa"/>
            <w:vAlign w:val="bottom"/>
            <w:tcBorders>
              <w:bottom w:val="single" w:sz="8" w:color="CCEEFF"/>
            </w:tcBorders>
            <w:gridSpan w:val="2"/>
            <w:shd w:val="clear" w:color="auto" w:fill="CCEEFF"/>
          </w:tcPr>
          <w:p>
            <w:pPr>
              <w:jc w:val="right"/>
              <w:ind w:right="2060"/>
              <w:spacing w:after="0"/>
              <w:rPr>
                <w:sz w:val="20"/>
                <w:szCs w:val="20"/>
                <w:color w:val="auto"/>
              </w:rPr>
            </w:pPr>
            <w:r>
              <w:rPr>
                <w:rFonts w:ascii="Times New Roman" w:cs="Times New Roman" w:eastAsia="Times New Roman" w:hAnsi="Times New Roman"/>
                <w:sz w:val="18"/>
                <w:szCs w:val="18"/>
                <w:color w:val="auto"/>
              </w:rPr>
              <w:t>Tranche 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3.2</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50,000 policy originations</w:t>
            </w:r>
          </w:p>
        </w:tc>
      </w:tr>
      <w:tr>
        <w:trPr>
          <w:trHeight w:val="243"/>
        </w:trPr>
        <w:tc>
          <w:tcPr>
            <w:tcW w:w="2920" w:type="dxa"/>
            <w:vAlign w:val="bottom"/>
            <w:gridSpan w:val="2"/>
          </w:tcPr>
          <w:p>
            <w:pPr>
              <w:jc w:val="right"/>
              <w:ind w:right="2060"/>
              <w:spacing w:after="0"/>
              <w:rPr>
                <w:sz w:val="20"/>
                <w:szCs w:val="20"/>
                <w:color w:val="auto"/>
              </w:rPr>
            </w:pPr>
            <w:r>
              <w:rPr>
                <w:rFonts w:ascii="Times New Roman" w:cs="Times New Roman" w:eastAsia="Times New Roman" w:hAnsi="Times New Roman"/>
                <w:sz w:val="18"/>
                <w:szCs w:val="18"/>
                <w:color w:val="auto"/>
              </w:rPr>
              <w:t>Tranche 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1"/>
                <w:szCs w:val="21"/>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75,000 policy originations</w:t>
            </w:r>
          </w:p>
        </w:tc>
      </w:tr>
      <w:tr>
        <w:trPr>
          <w:trHeight w:val="27"/>
        </w:trPr>
        <w:tc>
          <w:tcPr>
            <w:tcW w:w="2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r>
      <w:tr>
        <w:trPr>
          <w:trHeight w:val="288"/>
        </w:trPr>
        <w:tc>
          <w:tcPr>
            <w:tcW w:w="29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Short-Term</w:t>
            </w:r>
          </w:p>
        </w:tc>
        <w:tc>
          <w:tcPr>
            <w:tcW w:w="2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500" w:type="dxa"/>
            <w:vAlign w:val="bottom"/>
            <w:tcBorders>
              <w:bottom w:val="single" w:sz="8" w:color="CCEEFF"/>
            </w:tcBorders>
            <w:shd w:val="clear" w:color="auto" w:fill="CCEEFF"/>
          </w:tcPr>
          <w:p>
            <w:pPr>
              <w:spacing w:after="0"/>
              <w:rPr>
                <w:sz w:val="24"/>
                <w:szCs w:val="24"/>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r>
      <w:tr>
        <w:trPr>
          <w:trHeight w:val="203"/>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50"/>
        </w:trPr>
        <w:tc>
          <w:tcPr>
            <w:tcW w:w="2920" w:type="dxa"/>
            <w:vAlign w:val="bottom"/>
            <w:tcBorders>
              <w:bottom w:val="single" w:sz="8" w:color="CCEEFF"/>
            </w:tcBorders>
            <w:gridSpan w:val="2"/>
            <w:shd w:val="clear" w:color="auto" w:fill="CCEEFF"/>
          </w:tcPr>
          <w:p>
            <w:pPr>
              <w:jc w:val="right"/>
              <w:ind w:right="2080"/>
              <w:spacing w:after="0"/>
              <w:rPr>
                <w:sz w:val="20"/>
                <w:szCs w:val="20"/>
                <w:color w:val="auto"/>
              </w:rPr>
            </w:pPr>
            <w:r>
              <w:rPr>
                <w:rFonts w:ascii="Times New Roman" w:cs="Times New Roman" w:eastAsia="Times New Roman" w:hAnsi="Times New Roman"/>
                <w:sz w:val="18"/>
                <w:szCs w:val="18"/>
                <w:color w:val="auto"/>
                <w:w w:val="98"/>
              </w:rPr>
              <w:t>Long-Term</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spacing w:after="0"/>
              <w:rPr>
                <w:sz w:val="21"/>
                <w:szCs w:val="21"/>
                <w:color w:val="auto"/>
              </w:rPr>
            </w:pPr>
          </w:p>
        </w:tc>
      </w:tr>
      <w:tr>
        <w:trPr>
          <w:trHeight w:val="243"/>
        </w:trPr>
        <w:tc>
          <w:tcPr>
            <w:tcW w:w="2920" w:type="dxa"/>
            <w:vAlign w:val="bottom"/>
            <w:gridSpan w:val="2"/>
          </w:tcPr>
          <w:p>
            <w:pPr>
              <w:jc w:val="right"/>
              <w:ind w:right="2060"/>
              <w:spacing w:after="0"/>
              <w:rPr>
                <w:sz w:val="20"/>
                <w:szCs w:val="20"/>
                <w:color w:val="auto"/>
              </w:rPr>
            </w:pPr>
            <w:r>
              <w:rPr>
                <w:rFonts w:ascii="Times New Roman" w:cs="Times New Roman" w:eastAsia="Times New Roman" w:hAnsi="Times New Roman"/>
                <w:sz w:val="18"/>
                <w:szCs w:val="18"/>
                <w:color w:val="auto"/>
              </w:rPr>
              <w:t>Tranche 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21"/>
                <w:szCs w:val="21"/>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100,000 policy originations</w:t>
            </w: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2920" w:type="dxa"/>
            <w:vAlign w:val="bottom"/>
            <w:tcBorders>
              <w:bottom w:val="single" w:sz="8" w:color="CCEEFF"/>
            </w:tcBorders>
            <w:gridSpan w:val="2"/>
            <w:shd w:val="clear" w:color="auto" w:fill="CCEEFF"/>
          </w:tcPr>
          <w:p>
            <w:pPr>
              <w:jc w:val="right"/>
              <w:ind w:right="2060"/>
              <w:spacing w:after="0"/>
              <w:rPr>
                <w:sz w:val="20"/>
                <w:szCs w:val="20"/>
                <w:color w:val="auto"/>
              </w:rPr>
            </w:pPr>
            <w:r>
              <w:rPr>
                <w:rFonts w:ascii="Times New Roman" w:cs="Times New Roman" w:eastAsia="Times New Roman" w:hAnsi="Times New Roman"/>
                <w:sz w:val="18"/>
                <w:szCs w:val="18"/>
                <w:color w:val="auto"/>
              </w:rPr>
              <w:t>Tranche 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1.5</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200,000 policy originations</w:t>
            </w:r>
          </w:p>
        </w:tc>
      </w:tr>
      <w:tr>
        <w:trPr>
          <w:trHeight w:val="243"/>
        </w:trPr>
        <w:tc>
          <w:tcPr>
            <w:tcW w:w="2920" w:type="dxa"/>
            <w:vAlign w:val="bottom"/>
            <w:gridSpan w:val="2"/>
          </w:tcPr>
          <w:p>
            <w:pPr>
              <w:jc w:val="right"/>
              <w:ind w:right="2060"/>
              <w:spacing w:after="0"/>
              <w:rPr>
                <w:sz w:val="20"/>
                <w:szCs w:val="20"/>
                <w:color w:val="auto"/>
              </w:rPr>
            </w:pPr>
            <w:r>
              <w:rPr>
                <w:rFonts w:ascii="Times New Roman" w:cs="Times New Roman" w:eastAsia="Times New Roman" w:hAnsi="Times New Roman"/>
                <w:sz w:val="18"/>
                <w:szCs w:val="18"/>
                <w:color w:val="auto"/>
              </w:rPr>
              <w:t>Tranche 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1"/>
                <w:szCs w:val="21"/>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300,000 policy originations</w:t>
            </w: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2920" w:type="dxa"/>
            <w:vAlign w:val="bottom"/>
            <w:tcBorders>
              <w:bottom w:val="single" w:sz="8" w:color="CCEEFF"/>
            </w:tcBorders>
            <w:gridSpan w:val="2"/>
            <w:shd w:val="clear" w:color="auto" w:fill="CCEEFF"/>
          </w:tcPr>
          <w:p>
            <w:pPr>
              <w:jc w:val="right"/>
              <w:ind w:right="2060"/>
              <w:spacing w:after="0"/>
              <w:rPr>
                <w:sz w:val="20"/>
                <w:szCs w:val="20"/>
                <w:color w:val="auto"/>
              </w:rPr>
            </w:pPr>
            <w:r>
              <w:rPr>
                <w:rFonts w:ascii="Times New Roman" w:cs="Times New Roman" w:eastAsia="Times New Roman" w:hAnsi="Times New Roman"/>
                <w:sz w:val="18"/>
                <w:szCs w:val="18"/>
                <w:color w:val="auto"/>
              </w:rPr>
              <w:t>Tranche 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1.5</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400,000 policy originations</w:t>
            </w:r>
          </w:p>
        </w:tc>
      </w:tr>
      <w:tr>
        <w:trPr>
          <w:trHeight w:val="243"/>
        </w:trPr>
        <w:tc>
          <w:tcPr>
            <w:tcW w:w="2920" w:type="dxa"/>
            <w:vAlign w:val="bottom"/>
            <w:gridSpan w:val="2"/>
          </w:tcPr>
          <w:p>
            <w:pPr>
              <w:jc w:val="right"/>
              <w:ind w:right="2060"/>
              <w:spacing w:after="0"/>
              <w:rPr>
                <w:sz w:val="20"/>
                <w:szCs w:val="20"/>
                <w:color w:val="auto"/>
              </w:rPr>
            </w:pPr>
            <w:r>
              <w:rPr>
                <w:rFonts w:ascii="Times New Roman" w:cs="Times New Roman" w:eastAsia="Times New Roman" w:hAnsi="Times New Roman"/>
                <w:sz w:val="18"/>
                <w:szCs w:val="18"/>
                <w:color w:val="auto"/>
              </w:rPr>
              <w:t>Tranche 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1"/>
                <w:szCs w:val="21"/>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500,000 policy originations</w:t>
            </w:r>
          </w:p>
        </w:tc>
      </w:tr>
      <w:tr>
        <w:trPr>
          <w:trHeight w:val="27"/>
        </w:trPr>
        <w:tc>
          <w:tcPr>
            <w:tcW w:w="2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r>
      <w:tr>
        <w:trPr>
          <w:trHeight w:val="288"/>
        </w:trPr>
        <w:tc>
          <w:tcPr>
            <w:tcW w:w="29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w:t>
            </w:r>
          </w:p>
        </w:tc>
        <w:tc>
          <w:tcPr>
            <w:tcW w:w="2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500" w:type="dxa"/>
            <w:vAlign w:val="bottom"/>
            <w:tcBorders>
              <w:bottom w:val="single" w:sz="8" w:color="CCEEFF"/>
            </w:tcBorders>
            <w:shd w:val="clear" w:color="auto" w:fill="CCEEFF"/>
          </w:tcPr>
          <w:p>
            <w:pPr>
              <w:spacing w:after="0"/>
              <w:rPr>
                <w:sz w:val="24"/>
                <w:szCs w:val="24"/>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of March 31, 2025, all of the short-term warrants have vested and all of the respective compensation cost has been recognized. While the short-term warrants are vested and outstanding, it is not a possible outcome for the long-term warrants to also vest, so they are considered not probable of vesting. If, however, the short-term warrants expire unexercised during 2025, and at that time certain long-term warrants become probable of vesting, we would recognize a cumulative warrant expense catch-up in other insurance expense considering the progress toward achieving the long-term warrant policy origination milestones.</w:t>
      </w:r>
    </w:p>
    <w:p>
      <w:pPr>
        <w:spacing w:after="0" w:line="1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recognized warrant compensation expense related to these equity-classified warrants based on policies originating through the integrated automobile insurance solution for Carvana’s online buying platform. All of these warrants are out-of-the-money and therefore have no intrinsic value as of March 31, 2025.</w:t>
      </w:r>
    </w:p>
    <w:p>
      <w:pPr>
        <w:spacing w:after="0" w:line="12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recognized warrant compensation expense of zero and $2.8 million for the three months ended March 31, 2025 and 2024, respectively. Warrant compensation expense is recorded in other insurance expense in the condensed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Share-Based Compensation</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maintain an equity incentive plan, or the Plan, for the issuance and grant of equity awards (restricted stock, service-based restricted stock units, performance-based restricted stock units, market-based restricted stock units, and incentive and nonqualified stock options) to our officers, directors, and employees. As of March 31, 2025, we had 2.0 million common shares available for issuance under the Plan.</w:t>
      </w:r>
    </w:p>
    <w:p>
      <w:pPr>
        <w:spacing w:after="0" w:line="12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displays share-based compensation expense recorded in the condensed consolidated statements of operations and comprehensive income (loss):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68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6"/>
                <w:szCs w:val="16"/>
                <w:color w:val="auto"/>
              </w:rPr>
            </w:pPr>
          </w:p>
        </w:tc>
      </w:tr>
      <w:tr>
        <w:trPr>
          <w:trHeight w:val="23"/>
        </w:trPr>
        <w:tc>
          <w:tcPr>
            <w:tcW w:w="8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0"/>
        </w:trPr>
        <w:tc>
          <w:tcPr>
            <w:tcW w:w="81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r>
      <w:tr>
        <w:trPr>
          <w:trHeight w:val="196"/>
        </w:trPr>
        <w:tc>
          <w:tcPr>
            <w:tcW w:w="8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29"/>
        </w:trPr>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insurance expense</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8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8"/>
        </w:trPr>
        <w:tc>
          <w:tcPr>
            <w:tcW w:w="8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unrecognized compensation cost and the remaining weighted-average period over which these costs are expected to be recognized for restricted stock units and unvested stock options as of March 31, 2025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17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Service-based Restricted</w:t>
            </w:r>
          </w:p>
        </w:tc>
        <w:tc>
          <w:tcPr>
            <w:tcW w:w="220" w:type="dxa"/>
            <w:vAlign w:val="bottom"/>
          </w:tcPr>
          <w:p>
            <w:pPr>
              <w:spacing w:after="0"/>
              <w:rPr>
                <w:sz w:val="14"/>
                <w:szCs w:val="14"/>
                <w:color w:val="auto"/>
              </w:rPr>
            </w:pPr>
          </w:p>
        </w:tc>
        <w:tc>
          <w:tcPr>
            <w:tcW w:w="17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Market-based Restricted</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4"/>
        </w:trPr>
        <w:tc>
          <w:tcPr>
            <w:tcW w:w="4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20" w:type="dxa"/>
            <w:vAlign w:val="bottom"/>
          </w:tcPr>
          <w:p>
            <w:pPr>
              <w:spacing w:after="0"/>
              <w:rPr>
                <w:sz w:val="17"/>
                <w:szCs w:val="17"/>
                <w:color w:val="auto"/>
              </w:rPr>
            </w:pPr>
          </w:p>
        </w:tc>
        <w:tc>
          <w:tcPr>
            <w:tcW w:w="17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460" w:type="dxa"/>
            <w:vAlign w:val="bottom"/>
          </w:tcPr>
          <w:p>
            <w:pPr>
              <w:spacing w:after="0"/>
              <w:rPr>
                <w:sz w:val="17"/>
                <w:szCs w:val="17"/>
                <w:color w:val="auto"/>
              </w:rPr>
            </w:pPr>
          </w:p>
        </w:tc>
        <w:tc>
          <w:tcPr>
            <w:tcW w:w="12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Unvested Stock Options</w:t>
            </w:r>
          </w:p>
        </w:tc>
      </w:tr>
      <w:tr>
        <w:trPr>
          <w:trHeight w:val="37"/>
        </w:trPr>
        <w:tc>
          <w:tcPr>
            <w:tcW w:w="42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4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2"/>
          </w:tcPr>
          <w:p>
            <w:pPr>
              <w:jc w:val="center"/>
              <w:ind w:left="861"/>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4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compensation costs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15.0</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0.8</w:t>
            </w:r>
          </w:p>
        </w:tc>
        <w:tc>
          <w:tcPr>
            <w:tcW w:w="74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175"/>
        </w:trPr>
        <w:tc>
          <w:tcPr>
            <w:tcW w:w="4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Remaining weighted-average period cost is expected to be</w:t>
            </w: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recognized (in years)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1"/>
                <w:szCs w:val="21"/>
                <w:color w:val="auto"/>
              </w:rPr>
            </w:pPr>
          </w:p>
        </w:tc>
        <w:tc>
          <w:tcPr>
            <w:tcW w:w="17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3.8</w:t>
            </w:r>
          </w:p>
        </w:tc>
        <w:tc>
          <w:tcPr>
            <w:tcW w:w="4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7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units activity for the three months ended March 31, 2025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Service-based Restricted Stock Units</w:t>
            </w:r>
          </w:p>
        </w:tc>
        <w:tc>
          <w:tcPr>
            <w:tcW w:w="2620" w:type="dxa"/>
            <w:vAlign w:val="bottom"/>
            <w:gridSpan w:val="4"/>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Performance-based Restricted Stock</w:t>
            </w:r>
          </w:p>
        </w:tc>
        <w:tc>
          <w:tcPr>
            <w:tcW w:w="2540" w:type="dxa"/>
            <w:vAlign w:val="bottom"/>
            <w:gridSpan w:val="3"/>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Market-based Restricted Stock Units</w:t>
            </w:r>
          </w:p>
        </w:tc>
        <w:tc>
          <w:tcPr>
            <w:tcW w:w="0" w:type="dxa"/>
            <w:vAlign w:val="bottom"/>
          </w:tcPr>
          <w:p>
            <w:pPr>
              <w:spacing w:after="0"/>
              <w:rPr>
                <w:sz w:val="1"/>
                <w:szCs w:val="1"/>
                <w:color w:val="auto"/>
              </w:rPr>
            </w:pPr>
          </w:p>
        </w:tc>
      </w:tr>
      <w:tr>
        <w:trPr>
          <w:trHeight w:val="195"/>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vMerge w:val="continue"/>
          </w:tcPr>
          <w:p>
            <w:pPr>
              <w:spacing w:after="0"/>
              <w:rPr>
                <w:sz w:val="16"/>
                <w:szCs w:val="16"/>
                <w:color w:val="auto"/>
              </w:rPr>
            </w:pPr>
          </w:p>
        </w:tc>
        <w:tc>
          <w:tcPr>
            <w:tcW w:w="26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5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left="16"/>
              <w:spacing w:after="0" w:line="136"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0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left="16"/>
              <w:spacing w:after="0" w:line="136"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0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left="16"/>
              <w:spacing w:after="0" w:line="136"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tcPr>
          <w:p>
            <w:pPr>
              <w:spacing w:after="0"/>
              <w:rPr>
                <w:sz w:val="12"/>
                <w:szCs w:val="12"/>
                <w:color w:val="auto"/>
              </w:rPr>
            </w:pPr>
          </w:p>
        </w:tc>
        <w:tc>
          <w:tcPr>
            <w:tcW w:w="112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5"/>
        </w:trPr>
        <w:tc>
          <w:tcPr>
            <w:tcW w:w="346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195"/>
        </w:trPr>
        <w:tc>
          <w:tcPr>
            <w:tcW w:w="3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20" w:type="dxa"/>
            <w:vAlign w:val="bottom"/>
            <w:tcBorders>
              <w:top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 2025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 expired or canceled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March 31, 2025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pertaining to restricted stock units for the three months ended March 31, 2025 and 2024 is as follows:</w:t>
      </w:r>
    </w:p>
    <w:p>
      <w:pPr>
        <w:spacing w:after="0" w:line="21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41910</wp:posOffset>
            </wp:positionV>
            <wp:extent cx="19799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62" w:lineRule="exact"/>
        <w:rPr>
          <w:sz w:val="20"/>
          <w:szCs w:val="20"/>
          <w:color w:val="auto"/>
        </w:rPr>
      </w:pPr>
    </w:p>
    <w:tbl>
      <w:tblPr>
        <w:tblLayout w:type="fixed"/>
        <w:tblInd w:w="8120" w:type="dxa"/>
        <w:tblCellMar>
          <w:top w:w="0" w:type="dxa"/>
          <w:left w:w="0" w:type="dxa"/>
          <w:bottom w:w="0" w:type="dxa"/>
          <w:right w:w="0" w:type="dxa"/>
        </w:tblCellMar>
      </w:tblPr>
      <w:tr>
        <w:trPr>
          <w:trHeight w:val="190"/>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92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r>
      <w:tr>
        <w:trPr>
          <w:trHeight w:val="186"/>
        </w:trPr>
        <w:tc>
          <w:tcPr>
            <w:tcW w:w="920" w:type="dxa"/>
            <w:vAlign w:val="bottom"/>
          </w:tcPr>
          <w:p>
            <w:pPr>
              <w:spacing w:after="0"/>
              <w:rPr>
                <w:sz w:val="16"/>
                <w:szCs w:val="16"/>
                <w:color w:val="auto"/>
              </w:rPr>
            </w:pPr>
          </w:p>
        </w:tc>
        <w:tc>
          <w:tcPr>
            <w:tcW w:w="2200" w:type="dxa"/>
            <w:vAlign w:val="bottom"/>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Service-based restricted stock units:</w:t>
      </w:r>
    </w:p>
    <w:p>
      <w:pPr>
        <w:sectPr>
          <w:pgSz w:w="11900" w:h="16838" w:orient="portrait"/>
          <w:cols w:equalWidth="0" w:num="1">
            <w:col w:w="11240"/>
          </w:cols>
          <w:pgMar w:left="320" w:top="1440" w:right="339" w:bottom="1440" w:gutter="0" w:footer="0" w:header="0"/>
        </w:sectPr>
      </w:pPr>
    </w:p>
    <w:p>
      <w:pPr>
        <w:spacing w:after="0" w:line="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Total grant date fair value of awards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grant date fair value of awards vested</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intrinsic value of awards vested</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tabs>
          <w:tab w:leader="none" w:pos="1120" w:val="left"/>
          <w:tab w:leader="none" w:pos="1540" w:val="left"/>
          <w:tab w:leader="none" w:pos="27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0.8</w:t>
        <w:tab/>
        <w:t>$</w:t>
      </w:r>
      <w:r>
        <w:rPr>
          <w:sz w:val="20"/>
          <w:szCs w:val="20"/>
          <w:color w:val="auto"/>
        </w:rPr>
        <w:tab/>
      </w:r>
      <w:r>
        <w:rPr>
          <w:rFonts w:ascii="Times New Roman" w:cs="Times New Roman" w:eastAsia="Times New Roman" w:hAnsi="Times New Roman"/>
          <w:sz w:val="17"/>
          <w:szCs w:val="17"/>
          <w:color w:val="auto"/>
        </w:rPr>
        <w:t>0.1</w:t>
      </w:r>
    </w:p>
    <w:p>
      <w:pPr>
        <w:spacing w:after="0" w:line="63" w:lineRule="exact"/>
        <w:rPr>
          <w:sz w:val="20"/>
          <w:szCs w:val="20"/>
          <w:color w:val="auto"/>
        </w:rPr>
      </w:pPr>
    </w:p>
    <w:p>
      <w:pPr>
        <w:jc w:val="right"/>
        <w:ind w:right="80"/>
        <w:spacing w:after="0"/>
        <w:tabs>
          <w:tab w:leader="none" w:pos="20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3.8</w:t>
      </w:r>
    </w:p>
    <w:p>
      <w:pPr>
        <w:spacing w:after="0" w:line="63" w:lineRule="exact"/>
        <w:rPr>
          <w:sz w:val="20"/>
          <w:szCs w:val="20"/>
          <w:color w:val="auto"/>
        </w:rPr>
      </w:pPr>
    </w:p>
    <w:p>
      <w:pPr>
        <w:jc w:val="right"/>
        <w:ind w:right="80"/>
        <w:spacing w:after="0"/>
        <w:tabs>
          <w:tab w:leader="none" w:pos="20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7"/>
          <w:szCs w:val="17"/>
          <w:color w:val="auto"/>
        </w:rPr>
        <w:t>1.1</w:t>
      </w:r>
    </w:p>
    <w:p>
      <w:pPr>
        <w:spacing w:after="0" w:line="100" w:lineRule="exact"/>
        <w:rPr>
          <w:sz w:val="20"/>
          <w:szCs w:val="20"/>
          <w:color w:val="auto"/>
        </w:rPr>
      </w:pPr>
    </w:p>
    <w:p>
      <w:pPr>
        <w:sectPr>
          <w:pgSz w:w="11900" w:h="16838" w:orient="portrait"/>
          <w:cols w:equalWidth="0" w:num="2">
            <w:col w:w="7420" w:space="720"/>
            <w:col w:w="310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option activity for the three months ended March 31, 2025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2"/>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80" w:type="dxa"/>
            <w:vAlign w:val="bottom"/>
          </w:tcPr>
          <w:p>
            <w:pPr>
              <w:spacing w:after="0"/>
              <w:rPr>
                <w:sz w:val="11"/>
                <w:szCs w:val="11"/>
                <w:color w:val="auto"/>
              </w:rPr>
            </w:pPr>
          </w:p>
        </w:tc>
        <w:tc>
          <w:tcPr>
            <w:tcW w:w="142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5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40" w:type="dxa"/>
            <w:vAlign w:val="bottom"/>
            <w:gridSpan w:val="2"/>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180" w:type="dxa"/>
            <w:vAlign w:val="bottom"/>
          </w:tcPr>
          <w:p>
            <w:pPr>
              <w:spacing w:after="0"/>
              <w:rPr>
                <w:sz w:val="17"/>
                <w:szCs w:val="17"/>
                <w:color w:val="auto"/>
              </w:rPr>
            </w:pPr>
          </w:p>
        </w:tc>
        <w:tc>
          <w:tcPr>
            <w:tcW w:w="14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4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33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except exercise price and term amounts)</w:t>
            </w: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at January 1, 2025</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34.13</w:t>
            </w:r>
          </w:p>
        </w:tc>
        <w:tc>
          <w:tcPr>
            <w:tcW w:w="1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12.23</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 expired or canceled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ind w:right="17"/>
              <w:spacing w:after="0"/>
              <w:rPr>
                <w:sz w:val="20"/>
                <w:szCs w:val="20"/>
                <w:color w:val="auto"/>
              </w:rPr>
            </w:pPr>
            <w:r>
              <w:rPr>
                <w:rFonts w:ascii="Times New Roman" w:cs="Times New Roman" w:eastAsia="Times New Roman" w:hAnsi="Times New Roman"/>
                <w:sz w:val="18"/>
                <w:szCs w:val="18"/>
                <w:color w:val="auto"/>
              </w:rPr>
              <w:t>145.62</w:t>
            </w:r>
          </w:p>
        </w:tc>
        <w:tc>
          <w:tcPr>
            <w:tcW w:w="16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at March 31, 2025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32.61</w:t>
            </w:r>
          </w:p>
        </w:tc>
        <w:tc>
          <w:tcPr>
            <w:tcW w:w="16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line="136"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displays the computation of basic and diluted earnings (loss) per share, or EPS, for both Class A and Class B common stock for the three months ended March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2660" w:type="dxa"/>
            <w:vAlign w:val="bottom"/>
            <w:gridSpan w:val="5"/>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5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580" w:type="dxa"/>
            <w:vAlign w:val="bottom"/>
          </w:tcPr>
          <w:p>
            <w:pPr>
              <w:spacing w:after="0"/>
              <w:rPr>
                <w:sz w:val="17"/>
                <w:szCs w:val="17"/>
                <w:color w:val="auto"/>
              </w:rPr>
            </w:pPr>
          </w:p>
        </w:tc>
        <w:tc>
          <w:tcPr>
            <w:tcW w:w="2660" w:type="dxa"/>
            <w:vAlign w:val="bottom"/>
            <w:gridSpan w:val="5"/>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r>
      <w:tr>
        <w:trPr>
          <w:trHeight w:val="236"/>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8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Undistributed income allocated to participating securities</w:t>
            </w: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84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8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9"/>
        </w:trPr>
        <w:tc>
          <w:tcPr>
            <w:tcW w:w="8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outstanding: basic (both Class A and B)</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Service-based restricted stock units</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Market-based restricted stock units</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diluted (both Class A and B)</w:t>
            </w: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8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(loss) per common share (both Class A and B):</w:t>
            </w: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8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8"/>
        </w:trPr>
        <w:tc>
          <w:tcPr>
            <w:tcW w:w="8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tcBorders>
              <w:bottom w:val="single" w:sz="8" w:color="auto"/>
            </w:tcBorders>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we operated at a loss and, therefore, the conversion of common stock equivalents would increase the denominator of the diluted EPS calculation and create a lower EPS. Therefore, these common stock equivalents are considered anti-dilutive and diluted EPS is equal to basic EPS.</w:t>
      </w:r>
    </w:p>
    <w:p>
      <w:pPr>
        <w:spacing w:after="0" w:line="122"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We excluded the following potentially dilutive common stock equivalents, presented based on amounts outstanding at each period end, from the computation of diluted EPS attributable to common shareholders for the periods indicated because including them would have had an anti-dilutive effect: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Nonvested shares subject to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Service-based restricted stock units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Market-based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 (as converted to common stock)</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33655</wp:posOffset>
            </wp:positionV>
            <wp:extent cx="20485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16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33655</wp:posOffset>
            </wp:positionV>
            <wp:extent cx="20485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88" w:lineRule="exact"/>
        <w:rPr>
          <w:sz w:val="20"/>
          <w:szCs w:val="20"/>
          <w:color w:val="auto"/>
        </w:rPr>
      </w:pPr>
    </w:p>
    <w:p>
      <w:pPr>
        <w:jc w:val="both"/>
        <w:ind w:left="680"/>
        <w:spacing w:after="0"/>
        <w:tabs>
          <w:tab w:leader="none" w:pos="22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0.1</w:t>
      </w:r>
    </w:p>
    <w:p>
      <w:pPr>
        <w:spacing w:after="0" w:line="63" w:lineRule="exact"/>
        <w:rPr>
          <w:sz w:val="20"/>
          <w:szCs w:val="20"/>
          <w:color w:val="auto"/>
        </w:rPr>
      </w:pPr>
    </w:p>
    <w:p>
      <w:pPr>
        <w:jc w:val="both"/>
        <w:ind w:left="680"/>
        <w:spacing w:after="0"/>
        <w:tabs>
          <w:tab w:leader="none" w:pos="22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0.1</w:t>
      </w:r>
    </w:p>
    <w:p>
      <w:pPr>
        <w:spacing w:after="0" w:line="63" w:lineRule="exact"/>
        <w:rPr>
          <w:sz w:val="20"/>
          <w:szCs w:val="20"/>
          <w:color w:val="auto"/>
        </w:rPr>
      </w:pPr>
    </w:p>
    <w:p>
      <w:pPr>
        <w:jc w:val="both"/>
        <w:ind w:left="680"/>
        <w:spacing w:after="0"/>
        <w:tabs>
          <w:tab w:leader="none" w:pos="22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w:t>
      </w:r>
    </w:p>
    <w:p>
      <w:pPr>
        <w:spacing w:after="0" w:line="63" w:lineRule="exact"/>
        <w:rPr>
          <w:sz w:val="20"/>
          <w:szCs w:val="20"/>
          <w:color w:val="auto"/>
        </w:rPr>
      </w:pPr>
    </w:p>
    <w:p>
      <w:pPr>
        <w:jc w:val="both"/>
        <w:ind w:left="680"/>
        <w:spacing w:after="0"/>
        <w:tabs>
          <w:tab w:leader="none" w:pos="22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0.4</w:t>
      </w:r>
    </w:p>
    <w:p>
      <w:pPr>
        <w:spacing w:after="0" w:line="63" w:lineRule="exact"/>
        <w:rPr>
          <w:sz w:val="20"/>
          <w:szCs w:val="20"/>
          <w:color w:val="auto"/>
        </w:rPr>
      </w:pPr>
    </w:p>
    <w:p>
      <w:pPr>
        <w:jc w:val="both"/>
        <w:ind w:left="680"/>
        <w:spacing w:after="0"/>
        <w:tabs>
          <w:tab w:leader="none" w:pos="22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0.8</w:t>
      </w:r>
    </w:p>
    <w:p>
      <w:pPr>
        <w:spacing w:after="0" w:line="63" w:lineRule="exact"/>
        <w:rPr>
          <w:sz w:val="20"/>
          <w:szCs w:val="20"/>
          <w:color w:val="auto"/>
        </w:rPr>
      </w:pPr>
    </w:p>
    <w:p>
      <w:pPr>
        <w:jc w:val="right"/>
        <w:ind w:right="80"/>
        <w:spacing w:after="0"/>
        <w:tabs>
          <w:tab w:leader="none" w:pos="20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color w:val="auto"/>
        </w:rPr>
        <w:t>7.7</w:t>
      </w:r>
    </w:p>
    <w:p>
      <w:pPr>
        <w:spacing w:after="0" w:line="36" w:lineRule="exact"/>
        <w:rPr>
          <w:sz w:val="20"/>
          <w:szCs w:val="20"/>
          <w:color w:val="auto"/>
        </w:rPr>
      </w:pPr>
    </w:p>
    <w:p>
      <w:pPr>
        <w:ind w:left="640"/>
        <w:spacing w:after="0"/>
        <w:tabs>
          <w:tab w:leader="none" w:pos="220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43180</wp:posOffset>
            </wp:positionV>
            <wp:extent cx="20485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20" w:space="720"/>
            <w:col w:w="260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136" w:lineRule="exact"/>
        <w:rPr>
          <w:sz w:val="20"/>
          <w:szCs w:val="20"/>
          <w:color w:val="auto"/>
        </w:rPr>
      </w:pPr>
    </w:p>
    <w:p>
      <w:pPr>
        <w:ind w:left="640" w:hanging="632"/>
        <w:spacing w:after="0"/>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GEOGRAPHICAL BREAKDOWN OF GROSS PREMIUMS WRITTEN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premiums written by state is as follows for the three months ended March 31, 2025 and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80" w:type="dxa"/>
            <w:vAlign w:val="bottom"/>
          </w:tcPr>
          <w:p>
            <w:pPr>
              <w:spacing w:after="0"/>
              <w:rPr>
                <w:sz w:val="16"/>
                <w:szCs w:val="16"/>
                <w:color w:val="auto"/>
              </w:rPr>
            </w:pPr>
          </w:p>
        </w:tc>
      </w:tr>
      <w:tr>
        <w:trPr>
          <w:trHeight w:val="23"/>
        </w:trPr>
        <w:tc>
          <w:tcPr>
            <w:tcW w:w="6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6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Borders>
              <w:bottom w:val="single" w:sz="8" w:color="auto"/>
            </w:tcBorders>
          </w:tcPr>
          <w:p>
            <w:pPr>
              <w:spacing w:after="0"/>
              <w:rPr>
                <w:sz w:val="16"/>
                <w:szCs w:val="16"/>
                <w:color w:val="auto"/>
              </w:rPr>
            </w:pPr>
          </w:p>
        </w:tc>
      </w:tr>
      <w:tr>
        <w:trPr>
          <w:trHeight w:val="196"/>
        </w:trPr>
        <w:tc>
          <w:tcPr>
            <w:tcW w:w="6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96"/>
        </w:trPr>
        <w:tc>
          <w:tcPr>
            <w:tcW w:w="6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spacing w:after="0"/>
              <w:rPr>
                <w:sz w:val="17"/>
                <w:szCs w:val="17"/>
                <w:color w:val="auto"/>
              </w:rPr>
            </w:pPr>
          </w:p>
        </w:tc>
      </w:tr>
      <w:tr>
        <w:trPr>
          <w:trHeight w:val="23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Texas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r>
      <w:tr>
        <w:trPr>
          <w:trHeight w:val="229"/>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Georgia</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Florida</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California</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Pennsylvania</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Colorado</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South Carolina</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Arizona</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Nevada</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Ohio</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6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others states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36.9</w:t>
            </w:r>
          </w:p>
        </w:tc>
      </w:tr>
      <w:tr>
        <w:trPr>
          <w:trHeight w:val="248"/>
        </w:trPr>
        <w:tc>
          <w:tcPr>
            <w:tcW w:w="64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included in our Annual Report on Form 10-K for the year ended December 31, 2024 filed with the Securities and Exchange Commission, or SEC, on February 26, 2025, or the 2024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and in the 2024 10-K for a discussion of important factors that could cause our actual results to differ materially from those anticipated in these forward-looking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Root is a technology insurance company founded on the idea that car insurance rates should be based primarily on driving behaviors, not demographics.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revolutionizing the archaic car insurance industry using mobile technology and data science to offer drivers fair, personalized rates.</w:t>
      </w:r>
    </w:p>
    <w:p>
      <w:pPr>
        <w:spacing w:after="0" w:line="15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the Root advantage is derived from our unique ability to efficiently and effectively bind auto insurance policies quickly, through direct and partnership channels, aided by segmenting individual risk to price better drivers more fairly. Our customer experience is built for ease of use and a product offering made possible with our full-stack insurance structure. These are all uniquely integrated into a single cloud-based technology platform that captures the entire insurance value chain—from customer acquisition to underwriting to claims administration to ongoing customer engagement.</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scale the business, we aim to drive new customer growth and optimize unit economics by capitalizing on our two distribution channels: direct and partnership. The direct channel efficiently drives volume for high intent customers, meeting customers in platforms that they use extensively while actively shopping for insurance such as search engines or select marketplace platforms. The data science model seeks to optimize bidding strategies that fine tunes our prices to strike a balance between offering a competitive price and achieving target unit economics. The partnership channel provides differentiated access to high intent customers, primarily in the automotive, financial services, and independent agent sectors. We build upon or within the mobile and web customer experiences of distribution partners to reach a captive customer base with an embedded solution, which can even remove the need for the customer to ever visit a Root website to purchase and bind a policy.</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use technology to drive efficiency across all functions, including distribution, underwriting, policy administration and claims in particular. We believe our data- and technology-driven approach to pricing and underwriting allows for rapid response to macroeconomic trends through quick, appropriate rate actions aided by segmenting individual risk based on complex behavioral data and proprietary telematics models. Through continued development of machine-learning loss models, which allow us to respond more quickly to changes in the market, we expect improvement in pricing segmentation. We believe this allows us to operate with a cost-to-acquire and cost-to-serve advantage. We believe that through prudent investment in and diversification of our distribution channels, including leveraging proprietary data science and technology and a focus on partnerships with automotive, financial services, and independent agents, will position us for sustainable, long-term and profitable growth.</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full-stack insurance company, we currently employ a “capital-efficient” model, which utilizes a variety of reinsurance structures. These include excess of loss and quota share reinsurance. Excess of loss provides us with volatility protection against a portion of large individual losses or an aggregation of losses from catastrophes. Quota share provides, among other advantages, regulatory surplus relief for growing companies. We primarily utilize reinsurance to mitigate impact of large losses or tail events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continuously evaluate our utilization of third-party reinsurance in order to operate a capital-efficient business model. As our gross loss ratio has stabilized,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14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strategically reduced the utilization of external quota share to balance the cost of reinsurance with capital efficiency. Over the long term, we expect to maintain the flexibility to modify our reinsurance program.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Affecting Comparability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Macroeconomic Factors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Economic instability has led to acute inflationary pressures, supply chain disruptions, changes in interest rates and changes in equity markets. In addition, economic uncertainty has developed as a result of dialogue and imposition of substantial tariffs and potential retaliatory tariffs. There remains uncertainty around the future of inflation, including as a result of new or increased tariffs; elevated levels of inflation for an extended period could cause claims and claim expenses to increase, impact the performance of our investment portfolio, increase nonpayment cancellations or have other adverse effects, including variability in the competitive environment. We have also seen an increase in vehicle repair and medical costs, which are affected by inflation. These cost increases have resulted in greater claims severity. We continue to file in multiple states to establish rates that more closely follow the evolving loss cost trends. Fluctuations in interest rates could impact our cost of capital and may limit our ability to raise additional capital.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Reinsurance</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significantly reduced the utilization of reinsurance through a strategic reduction of external quota share. The changes to the reinsurance program aim to deliver improved economics. Our diversified approach to reinsurance allows us to optimize capital requirements while remaining flexible in response to changes in market conditions or changes specific to our own business. We may choose to amend, commute, and/or non-renew certain third-party reinsurance arrangements in the future, which may result in us retaining more or less of our business. To the extent we retain a larger share of our book of business, our capital requirements may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3" w:name="page24"/>
    <w:bookmarkEnd w:id="2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performance indicators, to evaluate our business, measure our performance, identify trends in our business, prepare financial projections and make strategic decisions. We believe these non-GAAP and operational measures are useful in evaluating our performance, in addition to our financial results prepared in accordance with GAAP. See the section titled “—Non-GAAP Financial Measures” for additional information regarding our use of direct contribution and adjusted EBITDA and their reconciliations to the most directly comparable GAAP measures.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3"/>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28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3"/>
          </w:tcPr>
          <w:p>
            <w:pPr>
              <w:spacing w:after="0"/>
              <w:rPr>
                <w:sz w:val="2"/>
                <w:szCs w:val="2"/>
                <w:color w:val="auto"/>
              </w:rPr>
            </w:pPr>
          </w:p>
        </w:tc>
      </w:tr>
      <w:tr>
        <w:trPr>
          <w:trHeight w:val="186"/>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3"/>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(dollars in millions, except premiums per policy)</w:t>
            </w:r>
          </w:p>
        </w:tc>
      </w:tr>
      <w:tr>
        <w:trPr>
          <w:trHeight w:val="2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Policies in force</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453,800</w:t>
            </w:r>
          </w:p>
        </w:tc>
        <w:tc>
          <w:tcPr>
            <w:tcW w:w="4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401,255</w:t>
            </w:r>
          </w:p>
        </w:tc>
      </w:tr>
      <w:tr>
        <w:trPr>
          <w:trHeight w:val="25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per policy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1,614</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1,482</w:t>
            </w:r>
          </w:p>
        </w:tc>
      </w:tr>
      <w:tr>
        <w:trPr>
          <w:trHeight w:val="26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in force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1,464.9</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1,189.3</w:t>
            </w:r>
          </w:p>
        </w:tc>
      </w:tr>
      <w:tr>
        <w:trPr>
          <w:trHeight w:val="25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premiums written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410.8</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330.7</w:t>
            </w:r>
          </w:p>
        </w:tc>
      </w:tr>
      <w:tr>
        <w:trPr>
          <w:trHeight w:val="27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premiums earned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344.4</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275.0</w:t>
            </w:r>
          </w:p>
        </w:tc>
      </w:tr>
      <w:tr>
        <w:trPr>
          <w:trHeight w:val="25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107.1</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63.9</w:t>
            </w:r>
          </w:p>
        </w:tc>
      </w:tr>
      <w:tr>
        <w:trPr>
          <w:trHeight w:val="26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18.4</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(6.2)</w:t>
            </w:r>
          </w:p>
        </w:tc>
      </w:tr>
      <w:tr>
        <w:trPr>
          <w:trHeight w:val="26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contribution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127.1</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80.7</w:t>
            </w:r>
          </w:p>
        </w:tc>
      </w:tr>
      <w:tr>
        <w:trPr>
          <w:trHeight w:val="26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31.9</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15.1</w:t>
            </w:r>
          </w:p>
        </w:tc>
      </w:tr>
      <w:tr>
        <w:trPr>
          <w:trHeight w:val="25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LAE ratio</w:t>
            </w: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4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72.3 %</w:t>
            </w:r>
          </w:p>
        </w:tc>
      </w:tr>
      <w:tr>
        <w:trPr>
          <w:trHeight w:val="25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expense ratio</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4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29.7 %</w:t>
            </w:r>
          </w:p>
        </w:tc>
      </w:tr>
      <w:tr>
        <w:trPr>
          <w:trHeight w:val="25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combined ratio</w:t>
            </w: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95.6 %</w:t>
            </w:r>
          </w:p>
        </w:tc>
        <w:tc>
          <w:tcPr>
            <w:tcW w:w="4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102.0 %</w:t>
            </w:r>
          </w:p>
        </w:tc>
      </w:tr>
      <w:tr>
        <w:trPr>
          <w:trHeight w:val="25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loss ratio</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56.1 %</w:t>
            </w:r>
          </w:p>
        </w:tc>
        <w:tc>
          <w:tcPr>
            <w:tcW w:w="4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60.6 %</w:t>
            </w:r>
          </w:p>
        </w:tc>
      </w:tr>
      <w:tr>
        <w:trPr>
          <w:trHeight w:val="25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LAE ratio</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4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6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expense ratio</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4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29.2 %</w:t>
            </w:r>
          </w:p>
        </w:tc>
      </w:tr>
      <w:tr>
        <w:trPr>
          <w:trHeight w:val="25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combined ratio</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94.0 %</w:t>
            </w:r>
          </w:p>
        </w:tc>
        <w:tc>
          <w:tcPr>
            <w:tcW w:w="4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99.7 %</w:t>
            </w:r>
          </w:p>
        </w:tc>
      </w:tr>
      <w:tr>
        <w:trPr>
          <w:trHeight w:val="26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accident period loss ratio</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57.9 %</w:t>
            </w:r>
          </w:p>
        </w:tc>
        <w:tc>
          <w:tcPr>
            <w:tcW w:w="4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58.2 %</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in Force</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define policies in force as the number of current and active auto insurance policyholders underwritten by us as of the period end date. We view policies in force as an important metric to assess our financial performance because policy growth and retention drives our revenue growth, expands brand awareness, deepens our market penetration, and generates additional data to continue to improve the functioning of our platform.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Premiums per Policy</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define premiums per policy as the ratio of gross premiums written on auto insurance policies in force at the end of the period divided by policies in force. We view premiums per policy as an important metric since the higher the premiums per policy, the greater the amount of earned premium we expect from each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Premiums in Force</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define premiums in force as premiums per policy multiplied by policies in force multiplied by two. We view premiums in force as an estimate of annualized run rate of gross premiums written as of a given period. Since our auto policies are six-month policies, we multiply this figure by two in order to determine an annualized amount of premiums in force. We view this as an important metric because it is an indicator of the size of our portfolio of policies as well as an indicator of expected earned premium over the coming 12 months. Premiums in force is not a forecast of future revenue nor is it a reliable indicator of revenue expected to be earned in any given period. We believe that our calculation of premiums in force is useful to investors and analysts because it captures the impact of fluctuations in customers and premiums per policy at the end of each reported period, without adjusting for known or projected policy updates, cancellations and non-renewals.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Premiums Written</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define gross premiums written as the total amount of gross premium on policies that were bound during the period less the prorated impact of policy cancellations. Gross premiums written includes direct premiums and assumed premiums. We view gross premiums written as an important metric because it is the metric that most closely correlates with changes in gross premiums earned. We use gross premiums written,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 Additionally, premiums ceded to reinsurers can change significantly based on the type and mix of reinsurance structures we use, and, as such, we have the optionality to fully retain the premiums from customers acquired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Premiums Earned</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define gross premiums earned as the amount of gross premium that was earned during the period. Premiums are earned over the period in which insurance protection is provided, which is typically six months. Gross premiums earned includes direct premiums and assumed premiums. We view gross premiums earned as an important metric as it allows us to evaluate our premium levels prior to the impacts of reinsurance. It is the primary driver of our consolidated GAAP revenues. As with gross premiums written, we use gross premiums earned,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define gross profit as total revenue minus net loss and LAE and other insurance expense. We view gross profit as an important metric because we believe it is informative of the financial performance of our core insurance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Contribution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define direct contribution, a non-GAAP financial measure, as gross profit excluding net investment income, acquisition costs, which include report costs and refunds related to these expenses and commission expenses related to our partnership channel, and fixed expenses, which include certain warrant compensation expense related to policies originating through the integrated automobile insurance solution for Carvana’s online buying platform, overhead allocated based on headcount, or Overhead, and salaries, health benefits, bonuses, employee retirement plan-related expenses and employee share-based compensation expense, or Personnel Costs, licenses, professional fees and other expenses. Further impacts related to reinsurance are excluded, these consist of ceded premiums earned, ceded loss and LAE, and net ceding commission and other. Net ceding commission and other is comprised of ceding commission received in connection with reinsurance ceded, partially offset by amortization of excess ceding commission, and other impacts of reinsurance ceded which are included in other insurance expense. After these adjustments, the resulting calculation is inclusive of only those gross variable costs of revenue incurred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successful acquisition of business. We view direct contribution as an important metric because we believe it measures profitability of our total policy portfolio prior to the impact of reinsurance.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section titled “—Non-GAAP Financial Measures” for a reconciliation of total revenue to direct contribution.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define adjusted EBITDA, a non-GAAP financial measure, as net income (loss) excluding interest expense, income tax expense, depreciation and amortization, share-based compensation, warrant compensation expense, restructuring charges, legal fees and other items that do not reflect our ongoing operating performance. After these adjustments, the resulting calculation represents expenses directly attributable to our operating performance. We use adjusted EBITDA as an internal performance measure in the management of our operations because we believe it provides management and other users of our financial information useful insight into our results of operations and underlying business performance. Adjusted EBITDA should not be viewed as a substitute for net income (loss) calculated in accordance with GAAP, and other companies may define adjusted EBITDA differently.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section titled “—Non-GAAP Financial Measures” for a reconciliation of net income (loss) to adjusted EBITDA.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and LAE Ratio</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define net loss and LAE ratio, expressed as a percentage, as the ratio of net loss and LAE to net premiums earned. We view net loss and LAE ratio as an important metric because it allows us to evaluate loss trends as a percentage of net premiums and believe it is useful for investors to evaluate those separately from other operating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Expense Ratio</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define net expense ratio, expressed as a percentage, as the ratio of all operating expenses less loss and LAE and less fee income to net premiums earned. We view net expense ratio as important because it allows us to analyze our expense and acquisition trends, net of fee income, and allows investors to evaluate these expenses exclusive of our loss and LAE.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Combined Ratio</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define net combined ratio, expressed as a percentage, as the sum of net loss and LAE ratio and net expense ratio. We view net combined ratio as important because it allows us to analyze our underwriting result trends and is a key indicator of overall profitability and health of the overall business. We believe it is useful to investors to evaluate these components separately and in the aggregate when reviewing our underwriting performance. A net combined ratio under 100% indicates an underwriting profit, while a net combined ratio greater than 100% indicates an underwriting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Loss Ratio</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define gross loss ratio, expressed as a percentage, as the ratio of gross losses to gross premiums earned. Gross loss ratio excludes LAE. We view gross loss ratio as an important metric because it allows us to evaluate incurred losses and LAE separately prior to the impact of reinsurance.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LAE Ratio</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define gross LAE ratio, expressed as a percentage, as the ratio of gross LAE to gross premiums earned. We view gross LAE ratio as an important metric because it allows us to evaluate incurred losses and LAE separately prior to the impact of reinsurance.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6" w:name="page27"/>
    <w:bookmarkEnd w:id="2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Expense Ratio</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define gross expense ratio, expressed as a percentage, as the ratio of gross operating expenses less loss and LAE and less fee income to gross premiums earned. We view gross expense ratio as important because it allows us to analyze the underlying expense base of the business and establish expense targets, prior to the impact of reinsurance. We believe gross expense ratio is useful for investors to further evaluate business health and performance, prior to the impact of reinsurance.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Combined Ratio</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define gross combined ratio, expressed as a percentage, as the sum of the gross loss ratio, gross LAE ratio and gross expense ratio. We view gross combined ratio as important because it allows us to evaluate financial performance and establish targets that we believe more closely reflect the underlying performance and profitability of the business prior to reinsurance. Further, we believe it is useful for investors to evaluate these components separately and in the aggregate when reviewing our gross underwriting performance. A gross combined ratio under 100% indicates an underwriting profit while a gross combined ratio greater than 100% indicates an underwriting loss, prior to the impact of reinsurance.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Accident Period Loss Ratio</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Gross accident period loss ratio, expressed as a percentage, represents all losses and claims expected to arise from insured events that occurred during the applicable period regardless of when they are reported and finally settled divided by gross premiums earned for the same period. Changes to our loss reserves are the primary driver of the difference between our gross accident period loss ratio and gross loss ratio. We believe that gross accident period loss ratio is useful in evaluating expected losses prior to the impact of reinsurance.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 revenue from net premiums earned, net investment income, fee income and other income.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Premiums Earned</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Premiums written are deferred and earned pro rata over the policy period. Net premiums earned represents the earned portion of our gross premiums written, less the earned portion that is ceded to third-party reinsurers under our reinsurance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investment income represents interest earned from our cash and cash equivalents, fixed maturities, and short-term investments less investment expenses. Net investment income also includes impairments related to low-income housing tax credits investments in limited liability entities to offset certain state premium taxes. These tax credits are recognized when utilized. Net investment income is directly correlated with the overall size of our cash and investment portfolio, market level of interest rates and changes in the fair value of our private equity investments. Net investment income will vary with the size and composition of our investment portfolio, market returns and the investment strategy.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Income</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Fee income consists primarily of the flat fee we charge for installment payments which relates to the additional administrative costs associated with processing more frequent billings. These fees are recognized in the period in which we process the installment. We also charge policy fees, which are typically nonrefundable fees that are intended to reimburse a portion of the costs incurred to underwrite the policy. These fees are recognized ratably over the policy coverage period. Fee income also includes late payment fees that are collected from our policyholders. These fees are recognized in the period in which we process the late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income is primarily comprised of revenue earned from distributing website and mobile application policy inquiry leads in geographies where we do not have a presence, recognized when we generate the lead.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loss and LAE, sales and marketing, other insurance expense, technology and development, and general and administrative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and Loss Adjustment Expenses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Loss and LAE include the costs incurred for claims, payments made and estimated future payments to be made to or on behalf of our policyholders, including expenses needed to adjust or settle claims, net of amounts ceded to reinsurers. Loss and LAE include an amount determined using adjuster determined case-base estimates for reported claims and actuarial determined unpaid claim estimates using past experience and historical emergence patterns for unreported losses and LAE. These reserves are a liability established to cover the estimated ultimate cost to settle insured losses. The unpaid loss estimates consider loss trends, mix of business, and other risk factors impacting claims settlement. The method used to estimate unpaid LAE liability is based on claims transaction data, including the relative cost of adjusting and settling a range of claim types from express material damage claims to more complex injury cases.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and LAE are net of amounts ceded to reinsurers. We enter into reinsurance contracts to limit our exposure to potential losses as well as to provide additional capacity to write more business. These expenses are a function of the size and term of the insurance policies we write and the loss experience associated with the underlying risks. This includes an allowance for credit losses based on the probability of default and expected loss given default of a reinsurer. Loss and LAE may be paid out over a period of years.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Various other expenses incurred during claims processing are considered LAE. These amounts include Personnel Costs for claims-related employees; vendor expenses; software expense; internally developed software amortization; and Overhead.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includes both acquisition and fixed expenses. We view direct performance marketing, experimental marketing, channel media, advertising and referral fees as acquisition expenses. We view sponsorship, Personnel Costs and Overhead related to our brand strategy, creative and business development activities, and certain data science activities as fixed costs. We incur sales and marketing expenses for all product offerings. Sales and marketing are expensed as incurred.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plan to continue investing in and diversifying our marketing channels to attract and acquire new customers, increase our brand awareness, and expand our product offerings within certain markets. We expect that our sales and marketing will vary based upon the competitive environment and other investments in acquisition. Over the long-term we expect it will decrease as a percentage of revenue as the proportion of renewals to our total business increases.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Insurance Expense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insurance expense includes expenses primarily related to insurance and underwriting operations of the business, and is comprised of acquisition, variable and fixed expenses. We view report costs and refunds related to these expenses and commission expenses related to our partnership channel as acquisition costs. We view premium taxes, credit card and policy processing expenses and premium write-offs as variable costs. We view insurance license expenses, certain warrant compensation expense related to policies originating through the integrated automobile insurance solution for Carvana’s online buying platform, or Integrated Platform, low-income housing tax credits which offset certain state premium taxes, Personnel Costs and Overhead related to actuarial and certain data science activities as fixed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amortize a portion of our deferred policy acquisition costs including certain commissions related to our partnership channel, premium taxes, and report costs related to the successful acquisition of a policy. Tax credits are recognized when utilized. Other insurance expense is expensed as incurred, except for costs related to deferred policy acquisition costs that are capitalized and subsequently amortized over the same period in which the related premiums are earned. Certain warrant compensation expense is recognized on a pro-rata basis considering progress toward achieving milestones for policies originated through the Integrated Platform as defined under the Carvana commercial agreement.</w:t>
      </w:r>
    </w:p>
    <w:p>
      <w:pPr>
        <w:spacing w:after="0" w:line="1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These expenses are recognized net of ceding commissions earned from our quota share reinsurance agreements. The ceding commission provides for reimbursement of both direct and other periodic acquisition costs, including certain underwriting and marketing costs, and is presented as a reduction of other insurance expense.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Development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Technology and development are fixed expenses that consist of software development costs related to our mobile app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 Over time, we expect technology and development to decrease as a percentage of revenue.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are fixed expenses that primarily relate to external professional service expenses; Personnel Costs and Overhead for corporate functions; and depreciation expense for computers, furniture and other fixed assets; and restructuring costs which include employee costs, real estate exit costs and other costs. General and administrative expenses are expensed as incurred. We expect general and administrative expenses to decrease as a percentage of total revenue over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is not an operating expense; therefore, we include these expenses below operating expenses. Interest expense primarily relates to interest incurred on our long-term debt, certain fees that are expensed as incurred and amortization of discount and debt issuance costs. In addition, changes in the fair value of warrant liabilities that are associated with our long-term debt are recorded as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60" w:type="dxa"/>
            <w:vAlign w:val="bottom"/>
          </w:tcPr>
          <w:p>
            <w:pPr>
              <w:spacing w:after="0"/>
              <w:rPr>
                <w:sz w:val="16"/>
                <w:szCs w:val="16"/>
                <w:color w:val="auto"/>
              </w:rPr>
            </w:pPr>
          </w:p>
        </w:tc>
      </w:tr>
      <w:tr>
        <w:trPr>
          <w:trHeight w:val="37"/>
        </w:trPr>
        <w:tc>
          <w:tcPr>
            <w:tcW w:w="6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6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gridSpan w:val="5"/>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60" w:type="dxa"/>
            <w:vAlign w:val="bottom"/>
          </w:tcPr>
          <w:p>
            <w:pPr>
              <w:spacing w:after="0"/>
              <w:rPr>
                <w:sz w:val="16"/>
                <w:szCs w:val="16"/>
                <w:color w:val="auto"/>
              </w:rPr>
            </w:pPr>
          </w:p>
        </w:tc>
      </w:tr>
      <w:tr>
        <w:trPr>
          <w:trHeight w:val="37"/>
        </w:trPr>
        <w:tc>
          <w:tcPr>
            <w:tcW w:w="6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70"/>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premiums earned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r>
      <w:tr>
        <w:trPr>
          <w:trHeight w:val="270"/>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0"/>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Fee income</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27.2 %</w:t>
            </w:r>
          </w:p>
        </w:tc>
      </w:tr>
      <w:tr>
        <w:trPr>
          <w:trHeight w:val="270"/>
        </w:trPr>
        <w:tc>
          <w:tcPr>
            <w:tcW w:w="6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37.1 %</w:t>
            </w:r>
          </w:p>
        </w:tc>
      </w:tr>
      <w:tr>
        <w:trPr>
          <w:trHeight w:val="27"/>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70"/>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23.6 %</w:t>
            </w:r>
          </w:p>
        </w:tc>
      </w:tr>
      <w:tr>
        <w:trPr>
          <w:trHeight w:val="270"/>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69.4 %</w:t>
            </w:r>
          </w:p>
        </w:tc>
      </w:tr>
      <w:tr>
        <w:trPr>
          <w:trHeight w:val="270"/>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insurance expense</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49.2 %</w:t>
            </w:r>
          </w:p>
        </w:tc>
      </w:tr>
      <w:tr>
        <w:trPr>
          <w:trHeight w:val="270"/>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70"/>
        </w:trPr>
        <w:tc>
          <w:tcPr>
            <w:tcW w:w="6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19.9 %</w:t>
            </w:r>
          </w:p>
        </w:tc>
      </w:tr>
      <w:tr>
        <w:trPr>
          <w:trHeight w:val="263"/>
        </w:trPr>
        <w:tc>
          <w:tcPr>
            <w:tcW w:w="6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r>
      <w:tr>
        <w:trPr>
          <w:trHeight w:val="264"/>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22"/>
                <w:szCs w:val="22"/>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338.9 %</w:t>
            </w:r>
          </w:p>
        </w:tc>
      </w:tr>
      <w:tr>
        <w:trPr>
          <w:trHeight w:val="27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37"/>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396.8 %</w:t>
            </w:r>
          </w:p>
        </w:tc>
      </w:tr>
      <w:tr>
        <w:trPr>
          <w:trHeight w:val="27"/>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396.8 %</w:t>
            </w:r>
          </w:p>
        </w:tc>
      </w:tr>
      <w:tr>
        <w:trPr>
          <w:trHeight w:val="27"/>
        </w:trPr>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70"/>
        </w:trPr>
        <w:tc>
          <w:tcPr>
            <w:tcW w:w="60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Changes in net unrealized gains (losses) on investments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475.0 %</w:t>
            </w:r>
          </w:p>
        </w:tc>
      </w:tr>
      <w:tr>
        <w:trPr>
          <w:trHeight w:val="289"/>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405.7 %</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Premiums Earned</w:t>
      </w:r>
    </w:p>
    <w:p>
      <w:pPr>
        <w:spacing w:after="0" w:line="175"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Net premiums earned increased primarily due to an increase in policies in force as a result of increased direct performance marketing spend, continued growth in our partnership channel, reduced cessions of gross premiums earned to reinsurers between periods and greater premiums per policy resulting from rate actions and a shift in customer mix.</w:t>
      </w:r>
    </w:p>
    <w:p>
      <w:pPr>
        <w:spacing w:after="0" w:line="12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we ceded approximately 6.7% and 16.3% of our gross premiums earned, respectively. The change in cessions between periods was primarily driven by a strategic reduction of quota share reinsurance.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gross premiums written, ceded premiums written, net premiums written, gross premiums earned, ceded premiums earned and net premiums earned for the three months ended March 31,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60" w:type="dxa"/>
            <w:vAlign w:val="bottom"/>
          </w:tcPr>
          <w:p>
            <w:pPr>
              <w:spacing w:after="0"/>
              <w:rPr>
                <w:sz w:val="16"/>
                <w:szCs w:val="16"/>
                <w:color w:val="auto"/>
              </w:rPr>
            </w:pPr>
          </w:p>
        </w:tc>
      </w:tr>
      <w:tr>
        <w:trPr>
          <w:trHeight w:val="37"/>
        </w:trPr>
        <w:tc>
          <w:tcPr>
            <w:tcW w:w="6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6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gridSpan w:val="5"/>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60" w:type="dxa"/>
            <w:vAlign w:val="bottom"/>
          </w:tcPr>
          <w:p>
            <w:pPr>
              <w:spacing w:after="0"/>
              <w:rPr>
                <w:sz w:val="16"/>
                <w:szCs w:val="16"/>
                <w:color w:val="auto"/>
              </w:rPr>
            </w:pPr>
          </w:p>
        </w:tc>
      </w:tr>
      <w:tr>
        <w:trPr>
          <w:trHeight w:val="37"/>
        </w:trPr>
        <w:tc>
          <w:tcPr>
            <w:tcW w:w="6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premiums written</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r>
      <w:tr>
        <w:trPr>
          <w:trHeight w:val="27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Ceded premiums written</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6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392.0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38.0 %</w:t>
            </w:r>
          </w:p>
        </w:tc>
      </w:tr>
      <w:tr>
        <w:trPr>
          <w:trHeight w:val="216"/>
        </w:trPr>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premiums earned</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344.4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r>
      <w:tr>
        <w:trPr>
          <w:trHeight w:val="24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premiums earned</w:t>
            </w:r>
          </w:p>
        </w:tc>
        <w:tc>
          <w:tcPr>
            <w:tcW w:w="280" w:type="dxa"/>
            <w:vAlign w:val="bottom"/>
          </w:tcPr>
          <w:p>
            <w:pPr>
              <w:spacing w:after="0"/>
              <w:rPr>
                <w:sz w:val="21"/>
                <w:szCs w:val="21"/>
                <w:color w:val="auto"/>
              </w:rPr>
            </w:pPr>
          </w:p>
        </w:tc>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7"/>
        </w:trPr>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r>
      <w:tr>
        <w:trPr>
          <w:trHeight w:val="27"/>
        </w:trPr>
        <w:tc>
          <w:tcPr>
            <w:tcW w:w="60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Gross premiums written increased for the three months ended March 31, 2025 primarily due to growth in new writings as a result of increased direct performance marketing spend and continued growth in our partnership channel compared to the same period in 2024. The increase in gross premiums earned was primarily due to greater policies in force and an 8.9% increase in premiums per policy primarily attributable to rate actions and a shift in customer mix.</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and Loss Adjustment Expenses</w:t>
      </w:r>
    </w:p>
    <w:p>
      <w:pPr>
        <w:spacing w:after="0" w:line="17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Loss and LAE increased due to additional losses incurred on increased gross premiums earned volume and reduced cessions of losses to reinsurers driven by a strategic reduction of quota share reinsurance for the three months ended March 31, 2025 compared to the same period in 2024. This volume-driven increase was partially offset by a reduction of loss and LAE reserves on prior periods due to lower than expected reported activity.</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Gross accident period loss ratio decreased to 57.9% for the three months ended March 31, 2025, from 58.2% for the same period in 2024. The change in the ratio was driven by growth in average premium per policy primarily attributable to rate actions. This was partially offset by geographic mix shift and higher loss costs as a result of increased severity per claim due to higher vehicle repair and medical costs. We estimated a 7% increase in severity per claim and a 5% decrease in claim frequency for the three months ended March 31, 2025 compared to the same period in 2024 across our bodily injury, collision, and property damage coverages. The claim frequency estimates are tenure mix adjusted.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Sales and marketing expense increased due to greater acquisition expense as we invested in growing our business to drive accretive growth and deeper market penetration in the states in which we operate. This resulted in a $19.5 million increase in direct performance marketing spend. We also experienced a $1.1 million increase in experimental marketing spend as part of our efforts to diversify our distribution channels.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Insurance Expense</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Other insurance expense increased primarily due to a $5.7 million decrease in net ceding commission contra-expense as a result of a decline in ceded premiums written, largely attributable to a continued strategic reduction of quota share reinsurance. Our acquisition expenses increased primarily due to $4.7 million in greater commissions paid related to the continued growth in our partnership channel, including amortization of deferred policy acquisition costs. We also saw an increase in variable expenses, including a $3.0 million increase in premium write-offs and a $1.5 million increase in premium taxes, as a result of growth of our earned premium and policies in force. Fixed expenses primarily decreased due to $2.8 million of Carvana warrant expense recognized in the first quarter of 2024, as all short-term warrant expense has been recognized upon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expense decreased primarily due to a $5.7 million decrease in debt interest expense as a result of reduced principal and a more favorable interest rate in connection with the Amended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40" w:right="599" w:bottom="1440" w:gutter="0" w:footer="0" w:header="0"/>
        </w:sectPr>
      </w:pPr>
    </w:p>
    <w:bookmarkStart w:id="32" w:name="page33"/>
    <w:bookmarkEnd w:id="3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non-GAAP financial measures below have not been calculated in accordance with GAAP and should be considered in addition to results prepared in accordance with GAAP and should not be considered as a substitute for, or superior to, GAAP results. In addition, direct contribution and adjusted EBITDA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 the historical operating performance of other companies that may have different capital structures and debt levels; (4) review and assess the performance of our management team, including when determining incentive compensation; (5) analyze and evaluate financial and strategic planning decisions regarding future operating investments; and (6) plan for and prepare future annual operating budgets and determine appropriate levels of operating investments.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Contribution</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the definition of direct contribution and why management believes this measure provides useful information to investors, see “—Key Performance Indicators.”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total revenue to direct contribution for the three months ended March 31, 2025 and 2024:</w:t>
      </w:r>
    </w:p>
    <w:p>
      <w:pPr>
        <w:spacing w:after="0" w:line="273"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33655</wp:posOffset>
            </wp:positionV>
            <wp:extent cx="20485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49" w:lineRule="exact"/>
        <w:rPr>
          <w:sz w:val="20"/>
          <w:szCs w:val="20"/>
          <w:color w:val="auto"/>
        </w:rPr>
      </w:pPr>
    </w:p>
    <w:p>
      <w:pPr>
        <w:ind w:left="8660"/>
        <w:spacing w:after="0"/>
        <w:tabs>
          <w:tab w:leader="none" w:pos="103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33655</wp:posOffset>
            </wp:positionV>
            <wp:extent cx="20485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49"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revenue</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Loss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Other insurance expense</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Adjustments from other insurance expense</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Ceded premiums earned</w:t>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Ceded loss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Net ceding commission and other</w:t>
      </w:r>
      <w:r>
        <w:rPr>
          <w:rFonts w:ascii="Times New Roman" w:cs="Times New Roman" w:eastAsia="Times New Roman" w:hAnsi="Times New Roman"/>
          <w:sz w:val="23"/>
          <w:szCs w:val="23"/>
          <w:color w:val="auto"/>
          <w:vertAlign w:val="superscript"/>
        </w:rPr>
        <w:t>(2)</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 contribution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tabs>
          <w:tab w:leader="none" w:pos="1040" w:val="left"/>
          <w:tab w:leader="none" w:pos="1640" w:val="left"/>
          <w:tab w:leader="none" w:pos="27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349.4</w:t>
        <w:tab/>
        <w:t>$</w:t>
      </w:r>
      <w:r>
        <w:rPr>
          <w:sz w:val="20"/>
          <w:szCs w:val="20"/>
          <w:color w:val="auto"/>
        </w:rPr>
        <w:tab/>
      </w:r>
      <w:r>
        <w:rPr>
          <w:rFonts w:ascii="Times New Roman" w:cs="Times New Roman" w:eastAsia="Times New Roman" w:hAnsi="Times New Roman"/>
          <w:sz w:val="17"/>
          <w:szCs w:val="17"/>
          <w:color w:val="auto"/>
        </w:rPr>
        <w:t>254.9</w:t>
      </w:r>
    </w:p>
    <w:p>
      <w:pPr>
        <w:spacing w:after="0" w:line="63"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(205.6)</w:t>
      </w:r>
      <w:r>
        <w:rPr>
          <w:sz w:val="20"/>
          <w:szCs w:val="20"/>
          <w:color w:val="auto"/>
        </w:rPr>
        <w:tab/>
      </w:r>
      <w:r>
        <w:rPr>
          <w:rFonts w:ascii="Times New Roman" w:cs="Times New Roman" w:eastAsia="Times New Roman" w:hAnsi="Times New Roman"/>
          <w:sz w:val="18"/>
          <w:szCs w:val="18"/>
          <w:color w:val="auto"/>
        </w:rPr>
        <w:t>(166.4)</w:t>
      </w:r>
    </w:p>
    <w:p>
      <w:pPr>
        <w:spacing w:after="0" w:line="63" w:lineRule="exact"/>
        <w:rPr>
          <w:sz w:val="20"/>
          <w:szCs w:val="20"/>
          <w:color w:val="auto"/>
        </w:rPr>
      </w:pPr>
    </w:p>
    <w:p>
      <w:pPr>
        <w:jc w:val="right"/>
        <w:spacing w:after="0"/>
        <w:tabs>
          <w:tab w:leader="none" w:pos="420" w:val="left"/>
        </w:tabs>
        <w:rPr>
          <w:sz w:val="20"/>
          <w:szCs w:val="20"/>
          <w:color w:val="auto"/>
        </w:rPr>
      </w:pPr>
      <w:r>
        <w:rPr>
          <w:rFonts w:ascii="Times New Roman" w:cs="Times New Roman" w:eastAsia="Times New Roman" w:hAnsi="Times New Roman"/>
          <w:sz w:val="18"/>
          <w:szCs w:val="18"/>
          <w:color w:val="auto"/>
        </w:rPr>
        <w:t>(36.7)</w:t>
      </w:r>
      <w:r>
        <w:rPr>
          <w:sz w:val="20"/>
          <w:szCs w:val="20"/>
          <w:color w:val="auto"/>
        </w:rPr>
        <w:tab/>
      </w:r>
      <w:r>
        <w:rPr>
          <w:rFonts w:ascii="Times New Roman" w:cs="Times New Roman" w:eastAsia="Times New Roman" w:hAnsi="Times New Roman"/>
          <w:sz w:val="18"/>
          <w:szCs w:val="18"/>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17145</wp:posOffset>
            </wp:positionV>
            <wp:extent cx="20485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30" w:lineRule="exact"/>
        <w:rPr>
          <w:sz w:val="20"/>
          <w:szCs w:val="20"/>
          <w:color w:val="auto"/>
        </w:rPr>
      </w:pPr>
    </w:p>
    <w:p>
      <w:pPr>
        <w:ind w:left="1060"/>
        <w:spacing w:after="0"/>
        <w:tabs>
          <w:tab w:leader="none" w:pos="2800" w:val="left"/>
        </w:tabs>
        <w:rPr>
          <w:sz w:val="20"/>
          <w:szCs w:val="20"/>
          <w:color w:val="auto"/>
        </w:rPr>
      </w:pPr>
      <w:r>
        <w:rPr>
          <w:rFonts w:ascii="Times New Roman" w:cs="Times New Roman" w:eastAsia="Times New Roman" w:hAnsi="Times New Roman"/>
          <w:sz w:val="18"/>
          <w:szCs w:val="18"/>
          <w:color w:val="auto"/>
        </w:rPr>
        <w:t>107.1</w:t>
      </w:r>
      <w:r>
        <w:rPr>
          <w:sz w:val="20"/>
          <w:szCs w:val="20"/>
          <w:color w:val="auto"/>
        </w:rPr>
        <w:tab/>
      </w:r>
      <w:r>
        <w:rPr>
          <w:rFonts w:ascii="Times New Roman" w:cs="Times New Roman" w:eastAsia="Times New Roman" w:hAnsi="Times New Roman"/>
          <w:sz w:val="17"/>
          <w:szCs w:val="17"/>
          <w:color w:val="auto"/>
        </w:rPr>
        <w:t>63.9</w:t>
      </w:r>
    </w:p>
    <w:p>
      <w:pPr>
        <w:spacing w:after="0" w:line="63" w:lineRule="exact"/>
        <w:rPr>
          <w:sz w:val="20"/>
          <w:szCs w:val="20"/>
          <w:color w:val="auto"/>
        </w:rPr>
      </w:pPr>
    </w:p>
    <w:p>
      <w:pPr>
        <w:ind w:left="1160"/>
        <w:spacing w:after="0"/>
        <w:tabs>
          <w:tab w:leader="none" w:pos="280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8"/>
          <w:szCs w:val="18"/>
          <w:color w:val="auto"/>
        </w:rPr>
        <w:t>(9.2)</w:t>
      </w:r>
    </w:p>
    <w:p>
      <w:pPr>
        <w:spacing w:after="0" w:line="63" w:lineRule="exact"/>
        <w:rPr>
          <w:sz w:val="20"/>
          <w:szCs w:val="20"/>
          <w:color w:val="auto"/>
        </w:rPr>
      </w:pPr>
    </w:p>
    <w:p>
      <w:pPr>
        <w:ind w:left="1160"/>
        <w:spacing w:after="0"/>
        <w:tabs>
          <w:tab w:leader="none" w:pos="280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7"/>
          <w:szCs w:val="17"/>
          <w:color w:val="auto"/>
        </w:rPr>
        <w:t>20.8</w:t>
      </w:r>
    </w:p>
    <w:p>
      <w:pPr>
        <w:spacing w:after="0" w:line="63" w:lineRule="exact"/>
        <w:rPr>
          <w:sz w:val="20"/>
          <w:szCs w:val="20"/>
          <w:color w:val="auto"/>
        </w:rPr>
      </w:pPr>
    </w:p>
    <w:p>
      <w:pPr>
        <w:ind w:left="1160"/>
        <w:spacing w:after="0"/>
        <w:tabs>
          <w:tab w:leader="none" w:pos="280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44.7</w:t>
      </w:r>
    </w:p>
    <w:p>
      <w:pPr>
        <w:spacing w:after="0" w:line="63" w:lineRule="exact"/>
        <w:rPr>
          <w:sz w:val="20"/>
          <w:szCs w:val="20"/>
          <w:color w:val="auto"/>
        </w:rPr>
      </w:pPr>
    </w:p>
    <w:p>
      <w:pPr>
        <w:jc w:val="right"/>
        <w:spacing w:after="0"/>
        <w:tabs>
          <w:tab w:leader="none" w:pos="4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(27.3)</w:t>
      </w:r>
    </w:p>
    <w:p>
      <w:pPr>
        <w:spacing w:after="0" w:line="63" w:lineRule="exact"/>
        <w:rPr>
          <w:sz w:val="20"/>
          <w:szCs w:val="20"/>
          <w:color w:val="auto"/>
        </w:rPr>
      </w:pPr>
    </w:p>
    <w:p>
      <w:pPr>
        <w:jc w:val="right"/>
        <w:spacing w:after="0"/>
        <w:tabs>
          <w:tab w:leader="none" w:pos="4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20485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57" w:lineRule="exact"/>
        <w:rPr>
          <w:sz w:val="20"/>
          <w:szCs w:val="20"/>
          <w:color w:val="auto"/>
        </w:rPr>
      </w:pPr>
    </w:p>
    <w:p>
      <w:pPr>
        <w:spacing w:after="0"/>
        <w:tabs>
          <w:tab w:leader="none" w:pos="1040" w:val="left"/>
          <w:tab w:leader="none" w:pos="1640" w:val="left"/>
          <w:tab w:leader="none" w:pos="28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127.1</w:t>
        <w:tab/>
        <w:t>$</w:t>
      </w:r>
      <w:r>
        <w:rPr>
          <w:sz w:val="20"/>
          <w:szCs w:val="20"/>
          <w:color w:val="auto"/>
        </w:rPr>
        <w:tab/>
      </w:r>
      <w:r>
        <w:rPr>
          <w:rFonts w:ascii="Times New Roman" w:cs="Times New Roman" w:eastAsia="Times New Roman" w:hAnsi="Times New Roman"/>
          <w:sz w:val="17"/>
          <w:szCs w:val="17"/>
          <w:color w:val="auto"/>
        </w:rPr>
        <w:t>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204851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48510" cy="34290"/>
                    </a:xfrm>
                    <a:prstGeom prst="rect">
                      <a:avLst/>
                    </a:prstGeom>
                    <a:noFill/>
                  </pic:spPr>
                </pic:pic>
              </a:graphicData>
            </a:graphic>
          </wp:anchor>
        </w:drawing>
      </w:r>
    </w:p>
    <w:p>
      <w:pPr>
        <w:spacing w:after="0" w:line="558" w:lineRule="exact"/>
        <w:rPr>
          <w:sz w:val="20"/>
          <w:szCs w:val="20"/>
          <w:color w:val="auto"/>
        </w:rPr>
      </w:pPr>
    </w:p>
    <w:p>
      <w:pPr>
        <w:sectPr>
          <w:pgSz w:w="11900" w:h="16838" w:orient="portrait"/>
          <w:cols w:equalWidth="0" w:num="2">
            <w:col w:w="7320" w:space="720"/>
            <w:col w:w="3180"/>
          </w:cols>
          <w:pgMar w:left="320" w:top="1440" w:right="359" w:bottom="1440" w:gutter="0" w:footer="0" w:header="0"/>
          <w:type w:val="continuous"/>
        </w:sectPr>
      </w:pPr>
    </w:p>
    <w:p>
      <w:pPr>
        <w:ind w:left="340" w:right="180" w:hanging="332"/>
        <w:spacing w:after="0" w:line="261" w:lineRule="auto"/>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from other insurance expense consists of acquisition costs, including report costs and refunds related to these expenses and commission expenses related to our partnership channel of $19.7 million and $15.6 million for the three months ended March 31, 2025 and 2024, respectively. Fixed expenses, including certain warrant compensation expense related to policies originating through the integrated automobile insurance solution for Carvana’s online buying platform, Personnel Costs, Overhead, licenses, professional fees and other of $2.5</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million and $5.2 million for the three months ended March 31, 2025 and 2024, respectively</w:t>
      </w:r>
      <w:r>
        <w:rPr>
          <w:rFonts w:ascii="Times New Roman" w:cs="Times New Roman" w:eastAsia="Times New Roman" w:hAnsi="Times New Roman"/>
          <w:sz w:val="17"/>
          <w:szCs w:val="17"/>
          <w:color w:val="auto"/>
        </w:rPr>
        <w:t>.</w:t>
      </w:r>
    </w:p>
    <w:p>
      <w:pPr>
        <w:spacing w:after="0" w:line="102" w:lineRule="exact"/>
        <w:rPr>
          <w:sz w:val="20"/>
          <w:szCs w:val="20"/>
          <w:color w:val="auto"/>
        </w:rPr>
      </w:pPr>
    </w:p>
    <w:p>
      <w:pPr>
        <w:ind w:left="340" w:right="100" w:hanging="332"/>
        <w:spacing w:after="0" w:line="310" w:lineRule="auto"/>
        <w:tabs>
          <w:tab w:leader="none" w:pos="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ceding commission and other is comprised of ceding commissions received in connection with reinsurance ceded, partially offset by amortization of excess ceding commission and other impacts of reinsurance ceded</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33" w:name="page34"/>
    <w:bookmarkEnd w:id="3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the definition of adjusted EBITDA and why management believes this measure provides useful information to investors, see “—Key Performance Indicators.”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(loss) to adjusted EBITDA for the three months ended March 31, 2025 and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72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6"/>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6"/>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00" w:type="dxa"/>
            <w:vAlign w:val="bottom"/>
          </w:tcPr>
          <w:p>
            <w:pPr>
              <w:spacing w:after="0"/>
              <w:rPr>
                <w:sz w:val="16"/>
                <w:szCs w:val="16"/>
                <w:color w:val="auto"/>
              </w:rPr>
            </w:pPr>
          </w:p>
        </w:tc>
      </w:tr>
      <w:tr>
        <w:trPr>
          <w:trHeight w:val="37"/>
        </w:trPr>
        <w:tc>
          <w:tcPr>
            <w:tcW w:w="8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70"/>
        </w:trPr>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Pr>
          <w:p>
            <w:pPr>
              <w:spacing w:after="0"/>
              <w:rPr>
                <w:sz w:val="23"/>
                <w:szCs w:val="23"/>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9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0"/>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Warrant compensation expense</w:t>
            </w:r>
          </w:p>
        </w:tc>
        <w:tc>
          <w:tcPr>
            <w:tcW w:w="9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(1)</w:t>
            </w:r>
          </w:p>
        </w:tc>
        <w:tc>
          <w:tcPr>
            <w:tcW w:w="960" w:type="dxa"/>
            <w:vAlign w:val="bottom"/>
          </w:tcPr>
          <w:p>
            <w:pPr>
              <w:spacing w:after="0"/>
              <w:rPr>
                <w:sz w:val="23"/>
                <w:szCs w:val="23"/>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9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Adjusted EBITDA</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167" w:lineRule="exact"/>
        <w:rPr>
          <w:sz w:val="20"/>
          <w:szCs w:val="20"/>
          <w:color w:val="auto"/>
        </w:rPr>
      </w:pPr>
    </w:p>
    <w:p>
      <w:pPr>
        <w:ind w:left="340" w:right="60" w:hanging="332"/>
        <w:spacing w:after="0" w:line="282" w:lineRule="auto"/>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costs consist of employee costs, real estate exit costs and other. This includes depreciation and amortization of zero and $0.1 million for the three months ended March 31, 2025 and 2024, respectively.</w:t>
      </w:r>
    </w:p>
    <w:p>
      <w:pPr>
        <w:spacing w:after="0" w:line="121" w:lineRule="exact"/>
        <w:rPr>
          <w:rFonts w:ascii="Times New Roman" w:cs="Times New Roman" w:eastAsia="Times New Roman" w:hAnsi="Times New Roman"/>
          <w:sz w:val="14"/>
          <w:szCs w:val="14"/>
          <w:color w:val="auto"/>
        </w:rPr>
      </w:pPr>
    </w:p>
    <w:p>
      <w:pPr>
        <w:ind w:left="340" w:right="380" w:hanging="332"/>
        <w:spacing w:after="0" w:line="302" w:lineRule="auto"/>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primarily reflects legal costs and other items that do not reflect our ongoing operating performance. Legal and other fees related to the 2022 misappropriation of funds by a former senior marketing employee of zero and $0.1 million for the three months ended March 31, 2025 and 2024,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Since inception, we have financed operations primarily through sales of insurance policies and the net proceeds we have received from our issuance of stock and debt and from sales of investments. Cash generated from operations is highly dependent on being able to efficiently acquire and maintain customers while pricing our insurance products appropriately. We are continuously evaluating alternatives for efficiently funding our ongoing operations and reducing our cost of capital. We expect, from time to time, to engage in a variety of financing transactions for such purposes, including the issuance of stock and debt.</w:t>
      </w:r>
    </w:p>
    <w:p>
      <w:pPr>
        <w:spacing w:after="0" w:line="1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Certain events may impact our liquidity such as the economic instability resulting in acute inflationary pressures, supply chain disruptions, changes in interest rates, new or increased tariffs, changes in equity markets and our utilization of reinsurance. There remains uncertainty around the future of inflation; elevated levels of inflation for an extended period could cause claims and claim expenses to increase, impact the performance of our investment portfolio or have other adverse effects. Conditions in the capital and credit markets, including instability and uncertainty, as well as broader economic factors such as the imposition of substantial tariffs and potential retaliatory tariffs, can also influence the returns, liquidity, valuation, and types of our investments. Additionally, fluctuations in interest rates could impact our cost of capital and may limit our ability to raise additional capital. We utilize reinsurance arrangements to grow our business in a capital-efficient manner and mitigate risk. Over time, our strategy continues to evolve and we may choose to amend, commute, and/or non-renew certain third-party reinsurance agreements, which may result in us retaining more or less of our business in the future. To the extent we retain a larger share of our book of business, our capital requirements may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Considerations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organized as a holding company, but our primary operations are conducted by three of our wholly-owned insurance subsidiaries, Root Insurance Company and Root Property &amp; Casualty Insurance Company, both Ohio-domiciled insurance companies, and Root Florida Insurance Company, a Florida-domiciled insurance company. The payment of dividends by our insurance subsidiaries is subject to restrictions set forth in the insurance laws and regulations of the State of Ohio and the State of Florida. Our domestic insurance subsidiaries are not permitted to pay any dividends without approval of the applicable superintendent, commissioner and/or director.</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our insurance subsidiaries’ business grows, the amount of capital we are required to maintain to satisfy our risk-based capital requirements may increase significantly. To comply with these regulations, we may be required to maintain capital in the insurance subsidiaries that we would otherwise invest in our growth and operations. As of March 31, 2025, our insurance subsidiaries maintained a risk-based capital level that is in excess of an amount that would require any corrective actions on our part.</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wholly-owned, Cayman Islands-based reinsurance subsidiary, Root Reinsurance Company, Ltd., or Root Re, maintains a Class B(iii) insurer license under Cayman Islands Monetary Authority, or CIMA. At March 31, 2025, Root Re was subject to compliance with certain capital levels and a net premiums earned to capital ratio of 15:1, which we maintained as of March 31, 2025. The capital ratio can fluctuate at Root Re’s election, subject to regulatory approval. Root Re’s primary sources of funds are capital contributions from the holding company, assumed insurance premiums and net investment income. These funds are primarily used to pay claims and operating expenses and to purchase investments. Root Re must notify CIMA before it can pay any dividend to the holding company. During the three months ended March 31, 2025, Root Re distributed a dividend of $25.0 million to Caret Holdings, Inc., its parent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Arrangements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October 2024, we entered into a $200.0 million five-year term loan, or Amended Term Loan, with the principal amount due and payable upon maturity on October 29, 2030. Interest is payable quarterly and determined on a floating interest rate calculated on the Secured Overnight Financing Rate with a 1.0% floor, plus an applicable margin ranging from 5.25% to 6.00% based upon the debt-to-capital ratio payable quarterly.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March 31, 2025, we had $609.4 million in cash and cash equivalents, of which $347.3 million was held outside of regulated insurance entities. We also had $320.8 million in marketable securities.</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cash and cash equivalents primarily consist of bank deposits and money market funds. Our marketable securities primarily consist of U.S. Treasury securities and agencies, municipal securities, corporate debt securities, and asset-backed securities.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and cash equivalents, marketable securities and cash flow from operations will be sufficient to support short-term working capital and capital expenditure requirements for at least the next 12 months and for the foreseeable future thereafter.</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long-term capital requirements depend on many factors, including our insurance premium growth rate, rate adequacy, level of marketing spend, renewal activity, the timing and the amount of cash received from customers, the performance of our products, including the success of our partnership channel, loss cost trends, the timing and extent of spending to support development efforts, the introduction of new and enhanced products, the continuing market adoption of offerings on our platform, operating costs, and the ongoing uncertainty in global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Tax withholding obligations arise upon vesting of shares of service-based restricted stock units, or RSUs, and performance-based restricted stock units, and these obligations must be satisfied at the time they arise through cash payments remitted to the relevant tax authorities. To the extent we satisfy our tax withholding obligations with respect to these equity compensation awards by withholding shares and remitting cash to the relevant tax authorities, the amount of cash payments due for taxes upon the vesting of such equity compensation awards is dependent on the price of our Class A common stock on the applicable vesting dates and could be substantial. Future obligations could have a negative impact on our liquidity and ability to use funds for operational purposes.</w:t>
      </w:r>
    </w:p>
    <w:p>
      <w:pPr>
        <w:spacing w:after="0" w:line="13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For illustrative purposes, assuming a stock price of $128.60 per share (the closing price of our shares of Class A common stock on the The Nasdaq Stock Market on April 1, 2025), we estimate that our tax withholding obligations on account of remaining vesting events for the second, third and fourth quarter of 2025 and the first quarter of 2026 of approximately $16.7 million, $4.5 million, $3.8 million and $4.5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debt covenants required cash and cash equivalents held in entities other than our insurance subsidiaries to be at least $50.0 million.</w:t>
      </w:r>
    </w:p>
    <w:p>
      <w:pPr>
        <w:spacing w:after="0" w:line="17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Through prudent deployment of capital we believe we have sufficient resources, and access to additional debt and equity capital, to adequately meet our obligations as they come due.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6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6"/>
        </w:trPr>
        <w:tc>
          <w:tcPr>
            <w:tcW w:w="8020" w:type="dxa"/>
            <w:vAlign w:val="bottom"/>
          </w:tcPr>
          <w:p>
            <w:pPr>
              <w:spacing w:after="0"/>
              <w:rPr>
                <w:sz w:val="16"/>
                <w:szCs w:val="16"/>
                <w:color w:val="auto"/>
              </w:rPr>
            </w:pPr>
          </w:p>
        </w:tc>
        <w:tc>
          <w:tcPr>
            <w:tcW w:w="100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6"/>
        </w:trPr>
        <w:tc>
          <w:tcPr>
            <w:tcW w:w="8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80" w:type="dxa"/>
            <w:vAlign w:val="bottom"/>
            <w:gridSpan w:val="2"/>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26.8</w:t>
            </w:r>
          </w:p>
        </w:tc>
        <w:tc>
          <w:tcPr>
            <w:tcW w:w="108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5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5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8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bl>
    <w:p>
      <w:pPr>
        <w:spacing w:after="0" w:line="23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2025 was $26.8 million compared to $14.5 million for the three months ended March 31, 2024. The increase in cash provided by operating activities was due to higher net income between the periods, timing of reinsurance receipts and growth in premiums not yet earned. This was partially offset by a change in loss and LAE reserves due to growth in policies in force and timing of premium receipts.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2025 was $13.8 million compared to $52.3 million for the three months ended March 31, 2024. The decrease in cash used in investing activities was primarily due to lower purchases of investments and higher proceeds from maturities, calls and pay downs of investments for the three months ended March 31, 2025 compared to the same period in 2024.</w:t>
      </w:r>
    </w:p>
    <w:p>
      <w:pPr>
        <w:spacing w:after="0" w:line="12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2025 was $2.8 million compared to $0.4 million for the three months ended March 31, 2024. The increase in cash used in financing activities was primarily due to tax withholding obligations arising from the vesting of shares of RSUs during the three months ended March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 from Contractual and Other Obligations</w:t>
      </w:r>
    </w:p>
    <w:p>
      <w:pPr>
        <w:spacing w:after="0" w:line="17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contractual and other obligations from those described in our 2024 10-K. We believe we have sufficient resources, and access to additional debt and equity capital, to adequately meet our obligations as they come due.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material effect on our financial condition, results of operations, liquidity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 condensed consolidated financial statements in conformity with GAAP requires our management to make a number of estimates and assumptions relating to the reported amounts of assets and liabilities, the disclosure of contingent assets and liabilities at the date of the condensed consolidated financial statements and the reported amounts of revenue and expenses during the period. We evaluate our significant estimates on an ongoing basis, including, but not limited to, estimates related to reserves for loss and LAE, valuation allowance on our deferred tax assets, and the amount of reinsurance recoverable and receivable from reinsurance contracts.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w:t>
      </w:r>
    </w:p>
    <w:p>
      <w:pPr>
        <w:spacing w:after="0" w:line="1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critical accounting estimates are described under the heading “Management’s Discussion and Analysis of Financial Condition and Results of Operations—Critical Accounting Estimates,” in our 2024 10-K and the Notes to Condensed Consolidated Financial Statements appearing elsewhere in this Quarterly Report on Form 10-Q. During the three months ended March 31, 2025, there were no material changes to our critical accounting estimates from those discussed in our 2024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7" w:name="page38"/>
    <w:bookmarkEnd w:id="3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the quantitative and qualitative market risk disclosures included in the 2024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8" w:name="page39"/>
    <w:bookmarkEnd w:id="3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have concluded that our disclosure controls and procedures were effective at the reasonable assurance level as of March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2025 that have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9" w:name="page40"/>
    <w:bookmarkEnd w:id="39"/>
    <w:p>
      <w:pPr>
        <w:spacing w:after="0" w:line="13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From time to time, we are party to litigation and legal proceedings relating to our business operations. While the outcome of all legal actions is not presently determinable, we do not believe that we are party to any current or pending legal action that could reasonably be expected to have a material adverse effect on our financial condition or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440" w:right="759" w:bottom="1440" w:gutter="0" w:footer="0" w:header="0"/>
        </w:sectPr>
      </w:pPr>
    </w:p>
    <w:bookmarkStart w:id="40" w:name="page41"/>
    <w:bookmarkEnd w:id="4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risk factors from those disclosed in the 2024 10-K. In addition to the other information set forth in this Quarterly Report on Form 10-Q, you should carefully consider the risk factors discussed in Part I, Item 1A. “Risk Factors,” in the 2024 10-K. You should not interpret the disclosure of any risk factor to imply the risk has not already materialized.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41" w:name="page42"/>
    <w:bookmarkEnd w:id="4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stock. We currently intend to retain all available funds and future earnings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Repurchase and Working Capital Restrictions</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are a holding company that transacts a majority of its business through operating subsidiaries. Our regulated insurance subsidiaries are subject to restrictions on the dividends they may pay, which could impact our ability to pay dividends to stockholders in the future.</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payment of any extraordinary dividend by one of our regulated insurance subsidiaries requires the prior approval of the superintendent of the supervisory Department of Insurance, or DOI. “Extraordinary dividend” is defined under the Ohio Revised Code as: (i) any dividend or distribution of cash or other property whose fair market value, together with that of other dividends or distributions made within the preceding 12 months, exceeds the greater of (a) 10% of an insurer’s policyholder surplus as of December 31 of the preceding year, or (b) an insurer’s net income for the 12-month period ending December 31 of the preceding year or (ii) any dividend or distribution paid by an insurer from a source other than earned surplus. Neither Root Insurance Company nor Root Property &amp; Casualty Insurance Company are permitted to pay any dividends to us without approval of the superintendent of the supervisory DOI. See the section titled “Risk Factors—Risks Related to Our Business—Failure to maintain our risk-based capital at the required levels could adversely affect our ability to maintain regulatory authority to conduct our business,” included in the 2024 10-K.</w:t>
      </w:r>
    </w:p>
    <w:p>
      <w:pPr>
        <w:spacing w:after="0" w:line="1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insurance regulators have broad powers to prevent a reduction of statutory surplus to inadequate levels, and there is no assurance that dividends of the maximum amount calculated under any applicable formula would be permitted. The Ohio DOI may, in the future, adopt statutory provisions more restrictive than those currently in effect.</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Further, the Amended Term Loan includes covenants that require us to maintain certain levels of liquidity and restrict us from declaring or making cash dividend or other distributions and from repurchasing our common stock outside of the ordinary course of business or in excess of certain specified limits during the term of the Amended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3" w:name="page44"/>
    <w:bookmarkEnd w:id="4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4" w:name="page45"/>
    <w:bookmarkEnd w:id="4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March 5, 2025, Beth Birnbaum, a member of the Company’s Board of Directors, entered into a trading plan intended to satisfy the affirmative defense conditions of Rule 10b5-1(c) under the Exchange Act (a “10b5-1 Plan”). Ms. Birnbaum’s 10b5-1 Plan provides for the potential sale of up to 2,853 shares of Class A common stock and terminates no later than June 5, 2026.</w:t>
      </w:r>
    </w:p>
    <w:p>
      <w:pPr>
        <w:spacing w:after="0" w:line="1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March 6, 2025, Julie Szudarek, a member of the Company’s Board of Directors, entered into a 10b5-1 Plan. Ms. Szudarek’s 10b5-1 Plan provides for the potential sale of up to 8,291 shares of Class A common stock and terminates no later than June 5, 2026.</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14, 2025, Jonathan Allison, the Company’s Chief Administrative Officer, entered into a 10b5-1 Plan. Mr. Allison’s 10b5-1 Plan provides for the potential sale of up to 23,835 shares of Class A common stock and terminates no later than June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1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Exhibits.</w:t>
            </w:r>
          </w:p>
        </w:tc>
        <w:tc>
          <w:tcPr>
            <w:tcW w:w="3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0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860" w:type="dxa"/>
            <w:vAlign w:val="bottom"/>
            <w:gridSpan w:val="2"/>
            <w:vMerge w:val="restart"/>
          </w:tcPr>
          <w:p>
            <w:pPr>
              <w:jc w:val="center"/>
              <w:ind w:right="75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14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860" w:type="dxa"/>
            <w:vAlign w:val="bottom"/>
            <w:gridSpan w:val="2"/>
            <w:vMerge w:val="continue"/>
          </w:tcPr>
          <w:p>
            <w:pPr>
              <w:spacing w:after="0"/>
              <w:rPr>
                <w:sz w:val="13"/>
                <w:szCs w:val="13"/>
                <w:color w:val="auto"/>
              </w:rPr>
            </w:pPr>
          </w:p>
        </w:tc>
        <w:tc>
          <w:tcPr>
            <w:tcW w:w="3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860" w:type="dxa"/>
            <w:vAlign w:val="bottom"/>
            <w:gridSpan w:val="2"/>
          </w:tcPr>
          <w:p>
            <w:pPr>
              <w:jc w:val="center"/>
              <w:ind w:right="73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1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5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SEC File Number</w:t>
            </w:r>
          </w:p>
        </w:tc>
        <w:tc>
          <w:tcPr>
            <w:tcW w:w="11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5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350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Amended and Restated Certificate of Incorporation of</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2"/>
        </w:trPr>
        <w:tc>
          <w:tcPr>
            <w:tcW w:w="1120" w:type="dxa"/>
            <w:vAlign w:val="bottom"/>
          </w:tcPr>
          <w:p>
            <w:pPr>
              <w:spacing w:after="0"/>
              <w:rPr>
                <w:sz w:val="12"/>
                <w:szCs w:val="12"/>
                <w:color w:val="auto"/>
              </w:rPr>
            </w:pPr>
          </w:p>
        </w:tc>
        <w:tc>
          <w:tcPr>
            <w:tcW w:w="640" w:type="dxa"/>
            <w:vAlign w:val="bottom"/>
            <w:tcBorders>
              <w:bottom w:val="single" w:sz="8" w:color="0000FF"/>
            </w:tcBorders>
            <w:gridSpan w:val="3"/>
          </w:tcPr>
          <w:p>
            <w:pPr>
              <w:spacing w:after="0" w:line="142" w:lineRule="exact"/>
              <w:rPr>
                <w:rFonts w:ascii="Times New Roman" w:cs="Times New Roman" w:eastAsia="Times New Roman" w:hAnsi="Times New Roman"/>
                <w:sz w:val="16"/>
                <w:szCs w:val="16"/>
                <w:color w:val="0000FF"/>
                <w:w w:val="97"/>
              </w:rPr>
            </w:pPr>
            <w:hyperlink r:id="rId81">
              <w:r>
                <w:rPr>
                  <w:rFonts w:ascii="Times New Roman" w:cs="Times New Roman" w:eastAsia="Times New Roman" w:hAnsi="Times New Roman"/>
                  <w:sz w:val="16"/>
                  <w:szCs w:val="16"/>
                  <w:color w:val="0000FF"/>
                  <w:w w:val="97"/>
                </w:rPr>
                <w:t>Root, Inc.</w:t>
              </w:r>
            </w:hyperlink>
          </w:p>
        </w:tc>
        <w:tc>
          <w:tcPr>
            <w:tcW w:w="2860" w:type="dxa"/>
            <w:vAlign w:val="bottom"/>
            <w:gridSpan w:val="1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3860" w:type="dxa"/>
            <w:vAlign w:val="bottom"/>
            <w:gridSpan w:val="29"/>
          </w:tcPr>
          <w:p>
            <w:pPr>
              <w:spacing w:after="0"/>
              <w:rPr>
                <w:rFonts w:ascii="Times New Roman" w:cs="Times New Roman" w:eastAsia="Times New Roman" w:hAnsi="Times New Roman"/>
                <w:sz w:val="16"/>
                <w:szCs w:val="16"/>
                <w:color w:val="0000FF"/>
              </w:rPr>
            </w:pPr>
            <w:hyperlink r:id="rId82">
              <w:r>
                <w:rPr>
                  <w:rFonts w:ascii="Times New Roman" w:cs="Times New Roman" w:eastAsia="Times New Roman" w:hAnsi="Times New Roman"/>
                  <w:sz w:val="16"/>
                  <w:szCs w:val="16"/>
                  <w:color w:val="0000FF"/>
                </w:rPr>
                <w:t>Certificate of Amendment to Amended and Restated</w:t>
              </w:r>
            </w:hyperlink>
          </w:p>
        </w:tc>
      </w:tr>
      <w:tr>
        <w:trPr>
          <w:trHeight w:val="142"/>
        </w:trPr>
        <w:tc>
          <w:tcPr>
            <w:tcW w:w="1120" w:type="dxa"/>
            <w:vAlign w:val="bottom"/>
          </w:tcPr>
          <w:p>
            <w:pPr>
              <w:spacing w:after="0"/>
              <w:rPr>
                <w:sz w:val="12"/>
                <w:szCs w:val="12"/>
                <w:color w:val="auto"/>
              </w:rPr>
            </w:pPr>
          </w:p>
        </w:tc>
        <w:tc>
          <w:tcPr>
            <w:tcW w:w="264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82">
              <w:r>
                <w:rPr>
                  <w:rFonts w:ascii="Times New Roman" w:cs="Times New Roman" w:eastAsia="Times New Roman" w:hAnsi="Times New Roman"/>
                  <w:sz w:val="16"/>
                  <w:szCs w:val="16"/>
                  <w:color w:val="0000FF"/>
                </w:rPr>
                <w:t>Certificate of Incorporation of Root, Inc.</w:t>
              </w:r>
            </w:hyperlink>
          </w:p>
        </w:tc>
        <w:tc>
          <w:tcPr>
            <w:tcW w:w="760" w:type="dxa"/>
            <w:vAlign w:val="bottom"/>
            <w:tcBorders>
              <w:top w:val="single" w:sz="8" w:color="0000FF"/>
            </w:tcBorders>
            <w:gridSpan w:val="5"/>
          </w:tcPr>
          <w:p>
            <w:pPr>
              <w:spacing w:after="0"/>
              <w:rPr>
                <w:sz w:val="12"/>
                <w:szCs w:val="12"/>
                <w:color w:val="auto"/>
              </w:rPr>
            </w:pP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3.3</w:t>
            </w:r>
          </w:p>
        </w:tc>
        <w:tc>
          <w:tcPr>
            <w:tcW w:w="3860" w:type="dxa"/>
            <w:vAlign w:val="bottom"/>
            <w:gridSpan w:val="29"/>
          </w:tcPr>
          <w:p>
            <w:pPr>
              <w:spacing w:after="0"/>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Amended and Restated Bylaws of Root, Inc.</w:t>
              </w:r>
            </w:hyperlink>
          </w:p>
        </w:tc>
      </w:tr>
      <w:tr>
        <w:trPr>
          <w:trHeight w:val="20"/>
        </w:trPr>
        <w:tc>
          <w:tcPr>
            <w:tcW w:w="1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3.4</w:t>
            </w:r>
          </w:p>
        </w:tc>
        <w:tc>
          <w:tcPr>
            <w:tcW w:w="362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Certificate of Designations of Series A Preferred Stock,</w:t>
              </w:r>
            </w:hyperlink>
          </w:p>
        </w:tc>
        <w:tc>
          <w:tcPr>
            <w:tcW w:w="240" w:type="dxa"/>
            <w:vAlign w:val="bottom"/>
            <w:gridSpan w:val="9"/>
          </w:tcPr>
          <w:p>
            <w:pPr>
              <w:spacing w:after="0"/>
              <w:rPr>
                <w:sz w:val="24"/>
                <w:szCs w:val="24"/>
                <w:color w:val="auto"/>
              </w:rPr>
            </w:pPr>
          </w:p>
        </w:tc>
      </w:tr>
      <w:tr>
        <w:trPr>
          <w:trHeight w:val="142"/>
        </w:trPr>
        <w:tc>
          <w:tcPr>
            <w:tcW w:w="1120" w:type="dxa"/>
            <w:vAlign w:val="bottom"/>
          </w:tcPr>
          <w:p>
            <w:pPr>
              <w:spacing w:after="0"/>
              <w:rPr>
                <w:sz w:val="12"/>
                <w:szCs w:val="12"/>
                <w:color w:val="auto"/>
              </w:rPr>
            </w:pPr>
          </w:p>
        </w:tc>
        <w:tc>
          <w:tcPr>
            <w:tcW w:w="3860" w:type="dxa"/>
            <w:vAlign w:val="bottom"/>
            <w:gridSpan w:val="29"/>
          </w:tcPr>
          <w:p>
            <w:pPr>
              <w:spacing w:after="0" w:line="142"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filed with the Delaware Secretary of State on October 1,</w:t>
              </w:r>
            </w:hyperlink>
          </w:p>
        </w:tc>
      </w:tr>
      <w:tr>
        <w:trPr>
          <w:trHeight w:val="142"/>
        </w:trPr>
        <w:tc>
          <w:tcPr>
            <w:tcW w:w="11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3"/>
              </w:rPr>
            </w:pPr>
            <w:hyperlink r:id="rId84">
              <w:r>
                <w:rPr>
                  <w:rFonts w:ascii="Times New Roman" w:cs="Times New Roman" w:eastAsia="Times New Roman" w:hAnsi="Times New Roman"/>
                  <w:sz w:val="16"/>
                  <w:szCs w:val="16"/>
                  <w:color w:val="0000FF"/>
                  <w:w w:val="93"/>
                </w:rPr>
                <w:t>2021</w:t>
              </w:r>
            </w:hyperlink>
          </w:p>
        </w:tc>
        <w:tc>
          <w:tcPr>
            <w:tcW w:w="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3860" w:type="dxa"/>
            <w:vAlign w:val="bottom"/>
            <w:gridSpan w:val="29"/>
          </w:tcPr>
          <w:p>
            <w:pPr>
              <w:spacing w:after="0"/>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Form of Class A common stock certificate of the</w:t>
              </w:r>
            </w:hyperlink>
          </w:p>
        </w:tc>
      </w:tr>
      <w:tr>
        <w:trPr>
          <w:trHeight w:val="142"/>
        </w:trPr>
        <w:tc>
          <w:tcPr>
            <w:tcW w:w="1120" w:type="dxa"/>
            <w:vAlign w:val="bottom"/>
          </w:tcPr>
          <w:p>
            <w:pPr>
              <w:spacing w:after="0"/>
              <w:rPr>
                <w:sz w:val="12"/>
                <w:szCs w:val="12"/>
                <w:color w:val="auto"/>
              </w:rPr>
            </w:pPr>
          </w:p>
        </w:tc>
        <w:tc>
          <w:tcPr>
            <w:tcW w:w="70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w w:val="97"/>
              </w:rPr>
            </w:pPr>
            <w:hyperlink r:id="rId85">
              <w:r>
                <w:rPr>
                  <w:rFonts w:ascii="Times New Roman" w:cs="Times New Roman" w:eastAsia="Times New Roman" w:hAnsi="Times New Roman"/>
                  <w:sz w:val="16"/>
                  <w:szCs w:val="16"/>
                  <w:color w:val="0000FF"/>
                  <w:w w:val="97"/>
                </w:rPr>
                <w:t>Registrant.</w:t>
              </w:r>
            </w:hyperlink>
          </w:p>
        </w:tc>
        <w:tc>
          <w:tcPr>
            <w:tcW w:w="2460" w:type="dxa"/>
            <w:vAlign w:val="bottom"/>
            <w:tcBorders>
              <w:top w:val="single" w:sz="8" w:color="0000FF"/>
            </w:tcBorders>
            <w:gridSpan w:val="8"/>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3860" w:type="dxa"/>
            <w:vAlign w:val="bottom"/>
            <w:gridSpan w:val="29"/>
          </w:tcPr>
          <w:p>
            <w:pPr>
              <w:spacing w:after="0"/>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Common Stock Purchase Warrants, dated as of October 1,</w:t>
              </w:r>
            </w:hyperlink>
          </w:p>
        </w:tc>
      </w:tr>
      <w:tr>
        <w:trPr>
          <w:trHeight w:val="142"/>
        </w:trPr>
        <w:tc>
          <w:tcPr>
            <w:tcW w:w="1120" w:type="dxa"/>
            <w:vAlign w:val="bottom"/>
          </w:tcPr>
          <w:p>
            <w:pPr>
              <w:spacing w:after="0"/>
              <w:rPr>
                <w:sz w:val="12"/>
                <w:szCs w:val="12"/>
                <w:color w:val="auto"/>
              </w:rPr>
            </w:pPr>
          </w:p>
        </w:tc>
        <w:tc>
          <w:tcPr>
            <w:tcW w:w="3760" w:type="dxa"/>
            <w:vAlign w:val="bottom"/>
            <w:tcBorders>
              <w:top w:val="single" w:sz="8" w:color="0000FF"/>
              <w:bottom w:val="single" w:sz="8" w:color="0000FF"/>
            </w:tcBorders>
            <w:gridSpan w:val="25"/>
          </w:tcPr>
          <w:p>
            <w:pPr>
              <w:spacing w:after="0" w:line="142" w:lineRule="exact"/>
              <w:rPr>
                <w:rFonts w:ascii="Times New Roman" w:cs="Times New Roman" w:eastAsia="Times New Roman" w:hAnsi="Times New Roman"/>
                <w:sz w:val="16"/>
                <w:szCs w:val="16"/>
                <w:color w:val="0000FF"/>
                <w:w w:val="99"/>
              </w:rPr>
            </w:pPr>
            <w:hyperlink r:id="rId86">
              <w:r>
                <w:rPr>
                  <w:rFonts w:ascii="Times New Roman" w:cs="Times New Roman" w:eastAsia="Times New Roman" w:hAnsi="Times New Roman"/>
                  <w:sz w:val="16"/>
                  <w:szCs w:val="16"/>
                  <w:color w:val="0000FF"/>
                  <w:w w:val="99"/>
                </w:rPr>
                <w:t>2021, by and between Root, Inc. and Carvana Group, LLC</w:t>
              </w:r>
            </w:hyperlink>
          </w:p>
        </w:tc>
        <w:tc>
          <w:tcPr>
            <w:tcW w:w="4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3860" w:type="dxa"/>
            <w:vAlign w:val="bottom"/>
            <w:gridSpan w:val="29"/>
          </w:tcPr>
          <w:p>
            <w:pPr>
              <w:spacing w:after="0"/>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Form of Common Stock Purchase Warrant (Tranche 1),</w:t>
              </w:r>
            </w:hyperlink>
          </w:p>
        </w:tc>
      </w:tr>
      <w:tr>
        <w:trPr>
          <w:trHeight w:val="142"/>
        </w:trPr>
        <w:tc>
          <w:tcPr>
            <w:tcW w:w="1120" w:type="dxa"/>
            <w:vAlign w:val="bottom"/>
          </w:tcPr>
          <w:p>
            <w:pPr>
              <w:spacing w:after="0"/>
              <w:rPr>
                <w:sz w:val="12"/>
                <w:szCs w:val="12"/>
                <w:color w:val="auto"/>
              </w:rPr>
            </w:pPr>
          </w:p>
        </w:tc>
        <w:tc>
          <w:tcPr>
            <w:tcW w:w="150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w w:val="99"/>
              </w:rPr>
            </w:pPr>
            <w:hyperlink r:id="rId87">
              <w:r>
                <w:rPr>
                  <w:rFonts w:ascii="Times New Roman" w:cs="Times New Roman" w:eastAsia="Times New Roman" w:hAnsi="Times New Roman"/>
                  <w:sz w:val="16"/>
                  <w:szCs w:val="16"/>
                  <w:color w:val="0000FF"/>
                  <w:w w:val="99"/>
                </w:rPr>
                <w:t>dated January 26, 2022</w:t>
              </w:r>
            </w:hyperlink>
          </w:p>
        </w:tc>
        <w:tc>
          <w:tcPr>
            <w:tcW w:w="210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4.4</w:t>
            </w:r>
          </w:p>
        </w:tc>
        <w:tc>
          <w:tcPr>
            <w:tcW w:w="3860" w:type="dxa"/>
            <w:vAlign w:val="bottom"/>
            <w:gridSpan w:val="29"/>
          </w:tcPr>
          <w:p>
            <w:pPr>
              <w:spacing w:after="0"/>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First Amendment to Form of Common Stock Purchase</w:t>
              </w:r>
            </w:hyperlink>
          </w:p>
        </w:tc>
      </w:tr>
      <w:tr>
        <w:trPr>
          <w:trHeight w:val="142"/>
        </w:trPr>
        <w:tc>
          <w:tcPr>
            <w:tcW w:w="1120" w:type="dxa"/>
            <w:vAlign w:val="bottom"/>
          </w:tcPr>
          <w:p>
            <w:pPr>
              <w:spacing w:after="0"/>
              <w:rPr>
                <w:sz w:val="12"/>
                <w:szCs w:val="12"/>
                <w:color w:val="auto"/>
              </w:rPr>
            </w:pPr>
          </w:p>
        </w:tc>
        <w:tc>
          <w:tcPr>
            <w:tcW w:w="356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Warrant (Tranche 1), dated October 29, 2024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36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rPr>
              <w:t>Root, Inc. Non-Employee Director Compensation Policy</w:t>
            </w:r>
          </w:p>
        </w:tc>
        <w:tc>
          <w:tcPr>
            <w:tcW w:w="2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r>
      <w:tr>
        <w:trPr>
          <w:trHeight w:val="277"/>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386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Form of Root, Inc. Non-Employee Director Compensation</w:t>
            </w:r>
          </w:p>
        </w:tc>
      </w:tr>
      <w:tr>
        <w:trPr>
          <w:trHeight w:val="169"/>
        </w:trPr>
        <w:tc>
          <w:tcPr>
            <w:tcW w:w="1120" w:type="dxa"/>
            <w:vAlign w:val="bottom"/>
          </w:tcPr>
          <w:p>
            <w:pPr>
              <w:spacing w:after="0"/>
              <w:rPr>
                <w:sz w:val="14"/>
                <w:szCs w:val="14"/>
                <w:color w:val="auto"/>
              </w:rPr>
            </w:pPr>
          </w:p>
        </w:tc>
        <w:tc>
          <w:tcPr>
            <w:tcW w:w="3800" w:type="dxa"/>
            <w:vAlign w:val="bottom"/>
            <w:tcBorders>
              <w:top w:val="single" w:sz="8" w:color="0000FF"/>
            </w:tcBorders>
            <w:gridSpan w:val="26"/>
          </w:tcPr>
          <w:p>
            <w:pPr>
              <w:spacing w:after="0" w:line="169" w:lineRule="exact"/>
              <w:rPr>
                <w:sz w:val="20"/>
                <w:szCs w:val="20"/>
                <w:color w:val="auto"/>
              </w:rPr>
            </w:pPr>
            <w:r>
              <w:rPr>
                <w:rFonts w:ascii="Times New Roman" w:cs="Times New Roman" w:eastAsia="Times New Roman" w:hAnsi="Times New Roman"/>
                <w:sz w:val="16"/>
                <w:szCs w:val="16"/>
                <w:color w:val="0000FF"/>
              </w:rPr>
              <w:t>Policy</w:t>
            </w: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20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9"/>
              </w:rPr>
              <w:t>2025 Short-Term Incentive Plan</w:t>
            </w:r>
          </w:p>
        </w:tc>
        <w:tc>
          <w:tcPr>
            <w:tcW w:w="1780" w:type="dxa"/>
            <w:vAlign w:val="bottom"/>
            <w:gridSpan w:val="22"/>
          </w:tcPr>
          <w:p>
            <w:pPr>
              <w:spacing w:after="0"/>
              <w:rPr>
                <w:sz w:val="24"/>
                <w:szCs w:val="24"/>
                <w:color w:val="auto"/>
              </w:rPr>
            </w:pPr>
          </w:p>
        </w:tc>
      </w:tr>
      <w:tr>
        <w:trPr>
          <w:trHeight w:val="277"/>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386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w:t>
            </w:r>
          </w:p>
        </w:tc>
      </w:tr>
      <w:tr>
        <w:trPr>
          <w:trHeight w:val="169"/>
        </w:trPr>
        <w:tc>
          <w:tcPr>
            <w:tcW w:w="1120" w:type="dxa"/>
            <w:vAlign w:val="bottom"/>
          </w:tcPr>
          <w:p>
            <w:pPr>
              <w:spacing w:after="0"/>
              <w:rPr>
                <w:sz w:val="14"/>
                <w:szCs w:val="14"/>
                <w:color w:val="auto"/>
              </w:rPr>
            </w:pPr>
          </w:p>
        </w:tc>
        <w:tc>
          <w:tcPr>
            <w:tcW w:w="3320" w:type="dxa"/>
            <w:vAlign w:val="bottom"/>
            <w:tcBorders>
              <w:top w:val="single" w:sz="8" w:color="0000FF"/>
              <w:bottom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6"/>
                <w:szCs w:val="16"/>
                <w:color w:val="0000FF"/>
              </w:rPr>
              <w:t>Rules 13a-14(a) and 15d-14(a) under the Securities</w:t>
            </w:r>
          </w:p>
        </w:tc>
        <w:tc>
          <w:tcPr>
            <w:tcW w:w="260" w:type="dxa"/>
            <w:vAlign w:val="bottom"/>
            <w:tcBorders>
              <w:top w:val="single" w:sz="8" w:color="0000FF"/>
            </w:tcBorders>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3860" w:type="dxa"/>
            <w:vAlign w:val="bottom"/>
            <w:gridSpan w:val="29"/>
          </w:tcPr>
          <w:p>
            <w:pPr>
              <w:spacing w:after="0" w:line="169" w:lineRule="exact"/>
              <w:rPr>
                <w:sz w:val="20"/>
                <w:szCs w:val="20"/>
                <w:color w:val="auto"/>
              </w:rPr>
            </w:pPr>
            <w:r>
              <w:rPr>
                <w:rFonts w:ascii="Times New Roman" w:cs="Times New Roman" w:eastAsia="Times New Roman" w:hAnsi="Times New Roman"/>
                <w:sz w:val="16"/>
                <w:szCs w:val="16"/>
                <w:color w:val="0000FF"/>
              </w:rPr>
              <w:t>Exchange Act of 1934, as Adopted Pursuant to Section 302</w:t>
            </w:r>
          </w:p>
        </w:tc>
      </w:tr>
      <w:tr>
        <w:trPr>
          <w:trHeight w:val="155"/>
        </w:trPr>
        <w:tc>
          <w:tcPr>
            <w:tcW w:w="112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8"/>
          </w:tcPr>
          <w:p>
            <w:pPr>
              <w:spacing w:after="0" w:line="155" w:lineRule="exact"/>
              <w:rPr>
                <w:sz w:val="20"/>
                <w:szCs w:val="20"/>
                <w:color w:val="auto"/>
              </w:rPr>
            </w:pPr>
            <w:r>
              <w:rPr>
                <w:rFonts w:ascii="Times New Roman" w:cs="Times New Roman" w:eastAsia="Times New Roman" w:hAnsi="Times New Roman"/>
                <w:sz w:val="16"/>
                <w:szCs w:val="16"/>
                <w:color w:val="0000FF"/>
              </w:rPr>
              <w:t>of the Sarbanes-Oxley Act of 2002.</w:t>
            </w:r>
          </w:p>
        </w:tc>
        <w:tc>
          <w:tcPr>
            <w:tcW w:w="154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386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w:t>
            </w:r>
          </w:p>
        </w:tc>
      </w:tr>
      <w:tr>
        <w:trPr>
          <w:trHeight w:val="169"/>
        </w:trPr>
        <w:tc>
          <w:tcPr>
            <w:tcW w:w="1120" w:type="dxa"/>
            <w:vAlign w:val="bottom"/>
          </w:tcPr>
          <w:p>
            <w:pPr>
              <w:spacing w:after="0"/>
              <w:rPr>
                <w:sz w:val="14"/>
                <w:szCs w:val="14"/>
                <w:color w:val="auto"/>
              </w:rPr>
            </w:pPr>
          </w:p>
        </w:tc>
        <w:tc>
          <w:tcPr>
            <w:tcW w:w="3320" w:type="dxa"/>
            <w:vAlign w:val="bottom"/>
            <w:tcBorders>
              <w:top w:val="single" w:sz="8" w:color="0000FF"/>
              <w:bottom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6"/>
                <w:szCs w:val="16"/>
                <w:color w:val="0000FF"/>
              </w:rPr>
              <w:t>Rules 13a-14(a) and 15d-14(a) under the Securities</w:t>
            </w:r>
          </w:p>
        </w:tc>
        <w:tc>
          <w:tcPr>
            <w:tcW w:w="220" w:type="dxa"/>
            <w:vAlign w:val="bottom"/>
            <w:tcBorders>
              <w:top w:val="single" w:sz="8" w:color="0000FF"/>
            </w:tcBorders>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5"/>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3860" w:type="dxa"/>
            <w:vAlign w:val="bottom"/>
            <w:gridSpan w:val="29"/>
          </w:tcPr>
          <w:p>
            <w:pPr>
              <w:spacing w:after="0" w:line="169" w:lineRule="exact"/>
              <w:rPr>
                <w:sz w:val="20"/>
                <w:szCs w:val="20"/>
                <w:color w:val="auto"/>
              </w:rPr>
            </w:pPr>
            <w:r>
              <w:rPr>
                <w:rFonts w:ascii="Times New Roman" w:cs="Times New Roman" w:eastAsia="Times New Roman" w:hAnsi="Times New Roman"/>
                <w:sz w:val="16"/>
                <w:szCs w:val="16"/>
                <w:color w:val="0000FF"/>
              </w:rPr>
              <w:t>Exchange Act of 1934, as Adopted Pursuant to Section 302</w:t>
            </w:r>
          </w:p>
        </w:tc>
      </w:tr>
      <w:tr>
        <w:trPr>
          <w:trHeight w:val="156"/>
        </w:trPr>
        <w:tc>
          <w:tcPr>
            <w:tcW w:w="112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8"/>
          </w:tcPr>
          <w:p>
            <w:pPr>
              <w:spacing w:after="0" w:line="155" w:lineRule="exact"/>
              <w:rPr>
                <w:sz w:val="20"/>
                <w:szCs w:val="20"/>
                <w:color w:val="auto"/>
              </w:rPr>
            </w:pPr>
            <w:r>
              <w:rPr>
                <w:rFonts w:ascii="Times New Roman" w:cs="Times New Roman" w:eastAsia="Times New Roman" w:hAnsi="Times New Roman"/>
                <w:sz w:val="16"/>
                <w:szCs w:val="16"/>
                <w:color w:val="0000FF"/>
              </w:rPr>
              <w:t>of the Sarbanes-Oxley Act of 2002.</w:t>
            </w:r>
          </w:p>
        </w:tc>
        <w:tc>
          <w:tcPr>
            <w:tcW w:w="154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386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and Principal</w:t>
            </w:r>
          </w:p>
        </w:tc>
      </w:tr>
      <w:tr>
        <w:trPr>
          <w:trHeight w:val="169"/>
        </w:trPr>
        <w:tc>
          <w:tcPr>
            <w:tcW w:w="1120" w:type="dxa"/>
            <w:vAlign w:val="bottom"/>
          </w:tcPr>
          <w:p>
            <w:pPr>
              <w:spacing w:after="0"/>
              <w:rPr>
                <w:sz w:val="14"/>
                <w:szCs w:val="14"/>
                <w:color w:val="auto"/>
              </w:rPr>
            </w:pPr>
          </w:p>
        </w:tc>
        <w:tc>
          <w:tcPr>
            <w:tcW w:w="3700" w:type="dxa"/>
            <w:vAlign w:val="bottom"/>
            <w:tcBorders>
              <w:top w:val="single" w:sz="8" w:color="0000FF"/>
            </w:tcBorders>
            <w:gridSpan w:val="24"/>
          </w:tcPr>
          <w:p>
            <w:pPr>
              <w:spacing w:after="0" w:line="169" w:lineRule="exact"/>
              <w:rPr>
                <w:sz w:val="20"/>
                <w:szCs w:val="20"/>
                <w:color w:val="auto"/>
              </w:rPr>
            </w:pPr>
            <w:r>
              <w:rPr>
                <w:rFonts w:ascii="Times New Roman" w:cs="Times New Roman" w:eastAsia="Times New Roman" w:hAnsi="Times New Roman"/>
                <w:sz w:val="16"/>
                <w:szCs w:val="16"/>
                <w:color w:val="0000FF"/>
              </w:rPr>
              <w:t>Financial Officer Pursuant to 18 U.S.C. Section 1350, as</w:t>
            </w:r>
          </w:p>
        </w:tc>
        <w:tc>
          <w:tcPr>
            <w:tcW w:w="160" w:type="dxa"/>
            <w:vAlign w:val="bottom"/>
            <w:gridSpan w:val="5"/>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3660" w:type="dxa"/>
            <w:vAlign w:val="bottom"/>
            <w:tcBorders>
              <w:top w:val="single" w:sz="8" w:color="0000FF"/>
            </w:tcBorders>
            <w:gridSpan w:val="22"/>
          </w:tcPr>
          <w:p>
            <w:pPr>
              <w:spacing w:after="0" w:line="169" w:lineRule="exact"/>
              <w:rPr>
                <w:sz w:val="20"/>
                <w:szCs w:val="20"/>
                <w:color w:val="auto"/>
              </w:rPr>
            </w:pPr>
            <w:r>
              <w:rPr>
                <w:rFonts w:ascii="Times New Roman" w:cs="Times New Roman" w:eastAsia="Times New Roman" w:hAnsi="Times New Roman"/>
                <w:sz w:val="16"/>
                <w:szCs w:val="16"/>
                <w:color w:val="0000FF"/>
              </w:rPr>
              <w:t>Adopted Pursuant to Section 906 of the Sarbanes-Oxley</w:t>
            </w:r>
          </w:p>
        </w:tc>
        <w:tc>
          <w:tcPr>
            <w:tcW w:w="200" w:type="dxa"/>
            <w:vAlign w:val="bottom"/>
            <w:gridSpan w:val="7"/>
          </w:tcPr>
          <w:p>
            <w:pPr>
              <w:spacing w:after="0"/>
              <w:rPr>
                <w:sz w:val="14"/>
                <w:szCs w:val="14"/>
                <w:color w:val="auto"/>
              </w:rPr>
            </w:pPr>
          </w:p>
        </w:tc>
      </w:tr>
      <w:tr>
        <w:trPr>
          <w:trHeight w:val="155"/>
        </w:trPr>
        <w:tc>
          <w:tcPr>
            <w:tcW w:w="1120" w:type="dxa"/>
            <w:vAlign w:val="bottom"/>
          </w:tcPr>
          <w:p>
            <w:pPr>
              <w:spacing w:after="0"/>
              <w:rPr>
                <w:sz w:val="13"/>
                <w:szCs w:val="13"/>
                <w:color w:val="auto"/>
              </w:rPr>
            </w:pPr>
          </w:p>
        </w:tc>
        <w:tc>
          <w:tcPr>
            <w:tcW w:w="3620" w:type="dxa"/>
            <w:vAlign w:val="bottom"/>
            <w:tcBorders>
              <w:top w:val="single" w:sz="8" w:color="0000FF"/>
            </w:tcBorders>
            <w:gridSpan w:val="20"/>
          </w:tcPr>
          <w:p>
            <w:pPr>
              <w:spacing w:after="0" w:line="155" w:lineRule="exact"/>
              <w:rPr>
                <w:sz w:val="20"/>
                <w:szCs w:val="20"/>
                <w:color w:val="auto"/>
              </w:rPr>
            </w:pPr>
            <w:r>
              <w:rPr>
                <w:rFonts w:ascii="Times New Roman" w:cs="Times New Roman" w:eastAsia="Times New Roman" w:hAnsi="Times New Roman"/>
                <w:sz w:val="16"/>
                <w:szCs w:val="16"/>
                <w:color w:val="0000FF"/>
              </w:rPr>
              <w:t>Act of 2002.</w:t>
            </w:r>
          </w:p>
        </w:tc>
        <w:tc>
          <w:tcPr>
            <w:tcW w:w="240" w:type="dxa"/>
            <w:vAlign w:val="bottom"/>
            <w:gridSpan w:val="9"/>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3060" w:type="dxa"/>
            <w:vAlign w:val="bottom"/>
            <w:gridSpan w:val="24"/>
          </w:tcPr>
          <w:p>
            <w:pPr>
              <w:spacing w:after="0" w:line="20" w:lineRule="exact"/>
              <w:rPr>
                <w:sz w:val="1"/>
                <w:szCs w:val="1"/>
                <w:color w:val="auto"/>
              </w:rPr>
            </w:pPr>
          </w:p>
        </w:tc>
      </w:tr>
      <w:tr>
        <w:trPr>
          <w:trHeight w:val="312"/>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386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297"/>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386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24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386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10"/>
        </w:trPr>
        <w:tc>
          <w:tcPr>
            <w:tcW w:w="1120" w:type="dxa"/>
            <w:vAlign w:val="bottom"/>
          </w:tcPr>
          <w:p>
            <w:pPr>
              <w:spacing w:after="0"/>
              <w:rPr>
                <w:sz w:val="18"/>
                <w:szCs w:val="18"/>
                <w:color w:val="auto"/>
              </w:rPr>
            </w:pPr>
          </w:p>
        </w:tc>
        <w:tc>
          <w:tcPr>
            <w:tcW w:w="386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Document</w:t>
            </w:r>
          </w:p>
        </w:tc>
      </w:tr>
      <w:tr>
        <w:trPr>
          <w:trHeight w:val="235"/>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386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r>
      <w:tr>
        <w:trPr>
          <w:trHeight w:val="210"/>
        </w:trPr>
        <w:tc>
          <w:tcPr>
            <w:tcW w:w="1120" w:type="dxa"/>
            <w:vAlign w:val="bottom"/>
          </w:tcPr>
          <w:p>
            <w:pPr>
              <w:spacing w:after="0"/>
              <w:rPr>
                <w:sz w:val="18"/>
                <w:szCs w:val="18"/>
                <w:color w:val="auto"/>
              </w:rPr>
            </w:pPr>
          </w:p>
        </w:tc>
        <w:tc>
          <w:tcPr>
            <w:tcW w:w="386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Document</w:t>
            </w:r>
          </w:p>
        </w:tc>
      </w:tr>
      <w:tr>
        <w:trPr>
          <w:trHeight w:val="222"/>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386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10"/>
        </w:trPr>
        <w:tc>
          <w:tcPr>
            <w:tcW w:w="1120" w:type="dxa"/>
            <w:vAlign w:val="bottom"/>
          </w:tcPr>
          <w:p>
            <w:pPr>
              <w:spacing w:after="0"/>
              <w:rPr>
                <w:sz w:val="18"/>
                <w:szCs w:val="18"/>
                <w:color w:val="auto"/>
              </w:rPr>
            </w:pPr>
          </w:p>
        </w:tc>
        <w:tc>
          <w:tcPr>
            <w:tcW w:w="386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Document</w:t>
            </w:r>
          </w:p>
        </w:tc>
      </w:tr>
    </w:tbl>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3.1</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October 30, 2020</w:t>
            </w:r>
          </w:p>
        </w:tc>
        <w:tc>
          <w:tcPr>
            <w:tcW w:w="0" w:type="dxa"/>
            <w:vAlign w:val="bottom"/>
          </w:tcPr>
          <w:p>
            <w:pPr>
              <w:spacing w:after="0"/>
              <w:rPr>
                <w:sz w:val="1"/>
                <w:szCs w:val="1"/>
                <w:color w:val="auto"/>
              </w:rPr>
            </w:pPr>
          </w:p>
        </w:tc>
      </w:tr>
      <w:tr>
        <w:trPr>
          <w:trHeight w:val="432"/>
        </w:trPr>
        <w:tc>
          <w:tcPr>
            <w:tcW w:w="6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3.1</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August 15, 2022</w:t>
            </w:r>
          </w:p>
        </w:tc>
        <w:tc>
          <w:tcPr>
            <w:tcW w:w="0" w:type="dxa"/>
            <w:vAlign w:val="bottom"/>
          </w:tcPr>
          <w:p>
            <w:pPr>
              <w:spacing w:after="0"/>
              <w:rPr>
                <w:sz w:val="1"/>
                <w:szCs w:val="1"/>
                <w:color w:val="auto"/>
              </w:rPr>
            </w:pPr>
          </w:p>
        </w:tc>
      </w:tr>
      <w:tr>
        <w:trPr>
          <w:trHeight w:val="364"/>
        </w:trPr>
        <w:tc>
          <w:tcPr>
            <w:tcW w:w="6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10-K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3.3</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February 22, 2023</w:t>
            </w:r>
          </w:p>
        </w:tc>
        <w:tc>
          <w:tcPr>
            <w:tcW w:w="0" w:type="dxa"/>
            <w:vAlign w:val="bottom"/>
          </w:tcPr>
          <w:p>
            <w:pPr>
              <w:spacing w:after="0"/>
              <w:rPr>
                <w:sz w:val="1"/>
                <w:szCs w:val="1"/>
                <w:color w:val="auto"/>
              </w:rPr>
            </w:pPr>
          </w:p>
        </w:tc>
      </w:tr>
      <w:tr>
        <w:trPr>
          <w:trHeight w:val="446"/>
        </w:trPr>
        <w:tc>
          <w:tcPr>
            <w:tcW w:w="6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3.1</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October 1, 2021</w:t>
            </w:r>
          </w:p>
        </w:tc>
        <w:tc>
          <w:tcPr>
            <w:tcW w:w="0" w:type="dxa"/>
            <w:vAlign w:val="bottom"/>
          </w:tcPr>
          <w:p>
            <w:pPr>
              <w:spacing w:after="0"/>
              <w:rPr>
                <w:sz w:val="1"/>
                <w:szCs w:val="1"/>
                <w:color w:val="auto"/>
              </w:rPr>
            </w:pPr>
          </w:p>
        </w:tc>
      </w:tr>
      <w:tr>
        <w:trPr>
          <w:trHeight w:val="432"/>
        </w:trPr>
        <w:tc>
          <w:tcPr>
            <w:tcW w:w="6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9"/>
              </w:rPr>
              <w:t>S-1/A</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333-249332</w:t>
            </w:r>
          </w:p>
        </w:tc>
        <w:tc>
          <w:tcPr>
            <w:tcW w:w="8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4.1</w:t>
            </w:r>
          </w:p>
        </w:tc>
        <w:tc>
          <w:tcPr>
            <w:tcW w:w="1480" w:type="dxa"/>
            <w:vAlign w:val="bottom"/>
            <w:vMerge w:val="restart"/>
          </w:tcPr>
          <w:p>
            <w:pPr>
              <w:jc w:val="center"/>
              <w:ind w:left="199"/>
              <w:spacing w:after="0"/>
              <w:rPr>
                <w:sz w:val="20"/>
                <w:szCs w:val="20"/>
                <w:color w:val="auto"/>
              </w:rPr>
            </w:pPr>
            <w:r>
              <w:rPr>
                <w:rFonts w:ascii="Times New Roman" w:cs="Times New Roman" w:eastAsia="Times New Roman" w:hAnsi="Times New Roman"/>
                <w:sz w:val="16"/>
                <w:szCs w:val="16"/>
                <w:color w:val="auto"/>
              </w:rPr>
              <w:t>October 20, 2020</w:t>
            </w: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6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4.1</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October 1, 2021</w:t>
            </w:r>
          </w:p>
        </w:tc>
        <w:tc>
          <w:tcPr>
            <w:tcW w:w="0" w:type="dxa"/>
            <w:vAlign w:val="bottom"/>
          </w:tcPr>
          <w:p>
            <w:pPr>
              <w:spacing w:after="0"/>
              <w:rPr>
                <w:sz w:val="1"/>
                <w:szCs w:val="1"/>
                <w:color w:val="auto"/>
              </w:rPr>
            </w:pPr>
          </w:p>
        </w:tc>
      </w:tr>
      <w:tr>
        <w:trPr>
          <w:trHeight w:val="432"/>
        </w:trPr>
        <w:tc>
          <w:tcPr>
            <w:tcW w:w="6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4.1</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January 27, 2022</w:t>
            </w:r>
          </w:p>
        </w:tc>
        <w:tc>
          <w:tcPr>
            <w:tcW w:w="0" w:type="dxa"/>
            <w:vAlign w:val="bottom"/>
          </w:tcPr>
          <w:p>
            <w:pPr>
              <w:spacing w:after="0"/>
              <w:rPr>
                <w:sz w:val="1"/>
                <w:szCs w:val="1"/>
                <w:color w:val="auto"/>
              </w:rPr>
            </w:pPr>
          </w:p>
        </w:tc>
      </w:tr>
      <w:tr>
        <w:trPr>
          <w:trHeight w:val="432"/>
        </w:trPr>
        <w:tc>
          <w:tcPr>
            <w:tcW w:w="6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4.5</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October 30, 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27" w:lineRule="exact"/>
        <w:rPr>
          <w:sz w:val="20"/>
          <w:szCs w:val="20"/>
          <w:color w:val="auto"/>
        </w:rPr>
      </w:pPr>
    </w:p>
    <w:p>
      <w:pPr>
        <w:sectPr>
          <w:pgSz w:w="11900" w:h="16838" w:orient="portrait"/>
          <w:cols w:equalWidth="0" w:num="3">
            <w:col w:w="4980" w:space="180"/>
            <w:col w:w="4620" w:space="720"/>
            <w:col w:w="740"/>
          </w:cols>
          <w:pgMar w:left="320" w:top="133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46" w:name="page47"/>
    <w:bookmarkEnd w:id="46"/>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101.PRE</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p>
      <w:pPr>
        <w:spacing w:after="0"/>
        <w:rPr>
          <w:sz w:val="20"/>
          <w:szCs w:val="20"/>
          <w:color w:val="auto"/>
        </w:rPr>
      </w:pPr>
      <w:r>
        <w:rPr>
          <w:rFonts w:ascii="Times New Roman" w:cs="Times New Roman" w:eastAsia="Times New Roman" w:hAnsi="Times New Roman"/>
          <w:sz w:val="16"/>
          <w:szCs w:val="16"/>
          <w:color w:val="auto"/>
        </w:rPr>
        <w:t>Document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w:t>
      </w:r>
    </w:p>
    <w:p>
      <w:pPr>
        <w:spacing w:after="0"/>
        <w:rPr>
          <w:sz w:val="20"/>
          <w:szCs w:val="20"/>
          <w:color w:val="auto"/>
        </w:rPr>
      </w:pPr>
      <w:r>
        <w:rPr>
          <w:rFonts w:ascii="Times New Roman" w:cs="Times New Roman" w:eastAsia="Times New Roman" w:hAnsi="Times New Roman"/>
          <w:sz w:val="16"/>
          <w:szCs w:val="16"/>
          <w:color w:val="auto"/>
        </w:rPr>
        <w:t>XBRL and contained in Exhibit 101).</w:t>
      </w:r>
    </w:p>
    <w:p>
      <w:pPr>
        <w:spacing w:after="0" w:line="140" w:lineRule="exact"/>
        <w:rPr>
          <w:sz w:val="20"/>
          <w:szCs w:val="20"/>
          <w:color w:val="auto"/>
        </w:rPr>
      </w:pPr>
    </w:p>
    <w:p>
      <w:pPr>
        <w:sectPr>
          <w:pgSz w:w="11900" w:h="16838" w:orient="portrait"/>
          <w:cols w:equalWidth="0" w:num="2">
            <w:col w:w="600" w:space="540"/>
            <w:col w:w="9840"/>
          </w:cols>
          <w:pgMar w:left="320" w:top="1377" w:right="59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 Indicates management contract or compensatory plan.</w:t>
      </w:r>
    </w:p>
    <w:p>
      <w:pPr>
        <w:spacing w:after="0" w:line="17" w:lineRule="exact"/>
        <w:rPr>
          <w:sz w:val="20"/>
          <w:szCs w:val="20"/>
          <w:color w:val="auto"/>
        </w:rPr>
      </w:pPr>
    </w:p>
    <w:p>
      <w:pPr>
        <w:ind w:left="80" w:hanging="72"/>
        <w:spacing w:after="0" w:line="278" w:lineRule="auto"/>
        <w:tabs>
          <w:tab w:leader="none" w:pos="107"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77" w:right="599" w:bottom="1440" w:gutter="0" w:footer="0" w:header="0"/>
          <w:type w:val="continuous"/>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24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Root, Inc.</w:t>
      </w:r>
    </w:p>
    <w:p>
      <w:pPr>
        <w:sectPr>
          <w:pgSz w:w="11900" w:h="16838" w:orient="portrait"/>
          <w:cols w:equalWidth="0" w:num="1">
            <w:col w:w="11200"/>
          </w:cols>
          <w:pgMar w:left="320" w:top="1332" w:right="379" w:bottom="1440" w:gutter="0" w:footer="0" w:header="0"/>
        </w:sectPr>
      </w:pPr>
    </w:p>
    <w:p>
      <w:pPr>
        <w:spacing w:after="0" w:line="320"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40290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Alexander Timm</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Megan Binkley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17145</wp:posOffset>
            </wp:positionV>
            <wp:extent cx="40887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Megan Binkley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Ryan Forish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17145</wp:posOffset>
            </wp:positionV>
            <wp:extent cx="40887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Forish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4300" w:space="520"/>
            <w:col w:w="6380"/>
          </w:cols>
          <w:pgMar w:left="320" w:top="1332"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00"/>
          </w:cols>
          <w:pgMar w:left="320" w:top="1332" w:right="379" w:bottom="1440" w:gutter="0" w:footer="0" w:header="0"/>
          <w:type w:val="continuous"/>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Root,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February 20, 2025</w:t>
      </w:r>
    </w:p>
    <w:p>
      <w:pPr>
        <w:spacing w:after="0" w:line="2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Each member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Root,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who is not an employee of the Company (each, a “</w:t>
      </w:r>
      <w:r>
        <w:rPr>
          <w:rFonts w:ascii="Times New Roman" w:cs="Times New Roman" w:eastAsia="Times New Roman" w:hAnsi="Times New Roman"/>
          <w:sz w:val="18"/>
          <w:szCs w:val="18"/>
          <w:b w:val="1"/>
          <w:bCs w:val="1"/>
          <w:i w:val="1"/>
          <w:iCs w:val="1"/>
          <w:color w:val="auto"/>
        </w:rPr>
        <w:t>Non-Employee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will receive the compensation described in this Non-Employee Director Compensation Policy (this “</w:t>
      </w:r>
      <w:r>
        <w:rPr>
          <w:rFonts w:ascii="Times New Roman" w:cs="Times New Roman" w:eastAsia="Times New Roman" w:hAnsi="Times New Roman"/>
          <w:sz w:val="18"/>
          <w:szCs w:val="18"/>
          <w:b w:val="1"/>
          <w:bCs w:val="1"/>
          <w:i w:val="1"/>
          <w:iCs w:val="1"/>
          <w:color w:val="auto"/>
        </w:rPr>
        <w:t>Director Compensation Policy</w:t>
      </w:r>
      <w:r>
        <w:rPr>
          <w:rFonts w:ascii="Times New Roman" w:cs="Times New Roman" w:eastAsia="Times New Roman" w:hAnsi="Times New Roman"/>
          <w:sz w:val="18"/>
          <w:szCs w:val="18"/>
          <w:color w:val="auto"/>
        </w:rPr>
        <w:t>”) for his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her Board service, subject to the terms and conditions set forth herein.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Director Compensation Policy may be amended or modified, or any provision of it waived, at any time in the sole discretion of the Board or the Compensation Committee of the Board (the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the Board or Compensation Committee may make supplemental grants to Non-Employee Directors in its discretion.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Retainers</w:t>
      </w:r>
    </w:p>
    <w:p>
      <w:pPr>
        <w:spacing w:after="0" w:line="23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Director Compensation Policy will be effective as of the date of its adoption, as set forth above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except that the rates of the retainers set forth below shall be effective as of January 1, 2023. The annual cash compensation amounts will be payable in equal quarterly installments in arrears on the last day of each fiscal quarter in which the service occurs, prorated for any partial months of service.</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Commencing on the Effective Date, each Non-Employee Director will be eligible to receive the following annual cash retainers (the “</w:t>
      </w:r>
      <w:r>
        <w:rPr>
          <w:rFonts w:ascii="Times New Roman" w:cs="Times New Roman" w:eastAsia="Times New Roman" w:hAnsi="Times New Roman"/>
          <w:sz w:val="18"/>
          <w:szCs w:val="18"/>
          <w:b w:val="1"/>
          <w:bCs w:val="1"/>
          <w:i w:val="1"/>
          <w:iCs w:val="1"/>
          <w:color w:val="auto"/>
        </w:rPr>
        <w:t>Retainers</w:t>
      </w:r>
      <w:r>
        <w:rPr>
          <w:rFonts w:ascii="Times New Roman" w:cs="Times New Roman" w:eastAsia="Times New Roman" w:hAnsi="Times New Roman"/>
          <w:sz w:val="18"/>
          <w:szCs w:val="18"/>
          <w:color w:val="auto"/>
        </w:rPr>
        <w: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service on the Board (as applicable):</w:t>
      </w:r>
    </w:p>
    <w:p>
      <w:pPr>
        <w:spacing w:after="0" w:line="215" w:lineRule="exact"/>
        <w:rPr>
          <w:sz w:val="20"/>
          <w:szCs w:val="20"/>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Board Service Retainer</w:t>
      </w:r>
      <w:r>
        <w:rPr>
          <w:rFonts w:ascii="Times New Roman" w:cs="Times New Roman" w:eastAsia="Times New Roman" w:hAnsi="Times New Roman"/>
          <w:sz w:val="18"/>
          <w:szCs w:val="18"/>
          <w:color w:val="auto"/>
        </w:rPr>
        <w:t>.</w:t>
      </w:r>
    </w:p>
    <w:p>
      <w:pPr>
        <w:spacing w:after="0" w:line="242"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Eligible Directors: Up to $85,000 as determined by the Board or Compensation Committee from time to time</w:t>
      </w:r>
    </w:p>
    <w:p>
      <w:pPr>
        <w:spacing w:after="0" w:line="15" w:lineRule="exact"/>
        <w:rPr>
          <w:rFonts w:ascii="Times New Roman" w:cs="Times New Roman" w:eastAsia="Times New Roman" w:hAnsi="Times New Roman"/>
          <w:sz w:val="18"/>
          <w:szCs w:val="18"/>
          <w:color w:val="auto"/>
        </w:rPr>
      </w:pPr>
    </w:p>
    <w:p>
      <w:pPr>
        <w:ind w:left="1940" w:hanging="312"/>
        <w:spacing w:after="0" w:line="234" w:lineRule="auto"/>
        <w:tabs>
          <w:tab w:leader="none" w:pos="19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Board: $20,000 (in addition to regular Annual Board Service Retainer)</w:t>
      </w:r>
    </w:p>
    <w:p>
      <w:pPr>
        <w:ind w:left="1960" w:hanging="332"/>
        <w:spacing w:after="0"/>
        <w:tabs>
          <w:tab w:leader="none" w:pos="1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Independent Director: $20,000 (in addition to regular Annual Board Service Retainer)</w:t>
      </w:r>
    </w:p>
    <w:p>
      <w:pPr>
        <w:spacing w:after="0" w:line="20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Committee Member Service Retainer</w:t>
      </w:r>
      <w:r>
        <w:rPr>
          <w:rFonts w:ascii="Times New Roman" w:cs="Times New Roman" w:eastAsia="Times New Roman" w:hAnsi="Times New Roman"/>
          <w:sz w:val="18"/>
          <w:szCs w:val="18"/>
          <w:color w:val="auto"/>
        </w:rPr>
        <w:t>.</w:t>
      </w:r>
    </w:p>
    <w:p>
      <w:pPr>
        <w:spacing w:after="0" w:line="242"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$10,000</w:t>
      </w:r>
    </w:p>
    <w:p>
      <w:pPr>
        <w:spacing w:after="0" w:line="15" w:lineRule="exact"/>
        <w:rPr>
          <w:rFonts w:ascii="Times New Roman" w:cs="Times New Roman" w:eastAsia="Times New Roman" w:hAnsi="Times New Roman"/>
          <w:sz w:val="18"/>
          <w:szCs w:val="18"/>
          <w:color w:val="auto"/>
        </w:rPr>
      </w:pPr>
    </w:p>
    <w:p>
      <w:pPr>
        <w:ind w:left="1940" w:hanging="312"/>
        <w:spacing w:after="0" w:line="234" w:lineRule="auto"/>
        <w:tabs>
          <w:tab w:leader="none" w:pos="19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 $7,500</w:t>
      </w:r>
    </w:p>
    <w:p>
      <w:pPr>
        <w:ind w:left="1960" w:hanging="332"/>
        <w:spacing w:after="0" w:line="234" w:lineRule="auto"/>
        <w:tabs>
          <w:tab w:leader="none" w:pos="1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Governance Committee: $5,000</w:t>
      </w:r>
    </w:p>
    <w:p>
      <w:pPr>
        <w:ind w:left="1940" w:hanging="312"/>
        <w:spacing w:after="0"/>
        <w:tabs>
          <w:tab w:leader="none" w:pos="19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Strategy Committee: $5,000</w:t>
      </w:r>
    </w:p>
    <w:p>
      <w:pPr>
        <w:spacing w:after="0" w:line="21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Committee Chair Service Retainer </w:t>
      </w:r>
      <w:r>
        <w:rPr>
          <w:rFonts w:ascii="Times New Roman" w:cs="Times New Roman" w:eastAsia="Times New Roman" w:hAnsi="Times New Roman"/>
          <w:sz w:val="18"/>
          <w:szCs w:val="18"/>
          <w:color w:val="auto"/>
        </w:rPr>
        <w:t>.</w:t>
      </w:r>
    </w:p>
    <w:p>
      <w:pPr>
        <w:spacing w:after="0" w:line="242"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Audit Committee: $20,000</w:t>
      </w:r>
    </w:p>
    <w:p>
      <w:pPr>
        <w:spacing w:after="0" w:line="15" w:lineRule="exact"/>
        <w:rPr>
          <w:rFonts w:ascii="Times New Roman" w:cs="Times New Roman" w:eastAsia="Times New Roman" w:hAnsi="Times New Roman"/>
          <w:sz w:val="18"/>
          <w:szCs w:val="18"/>
          <w:color w:val="auto"/>
        </w:rPr>
      </w:pPr>
    </w:p>
    <w:p>
      <w:pPr>
        <w:ind w:left="1940" w:hanging="312"/>
        <w:spacing w:after="0" w:line="234" w:lineRule="auto"/>
        <w:tabs>
          <w:tab w:leader="none" w:pos="19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Compensation Committee: $15,000</w:t>
      </w:r>
    </w:p>
    <w:p>
      <w:pPr>
        <w:ind w:left="1960" w:hanging="332"/>
        <w:spacing w:after="0" w:line="234" w:lineRule="auto"/>
        <w:tabs>
          <w:tab w:leader="none" w:pos="1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Nominating and Governance Committee: $10,000</w:t>
      </w:r>
    </w:p>
    <w:p>
      <w:pPr>
        <w:ind w:left="1940" w:hanging="312"/>
        <w:spacing w:after="0"/>
        <w:tabs>
          <w:tab w:leader="none" w:pos="19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Strategy Committee: $10,000</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Commencing on the Effective Date, each eligible Non-Employee Director will be eligible to receive the equity compensation set forth below. Equity awards will be granted under the Company’s 2020 Equity Incentive</w:t>
      </w:r>
    </w:p>
    <w:p>
      <w:pPr>
        <w:sectPr>
          <w:pgSz w:w="11900" w:h="16838" w:orient="portrait"/>
          <w:cols w:equalWidth="0" w:num="1">
            <w:col w:w="11240"/>
          </w:cols>
          <w:pgMar w:left="320" w:top="1400" w:right="339" w:bottom="1440" w:gutter="0" w:footer="0" w:header="0"/>
        </w:sectPr>
      </w:pPr>
    </w:p>
    <w:bookmarkStart w:id="49" w:name="page50"/>
    <w:bookmarkEnd w:id="49"/>
    <w:p>
      <w:pPr>
        <w:spacing w:after="0" w:line="271" w:lineRule="auto"/>
        <w:rPr>
          <w:sz w:val="20"/>
          <w:szCs w:val="20"/>
          <w:color w:val="auto"/>
        </w:rPr>
      </w:pPr>
      <w:r>
        <w:rPr>
          <w:rFonts w:ascii="Times New Roman" w:cs="Times New Roman" w:eastAsia="Times New Roman" w:hAnsi="Times New Roman"/>
          <w:sz w:val="18"/>
          <w:szCs w:val="18"/>
          <w:color w:val="auto"/>
        </w:rPr>
        <w:t>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Company’s Restricted Stock Unit Award Notice and Agreement, in the form adopted from time to time by the Board or Compensation Committee (the “</w:t>
      </w:r>
      <w:r>
        <w:rPr>
          <w:rFonts w:ascii="Times New Roman" w:cs="Times New Roman" w:eastAsia="Times New Roman" w:hAnsi="Times New Roman"/>
          <w:sz w:val="18"/>
          <w:szCs w:val="18"/>
          <w:b w:val="1"/>
          <w:bCs w:val="1"/>
          <w:i w:val="1"/>
          <w:iCs w:val="1"/>
          <w:color w:val="auto"/>
        </w:rPr>
        <w:t>Form of RSU Agreement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8"/>
        <w:spacing w:after="0" w:line="238" w:lineRule="auto"/>
        <w:tabs>
          <w:tab w:leader="none" w:pos="2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Initial Equity Grant</w:t>
      </w:r>
      <w:r>
        <w:rPr>
          <w:rFonts w:ascii="Times New Roman" w:cs="Times New Roman" w:eastAsia="Times New Roman" w:hAnsi="Times New Roman"/>
          <w:sz w:val="18"/>
          <w:szCs w:val="18"/>
          <w:color w:val="auto"/>
        </w:rPr>
        <w:t>. Upon appointment to the Board, and without any further action of the Board or Compensation Committee, at the close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on the day of such appointment, a Non-Employee Director will automatically receive a restricted stock unit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award having a value up to $175,000 (the “</w:t>
      </w:r>
      <w:r>
        <w:rPr>
          <w:rFonts w:ascii="Times New Roman" w:cs="Times New Roman" w:eastAsia="Times New Roman" w:hAnsi="Times New Roman"/>
          <w:sz w:val="18"/>
          <w:szCs w:val="18"/>
          <w:b w:val="1"/>
          <w:bCs w:val="1"/>
          <w:i w:val="1"/>
          <w:iCs w:val="1"/>
          <w:color w:val="auto"/>
        </w:rPr>
        <w:t>Initial RSU</w:t>
      </w:r>
      <w:r>
        <w:rPr>
          <w:rFonts w:ascii="Times New Roman" w:cs="Times New Roman" w:eastAsia="Times New Roman" w:hAnsi="Times New Roman"/>
          <w:sz w:val="18"/>
          <w:szCs w:val="18"/>
          <w:color w:val="auto"/>
        </w:rPr>
        <w:t>”), commensurate with the Periodic Grant (defined below) awarded to the Company’s Non-Employee Directors, prorated from the date of appointment until the date of the next or the applicable Annual Meeting, depending on the date of appointment. Each Initial RSU will vest on the date of the next following Annual Meeting (or the applicable portion on the date of the next following Annual Meeting and applicable portions on the date(s) of the subsequent Annual Meeting(s) following such date, as applicable) or, in each case, the date immediately preceding the date of the applicable Annual Meeting if the Non-Employee Director’s service as a director ends at such meeting as a result of the director’s failure to be re-elected or the director not standing for re-election.</w:t>
      </w:r>
    </w:p>
    <w:p>
      <w:pPr>
        <w:spacing w:after="0" w:line="207" w:lineRule="exact"/>
        <w:rPr>
          <w:rFonts w:ascii="Times New Roman" w:cs="Times New Roman" w:eastAsia="Times New Roman" w:hAnsi="Times New Roman"/>
          <w:sz w:val="18"/>
          <w:szCs w:val="18"/>
          <w:color w:val="auto"/>
        </w:rPr>
      </w:pPr>
    </w:p>
    <w:p>
      <w:pPr>
        <w:jc w:val="both"/>
        <w:ind w:firstLine="8"/>
        <w:spacing w:after="0" w:line="242" w:lineRule="auto"/>
        <w:tabs>
          <w:tab w:leader="none" w:pos="2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Equity Grants</w:t>
      </w:r>
      <w:r>
        <w:rPr>
          <w:rFonts w:ascii="Times New Roman" w:cs="Times New Roman" w:eastAsia="Times New Roman" w:hAnsi="Times New Roman"/>
          <w:sz w:val="18"/>
          <w:szCs w:val="18"/>
          <w:color w:val="auto"/>
        </w:rPr>
        <w:t>. Following the Effective Date, each person who is then a Non-Employee Director, will receive an RSU grant periodically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a value up to $175,000 (the “</w:t>
      </w:r>
      <w:r>
        <w:rPr>
          <w:rFonts w:ascii="Times New Roman" w:cs="Times New Roman" w:eastAsia="Times New Roman" w:hAnsi="Times New Roman"/>
          <w:sz w:val="18"/>
          <w:szCs w:val="18"/>
          <w:b w:val="1"/>
          <w:bCs w:val="1"/>
          <w:i w:val="1"/>
          <w:iCs w:val="1"/>
          <w:color w:val="auto"/>
        </w:rPr>
        <w:t>Periodic RSU</w:t>
      </w:r>
      <w:r>
        <w:rPr>
          <w:rFonts w:ascii="Times New Roman" w:cs="Times New Roman" w:eastAsia="Times New Roman" w:hAnsi="Times New Roman"/>
          <w:sz w:val="18"/>
          <w:szCs w:val="18"/>
          <w:color w:val="auto"/>
        </w:rPr>
        <w:t>”) granted on the date as determined by the Board or Compensation Committee. The applicable portion of each Periodic RSU will vest on the date of the following year’s Annual Meeting of the Company’s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and the applicable portion on the date(s) of subsequent Annual Meeting(s) following such grant, as applicable, or, in each case, the date immediately preceding the date of the applicable Annual Meeting if the Non-Employee Director’s service as a director ends at such meeting as a result of the director’s failure to be re-elected or the director not standing for re-election.</w:t>
      </w:r>
    </w:p>
    <w:p>
      <w:pPr>
        <w:spacing w:after="0" w:line="205" w:lineRule="exact"/>
        <w:rPr>
          <w:rFonts w:ascii="Times New Roman" w:cs="Times New Roman" w:eastAsia="Times New Roman" w:hAnsi="Times New Roman"/>
          <w:sz w:val="18"/>
          <w:szCs w:val="18"/>
          <w:color w:val="auto"/>
        </w:rPr>
      </w:pPr>
    </w:p>
    <w:p>
      <w:pPr>
        <w:jc w:val="both"/>
        <w:ind w:firstLine="8"/>
        <w:spacing w:after="0" w:line="246" w:lineRule="auto"/>
        <w:tabs>
          <w:tab w:leader="none" w:pos="2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 Change of Control</w:t>
      </w:r>
      <w:r>
        <w:rPr>
          <w:rFonts w:ascii="Times New Roman" w:cs="Times New Roman" w:eastAsia="Times New Roman" w:hAnsi="Times New Roman"/>
          <w:sz w:val="18"/>
          <w:szCs w:val="18"/>
          <w:color w:val="auto"/>
        </w:rPr>
        <w:t>. The vesting of each Periodic RSU is subject to the Non-Employee Director’s Continuous Service (as defined in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applicable vesting date of each such award. Notwithstanding the foregoing, for each Non-Employee Director who remains in Continuous Service with the Company until immediately prior to the closing of a Change in Control (as defined in the Plan), such Non-Employee Director’s then-outstanding Periodic RSU will become fully vested immediately prior to the closing of such Change in Control.</w:t>
      </w:r>
    </w:p>
    <w:p>
      <w:pPr>
        <w:spacing w:after="0" w:line="190" w:lineRule="exact"/>
        <w:rPr>
          <w:rFonts w:ascii="Times New Roman" w:cs="Times New Roman" w:eastAsia="Times New Roman" w:hAnsi="Times New Roman"/>
          <w:sz w:val="18"/>
          <w:szCs w:val="18"/>
          <w:color w:val="auto"/>
        </w:rPr>
      </w:pPr>
    </w:p>
    <w:p>
      <w:pPr>
        <w:jc w:val="both"/>
        <w:ind w:firstLine="656"/>
        <w:spacing w:after="0" w:line="252" w:lineRule="auto"/>
        <w:tabs>
          <w:tab w:leader="none" w:pos="112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Calculation of Value of an RSU Award</w:t>
      </w:r>
      <w:r>
        <w:rPr>
          <w:rFonts w:ascii="Times New Roman" w:cs="Times New Roman" w:eastAsia="Times New Roman" w:hAnsi="Times New Roman"/>
          <w:sz w:val="18"/>
          <w:szCs w:val="18"/>
          <w:color w:val="auto"/>
        </w:rPr>
        <w:t>. Unless otherwise designated at the time of a grant of an RSU award, the number of RSUs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this Director Compensation Policy will be determined based on the unweighted average closing price of a share of Common Stock over the thirty (30) consecutive trading day period immediately preceding the date that is five (5) trading days prior to the date of grant of such award.</w:t>
      </w:r>
    </w:p>
    <w:p>
      <w:pPr>
        <w:spacing w:after="0" w:line="198" w:lineRule="exact"/>
        <w:rPr>
          <w:rFonts w:ascii="Times New Roman" w:cs="Times New Roman" w:eastAsia="Times New Roman" w:hAnsi="Times New Roman"/>
          <w:sz w:val="18"/>
          <w:szCs w:val="18"/>
          <w:color w:val="auto"/>
        </w:rPr>
      </w:pPr>
    </w:p>
    <w:p>
      <w:pPr>
        <w:jc w:val="both"/>
        <w:ind w:firstLine="656"/>
        <w:spacing w:after="0" w:line="239" w:lineRule="auto"/>
        <w:tabs>
          <w:tab w:leader="none" w:pos="104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Deferral of RSU Award Vesting</w:t>
      </w:r>
      <w:r>
        <w:rPr>
          <w:rFonts w:ascii="Times New Roman" w:cs="Times New Roman" w:eastAsia="Times New Roman" w:hAnsi="Times New Roman"/>
          <w:sz w:val="18"/>
          <w:szCs w:val="18"/>
          <w:color w:val="auto"/>
        </w:rPr>
        <w:t>. Unless and until otherwise determined by the Board or the Compensation Committee, as applicable,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Non-Employee Director may elect to defer the delivery of shares in settlement of any RSU award granted pursuant to this Director Compensation Policy that would otherwise be delivered to such Non-Employee Director on or following the date such RSU award vests pursuant to the terms of this Director Compensation Policy (the “</w:t>
      </w:r>
      <w:r>
        <w:rPr>
          <w:rFonts w:ascii="Times New Roman" w:cs="Times New Roman" w:eastAsia="Times New Roman" w:hAnsi="Times New Roman"/>
          <w:sz w:val="18"/>
          <w:szCs w:val="18"/>
          <w:b w:val="1"/>
          <w:bCs w:val="1"/>
          <w:i w:val="1"/>
          <w:iCs w:val="1"/>
          <w:color w:val="auto"/>
        </w:rPr>
        <w:t>Deferral Election</w:t>
      </w:r>
      <w:r>
        <w:rPr>
          <w:rFonts w:ascii="Times New Roman" w:cs="Times New Roman" w:eastAsia="Times New Roman" w:hAnsi="Times New Roman"/>
          <w:sz w:val="18"/>
          <w:szCs w:val="18"/>
          <w:color w:val="auto"/>
        </w:rPr>
        <w:t>”). Unless otherwise determined by the Board or the Compensation Committee, for any such Deferral Election to be effective, a form of deferral election must be submitted to the Company’s General Counsel (or such other individual as the Company designates) in accordance with and at the time as set forth in the form of deferral election (as approved by the Board or the Compensation Committee). Any Deferral Election will be irrevocable, and will be subject to such rules, conditions and procedures as shall be determined by the Board or the Compensation Committee, in its sole discretion, which rules, conditions and procedures shall at all times comply with the requirements of Section 409A, unless otherwise specifically determined by the Board or the Compensation Committee.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Limit</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the cash compensation and equity compensation that each Non-Employee Director is eligible to receive under this Director Compensation Policy shall be subject to the limits set forth in Section 3(d) of the Plan.</w:t>
      </w:r>
    </w:p>
    <w:p>
      <w:pPr>
        <w:sectPr>
          <w:pgSz w:w="11900" w:h="16838" w:orient="portrait"/>
          <w:cols w:equalWidth="0" w:num="1">
            <w:col w:w="11240"/>
          </w:cols>
          <w:pgMar w:left="320" w:top="140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Ability to Decline Compensation</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Non-Employee Director may decline all or any portion of his or her compensation under this Director Compensation Policy by giving notice to the Company prior to the date cash is to be paid or equity awards are to be granted, as the case may be.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4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Company will reimburse each Non-Employee Director for any ordinary and reasonable out-of-pocket expenses actually incurred by such director in connection with in-person attendance at and participation in Board and committee meetings; provided, that such director timely submits to the Company appropriate documentation substantiating such expenses in accordance with the Company’s travel and expense policy as in effect from time to time.</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 * * *</w:t>
      </w:r>
    </w:p>
    <w:p>
      <w:pPr>
        <w:sectPr>
          <w:pgSz w:w="11900" w:h="16838" w:orient="portrait"/>
          <w:cols w:equalWidth="0" w:num="1">
            <w:col w:w="11240"/>
          </w:cols>
          <w:pgMar w:left="320" w:top="1400"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Root,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Deferral Election Form</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For Eligible Directors</w:t>
      </w:r>
    </w:p>
    <w:p>
      <w:pPr>
        <w:spacing w:after="0" w:line="21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Please complete and return this Restricted Stock Unit Deferral Election Form (the “</w:t>
      </w:r>
      <w:r>
        <w:rPr>
          <w:rFonts w:ascii="Times New Roman" w:cs="Times New Roman" w:eastAsia="Times New Roman" w:hAnsi="Times New Roman"/>
          <w:sz w:val="18"/>
          <w:szCs w:val="18"/>
          <w:b w:val="1"/>
          <w:bCs w:val="1"/>
          <w:i w:val="1"/>
          <w:iCs w:val="1"/>
          <w:color w:val="auto"/>
        </w:rPr>
        <w:t>Election Form</w:t>
      </w:r>
      <w:r>
        <w:rPr>
          <w:rFonts w:ascii="Times New Roman" w:cs="Times New Roman" w:eastAsia="Times New Roman" w:hAnsi="Times New Roman"/>
          <w:sz w:val="18"/>
          <w:szCs w:val="18"/>
          <w:color w:val="auto"/>
        </w:rPr>
        <w:t xml:space="preserve">”), as described below, </w:t>
      </w:r>
      <w:r>
        <w:rPr>
          <w:rFonts w:ascii="Times New Roman" w:cs="Times New Roman" w:eastAsia="Times New Roman" w:hAnsi="Times New Roman"/>
          <w:sz w:val="18"/>
          <w:szCs w:val="18"/>
          <w:b w:val="1"/>
          <w:bCs w:val="1"/>
          <w:color w:val="auto"/>
        </w:rPr>
        <w:t>[for existing non-employee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directors making elections for 2024: </w:t>
      </w:r>
      <w:r>
        <w:rPr>
          <w:rFonts w:ascii="Times New Roman" w:cs="Times New Roman" w:eastAsia="Times New Roman" w:hAnsi="Times New Roman"/>
          <w:sz w:val="18"/>
          <w:szCs w:val="18"/>
          <w:color w:val="auto"/>
        </w:rPr>
        <w:t>within 30 days after the Effective Date of the Policy] [</w:t>
      </w:r>
      <w:r>
        <w:rPr>
          <w:rFonts w:ascii="Times New Roman" w:cs="Times New Roman" w:eastAsia="Times New Roman" w:hAnsi="Times New Roman"/>
          <w:sz w:val="18"/>
          <w:szCs w:val="18"/>
          <w:b w:val="1"/>
          <w:bCs w:val="1"/>
          <w:color w:val="auto"/>
        </w:rPr>
        <w:t xml:space="preserve">for existing non-employee directors making elections for 2025 or any year thereafter: </w:t>
      </w:r>
      <w:r>
        <w:rPr>
          <w:rFonts w:ascii="Times New Roman" w:cs="Times New Roman" w:eastAsia="Times New Roman" w:hAnsi="Times New Roman"/>
          <w:sz w:val="18"/>
          <w:szCs w:val="18"/>
          <w:color w:val="auto"/>
        </w:rPr>
        <w:t>on or before December 15 of each year prior to the calendar year in which the RSU Award to which the deferral election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relates would be granted</w:t>
      </w:r>
      <w:r>
        <w:rPr>
          <w:rFonts w:ascii="Times New Roman" w:cs="Times New Roman" w:eastAsia="Times New Roman" w:hAnsi="Times New Roman"/>
          <w:sz w:val="18"/>
          <w:szCs w:val="18"/>
          <w:b w:val="1"/>
          <w:bCs w:val="1"/>
          <w:color w:val="auto"/>
        </w:rPr>
        <w:t>] [for new non-employee directors:</w:t>
      </w:r>
      <w:r>
        <w:rPr>
          <w:rFonts w:ascii="Times New Roman" w:cs="Times New Roman" w:eastAsia="Times New Roman" w:hAnsi="Times New Roman"/>
          <w:sz w:val="18"/>
          <w:szCs w:val="18"/>
          <w:color w:val="auto"/>
        </w:rPr>
        <w:t xml:space="preserve"> within 30 days following the date you join the Board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Submission Deadline</w:t>
      </w:r>
      <w:r>
        <w:rPr>
          <w:rFonts w:ascii="Times New Roman" w:cs="Times New Roman" w:eastAsia="Times New Roman" w:hAnsi="Times New Roman"/>
          <w:sz w:val="18"/>
          <w:szCs w:val="18"/>
          <w:color w:val="auto"/>
        </w:rPr>
        <w:t>”), to Jodi Baker, by e-mail to jodi.baker@joinroot.com.</w:t>
      </w:r>
    </w:p>
    <w:p>
      <w:pPr>
        <w:spacing w:after="0" w:line="21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Neither the provision of this Election Form nor your completion of this Election Form represents a commitment by the Company to grant an RSU Award to you. The grant of an RSU Award remains subject to the terms of the Company’s Non-Employee Director Compensation Policy as may be hereinafter amended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Terms not otherwise defined herein shall have the meaning set forth in the Policy or the Company’s 2020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as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understand that my Election Form will become irrevocable and effective as of the Submission Deadline.</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b w:val="1"/>
          <w:bCs w:val="1"/>
          <w:u w:val="single" w:color="auto"/>
          <w:color w:val="auto"/>
        </w:rPr>
        <w:t>PERSONAL INFORMATION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(Please print)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Name: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240" w:hanging="223"/>
        <w:spacing w:after="0"/>
        <w:tabs>
          <w:tab w:leader="none" w:pos="2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RSU AWARD DEFERRAL ELECTION</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By signing below, I elect to defer in accordance with this Article II 100% of any restricted stock unit awards (“</w:t>
      </w:r>
      <w:r>
        <w:rPr>
          <w:rFonts w:ascii="Times New Roman" w:cs="Times New Roman" w:eastAsia="Times New Roman" w:hAnsi="Times New Roman"/>
          <w:sz w:val="18"/>
          <w:szCs w:val="18"/>
          <w:b w:val="1"/>
          <w:bCs w:val="1"/>
          <w:i w:val="1"/>
          <w:iCs w:val="1"/>
          <w:color w:val="auto"/>
        </w:rPr>
        <w:t>RSU Awards</w:t>
      </w:r>
      <w:r>
        <w:rPr>
          <w:rFonts w:ascii="Times New Roman" w:cs="Times New Roman" w:eastAsia="Times New Roman" w:hAnsi="Times New Roman"/>
          <w:sz w:val="18"/>
          <w:szCs w:val="18"/>
          <w:color w:val="auto"/>
        </w:rPr>
        <w:t>”) that may be granted to me, if any, under the Plan and pursuant to the Policy in the calendar year following the calendar year in which I tender this election (or if I first became eligible to participate in the Policy in the calendar year in which I tender this election, in the calendar year in which I tender this election). If I do not timely submit a properly completed Election Form, then my RSU Awards will vest and settle in accordance with the terms of the Policy, the Plan, and the applicable RSU Award Agreement.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RSU Awards that are deferred pursuant to this Section II are referred to as “</w:t>
      </w:r>
      <w:r>
        <w:rPr>
          <w:rFonts w:ascii="Times New Roman" w:cs="Times New Roman" w:eastAsia="Times New Roman" w:hAnsi="Times New Roman"/>
          <w:sz w:val="18"/>
          <w:szCs w:val="18"/>
          <w:b w:val="1"/>
          <w:bCs w:val="1"/>
          <w:color w:val="auto"/>
        </w:rPr>
        <w:t>Deferred Awards</w:t>
      </w:r>
      <w:r>
        <w:rPr>
          <w:rFonts w:ascii="Times New Roman" w:cs="Times New Roman" w:eastAsia="Times New Roman" w:hAnsi="Times New Roman"/>
          <w:sz w:val="18"/>
          <w:szCs w:val="18"/>
          <w:color w:val="auto"/>
        </w:rPr>
        <w:t>” in this Election Form.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signing below, I elect to have each of my Deferred Awards settled as follows to the extent it becomes vested and nonforfeitable:</w:t>
      </w:r>
    </w:p>
    <w:p>
      <w:pPr>
        <w:spacing w:after="0" w:line="239" w:lineRule="exact"/>
        <w:rPr>
          <w:sz w:val="20"/>
          <w:szCs w:val="20"/>
          <w:color w:val="auto"/>
        </w:rPr>
      </w:pPr>
    </w:p>
    <w:p>
      <w:pPr>
        <w:ind w:firstLine="8"/>
        <w:spacing w:after="0" w:line="266"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following paragraph, and to the extent my Deferred Awards become vested and nonforfeitable, my Deferred Awards will be settled in a single lump sum installment in whole shares on the earlier of:</w:t>
      </w:r>
    </w:p>
    <w:p>
      <w:pPr>
        <w:spacing w:after="0" w:line="189" w:lineRule="exact"/>
        <w:rPr>
          <w:rFonts w:ascii="Times New Roman" w:cs="Times New Roman" w:eastAsia="Times New Roman" w:hAnsi="Times New Roman"/>
          <w:sz w:val="18"/>
          <w:szCs w:val="18"/>
          <w:color w:val="auto"/>
        </w:rPr>
      </w:pPr>
    </w:p>
    <w:p>
      <w:pPr>
        <w:ind w:firstLine="656"/>
        <w:spacing w:after="0" w:line="266" w:lineRule="auto"/>
        <w:tabs>
          <w:tab w:leader="none" w:pos="90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a Change in Control, provided that, for the avoidance of doubt, a transaction will not be deemed a Change in Control unless the transaction qualifies as a change in control event within the meaning of Treasury Regulation Section 1.409A-3; or</w:t>
      </w:r>
    </w:p>
    <w:p>
      <w:pPr>
        <w:spacing w:after="0" w:line="18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following my Separation Date.</w:t>
      </w:r>
    </w:p>
    <w:p>
      <w:pPr>
        <w:sectPr>
          <w:pgSz w:w="11900" w:h="16838" w:orient="portrait"/>
          <w:cols w:equalWidth="0" w:num="1">
            <w:col w:w="11240"/>
          </w:cols>
          <w:pgMar w:left="320" w:top="1413" w:right="339" w:bottom="1440" w:gutter="0" w:footer="0" w:header="0"/>
        </w:sectPr>
      </w:pPr>
    </w:p>
    <w:bookmarkStart w:id="52" w:name="page53"/>
    <w:bookmarkEnd w:id="52"/>
    <w:p>
      <w:pPr>
        <w:ind w:right="20"/>
        <w:spacing w:after="0" w:line="271" w:lineRule="auto"/>
        <w:rPr>
          <w:sz w:val="20"/>
          <w:szCs w:val="20"/>
          <w:color w:val="auto"/>
        </w:rPr>
      </w:pPr>
      <w:r>
        <w:rPr>
          <w:rFonts w:ascii="Times New Roman" w:cs="Times New Roman" w:eastAsia="Times New Roman" w:hAnsi="Times New Roman"/>
          <w:sz w:val="18"/>
          <w:szCs w:val="18"/>
          <w:color w:val="auto"/>
        </w:rPr>
        <w:t>For the purposes of the foregoing, “</w:t>
      </w:r>
      <w:r>
        <w:rPr>
          <w:rFonts w:ascii="Times New Roman" w:cs="Times New Roman" w:eastAsia="Times New Roman" w:hAnsi="Times New Roman"/>
          <w:sz w:val="18"/>
          <w:szCs w:val="18"/>
          <w:b w:val="1"/>
          <w:bCs w:val="1"/>
          <w:color w:val="auto"/>
        </w:rPr>
        <w:t>Separation Date</w:t>
      </w:r>
      <w:r>
        <w:rPr>
          <w:rFonts w:ascii="Times New Roman" w:cs="Times New Roman" w:eastAsia="Times New Roman" w:hAnsi="Times New Roman"/>
          <w:sz w:val="18"/>
          <w:szCs w:val="18"/>
          <w:color w:val="auto"/>
        </w:rPr>
        <w:t>” means the date of my retirement or other separation from service with the Company and all of its Affiliates (as determined in accordance with Section 409A(2)(A)(i) of the Code and Treasury Regulation Section 1.409A-1(h)).</w:t>
      </w:r>
    </w:p>
    <w:p>
      <w:pPr>
        <w:spacing w:after="0" w:line="185" w:lineRule="exact"/>
        <w:rPr>
          <w:sz w:val="20"/>
          <w:szCs w:val="20"/>
          <w:color w:val="auto"/>
        </w:rPr>
      </w:pPr>
    </w:p>
    <w:p>
      <w:pPr>
        <w:jc w:val="both"/>
        <w:ind w:firstLine="8"/>
        <w:spacing w:after="0" w:line="245"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distribution hereunder is triggered because of my Separation Date and I am a “specified employee” within the meaning of Section 409A of the Code at the time of my Separation Date, then the distribution that I would otherwise be entitled to receive upon the Separation Date will not be settled until the date that is 6 months and 1 day following the Separation Date, unless I die following my Separation Date, in which case, my distribution will commence as soon as practicable following, and in all events within sixty (60) days after, the date of my death.</w:t>
      </w:r>
    </w:p>
    <w:p>
      <w:pPr>
        <w:spacing w:after="0" w:line="203"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III. </w:t>
      </w:r>
      <w:r>
        <w:rPr>
          <w:rFonts w:ascii="Times New Roman" w:cs="Times New Roman" w:eastAsia="Times New Roman" w:hAnsi="Times New Roman"/>
          <w:sz w:val="18"/>
          <w:szCs w:val="18"/>
          <w:b w:val="1"/>
          <w:bCs w:val="1"/>
          <w:u w:val="single" w:color="auto"/>
          <w:color w:val="auto"/>
        </w:rPr>
        <w:t>PARTICIPANT ACKNOWLEDGEMENTS AND SIGNATURE</w:t>
      </w:r>
    </w:p>
    <w:p>
      <w:pPr>
        <w:spacing w:after="0" w:line="229"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to all of the terms and conditions of this Election Form.</w:t>
      </w:r>
    </w:p>
    <w:p>
      <w:pPr>
        <w:spacing w:after="0" w:line="23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have received and read a copy of the Plan’s prospectus and that I am familiar with the terms and provisions of the Plan.</w:t>
      </w:r>
    </w:p>
    <w:p>
      <w:pPr>
        <w:spacing w:after="0" w:line="238" w:lineRule="exact"/>
        <w:rPr>
          <w:rFonts w:ascii="Times New Roman" w:cs="Times New Roman" w:eastAsia="Times New Roman" w:hAnsi="Times New Roman"/>
          <w:sz w:val="18"/>
          <w:szCs w:val="18"/>
          <w:color w:val="auto"/>
        </w:rPr>
      </w:pPr>
    </w:p>
    <w:p>
      <w:pPr>
        <w:jc w:val="both"/>
        <w:ind w:firstLine="8"/>
        <w:spacing w:after="0" w:line="250"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to the right of the Board or the Compensation Committee to amend or terminate my election under Article II at any time and for any reason, with or without notice; provided that such termination or amendment is performed in compliance with Section 409A (as determined by Company legal counsel in its sole and absolute discretion).</w:t>
      </w:r>
    </w:p>
    <w:p>
      <w:pPr>
        <w:spacing w:after="0" w:line="203" w:lineRule="exact"/>
        <w:rPr>
          <w:rFonts w:ascii="Times New Roman" w:cs="Times New Roman" w:eastAsia="Times New Roman" w:hAnsi="Times New Roman"/>
          <w:sz w:val="18"/>
          <w:szCs w:val="18"/>
          <w:color w:val="auto"/>
        </w:rPr>
      </w:pPr>
    </w:p>
    <w:p>
      <w:pPr>
        <w:jc w:val="both"/>
        <w:ind w:firstLine="8"/>
        <w:spacing w:after="0" w:line="250"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the obligation of the Company to settle any Deferred Awards is unfunded and that no assets of any kind have been segregated in a trust or otherwise set aside to satisfy any obligation under this Election Form. I also understand that any election to defer the settlement of any RSU Awards pursuant to this Election Form will make me only a general, unsecured creditor of the Company.</w:t>
      </w:r>
    </w:p>
    <w:p>
      <w:pPr>
        <w:spacing w:after="0" w:line="203" w:lineRule="exact"/>
        <w:rPr>
          <w:rFonts w:ascii="Times New Roman" w:cs="Times New Roman" w:eastAsia="Times New Roman" w:hAnsi="Times New Roman"/>
          <w:sz w:val="18"/>
          <w:szCs w:val="18"/>
          <w:color w:val="auto"/>
        </w:rPr>
      </w:pPr>
    </w:p>
    <w:p>
      <w:pPr>
        <w:jc w:val="both"/>
        <w:ind w:firstLine="8"/>
        <w:spacing w:after="0" w:line="250"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any amounts deferred will be taxable as ordinary income in the year settled. Notwithstanding, I agree and understand that the Company does not guarantee in any way whatsoever the tax treatment of any deferrals or payments made under the Policy or this Election Form. I understand that I will be responsible for all taxes and any other costs owed with respect to any deferrals or payments made with respect to my RSU Awards.</w:t>
      </w:r>
    </w:p>
    <w:p>
      <w:pPr>
        <w:spacing w:after="0" w:line="203" w:lineRule="exact"/>
        <w:rPr>
          <w:rFonts w:ascii="Times New Roman" w:cs="Times New Roman" w:eastAsia="Times New Roman" w:hAnsi="Times New Roman"/>
          <w:sz w:val="18"/>
          <w:szCs w:val="18"/>
          <w:color w:val="auto"/>
        </w:rPr>
      </w:pPr>
    </w:p>
    <w:p>
      <w:pPr>
        <w:jc w:val="both"/>
        <w:ind w:firstLine="8"/>
        <w:spacing w:after="0" w:line="239"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the Company will be under no obligation to settle any Deferred Awards until any applicable tax withholding obligations are satisfied and that if I fail to satisfy any such tax withholding obligations I will forfeit my right to receive the shares subject to my Deferred Award. I understand that the Company has the right (but not the obligation) to withhold taxes from my Deferred Awards (including pursuant to net share withholding) in any amount and through such procedure as the Company deems necessary or desirable to satisfy any income or other tax obligations incurred with respect to my RSU Awards.</w:t>
      </w:r>
    </w:p>
    <w:p>
      <w:pPr>
        <w:spacing w:after="0" w:line="211" w:lineRule="exact"/>
        <w:rPr>
          <w:rFonts w:ascii="Times New Roman" w:cs="Times New Roman" w:eastAsia="Times New Roman" w:hAnsi="Times New Roman"/>
          <w:sz w:val="18"/>
          <w:szCs w:val="18"/>
          <w:color w:val="auto"/>
        </w:rPr>
      </w:pPr>
    </w:p>
    <w:p>
      <w:pPr>
        <w:ind w:firstLine="8"/>
        <w:spacing w:after="0" w:line="266"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it is my responsibility to consult with my own tax advisors as to any federal, state, local and other taxes I may owe in connection with the settlement of any Deferred Awards.</w:t>
      </w:r>
    </w:p>
    <w:p>
      <w:pPr>
        <w:spacing w:after="0" w:line="189" w:lineRule="exact"/>
        <w:rPr>
          <w:rFonts w:ascii="Times New Roman" w:cs="Times New Roman" w:eastAsia="Times New Roman" w:hAnsi="Times New Roman"/>
          <w:sz w:val="18"/>
          <w:szCs w:val="18"/>
          <w:color w:val="auto"/>
        </w:rPr>
      </w:pPr>
    </w:p>
    <w:p>
      <w:pPr>
        <w:ind w:firstLine="8"/>
        <w:spacing w:after="0" w:line="266" w:lineRule="auto"/>
        <w:tabs>
          <w:tab w:leader="none" w:pos="20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acknowledge and agree that the Board or the Compensation Committee has the discretion to make all determinations and decisions regarding any elections set forth on this Election Form.</w:t>
      </w:r>
    </w:p>
    <w:p>
      <w:pPr>
        <w:spacing w:after="0" w:line="189" w:lineRule="exact"/>
        <w:rPr>
          <w:rFonts w:ascii="Times New Roman" w:cs="Times New Roman" w:eastAsia="Times New Roman" w:hAnsi="Times New Roman"/>
          <w:sz w:val="18"/>
          <w:szCs w:val="18"/>
          <w:color w:val="auto"/>
        </w:rPr>
      </w:pPr>
    </w:p>
    <w:p>
      <w:pPr>
        <w:jc w:val="both"/>
        <w:ind w:firstLine="8"/>
        <w:spacing w:after="0" w:line="245"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this Election Form and the elections made hereunder are intended to comply with the requirements of Section 409A so that none of the Deferred Awards issuable will be subject to the tax acceleration and additional penalty taxes imposed under Section 409A, and any ambiguities herein will be interpreted to so comply. If applicable, I understand that I am solely responsible for any accelerated income taxes and additional taxes and tax penalties imposed by Section 409A.</w:t>
      </w:r>
    </w:p>
    <w:p>
      <w:pPr>
        <w:spacing w:after="0" w:line="207" w:lineRule="exact"/>
        <w:rPr>
          <w:rFonts w:ascii="Times New Roman" w:cs="Times New Roman" w:eastAsia="Times New Roman" w:hAnsi="Times New Roman"/>
          <w:sz w:val="18"/>
          <w:szCs w:val="18"/>
          <w:color w:val="auto"/>
        </w:rPr>
      </w:pPr>
    </w:p>
    <w:p>
      <w:pPr>
        <w:jc w:val="both"/>
        <w:ind w:firstLine="8"/>
        <w:spacing w:after="0" w:line="239" w:lineRule="auto"/>
        <w:tabs>
          <w:tab w:leader="none" w:pos="27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also understand that this Election Form and the elections made hereunder will in all respects be subject to the terms and conditions of the Policy, the applicable Award Agreement and the Plan, as applicable. Should any inconsistency exist between this Election Form, the Policy, the Plan, the Award Agreement under which an RSU Award was granted, and/or any applicable law, then the provisions of either the applicable law (including, but not limited to, Section 409A) or the Plan will control, with the Plan subordinated to the applicable law and the Award Agreement and the Policy subordinated to this Election Form.</w:t>
      </w:r>
    </w:p>
    <w:p>
      <w:pPr>
        <w:sectPr>
          <w:pgSz w:w="11900" w:h="16838" w:orient="portrait"/>
          <w:cols w:equalWidth="0" w:num="1">
            <w:col w:w="11240"/>
          </w:cols>
          <w:pgMar w:left="320" w:top="1400" w:right="339" w:bottom="1440" w:gutter="0" w:footer="0" w:header="0"/>
        </w:sectPr>
      </w:pPr>
    </w:p>
    <w:bookmarkStart w:id="53" w:name="page54"/>
    <w:bookmarkEnd w:id="53"/>
    <w:p>
      <w:pPr>
        <w:jc w:val="both"/>
        <w:spacing w:after="0" w:line="250" w:lineRule="auto"/>
        <w:rPr>
          <w:sz w:val="20"/>
          <w:szCs w:val="20"/>
          <w:color w:val="auto"/>
        </w:rPr>
      </w:pPr>
      <w:r>
        <w:rPr>
          <w:rFonts w:ascii="Times New Roman" w:cs="Times New Roman" w:eastAsia="Times New Roman" w:hAnsi="Times New Roman"/>
          <w:sz w:val="18"/>
          <w:szCs w:val="18"/>
          <w:color w:val="auto"/>
        </w:rPr>
        <w:t>By signing this Election Form, I authorize the implementation of the above elections. I understand that my deferral election is irrevocable effective as of the Submission Deadline and may not be changed in the future, except in accordance with the requirements of Section 409A and the procedures specified by the Board or the Compensation Committee.</w:t>
      </w:r>
    </w:p>
    <w:p>
      <w:pPr>
        <w:sectPr>
          <w:pgSz w:w="11900" w:h="16838" w:orient="portrait"/>
          <w:cols w:equalWidth="0" w:num="1">
            <w:col w:w="11240"/>
          </w:cols>
          <w:pgMar w:left="320" w:top="1404" w:right="339" w:bottom="1440" w:gutter="0" w:footer="0" w:header="0"/>
        </w:sectPr>
      </w:pP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Signed: ___________________________</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___________________________, ______</w:t>
      </w:r>
    </w:p>
    <w:p>
      <w:pPr>
        <w:spacing w:after="0" w:line="61" w:lineRule="exact"/>
        <w:rPr>
          <w:sz w:val="20"/>
          <w:szCs w:val="20"/>
          <w:color w:val="auto"/>
        </w:rPr>
      </w:pPr>
    </w:p>
    <w:p>
      <w:pPr>
        <w:sectPr>
          <w:pgSz w:w="11900" w:h="16838" w:orient="portrait"/>
          <w:cols w:equalWidth="0" w:num="2">
            <w:col w:w="4900" w:space="720"/>
            <w:col w:w="5620"/>
          </w:cols>
          <w:pgMar w:left="320" w:top="1404"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Participant</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Agreed to and accepted:</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Root, Inc.</w:t>
      </w:r>
    </w:p>
    <w:p>
      <w:pPr>
        <w:sectPr>
          <w:pgSz w:w="11900" w:h="16838" w:orient="portrait"/>
          <w:cols w:equalWidth="0" w:num="1">
            <w:col w:w="11240"/>
          </w:cols>
          <w:pgMar w:left="320" w:top="1404" w:right="339" w:bottom="1440" w:gutter="0" w:footer="0" w:header="0"/>
          <w:type w:val="continuous"/>
        </w:sectPr>
      </w:pP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By: ______________________________</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___________________________, _______</w:t>
      </w:r>
    </w:p>
    <w:p>
      <w:pPr>
        <w:spacing w:after="0" w:line="200" w:lineRule="exact"/>
        <w:rPr>
          <w:sz w:val="20"/>
          <w:szCs w:val="20"/>
          <w:color w:val="auto"/>
        </w:rPr>
      </w:pPr>
    </w:p>
    <w:p>
      <w:pPr>
        <w:sectPr>
          <w:pgSz w:w="11900" w:h="16838" w:orient="portrait"/>
          <w:cols w:equalWidth="0" w:num="2">
            <w:col w:w="4900" w:space="720"/>
            <w:col w:w="5620"/>
          </w:cols>
          <w:pgMar w:left="320" w:top="1404" w:right="339" w:bottom="1440" w:gutter="0" w:footer="0" w:header="0"/>
          <w:type w:val="continuous"/>
        </w:sectPr>
      </w:pP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IMPORTANT DEADLINE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Please remember that if you wish to make any election set forth on this Election Form, then the properly completed Election Form must be signed by you and returned ON OR BEFORE THE SUBMISSION DEADLINE to Jodi Baker by e-mail to jodi.baker@joinroot.com.</w:t>
      </w:r>
    </w:p>
    <w:p>
      <w:pPr>
        <w:sectPr>
          <w:pgSz w:w="11900" w:h="16838" w:orient="portrait"/>
          <w:cols w:equalWidth="0" w:num="1">
            <w:col w:w="11240"/>
          </w:cols>
          <w:pgMar w:left="320" w:top="1404" w:right="339" w:bottom="1440" w:gutter="0" w:footer="0" w:header="0"/>
          <w:type w:val="continuous"/>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2711450</wp:posOffset>
            </wp:positionH>
            <wp:positionV relativeFrom="page">
              <wp:posOffset>88900</wp:posOffset>
            </wp:positionV>
            <wp:extent cx="2125980" cy="6083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2125980" cy="608330"/>
                    </a:xfrm>
                    <a:prstGeom prst="rect">
                      <a:avLst/>
                    </a:prstGeom>
                    <a:noFill/>
                  </pic:spPr>
                </pic:pic>
              </a:graphicData>
            </a:graphic>
          </wp:anchor>
        </w:drawing>
        <w:t>Exhibit 10.3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2025 Root Short-Term Incentive Plan</w:t>
      </w:r>
    </w:p>
    <w:p>
      <w:pPr>
        <w:spacing w:after="0" w:line="25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2"/>
          <w:szCs w:val="22"/>
          <w:color w:val="auto"/>
        </w:rPr>
        <w:t>This 2025 Short-Term Incentive Plan (the “Plan”) of Root, Inc. (the “Company”) covers the period from January 1, 2025 through December 31, 2025. The purpose of the Plan is to promote the success of the Company by rewarding eligible employees for outstanding business results and to motivate employees in a high-performance culture.</w:t>
      </w:r>
    </w:p>
    <w:p>
      <w:pPr>
        <w:spacing w:after="0" w:line="194"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22"/>
          <w:szCs w:val="22"/>
          <w:color w:val="auto"/>
        </w:rPr>
        <w:t>For 2025, incentive payments under the Plan will be awarded by a pool that is funded based on the measurement of identified company measure(s). Using this pool, leaders will be making awards to eligible employees based on their respective targets and performance ratings for the year.</w:t>
      </w:r>
    </w:p>
    <w:p>
      <w:pPr>
        <w:spacing w:after="0" w:line="200"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22"/>
          <w:szCs w:val="22"/>
          <w:color w:val="auto"/>
        </w:rPr>
        <w:t>Each eligible employee’s performance objectives may change from year to year as the Company continues to evolve and establish different priorities. The objectives will remain subject to the review and approval of the CEO and/or the Compensation Committee of the Board of Directors.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Plan details are as follows: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Company Measures (funding the pool)</w:t>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52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Measure</w:t>
            </w:r>
          </w:p>
        </w:tc>
        <w:tc>
          <w:tcPr>
            <w:tcW w:w="51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Weighting</w:t>
            </w:r>
          </w:p>
        </w:tc>
      </w:tr>
      <w:tr>
        <w:trPr>
          <w:trHeight w:val="278"/>
        </w:trPr>
        <w:tc>
          <w:tcPr>
            <w:tcW w:w="5200" w:type="dxa"/>
            <w:vAlign w:val="bottom"/>
            <w:tcBorders>
              <w:left w:val="single" w:sz="8" w:color="auto"/>
              <w:bottom w:val="single" w:sz="8" w:color="auto"/>
              <w:right w:val="single" w:sz="8" w:color="auto"/>
            </w:tcBorders>
          </w:tcPr>
          <w:p>
            <w:pPr>
              <w:ind w:left="40"/>
              <w:spacing w:after="0" w:line="277" w:lineRule="exact"/>
              <w:rPr>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5"/>
                <w:szCs w:val="25"/>
                <w:color w:val="auto"/>
                <w:vertAlign w:val="superscript"/>
              </w:rPr>
              <w:t>1</w:t>
            </w: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50%</w:t>
            </w:r>
          </w:p>
        </w:tc>
      </w:tr>
      <w:tr>
        <w:trPr>
          <w:trHeight w:val="277"/>
        </w:trPr>
        <w:tc>
          <w:tcPr>
            <w:tcW w:w="5200" w:type="dxa"/>
            <w:vAlign w:val="bottom"/>
            <w:tcBorders>
              <w:left w:val="single" w:sz="8" w:color="auto"/>
              <w:bottom w:val="single" w:sz="8" w:color="auto"/>
              <w:right w:val="single" w:sz="8" w:color="auto"/>
            </w:tcBorders>
          </w:tcPr>
          <w:p>
            <w:pPr>
              <w:ind w:left="40"/>
              <w:spacing w:after="0" w:line="277" w:lineRule="exact"/>
              <w:rPr>
                <w:sz w:val="20"/>
                <w:szCs w:val="20"/>
                <w:color w:val="auto"/>
              </w:rPr>
            </w:pPr>
            <w:r>
              <w:rPr>
                <w:rFonts w:ascii="Times New Roman" w:cs="Times New Roman" w:eastAsia="Times New Roman" w:hAnsi="Times New Roman"/>
                <w:sz w:val="20"/>
                <w:szCs w:val="20"/>
                <w:color w:val="auto"/>
              </w:rPr>
              <w:t>New Writings</w:t>
            </w:r>
            <w:r>
              <w:rPr>
                <w:rFonts w:ascii="Times New Roman" w:cs="Times New Roman" w:eastAsia="Times New Roman" w:hAnsi="Times New Roman"/>
                <w:sz w:val="28"/>
                <w:szCs w:val="28"/>
                <w:color w:val="auto"/>
                <w:vertAlign w:val="superscript"/>
              </w:rPr>
              <w:t>1</w:t>
            </w: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50%</w:t>
            </w:r>
          </w:p>
        </w:tc>
      </w:tr>
    </w:tbl>
    <w:p>
      <w:pPr>
        <w:spacing w:after="0" w:line="3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Under the plan, Company performance may fund the pool between 0 and 300%. </w:t>
      </w:r>
      <w:r>
        <w:rPr>
          <w:rFonts w:ascii="Times New Roman" w:cs="Times New Roman" w:eastAsia="Times New Roman" w:hAnsi="Times New Roman"/>
          <w:sz w:val="22"/>
          <w:szCs w:val="22"/>
          <w:color w:val="auto"/>
        </w:rPr>
        <w:t>The maximum payment which can be made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Plan based on the measures above and individual performance is 300%.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Payout Schedule: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approved, the 2025 payments under the Plan will be paid out during the first quarter of 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Eligibility: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Eligibility for the Plan is role-specific, as determined and communicated by management. To qualify for a payment under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 an employee must be:</w:t>
      </w:r>
    </w:p>
    <w:p>
      <w:pPr>
        <w:spacing w:after="0" w:line="4" w:lineRule="exact"/>
        <w:rPr>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hired on or prior to September 30, 2025 working in an award-eligible role; and</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actively employed at the time the payment processing is initiated.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w:t>
      </w:r>
    </w:p>
    <w:p>
      <w:pPr>
        <w:spacing w:after="0" w:line="49" w:lineRule="exact"/>
        <w:rPr>
          <w:sz w:val="20"/>
          <w:szCs w:val="20"/>
          <w:color w:val="auto"/>
        </w:rPr>
      </w:pPr>
    </w:p>
    <w:p>
      <w:pPr>
        <w:ind w:left="120" w:hanging="112"/>
        <w:spacing w:after="0"/>
        <w:tabs>
          <w:tab w:leader="none" w:pos="120" w:val="left"/>
        </w:tabs>
        <w:numPr>
          <w:ilvl w:val="0"/>
          <w:numId w:val="2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Adjusted EBITDA and New Writings are defined in Exhibit A.</w:t>
      </w:r>
    </w:p>
    <w:p>
      <w:pPr>
        <w:sectPr>
          <w:pgSz w:w="11900" w:h="16838" w:orient="portrait"/>
          <w:cols w:equalWidth="0" w:num="1">
            <w:col w:w="11240"/>
          </w:cols>
          <w:pgMar w:left="320" w:top="140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2711450</wp:posOffset>
            </wp:positionH>
            <wp:positionV relativeFrom="page">
              <wp:posOffset>88900</wp:posOffset>
            </wp:positionV>
            <wp:extent cx="2125980" cy="6083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2125980" cy="608330"/>
                    </a:xfrm>
                    <a:prstGeom prst="rect">
                      <a:avLst/>
                    </a:prstGeom>
                    <a:noFill/>
                  </pic:spPr>
                </pic:pic>
              </a:graphicData>
            </a:graphic>
          </wp:anchor>
        </w:drawing>
        <w:t>4. Eligible Earnings:</w:t>
      </w:r>
    </w:p>
    <w:p>
      <w:pPr>
        <w:spacing w:after="0" w:line="3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1"/>
          <w:szCs w:val="21"/>
          <w:color w:val="auto"/>
        </w:rPr>
        <w:t>A payment will be based on the eligible employee’s target expressed as a percentage of base salary and an individual performance factor between 0% and an amount that will not result in a total payout of more than 300% of the employee’s target. Except where an employee has had a change to their target percentage during the year, payment will be made based on the employee’s target percentage multiplied by base salary as of December 31, 2025, multiplied by the individual performance factor.</w:t>
      </w:r>
    </w:p>
    <w:p>
      <w:pPr>
        <w:spacing w:after="0" w:line="192"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2"/>
          <w:szCs w:val="22"/>
          <w:color w:val="auto"/>
        </w:rPr>
        <w:t>For an employee whose target percentage changed during the year, payment will be made based on the sum of (i) the employee’s base salary immediately before the change to the target percentage multiplied by the prior target percentage and (ii) the employee’s base salary as of December 31, 2025 multiplied by the year-end target percentage, with each such component prorated by the number of days in each period, multiplied by the individual performance factor. This does not include broader, role-specific target percentage increases or decreases. In the event of broader changes, the new target percentage will replace the existing target and will be applied retroactively.</w:t>
      </w:r>
    </w:p>
    <w:p>
      <w:pPr>
        <w:spacing w:after="0" w:line="208"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22"/>
          <w:szCs w:val="22"/>
          <w:color w:val="auto"/>
        </w:rPr>
        <w:t>For an employee whose role became newly award-eligible during the performance year when the employee was working in such role, payment will be made based on the employee’s newly approved target percentage multiplied by base salary as of December 31, 2025, multiplied by the individual performance factor. If the employee has any subsequent target percentage changes during the performance year, then payment will be prorated as noted above.</w:t>
      </w:r>
    </w:p>
    <w:p>
      <w:pPr>
        <w:spacing w:after="0" w:line="203"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22"/>
          <w:szCs w:val="22"/>
          <w:color w:val="auto"/>
        </w:rPr>
        <w:t>Eligible earnings generally include all elements of base salary and hours worked including pay for regular hours worked, overtime, holidays, and PTO. Other bonus or incentive earnings are not included in eligible earnings for purposes of the Plan. Eligible earnings will also be prorated, based on hire date, for award-eligible employees that were not employed for the entire duration of the performance period.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Terms and Conditions: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“Actively employed” means that the employee is a current employee of the Company.</w:t>
      </w:r>
    </w:p>
    <w:p>
      <w:pPr>
        <w:spacing w:after="0" w:line="22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Company intends for the benefits provided under the Plan to comply with, or be exempt from, the requirements of Internal Revenue Code Section 409A, the state and federal Family Medical Leave Act, the Americans with Disabilities Act, USERRA, and all other applicable state and federal laws, and the Plan will be interpreted to that end. The Company reserves the right to amend the Plan as necessary to comply with applicable federal and state laws.</w:t>
      </w:r>
    </w:p>
    <w:p>
      <w:pPr>
        <w:spacing w:after="0" w:line="203"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2"/>
          <w:szCs w:val="22"/>
          <w:color w:val="auto"/>
        </w:rPr>
        <w:t>Payments made under the Plan are offered at the sole discretion of the Company. The Company reserves the right to change, modify, or eliminate any provision of the Plan at any time, without notice. The Plan is not intended as a contract or a contract of employment. All employment with the Company is “at will,” which means that the Company or an employee may terminate the employment relationship at any time, with or without cause, and with or without notice.</w:t>
      </w:r>
    </w:p>
    <w:p>
      <w:pPr>
        <w:sectPr>
          <w:pgSz w:w="11900" w:h="16838" w:orient="portrait"/>
          <w:cols w:equalWidth="0" w:num="1">
            <w:col w:w="11220"/>
          </w:cols>
          <w:pgMar w:left="320" w:top="1418"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2711450</wp:posOffset>
            </wp:positionH>
            <wp:positionV relativeFrom="page">
              <wp:posOffset>88900</wp:posOffset>
            </wp:positionV>
            <wp:extent cx="2125980" cy="6083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2125980" cy="608330"/>
                    </a:xfrm>
                    <a:prstGeom prst="rect">
                      <a:avLst/>
                    </a:prstGeom>
                    <a:noFill/>
                  </pic:spPr>
                </pic:pic>
              </a:graphicData>
            </a:graphic>
          </wp:anchor>
        </w:drawing>
        <w:t>Exhibit A – Company Measures Defined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Adjusted EBITDA</w:t>
      </w:r>
    </w:p>
    <w:p>
      <w:pPr>
        <w:spacing w:after="0" w:line="3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color w:val="auto"/>
        </w:rPr>
        <w:t xml:space="preserve">“Adjusted EBITDA,” a non-GAAP financial measure, is defined as net income/loss excluding interest expense, income tax expense, depreciation and amortization, share-based compensation, warrant compensation expense, restructuring charges, and write-off of prepaid marketing expense and reclassifications of certain sales and marketing expenses, and related legal and other fees, net of anticipated insurance recovery. For fiscal 2025, also excluding incremental STI payouts above target and expense related to additional STI eligibility for employees. After these adjustments, the resulting calculation represents expenses directly attributable to our operating performance. We use adjusted EBITDA as an internal performance measure in the management of our operations because we believe it provides management and other users of our financial information useful insight into our results of operations and underlying business performance. Adjusted EBITDA should not be viewed as a substitute </w:t>
      </w:r>
      <w:r>
        <w:rPr>
          <w:rFonts w:ascii="Times New Roman" w:cs="Times New Roman" w:eastAsia="Times New Roman" w:hAnsi="Times New Roman"/>
          <w:sz w:val="19"/>
          <w:szCs w:val="19"/>
          <w:color w:val="auto"/>
        </w:rPr>
        <w:t>for net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income/loss calculated under GAAP, and other companies may define adjusted EBITDA differently. Additionally, the compensation committee has the discretion to further modify adjusted EBITDA for purposes of Root's performance bonus plan for unusual items as they arise and determine the appropriateness of adjustments to adjusted EBITDA.</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New Writings</w:t>
      </w:r>
    </w:p>
    <w:p>
      <w:pPr>
        <w:spacing w:after="0" w:line="23" w:lineRule="exact"/>
        <w:rPr>
          <w:sz w:val="20"/>
          <w:szCs w:val="20"/>
          <w:color w:val="auto"/>
        </w:rPr>
      </w:pPr>
    </w:p>
    <w:p>
      <w:pPr>
        <w:jc w:val="both"/>
        <w:ind w:right="80"/>
        <w:spacing w:after="0" w:line="249" w:lineRule="auto"/>
        <w:rPr>
          <w:sz w:val="20"/>
          <w:szCs w:val="20"/>
          <w:color w:val="auto"/>
        </w:rPr>
      </w:pPr>
      <w:r>
        <w:rPr>
          <w:rFonts w:ascii="Times New Roman" w:cs="Times New Roman" w:eastAsia="Times New Roman" w:hAnsi="Times New Roman"/>
          <w:sz w:val="20"/>
          <w:szCs w:val="20"/>
          <w:color w:val="auto"/>
        </w:rPr>
        <w:t>New Writings is defined as the count of new policies written based on the initial (term 1) policy effective date in the calendar period 2025. Rewrites from previously canceled policies are considered. This metric is the best measure of company growth, unaffected by offsets. New Writings are inclusive of direct and partnership acquisition channels.</w:t>
      </w:r>
    </w:p>
    <w:p>
      <w:pPr>
        <w:sectPr>
          <w:pgSz w:w="11900" w:h="16838" w:orient="portrait"/>
          <w:cols w:equalWidth="0" w:num="1">
            <w:col w:w="11100"/>
          </w:cols>
          <w:pgMar w:left="320" w:top="1418" w:right="47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Alexander Timm, certify that:</w:t>
      </w:r>
    </w:p>
    <w:p>
      <w:pPr>
        <w:spacing w:after="0" w:line="50" w:lineRule="exact"/>
        <w:rPr>
          <w:sz w:val="20"/>
          <w:szCs w:val="20"/>
          <w:color w:val="auto"/>
        </w:rPr>
      </w:pPr>
    </w:p>
    <w:p>
      <w:pPr>
        <w:ind w:left="360" w:hanging="334"/>
        <w:spacing w:after="0"/>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Root, Inc.;</w:t>
      </w:r>
    </w:p>
    <w:p>
      <w:pPr>
        <w:spacing w:after="0" w:line="49" w:lineRule="exact"/>
        <w:rPr>
          <w:rFonts w:ascii="Times New Roman" w:cs="Times New Roman" w:eastAsia="Times New Roman" w:hAnsi="Times New Roman"/>
          <w:sz w:val="18"/>
          <w:szCs w:val="18"/>
          <w:color w:val="auto"/>
        </w:rPr>
      </w:pPr>
    </w:p>
    <w:p>
      <w:pPr>
        <w:jc w:val="both"/>
        <w:ind w:left="360" w:right="20" w:hanging="334"/>
        <w:spacing w:after="0" w:line="258" w:lineRule="auto"/>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rFonts w:ascii="Times New Roman" w:cs="Times New Roman" w:eastAsia="Times New Roman" w:hAnsi="Times New Roman"/>
          <w:sz w:val="18"/>
          <w:szCs w:val="18"/>
          <w:color w:val="auto"/>
        </w:rPr>
      </w:pPr>
    </w:p>
    <w:p>
      <w:pPr>
        <w:ind w:left="360" w:right="20" w:hanging="334"/>
        <w:spacing w:after="0" w:line="273" w:lineRule="auto"/>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jc w:val="both"/>
        <w:ind w:left="360" w:right="20" w:hanging="334"/>
        <w:spacing w:after="0" w:line="258" w:lineRule="auto"/>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 w:lineRule="exact"/>
        <w:rPr>
          <w:rFonts w:ascii="Times New Roman" w:cs="Times New Roman" w:eastAsia="Times New Roman" w:hAnsi="Times New Roman"/>
          <w:sz w:val="18"/>
          <w:szCs w:val="18"/>
          <w:color w:val="auto"/>
        </w:rPr>
      </w:pPr>
    </w:p>
    <w:p>
      <w:pPr>
        <w:jc w:val="both"/>
        <w:ind w:left="740" w:right="20" w:hanging="390"/>
        <w:spacing w:after="0" w:line="258" w:lineRule="auto"/>
        <w:tabs>
          <w:tab w:leader="none" w:pos="7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Times New Roman" w:cs="Times New Roman" w:eastAsia="Times New Roman" w:hAnsi="Times New Roman"/>
          <w:sz w:val="18"/>
          <w:szCs w:val="18"/>
          <w:color w:val="auto"/>
        </w:rPr>
      </w:pPr>
    </w:p>
    <w:p>
      <w:pPr>
        <w:jc w:val="both"/>
        <w:ind w:left="740" w:right="20" w:hanging="390"/>
        <w:spacing w:after="0" w:line="258" w:lineRule="auto"/>
        <w:tabs>
          <w:tab w:leader="none" w:pos="7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 w:lineRule="exact"/>
        <w:rPr>
          <w:rFonts w:ascii="Times New Roman" w:cs="Times New Roman" w:eastAsia="Times New Roman" w:hAnsi="Times New Roman"/>
          <w:sz w:val="18"/>
          <w:szCs w:val="18"/>
          <w:color w:val="auto"/>
        </w:rPr>
      </w:pPr>
    </w:p>
    <w:p>
      <w:pPr>
        <w:ind w:left="740" w:right="20" w:hanging="390"/>
        <w:spacing w:after="0" w:line="273" w:lineRule="auto"/>
        <w:tabs>
          <w:tab w:leader="none" w:pos="7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740" w:right="20" w:hanging="390"/>
        <w:spacing w:after="0" w:line="258" w:lineRule="auto"/>
        <w:tabs>
          <w:tab w:leader="none" w:pos="7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 w:lineRule="exact"/>
        <w:rPr>
          <w:rFonts w:ascii="Times New Roman" w:cs="Times New Roman" w:eastAsia="Times New Roman" w:hAnsi="Times New Roman"/>
          <w:sz w:val="18"/>
          <w:szCs w:val="18"/>
          <w:color w:val="auto"/>
        </w:rPr>
      </w:pPr>
    </w:p>
    <w:p>
      <w:pPr>
        <w:ind w:left="360" w:right="20" w:hanging="334"/>
        <w:spacing w:after="0" w:line="273" w:lineRule="auto"/>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740" w:right="20" w:hanging="390"/>
        <w:spacing w:after="0" w:line="273" w:lineRule="auto"/>
        <w:tabs>
          <w:tab w:leader="none" w:pos="7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740" w:right="20" w:hanging="390"/>
        <w:spacing w:after="0" w:line="282" w:lineRule="auto"/>
        <w:tabs>
          <w:tab w:leader="none" w:pos="7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20"/>
        <w:spacing w:after="0"/>
        <w:tabs>
          <w:tab w:leader="none" w:pos="696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7"/>
          <w:szCs w:val="17"/>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26035</wp:posOffset>
            </wp:positionV>
            <wp:extent cx="27171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4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Alexander Timm</w:t>
      </w:r>
    </w:p>
    <w:p>
      <w:pPr>
        <w:spacing w:after="0" w:line="50"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13"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Megan Binkley, certify that:</w:t>
      </w:r>
    </w:p>
    <w:p>
      <w:pPr>
        <w:spacing w:after="0" w:line="117" w:lineRule="exact"/>
        <w:rPr>
          <w:sz w:val="20"/>
          <w:szCs w:val="20"/>
          <w:color w:val="auto"/>
        </w:rPr>
      </w:pPr>
    </w:p>
    <w:p>
      <w:pPr>
        <w:ind w:left="360" w:hanging="334"/>
        <w:spacing w:after="0"/>
        <w:tabs>
          <w:tab w:leader="none" w:pos="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Root, Inc.;</w:t>
      </w:r>
    </w:p>
    <w:p>
      <w:pPr>
        <w:spacing w:after="0" w:line="50" w:lineRule="exact"/>
        <w:rPr>
          <w:sz w:val="20"/>
          <w:szCs w:val="20"/>
          <w:color w:val="auto"/>
        </w:rPr>
      </w:pPr>
    </w:p>
    <w:p>
      <w:pPr>
        <w:jc w:val="both"/>
        <w:ind w:left="360" w:right="20" w:hanging="334"/>
        <w:spacing w:after="0" w:line="258" w:lineRule="auto"/>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sz w:val="20"/>
          <w:szCs w:val="20"/>
          <w:color w:val="auto"/>
        </w:rPr>
      </w:pPr>
    </w:p>
    <w:p>
      <w:pPr>
        <w:ind w:left="360" w:right="20" w:hanging="334"/>
        <w:spacing w:after="0" w:line="266" w:lineRule="auto"/>
        <w:tabs>
          <w:tab w:leader="none" w:pos="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 w:lineRule="exact"/>
        <w:rPr>
          <w:sz w:val="20"/>
          <w:szCs w:val="20"/>
          <w:color w:val="auto"/>
        </w:rPr>
      </w:pPr>
    </w:p>
    <w:p>
      <w:pPr>
        <w:jc w:val="both"/>
        <w:ind w:left="360" w:right="20" w:hanging="334"/>
        <w:spacing w:after="0" w:line="258" w:lineRule="auto"/>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 w:lineRule="exact"/>
        <w:rPr>
          <w:rFonts w:ascii="Times New Roman" w:cs="Times New Roman" w:eastAsia="Times New Roman" w:hAnsi="Times New Roman"/>
          <w:sz w:val="18"/>
          <w:szCs w:val="18"/>
          <w:color w:val="auto"/>
        </w:rPr>
      </w:pPr>
    </w:p>
    <w:p>
      <w:pPr>
        <w:jc w:val="both"/>
        <w:ind w:left="740" w:right="20" w:hanging="390"/>
        <w:spacing w:after="0" w:line="258" w:lineRule="auto"/>
        <w:tabs>
          <w:tab w:leader="none" w:pos="7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Times New Roman" w:cs="Times New Roman" w:eastAsia="Times New Roman" w:hAnsi="Times New Roman"/>
          <w:sz w:val="18"/>
          <w:szCs w:val="18"/>
          <w:color w:val="auto"/>
        </w:rPr>
      </w:pPr>
    </w:p>
    <w:p>
      <w:pPr>
        <w:jc w:val="both"/>
        <w:ind w:left="740" w:right="20" w:hanging="390"/>
        <w:spacing w:after="0" w:line="258" w:lineRule="auto"/>
        <w:tabs>
          <w:tab w:leader="none" w:pos="7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 w:lineRule="exact"/>
        <w:rPr>
          <w:rFonts w:ascii="Times New Roman" w:cs="Times New Roman" w:eastAsia="Times New Roman" w:hAnsi="Times New Roman"/>
          <w:sz w:val="18"/>
          <w:szCs w:val="18"/>
          <w:color w:val="auto"/>
        </w:rPr>
      </w:pPr>
    </w:p>
    <w:p>
      <w:pPr>
        <w:ind w:left="740" w:right="20" w:hanging="390"/>
        <w:spacing w:after="0" w:line="266" w:lineRule="auto"/>
        <w:tabs>
          <w:tab w:leader="none" w:pos="7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auto"/>
        </w:rPr>
      </w:pPr>
    </w:p>
    <w:p>
      <w:pPr>
        <w:jc w:val="both"/>
        <w:ind w:left="740" w:right="20" w:hanging="390"/>
        <w:spacing w:after="0" w:line="258" w:lineRule="auto"/>
        <w:tabs>
          <w:tab w:leader="none" w:pos="7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 w:lineRule="exact"/>
        <w:rPr>
          <w:sz w:val="20"/>
          <w:szCs w:val="20"/>
          <w:color w:val="auto"/>
        </w:rPr>
      </w:pPr>
    </w:p>
    <w:p>
      <w:pPr>
        <w:ind w:left="360" w:right="20" w:hanging="334"/>
        <w:spacing w:after="0" w:line="266" w:lineRule="auto"/>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740" w:right="20" w:hanging="390"/>
        <w:spacing w:after="0" w:line="266" w:lineRule="auto"/>
        <w:tabs>
          <w:tab w:leader="none" w:pos="7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740" w:right="20" w:hanging="390"/>
        <w:spacing w:after="0" w:line="266" w:lineRule="auto"/>
        <w:tabs>
          <w:tab w:leader="none" w:pos="7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20"/>
        <w:spacing w:after="0"/>
        <w:tabs>
          <w:tab w:leader="none" w:pos="722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7"/>
          <w:szCs w:val="17"/>
          <w:color w:val="auto"/>
        </w:rPr>
        <w:t>/s/ Megan Binkley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Megan Binkley</w:t>
      </w:r>
    </w:p>
    <w:p>
      <w:pPr>
        <w:spacing w:after="0" w:line="5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8"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13"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Pursuant to the requirements set forth in Rule 13a-14(b) of the Securities Exchange Act of 1934, as amended (the “Exchange Act”), and Section 1350 of Chapter 63 of Title 18 of the United States Code (“18 U.S.C. 1350”), Alexander Timm, Chief Executive Officer of Root, Inc. (the “Company”) and Megan Binkley, Chief Financial Officer of the Company, each hereby certifies that, to the best of his or her knowledge:</w:t>
      </w:r>
    </w:p>
    <w:p>
      <w:pPr>
        <w:spacing w:after="0" w:line="257" w:lineRule="exact"/>
        <w:rPr>
          <w:sz w:val="20"/>
          <w:szCs w:val="20"/>
          <w:color w:val="auto"/>
        </w:rPr>
      </w:pPr>
    </w:p>
    <w:p>
      <w:pPr>
        <w:ind w:left="340" w:right="580" w:hanging="125"/>
        <w:spacing w:after="0" w:line="266" w:lineRule="auto"/>
        <w:rPr>
          <w:sz w:val="20"/>
          <w:szCs w:val="20"/>
          <w:color w:val="auto"/>
        </w:rPr>
      </w:pPr>
      <w:r>
        <w:rPr>
          <w:rFonts w:ascii="Times New Roman" w:cs="Times New Roman" w:eastAsia="Times New Roman" w:hAnsi="Times New Roman"/>
          <w:sz w:val="18"/>
          <w:szCs w:val="18"/>
          <w:color w:val="auto"/>
        </w:rPr>
        <w:t>1 The Company’s Quarterly Report on Form 10-Q for the period ended March 31, 2025 to which this certification is attached as Exhibit 32.1 (the “Periodic Report”), fully complies with the requirements of Section 13(a) or Section 15(d) of the Exchange Act; and</w:t>
      </w:r>
    </w:p>
    <w:p>
      <w:pPr>
        <w:spacing w:after="0" w:line="14" w:lineRule="exact"/>
        <w:rPr>
          <w:sz w:val="20"/>
          <w:szCs w:val="20"/>
          <w:color w:val="auto"/>
        </w:rPr>
      </w:pPr>
    </w:p>
    <w:p>
      <w:pPr>
        <w:ind w:left="340" w:right="600" w:hanging="125"/>
        <w:spacing w:after="0" w:line="266" w:lineRule="auto"/>
        <w:rPr>
          <w:sz w:val="20"/>
          <w:szCs w:val="20"/>
          <w:color w:val="auto"/>
        </w:rPr>
      </w:pPr>
      <w:r>
        <w:rPr>
          <w:rFonts w:ascii="Times New Roman" w:cs="Times New Roman" w:eastAsia="Times New Roman" w:hAnsi="Times New Roman"/>
          <w:sz w:val="18"/>
          <w:szCs w:val="18"/>
          <w:color w:val="auto"/>
        </w:rPr>
        <w:t>2 The information contained in the Periodic Report fairly presents, in all material respects, the financial condition and results of operations of the Company.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2025</w:t>
      </w:r>
    </w:p>
    <w:p>
      <w:pPr>
        <w:spacing w:after="0" w:line="29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17145</wp:posOffset>
            </wp:positionV>
            <wp:extent cx="22631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Alexander Timm</w:t>
      </w:r>
    </w:p>
    <w:p>
      <w:pPr>
        <w:spacing w:after="0" w:line="5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3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8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Megan Binkley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17145</wp:posOffset>
            </wp:positionV>
            <wp:extent cx="22631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Megan Binkley</w:t>
      </w:r>
    </w:p>
    <w:p>
      <w:pPr>
        <w:spacing w:after="0" w:line="5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35" w:lineRule="exact"/>
        <w:rPr>
          <w:sz w:val="20"/>
          <w:szCs w:val="20"/>
          <w:color w:val="auto"/>
        </w:rPr>
      </w:pPr>
    </w:p>
    <w:p>
      <w:pPr>
        <w:ind w:right="240"/>
        <w:spacing w:after="0" w:line="222" w:lineRule="auto"/>
        <w:rPr>
          <w:sz w:val="20"/>
          <w:szCs w:val="20"/>
          <w:color w:val="auto"/>
        </w:rPr>
      </w:pPr>
      <w:r>
        <w:rPr>
          <w:rFonts w:ascii="Times New Roman" w:cs="Times New Roman" w:eastAsia="Times New Roman" w:hAnsi="Times New Roman"/>
          <w:sz w:val="18"/>
          <w:szCs w:val="18"/>
          <w:color w:val="auto"/>
        </w:rPr>
        <w:t>This certification accompanies this Quarterly Report on Form 10-Q. The certification is not deemed filed with the Securities and Exchange Commission and is not to be incorporated by reference into any filing of Root, Inc. under the Securities Act of 1933, as amended, or the Exchange Act, whether made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or after the date of this Quarterly Report on Form 10-Q, irrespective of any general incorporation language contained in any such filing.</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lvl w:ilvl="1">
      <w:lvlJc w:val="left"/>
      <w:lvlText w:val="•"/>
      <w:numFmt w:val="bullet"/>
      <w:start w:val="1"/>
    </w:lvl>
  </w:abstractNum>
  <w:abstractNum w:abstractNumId="3">
    <w:nsid w:val="3F2DBA31"/>
    <w:multiLevelType w:val="hybridMultilevel"/>
    <w:lvl w:ilvl="0">
      <w:lvlJc w:val="left"/>
      <w:lvlText w:val="•"/>
      <w:numFmt w:val="bullet"/>
      <w:start w:val="1"/>
    </w:lvl>
    <w:lvl w:ilvl="1">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2"/>
    </w:lvl>
  </w:abstractNum>
  <w:abstractNum w:abstractNumId="6">
    <w:nsid w:val="62BBD95A"/>
    <w:multiLevelType w:val="hybridMultilevel"/>
    <w:lvl w:ilvl="0">
      <w:lvlJc w:val="left"/>
      <w:lvlText w:val="%1."/>
      <w:numFmt w:val="decimal"/>
      <w:start w:val="3"/>
    </w:lvl>
  </w:abstractNum>
  <w:abstractNum w:abstractNumId="7">
    <w:nsid w:val="436C6125"/>
    <w:multiLevelType w:val="hybridMultilevel"/>
    <w:lvl w:ilvl="0">
      <w:lvlJc w:val="left"/>
      <w:lvlText w:val="%1."/>
      <w:numFmt w:val="decimal"/>
      <w:start w:val="4"/>
    </w:lvl>
  </w:abstractNum>
  <w:abstractNum w:abstractNumId="8">
    <w:nsid w:val="628C895D"/>
    <w:multiLevelType w:val="hybridMultilevel"/>
    <w:lvl w:ilvl="0">
      <w:lvlJc w:val="left"/>
      <w:lvlText w:val="%1."/>
      <w:numFmt w:val="decimal"/>
      <w:start w:val="5"/>
    </w:lvl>
  </w:abstractNum>
  <w:abstractNum w:abstractNumId="9">
    <w:nsid w:val="333AB105"/>
    <w:multiLevelType w:val="hybridMultilevel"/>
    <w:lvl w:ilvl="0">
      <w:lvlJc w:val="left"/>
      <w:lvlText w:val="%1."/>
      <w:numFmt w:val="decimal"/>
      <w:start w:val="6"/>
    </w:lvl>
  </w:abstractNum>
  <w:abstractNum w:abstractNumId="10">
    <w:nsid w:val="721DA317"/>
    <w:multiLevelType w:val="hybridMultilevel"/>
    <w:lvl w:ilvl="0">
      <w:lvlJc w:val="left"/>
      <w:lvlText w:val="%1."/>
      <w:numFmt w:val="decimal"/>
      <w:start w:val="7"/>
    </w:lvl>
  </w:abstractNum>
  <w:abstractNum w:abstractNumId="11">
    <w:nsid w:val="2443A858"/>
    <w:multiLevelType w:val="hybridMultilevel"/>
    <w:lvl w:ilvl="0">
      <w:lvlJc w:val="left"/>
      <w:lvlText w:val="%1."/>
      <w:numFmt w:val="decimal"/>
      <w:start w:val="8"/>
    </w:lvl>
  </w:abstractNum>
  <w:abstractNum w:abstractNumId="12">
    <w:nsid w:val="2D1D5AE9"/>
    <w:multiLevelType w:val="hybridMultilevel"/>
    <w:lvl w:ilvl="0">
      <w:lvlJc w:val="left"/>
      <w:lvlText w:val="%1."/>
      <w:numFmt w:val="decimal"/>
      <w:start w:val="9"/>
    </w:lvl>
  </w:abstractNum>
  <w:abstractNum w:abstractNumId="13">
    <w:nsid w:val="6763845E"/>
    <w:multiLevelType w:val="hybridMultilevel"/>
    <w:lvl w:ilvl="0">
      <w:lvlJc w:val="left"/>
      <w:lvlText w:val="%1."/>
      <w:numFmt w:val="decimal"/>
      <w:start w:val="10"/>
    </w:lvl>
  </w:abstractNum>
  <w:abstractNum w:abstractNumId="14">
    <w:nsid w:val="75A2A8D4"/>
    <w:multiLevelType w:val="hybridMultilevel"/>
    <w:lvl w:ilvl="0">
      <w:lvlJc w:val="left"/>
      <w:lvlText w:val="%1."/>
      <w:numFmt w:val="decimal"/>
      <w:start w:val="1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2"/>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lowerLetter"/>
      <w:start w:val="1"/>
    </w:lvl>
    <w:lvl w:ilvl="1">
      <w:lvlJc w:val="left"/>
      <w:lvlText w:val="(%2)"/>
      <w:numFmt w:val="lowerRoman"/>
      <w:start w:val="1"/>
    </w:lvl>
  </w:abstractNum>
  <w:abstractNum w:abstractNumId="20">
    <w:nsid w:val="54E49EB4"/>
    <w:multiLevelType w:val="hybridMultilevel"/>
    <w:lvl w:ilvl="0">
      <w:lvlJc w:val="left"/>
      <w:lvlText w:val="(%1)"/>
      <w:numFmt w:val="lowerLetter"/>
      <w:start w:val="1"/>
    </w:lvl>
    <w:lvl w:ilvl="1">
      <w:lvlJc w:val="left"/>
      <w:lvlText w:val="(%2)"/>
      <w:numFmt w:val="lowerLetter"/>
      <w:start w:val="4"/>
    </w:lvl>
  </w:abstractNum>
  <w:abstractNum w:abstractNumId="21">
    <w:nsid w:val="71F32454"/>
    <w:multiLevelType w:val="hybridMultilevel"/>
    <w:lvl w:ilvl="0">
      <w:lvlJc w:val="left"/>
      <w:lvlText w:val="%1."/>
      <w:numFmt w:val="upperLetter"/>
      <w:start w:val="35"/>
    </w:lvl>
  </w:abstractNum>
  <w:abstractNum w:abstractNumId="22">
    <w:nsid w:val="2CA88611"/>
    <w:multiLevelType w:val="hybridMultilevel"/>
    <w:lvl w:ilvl="0">
      <w:lvlJc w:val="left"/>
      <w:lvlText w:val="%1."/>
      <w:numFmt w:val="decimal"/>
      <w:start w:val="1"/>
    </w:lvl>
    <w:lvl w:ilvl="1">
      <w:lvlJc w:val="left"/>
      <w:lvlText w:val="(%2)"/>
      <w:numFmt w:val="lowerLetter"/>
      <w:start w:val="1"/>
    </w:lvl>
  </w:abstractNum>
  <w:abstractNum w:abstractNumId="23">
    <w:nsid w:val="836C40E"/>
    <w:multiLevelType w:val="hybridMultilevel"/>
    <w:lvl w:ilvl="0">
      <w:lvlJc w:val="left"/>
      <w:lvlText w:val="%1."/>
      <w:numFmt w:val="decimal"/>
      <w:start w:val="2"/>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bullet"/>
      <w:start w:val="1"/>
    </w:lvl>
  </w:abstractNum>
  <w:abstractNum w:abstractNumId="27">
    <w:nsid w:val="1E7FF521"/>
    <w:multiLevelType w:val="hybridMultilevel"/>
    <w:lvl w:ilvl="0">
      <w:lvlJc w:val="left"/>
      <w:lvlText w:val="%1."/>
      <w:numFmt w:val="decimal"/>
      <w:start w:val="1"/>
    </w:lvl>
    <w:lvl w:ilvl="1">
      <w:lvlJc w:val="left"/>
      <w:lvlText w:val="(%2)"/>
      <w:numFmt w:val="lowerLetter"/>
      <w:start w:val="1"/>
    </w:lvl>
  </w:abstractNum>
  <w:abstractNum w:abstractNumId="28">
    <w:nsid w:val="7C3DBD3D"/>
    <w:multiLevelType w:val="hybridMultilevel"/>
    <w:lvl w:ilvl="0">
      <w:lvlJc w:val="left"/>
      <w:lvlText w:val="1"/>
      <w:numFmt w:val="bullet"/>
      <w:start w:val="1"/>
    </w:lvl>
  </w:abstractNum>
  <w:abstractNum w:abstractNumId="29">
    <w:nsid w:val="737B8DDC"/>
    <w:multiLevelType w:val="hybridMultilevel"/>
    <w:lvl w:ilvl="0">
      <w:lvlJc w:val="left"/>
      <w:lvlText w:val="2"/>
      <w:numFmt w:val="bullet"/>
      <w:start w:val="1"/>
    </w:lvl>
  </w:abstractNum>
  <w:abstractNum w:abstractNumId="30">
    <w:nsid w:val="6CEAF087"/>
    <w:multiLevelType w:val="hybridMultilevel"/>
    <w:lvl w:ilvl="0">
      <w:lvlJc w:val="left"/>
      <w:lvlText w:val="3"/>
      <w:numFmt w:val="bullet"/>
      <w:start w:val="1"/>
    </w:lvl>
  </w:abstractNum>
  <w:abstractNum w:abstractNumId="31">
    <w:nsid w:val="22221A70"/>
    <w:multiLevelType w:val="hybridMultilevel"/>
    <w:lvl w:ilvl="0">
      <w:lvlJc w:val="left"/>
      <w:lvlText w:val="4"/>
      <w:numFmt w:val="bullet"/>
      <w:start w:val="1"/>
    </w:lvl>
    <w:lvl w:ilvl="1">
      <w:lvlJc w:val="left"/>
      <w:lvlText w:val="(%2)"/>
      <w:numFmt w:val="lowerLetter"/>
      <w:start w:val="1"/>
    </w:lvl>
  </w:abstractNum>
  <w:abstractNum w:abstractNumId="32">
    <w:nsid w:val="4516DDE9"/>
    <w:multiLevelType w:val="hybridMultilevel"/>
    <w:lvl w:ilvl="0">
      <w:lvlJc w:val="left"/>
      <w:lvlText w:val="5"/>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jpeg"/><Relationship Id="rId95" Type="http://schemas.openxmlformats.org/officeDocument/2006/relationships/image" Target="media/image80.jpeg"/><Relationship Id="rId96" Type="http://schemas.openxmlformats.org/officeDocument/2006/relationships/image" Target="media/image81.jpe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81" Type="http://schemas.openxmlformats.org/officeDocument/2006/relationships/hyperlink" Target="https://www.sec.gov/Archives/edgar/data/0001788882/000162828020015173/exhibit31-8xkxamendeda.htm" TargetMode="External"/><Relationship Id="rId82" Type="http://schemas.openxmlformats.org/officeDocument/2006/relationships/hyperlink" Target="https://www.sec.gov/Archives/edgar/data/1788882/000178888222000026/a31rootcharteramendment.htm" TargetMode="External"/><Relationship Id="rId83" Type="http://schemas.openxmlformats.org/officeDocument/2006/relationships/hyperlink" Target="https://www.sec.gov/Archives/edgar/data/1788882/000162828023004580/a33amendedandrestatedbylaws.htm" TargetMode="External"/><Relationship Id="rId84" Type="http://schemas.openxmlformats.org/officeDocument/2006/relationships/hyperlink" Target="https://www.sec.gov/Archives/edgar/data/0001788882/000119312521289291/d236036dex31.htm" TargetMode="External"/><Relationship Id="rId85" Type="http://schemas.openxmlformats.org/officeDocument/2006/relationships/hyperlink" Target="https://www.sec.gov/Archives/edgar/data/1788882/000162828020014581/exhibit41-sx1a1xformof.htm" TargetMode="External"/><Relationship Id="rId86" Type="http://schemas.openxmlformats.org/officeDocument/2006/relationships/hyperlink" Target="https://www.sec.gov/Archives/edgar/data/0001788882/000119312521289291/d236036dex41.htm" TargetMode="External"/><Relationship Id="rId87" Type="http://schemas.openxmlformats.org/officeDocument/2006/relationships/hyperlink" Target="https://www.sec.gov/Archives/edgar/data/1788882/000119312522018949/d295910dex41.htm" TargetMode="External"/><Relationship Id="rId88" Type="http://schemas.openxmlformats.org/officeDocument/2006/relationships/hyperlink" Target="https://www.sec.gov/Archives/edgar/data/1788882/000162828024044321/a45firstamendmenttoformof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2025-05-07T15:24:58Z</dcterms:created>
  <dcterms:modified xsi:type="dcterms:W3CDTF">2025-05-07T15:24:58Z</dcterms:modified>
</cp:coreProperties>
</file>