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205105</wp:posOffset>
            </wp:positionH>
            <wp:positionV relativeFrom="page">
              <wp:posOffset>383540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408305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52" w:lineRule="exact"/>
        <w:rPr>
          <w:sz w:val="24"/>
          <w:szCs w:val="24"/>
          <w:color w:val="auto"/>
        </w:rPr>
      </w:pPr>
    </w:p>
    <w:p>
      <w:pPr>
        <w:ind w:left="5100"/>
        <w:spacing w:after="0"/>
        <w:rPr>
          <w:sz w:val="20"/>
          <w:szCs w:val="20"/>
          <w:color w:val="auto"/>
        </w:rPr>
      </w:pPr>
      <w:r>
        <w:rPr>
          <w:rFonts w:ascii="Arial" w:cs="Arial" w:eastAsia="Arial" w:hAnsi="Arial"/>
          <w:sz w:val="21"/>
          <w:szCs w:val="21"/>
          <w:color w:val="auto"/>
        </w:rPr>
        <w:t>__________</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8-K</w:t>
      </w:r>
    </w:p>
    <w:p>
      <w:pPr>
        <w:spacing w:after="0" w:line="49" w:lineRule="exact"/>
        <w:rPr>
          <w:sz w:val="24"/>
          <w:szCs w:val="24"/>
          <w:color w:val="auto"/>
        </w:rPr>
      </w:pPr>
    </w:p>
    <w:p>
      <w:pPr>
        <w:ind w:left="5100"/>
        <w:spacing w:after="0"/>
        <w:rPr>
          <w:sz w:val="20"/>
          <w:szCs w:val="20"/>
          <w:color w:val="auto"/>
        </w:rPr>
      </w:pPr>
      <w:r>
        <w:rPr>
          <w:rFonts w:ascii="Arial" w:cs="Arial" w:eastAsia="Arial" w:hAnsi="Arial"/>
          <w:sz w:val="21"/>
          <w:szCs w:val="21"/>
          <w:color w:val="auto"/>
        </w:rPr>
        <w:t>__________</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Date of Report (Date of earliest event reported): February 23, 2022</w:t>
      </w:r>
    </w:p>
    <w:p>
      <w:pPr>
        <w:spacing w:after="0" w:line="72" w:lineRule="exact"/>
        <w:rPr>
          <w:sz w:val="24"/>
          <w:szCs w:val="24"/>
          <w:color w:val="auto"/>
        </w:rPr>
      </w:pPr>
    </w:p>
    <w:p>
      <w:pPr>
        <w:ind w:left="5100"/>
        <w:spacing w:after="0"/>
        <w:rPr>
          <w:sz w:val="20"/>
          <w:szCs w:val="20"/>
          <w:color w:val="auto"/>
        </w:rPr>
      </w:pPr>
      <w:r>
        <w:rPr>
          <w:rFonts w:ascii="Arial" w:cs="Arial" w:eastAsia="Arial" w:hAnsi="Arial"/>
          <w:sz w:val="21"/>
          <w:szCs w:val="21"/>
          <w:color w:val="auto"/>
        </w:rPr>
        <w:t>__________</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ROOT,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5" w:lineRule="exact"/>
        <w:rPr>
          <w:sz w:val="24"/>
          <w:szCs w:val="24"/>
          <w:color w:val="auto"/>
        </w:rPr>
      </w:pPr>
    </w:p>
    <w:p>
      <w:pPr>
        <w:ind w:left="5100"/>
        <w:spacing w:after="0"/>
        <w:rPr>
          <w:sz w:val="20"/>
          <w:szCs w:val="20"/>
          <w:color w:val="auto"/>
        </w:rPr>
      </w:pPr>
      <w:r>
        <w:rPr>
          <w:rFonts w:ascii="Arial" w:cs="Arial" w:eastAsia="Arial" w:hAnsi="Arial"/>
          <w:sz w:val="21"/>
          <w:szCs w:val="21"/>
          <w:color w:val="auto"/>
        </w:rPr>
        <w:t>__________</w:t>
      </w:r>
    </w:p>
    <w:p>
      <w:pPr>
        <w:spacing w:after="0" w:line="52" w:lineRule="exact"/>
        <w:rPr>
          <w:sz w:val="24"/>
          <w:szCs w:val="24"/>
          <w:color w:val="auto"/>
        </w:rPr>
      </w:pPr>
    </w:p>
    <w:tbl>
      <w:tblPr>
        <w:tblLayout w:type="fixed"/>
        <w:tblInd w:w="700" w:type="dxa"/>
        <w:tblCellMar>
          <w:top w:w="0" w:type="dxa"/>
          <w:left w:w="0" w:type="dxa"/>
          <w:bottom w:w="0" w:type="dxa"/>
          <w:right w:w="0" w:type="dxa"/>
        </w:tblCellMar>
      </w:tblPr>
      <w:tr>
        <w:trPr>
          <w:trHeight w:val="223"/>
        </w:trPr>
        <w:tc>
          <w:tcPr>
            <w:tcW w:w="2660" w:type="dxa"/>
            <w:vAlign w:val="bottom"/>
          </w:tcPr>
          <w:p>
            <w:pPr>
              <w:jc w:val="center"/>
              <w:ind w:right="243"/>
              <w:spacing w:after="0"/>
              <w:rPr>
                <w:sz w:val="20"/>
                <w:szCs w:val="20"/>
                <w:color w:val="auto"/>
              </w:rPr>
            </w:pPr>
            <w:r>
              <w:rPr>
                <w:rFonts w:ascii="Arial" w:cs="Arial" w:eastAsia="Arial" w:hAnsi="Arial"/>
                <w:sz w:val="17"/>
                <w:szCs w:val="17"/>
                <w:b w:val="1"/>
                <w:bCs w:val="1"/>
                <w:color w:val="auto"/>
                <w:w w:val="93"/>
              </w:rPr>
              <w:t>Delaware</w:t>
            </w:r>
          </w:p>
        </w:tc>
        <w:tc>
          <w:tcPr>
            <w:tcW w:w="4840" w:type="dxa"/>
            <w:vAlign w:val="bottom"/>
          </w:tcPr>
          <w:p>
            <w:pPr>
              <w:jc w:val="center"/>
              <w:ind w:right="263"/>
              <w:spacing w:after="0"/>
              <w:rPr>
                <w:sz w:val="20"/>
                <w:szCs w:val="20"/>
                <w:color w:val="auto"/>
              </w:rPr>
            </w:pPr>
            <w:r>
              <w:rPr>
                <w:rFonts w:ascii="Arial" w:cs="Arial" w:eastAsia="Arial" w:hAnsi="Arial"/>
                <w:sz w:val="17"/>
                <w:szCs w:val="17"/>
                <w:b w:val="1"/>
                <w:bCs w:val="1"/>
                <w:color w:val="auto"/>
                <w:w w:val="90"/>
              </w:rPr>
              <w:t>001-39658</w:t>
            </w:r>
          </w:p>
        </w:tc>
        <w:tc>
          <w:tcPr>
            <w:tcW w:w="1700" w:type="dxa"/>
            <w:vAlign w:val="bottom"/>
          </w:tcPr>
          <w:p>
            <w:pPr>
              <w:jc w:val="right"/>
              <w:ind w:right="44"/>
              <w:spacing w:after="0"/>
              <w:rPr>
                <w:sz w:val="20"/>
                <w:szCs w:val="20"/>
                <w:color w:val="auto"/>
              </w:rPr>
            </w:pPr>
            <w:r>
              <w:rPr>
                <w:rFonts w:ascii="Arial" w:cs="Arial" w:eastAsia="Arial" w:hAnsi="Arial"/>
                <w:sz w:val="17"/>
                <w:szCs w:val="17"/>
                <w:b w:val="1"/>
                <w:bCs w:val="1"/>
                <w:color w:val="auto"/>
              </w:rPr>
              <w:t>84-2717903</w:t>
            </w:r>
          </w:p>
        </w:tc>
      </w:tr>
      <w:tr>
        <w:trPr>
          <w:trHeight w:val="222"/>
        </w:trPr>
        <w:tc>
          <w:tcPr>
            <w:tcW w:w="2660" w:type="dxa"/>
            <w:vAlign w:val="bottom"/>
          </w:tcPr>
          <w:p>
            <w:pPr>
              <w:jc w:val="center"/>
              <w:ind w:right="243"/>
              <w:spacing w:after="0"/>
              <w:rPr>
                <w:sz w:val="20"/>
                <w:szCs w:val="20"/>
                <w:color w:val="auto"/>
              </w:rPr>
            </w:pPr>
            <w:r>
              <w:rPr>
                <w:rFonts w:ascii="Arial" w:cs="Arial" w:eastAsia="Arial" w:hAnsi="Arial"/>
                <w:sz w:val="14"/>
                <w:szCs w:val="14"/>
                <w:b w:val="1"/>
                <w:bCs w:val="1"/>
                <w:color w:val="auto"/>
                <w:w w:val="89"/>
              </w:rPr>
              <w:t>(State or Other Jurisdiction</w:t>
            </w:r>
          </w:p>
        </w:tc>
        <w:tc>
          <w:tcPr>
            <w:tcW w:w="4840" w:type="dxa"/>
            <w:vAlign w:val="bottom"/>
          </w:tcPr>
          <w:p>
            <w:pPr>
              <w:spacing w:after="0"/>
              <w:rPr>
                <w:sz w:val="19"/>
                <w:szCs w:val="19"/>
                <w:color w:val="auto"/>
              </w:rPr>
            </w:pPr>
          </w:p>
        </w:tc>
        <w:tc>
          <w:tcPr>
            <w:tcW w:w="1700" w:type="dxa"/>
            <w:vAlign w:val="bottom"/>
          </w:tcPr>
          <w:p>
            <w:pPr>
              <w:jc w:val="center"/>
              <w:ind w:left="564"/>
              <w:spacing w:after="0"/>
              <w:rPr>
                <w:sz w:val="20"/>
                <w:szCs w:val="20"/>
                <w:color w:val="auto"/>
              </w:rPr>
            </w:pPr>
            <w:r>
              <w:rPr>
                <w:rFonts w:ascii="Arial" w:cs="Arial" w:eastAsia="Arial" w:hAnsi="Arial"/>
                <w:sz w:val="14"/>
                <w:szCs w:val="14"/>
                <w:b w:val="1"/>
                <w:bCs w:val="1"/>
                <w:color w:val="auto"/>
                <w:w w:val="94"/>
              </w:rPr>
              <w:t>(IRS Employer</w:t>
            </w:r>
          </w:p>
        </w:tc>
      </w:tr>
      <w:tr>
        <w:trPr>
          <w:trHeight w:val="180"/>
        </w:trPr>
        <w:tc>
          <w:tcPr>
            <w:tcW w:w="2660" w:type="dxa"/>
            <w:vAlign w:val="bottom"/>
          </w:tcPr>
          <w:p>
            <w:pPr>
              <w:jc w:val="center"/>
              <w:ind w:right="243"/>
              <w:spacing w:after="0"/>
              <w:rPr>
                <w:sz w:val="20"/>
                <w:szCs w:val="20"/>
                <w:color w:val="auto"/>
              </w:rPr>
            </w:pPr>
            <w:r>
              <w:rPr>
                <w:rFonts w:ascii="Arial" w:cs="Arial" w:eastAsia="Arial" w:hAnsi="Arial"/>
                <w:sz w:val="14"/>
                <w:szCs w:val="14"/>
                <w:b w:val="1"/>
                <w:bCs w:val="1"/>
                <w:color w:val="auto"/>
                <w:w w:val="91"/>
              </w:rPr>
              <w:t>of Incorporation)</w:t>
            </w:r>
          </w:p>
        </w:tc>
        <w:tc>
          <w:tcPr>
            <w:tcW w:w="4840" w:type="dxa"/>
            <w:vAlign w:val="bottom"/>
          </w:tcPr>
          <w:p>
            <w:pPr>
              <w:jc w:val="center"/>
              <w:ind w:right="243"/>
              <w:spacing w:after="0"/>
              <w:rPr>
                <w:sz w:val="20"/>
                <w:szCs w:val="20"/>
                <w:color w:val="auto"/>
              </w:rPr>
            </w:pPr>
            <w:r>
              <w:rPr>
                <w:rFonts w:ascii="Arial" w:cs="Arial" w:eastAsia="Arial" w:hAnsi="Arial"/>
                <w:sz w:val="14"/>
                <w:szCs w:val="14"/>
                <w:b w:val="1"/>
                <w:bCs w:val="1"/>
                <w:color w:val="auto"/>
                <w:w w:val="89"/>
              </w:rPr>
              <w:t>(Commission File Number)</w:t>
            </w:r>
          </w:p>
        </w:tc>
        <w:tc>
          <w:tcPr>
            <w:tcW w:w="1700" w:type="dxa"/>
            <w:vAlign w:val="bottom"/>
          </w:tcPr>
          <w:p>
            <w:pPr>
              <w:jc w:val="center"/>
              <w:ind w:left="564"/>
              <w:spacing w:after="0"/>
              <w:rPr>
                <w:sz w:val="20"/>
                <w:szCs w:val="20"/>
                <w:color w:val="auto"/>
              </w:rPr>
            </w:pPr>
            <w:r>
              <w:rPr>
                <w:rFonts w:ascii="Arial" w:cs="Arial" w:eastAsia="Arial" w:hAnsi="Arial"/>
                <w:sz w:val="14"/>
                <w:szCs w:val="14"/>
                <w:b w:val="1"/>
                <w:bCs w:val="1"/>
                <w:color w:val="auto"/>
                <w:w w:val="89"/>
              </w:rPr>
              <w:t>Identification No.)</w:t>
            </w:r>
          </w:p>
        </w:tc>
      </w:tr>
      <w:tr>
        <w:trPr>
          <w:trHeight w:val="535"/>
        </w:trPr>
        <w:tc>
          <w:tcPr>
            <w:tcW w:w="2660" w:type="dxa"/>
            <w:vAlign w:val="bottom"/>
          </w:tcPr>
          <w:p>
            <w:pPr>
              <w:jc w:val="center"/>
              <w:ind w:right="223"/>
              <w:spacing w:after="0"/>
              <w:rPr>
                <w:sz w:val="20"/>
                <w:szCs w:val="20"/>
                <w:color w:val="auto"/>
              </w:rPr>
            </w:pPr>
            <w:r>
              <w:rPr>
                <w:rFonts w:ascii="Arial" w:cs="Arial" w:eastAsia="Arial" w:hAnsi="Arial"/>
                <w:sz w:val="17"/>
                <w:szCs w:val="17"/>
                <w:b w:val="1"/>
                <w:bCs w:val="1"/>
                <w:color w:val="auto"/>
                <w:w w:val="91"/>
              </w:rPr>
              <w:t>80 E. Rich Street, Suite 500</w:t>
            </w:r>
          </w:p>
        </w:tc>
        <w:tc>
          <w:tcPr>
            <w:tcW w:w="48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3"/>
        </w:trPr>
        <w:tc>
          <w:tcPr>
            <w:tcW w:w="2660" w:type="dxa"/>
            <w:vAlign w:val="bottom"/>
          </w:tcPr>
          <w:p>
            <w:pPr>
              <w:jc w:val="center"/>
              <w:ind w:right="223"/>
              <w:spacing w:after="0"/>
              <w:rPr>
                <w:sz w:val="20"/>
                <w:szCs w:val="20"/>
                <w:color w:val="auto"/>
              </w:rPr>
            </w:pPr>
            <w:r>
              <w:rPr>
                <w:rFonts w:ascii="Arial" w:cs="Arial" w:eastAsia="Arial" w:hAnsi="Arial"/>
                <w:sz w:val="17"/>
                <w:szCs w:val="17"/>
                <w:b w:val="1"/>
                <w:bCs w:val="1"/>
                <w:color w:val="auto"/>
                <w:w w:val="91"/>
              </w:rPr>
              <w:t>Columbus, Ohio</w:t>
            </w:r>
          </w:p>
        </w:tc>
        <w:tc>
          <w:tcPr>
            <w:tcW w:w="4840" w:type="dxa"/>
            <w:vAlign w:val="bottom"/>
          </w:tcPr>
          <w:p>
            <w:pPr>
              <w:spacing w:after="0"/>
              <w:rPr>
                <w:sz w:val="19"/>
                <w:szCs w:val="19"/>
                <w:color w:val="auto"/>
              </w:rPr>
            </w:pPr>
          </w:p>
        </w:tc>
        <w:tc>
          <w:tcPr>
            <w:tcW w:w="1700" w:type="dxa"/>
            <w:vAlign w:val="bottom"/>
          </w:tcPr>
          <w:p>
            <w:pPr>
              <w:jc w:val="right"/>
              <w:ind w:right="244"/>
              <w:spacing w:after="0"/>
              <w:rPr>
                <w:sz w:val="20"/>
                <w:szCs w:val="20"/>
                <w:color w:val="auto"/>
              </w:rPr>
            </w:pPr>
            <w:r>
              <w:rPr>
                <w:rFonts w:ascii="Arial" w:cs="Arial" w:eastAsia="Arial" w:hAnsi="Arial"/>
                <w:sz w:val="17"/>
                <w:szCs w:val="17"/>
                <w:b w:val="1"/>
                <w:bCs w:val="1"/>
                <w:color w:val="auto"/>
              </w:rPr>
              <w:t>43215</w:t>
            </w:r>
          </w:p>
        </w:tc>
      </w:tr>
      <w:tr>
        <w:trPr>
          <w:trHeight w:val="222"/>
        </w:trPr>
        <w:tc>
          <w:tcPr>
            <w:tcW w:w="2660" w:type="dxa"/>
            <w:vAlign w:val="bottom"/>
          </w:tcPr>
          <w:p>
            <w:pPr>
              <w:jc w:val="center"/>
              <w:ind w:right="243"/>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4840" w:type="dxa"/>
            <w:vAlign w:val="bottom"/>
          </w:tcPr>
          <w:p>
            <w:pPr>
              <w:spacing w:after="0"/>
              <w:rPr>
                <w:sz w:val="19"/>
                <w:szCs w:val="19"/>
                <w:color w:val="auto"/>
              </w:rPr>
            </w:pPr>
          </w:p>
        </w:tc>
        <w:tc>
          <w:tcPr>
            <w:tcW w:w="1700" w:type="dxa"/>
            <w:vAlign w:val="bottom"/>
          </w:tcPr>
          <w:p>
            <w:pPr>
              <w:jc w:val="center"/>
              <w:ind w:left="564"/>
              <w:spacing w:after="0"/>
              <w:rPr>
                <w:sz w:val="20"/>
                <w:szCs w:val="20"/>
                <w:color w:val="auto"/>
              </w:rPr>
            </w:pPr>
            <w:r>
              <w:rPr>
                <w:rFonts w:ascii="Arial" w:cs="Arial" w:eastAsia="Arial" w:hAnsi="Arial"/>
                <w:sz w:val="14"/>
                <w:szCs w:val="14"/>
                <w:b w:val="1"/>
                <w:bCs w:val="1"/>
                <w:color w:val="auto"/>
                <w:w w:val="89"/>
              </w:rPr>
              <w:t>(Zip Code)</w:t>
            </w:r>
          </w:p>
        </w:tc>
      </w:tr>
      <w:tr>
        <w:trPr>
          <w:trHeight w:val="311"/>
        </w:trPr>
        <w:tc>
          <w:tcPr>
            <w:tcW w:w="2660" w:type="dxa"/>
            <w:vAlign w:val="bottom"/>
          </w:tcPr>
          <w:p>
            <w:pPr>
              <w:spacing w:after="0"/>
              <w:rPr>
                <w:sz w:val="24"/>
                <w:szCs w:val="24"/>
                <w:color w:val="auto"/>
              </w:rPr>
            </w:pPr>
          </w:p>
        </w:tc>
        <w:tc>
          <w:tcPr>
            <w:tcW w:w="4840" w:type="dxa"/>
            <w:vAlign w:val="bottom"/>
          </w:tcPr>
          <w:p>
            <w:pPr>
              <w:jc w:val="center"/>
              <w:ind w:right="243"/>
              <w:spacing w:after="0"/>
              <w:rPr>
                <w:sz w:val="20"/>
                <w:szCs w:val="20"/>
                <w:color w:val="auto"/>
              </w:rPr>
            </w:pPr>
            <w:r>
              <w:rPr>
                <w:rFonts w:ascii="Arial" w:cs="Arial" w:eastAsia="Arial" w:hAnsi="Arial"/>
                <w:sz w:val="17"/>
                <w:szCs w:val="17"/>
                <w:b w:val="1"/>
                <w:bCs w:val="1"/>
                <w:color w:val="auto"/>
                <w:w w:val="92"/>
              </w:rPr>
              <w:t>(866) 980-9431</w:t>
            </w:r>
          </w:p>
        </w:tc>
        <w:tc>
          <w:tcPr>
            <w:tcW w:w="1700" w:type="dxa"/>
            <w:vAlign w:val="bottom"/>
          </w:tcPr>
          <w:p>
            <w:pPr>
              <w:spacing w:after="0"/>
              <w:rPr>
                <w:sz w:val="24"/>
                <w:szCs w:val="24"/>
                <w:color w:val="auto"/>
              </w:rPr>
            </w:pPr>
          </w:p>
        </w:tc>
      </w:tr>
      <w:tr>
        <w:trPr>
          <w:trHeight w:val="178"/>
        </w:trPr>
        <w:tc>
          <w:tcPr>
            <w:tcW w:w="2660" w:type="dxa"/>
            <w:vAlign w:val="bottom"/>
          </w:tcPr>
          <w:p>
            <w:pPr>
              <w:spacing w:after="0"/>
              <w:rPr>
                <w:sz w:val="15"/>
                <w:szCs w:val="15"/>
                <w:color w:val="auto"/>
              </w:rPr>
            </w:pPr>
          </w:p>
        </w:tc>
        <w:tc>
          <w:tcPr>
            <w:tcW w:w="4840" w:type="dxa"/>
            <w:vAlign w:val="bottom"/>
          </w:tcPr>
          <w:p>
            <w:pPr>
              <w:jc w:val="center"/>
              <w:ind w:right="243"/>
              <w:spacing w:after="0"/>
              <w:rPr>
                <w:sz w:val="20"/>
                <w:szCs w:val="20"/>
                <w:color w:val="auto"/>
              </w:rPr>
            </w:pPr>
            <w:r>
              <w:rPr>
                <w:rFonts w:ascii="Arial" w:cs="Arial" w:eastAsia="Arial" w:hAnsi="Arial"/>
                <w:sz w:val="14"/>
                <w:szCs w:val="14"/>
                <w:b w:val="1"/>
                <w:bCs w:val="1"/>
                <w:color w:val="auto"/>
                <w:w w:val="88"/>
              </w:rPr>
              <w:t>(Registrant’s Telephone Number, Including Area Code)</w:t>
            </w:r>
          </w:p>
        </w:tc>
        <w:tc>
          <w:tcPr>
            <w:tcW w:w="1700" w:type="dxa"/>
            <w:vAlign w:val="bottom"/>
          </w:tcPr>
          <w:p>
            <w:pPr>
              <w:spacing w:after="0"/>
              <w:rPr>
                <w:sz w:val="15"/>
                <w:szCs w:val="15"/>
                <w:color w:val="auto"/>
              </w:rPr>
            </w:pPr>
          </w:p>
        </w:tc>
      </w:tr>
      <w:tr>
        <w:trPr>
          <w:trHeight w:val="286"/>
        </w:trPr>
        <w:tc>
          <w:tcPr>
            <w:tcW w:w="2660" w:type="dxa"/>
            <w:vAlign w:val="bottom"/>
          </w:tcPr>
          <w:p>
            <w:pPr>
              <w:spacing w:after="0"/>
              <w:rPr>
                <w:sz w:val="24"/>
                <w:szCs w:val="24"/>
                <w:color w:val="auto"/>
              </w:rPr>
            </w:pPr>
          </w:p>
        </w:tc>
        <w:tc>
          <w:tcPr>
            <w:tcW w:w="4840" w:type="dxa"/>
            <w:vAlign w:val="bottom"/>
          </w:tcPr>
          <w:p>
            <w:pPr>
              <w:jc w:val="center"/>
              <w:ind w:right="223"/>
              <w:spacing w:after="0"/>
              <w:rPr>
                <w:sz w:val="20"/>
                <w:szCs w:val="20"/>
                <w:color w:val="auto"/>
              </w:rPr>
            </w:pPr>
            <w:r>
              <w:rPr>
                <w:rFonts w:ascii="Arial" w:cs="Arial" w:eastAsia="Arial" w:hAnsi="Arial"/>
                <w:sz w:val="17"/>
                <w:szCs w:val="17"/>
                <w:b w:val="1"/>
                <w:bCs w:val="1"/>
                <w:color w:val="auto"/>
                <w:w w:val="92"/>
              </w:rPr>
              <w:t>Not Applicable</w:t>
            </w:r>
          </w:p>
        </w:tc>
        <w:tc>
          <w:tcPr>
            <w:tcW w:w="1700" w:type="dxa"/>
            <w:vAlign w:val="bottom"/>
          </w:tcPr>
          <w:p>
            <w:pPr>
              <w:spacing w:after="0"/>
              <w:rPr>
                <w:sz w:val="24"/>
                <w:szCs w:val="24"/>
                <w:color w:val="auto"/>
              </w:rPr>
            </w:pPr>
          </w:p>
        </w:tc>
      </w:tr>
      <w:tr>
        <w:trPr>
          <w:trHeight w:val="178"/>
        </w:trPr>
        <w:tc>
          <w:tcPr>
            <w:tcW w:w="2660" w:type="dxa"/>
            <w:vAlign w:val="bottom"/>
          </w:tcPr>
          <w:p>
            <w:pPr>
              <w:spacing w:after="0"/>
              <w:rPr>
                <w:sz w:val="15"/>
                <w:szCs w:val="15"/>
                <w:color w:val="auto"/>
              </w:rPr>
            </w:pPr>
          </w:p>
        </w:tc>
        <w:tc>
          <w:tcPr>
            <w:tcW w:w="4840" w:type="dxa"/>
            <w:vAlign w:val="bottom"/>
          </w:tcPr>
          <w:p>
            <w:pPr>
              <w:jc w:val="center"/>
              <w:ind w:right="243"/>
              <w:spacing w:after="0"/>
              <w:rPr>
                <w:sz w:val="20"/>
                <w:szCs w:val="20"/>
                <w:color w:val="auto"/>
              </w:rPr>
            </w:pPr>
            <w:r>
              <w:rPr>
                <w:rFonts w:ascii="Arial" w:cs="Arial" w:eastAsia="Arial" w:hAnsi="Arial"/>
                <w:sz w:val="14"/>
                <w:szCs w:val="14"/>
                <w:b w:val="1"/>
                <w:bCs w:val="1"/>
                <w:color w:val="auto"/>
                <w:w w:val="89"/>
              </w:rPr>
              <w:t>(Former Name or Former Address, if Changed Since Last Report)</w:t>
            </w:r>
          </w:p>
        </w:tc>
        <w:tc>
          <w:tcPr>
            <w:tcW w:w="1700" w:type="dxa"/>
            <w:vAlign w:val="bottom"/>
          </w:tcPr>
          <w:p>
            <w:pPr>
              <w:spacing w:after="0"/>
              <w:rPr>
                <w:sz w:val="15"/>
                <w:szCs w:val="15"/>
                <w:color w:val="auto"/>
              </w:rPr>
            </w:pPr>
          </w:p>
        </w:tc>
      </w:tr>
    </w:tbl>
    <w:p>
      <w:pPr>
        <w:spacing w:after="0" w:line="42" w:lineRule="exact"/>
        <w:rPr>
          <w:sz w:val="24"/>
          <w:szCs w:val="24"/>
          <w:color w:val="auto"/>
        </w:rPr>
      </w:pPr>
    </w:p>
    <w:p>
      <w:pPr>
        <w:ind w:left="5100"/>
        <w:spacing w:after="0"/>
        <w:rPr>
          <w:sz w:val="20"/>
          <w:szCs w:val="20"/>
          <w:color w:val="auto"/>
        </w:rPr>
      </w:pPr>
      <w:r>
        <w:rPr>
          <w:rFonts w:ascii="Arial" w:cs="Arial" w:eastAsia="Arial" w:hAnsi="Arial"/>
          <w:sz w:val="21"/>
          <w:szCs w:val="21"/>
          <w:color w:val="auto"/>
        </w:rPr>
        <w:t>__________</w:t>
      </w:r>
    </w:p>
    <w:p>
      <w:pPr>
        <w:spacing w:after="0" w:line="206" w:lineRule="exact"/>
        <w:rPr>
          <w:sz w:val="24"/>
          <w:szCs w:val="24"/>
          <w:color w:val="auto"/>
        </w:rPr>
      </w:pPr>
    </w:p>
    <w:p>
      <w:pPr>
        <w:ind w:right="460"/>
        <w:spacing w:after="0" w:line="27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w:t>
      </w:r>
      <w:r>
        <w:rPr>
          <w:rFonts w:ascii="Arial" w:cs="Arial" w:eastAsia="Arial" w:hAnsi="Arial"/>
          <w:sz w:val="17"/>
          <w:szCs w:val="17"/>
          <w:u w:val="single" w:color="auto"/>
          <w:color w:val="auto"/>
        </w:rPr>
        <w:t>see</w:t>
      </w:r>
      <w:r>
        <w:rPr>
          <w:rFonts w:ascii="Arial" w:cs="Arial" w:eastAsia="Arial" w:hAnsi="Arial"/>
          <w:sz w:val="17"/>
          <w:szCs w:val="17"/>
          <w:color w:val="auto"/>
        </w:rPr>
        <w:t xml:space="preserve"> General Instructions A.2. below):</w:t>
      </w:r>
    </w:p>
    <w:p>
      <w:pPr>
        <w:spacing w:after="0" w:line="61" w:lineRule="exact"/>
        <w:rPr>
          <w:sz w:val="24"/>
          <w:szCs w:val="24"/>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13" w:lineRule="exact"/>
        <w:rPr>
          <w:rFonts w:ascii="MS PGothic" w:cs="MS PGothic" w:eastAsia="MS PGothic" w:hAnsi="MS PGothic"/>
          <w:sz w:val="17"/>
          <w:szCs w:val="17"/>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13" w:lineRule="exact"/>
        <w:rPr>
          <w:rFonts w:ascii="MS PGothic" w:cs="MS PGothic" w:eastAsia="MS PGothic" w:hAnsi="MS PGothic"/>
          <w:sz w:val="17"/>
          <w:szCs w:val="17"/>
          <w:color w:val="auto"/>
        </w:rPr>
      </w:pPr>
    </w:p>
    <w:p>
      <w:pPr>
        <w:ind w:left="320" w:hanging="317"/>
        <w:spacing w:after="0"/>
        <w:tabs>
          <w:tab w:leader="none" w:pos="3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13" w:lineRule="exact"/>
        <w:rPr>
          <w:rFonts w:ascii="MS PGothic" w:cs="MS PGothic" w:eastAsia="MS PGothic" w:hAnsi="MS PGothic"/>
          <w:sz w:val="17"/>
          <w:szCs w:val="17"/>
          <w:color w:val="auto"/>
        </w:rPr>
      </w:pPr>
    </w:p>
    <w:p>
      <w:pPr>
        <w:ind w:right="3240" w:firstLine="3"/>
        <w:spacing w:after="0" w:line="279" w:lineRule="auto"/>
        <w:tabs>
          <w:tab w:leader="none" w:pos="326"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3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7"/>
                <w:szCs w:val="17"/>
                <w:b w:val="1"/>
                <w:bCs w:val="1"/>
                <w:color w:val="auto"/>
                <w:w w:val="88"/>
              </w:rPr>
              <w:t>Name of each exchange on</w:t>
            </w:r>
          </w:p>
        </w:tc>
      </w:tr>
      <w:tr>
        <w:trPr>
          <w:trHeight w:val="223"/>
        </w:trPr>
        <w:tc>
          <w:tcPr>
            <w:tcW w:w="38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Title of each class</w:t>
            </w:r>
          </w:p>
        </w:tc>
        <w:tc>
          <w:tcPr>
            <w:tcW w:w="38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Trading Symbol(s)</w:t>
            </w:r>
          </w:p>
        </w:tc>
        <w:tc>
          <w:tcPr>
            <w:tcW w:w="3580" w:type="dxa"/>
            <w:vAlign w:val="bottom"/>
          </w:tcPr>
          <w:p>
            <w:pPr>
              <w:jc w:val="center"/>
              <w:spacing w:after="0"/>
              <w:rPr>
                <w:sz w:val="20"/>
                <w:szCs w:val="20"/>
                <w:color w:val="auto"/>
              </w:rPr>
            </w:pPr>
            <w:r>
              <w:rPr>
                <w:rFonts w:ascii="Arial" w:cs="Arial" w:eastAsia="Arial" w:hAnsi="Arial"/>
                <w:sz w:val="17"/>
                <w:szCs w:val="17"/>
                <w:b w:val="1"/>
                <w:bCs w:val="1"/>
                <w:color w:val="auto"/>
                <w:w w:val="90"/>
              </w:rPr>
              <w:t>which registered</w:t>
            </w:r>
          </w:p>
        </w:tc>
      </w:tr>
      <w:tr>
        <w:trPr>
          <w:trHeight w:val="27"/>
        </w:trPr>
        <w:tc>
          <w:tcPr>
            <w:tcW w:w="3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6"/>
        </w:trPr>
        <w:tc>
          <w:tcPr>
            <w:tcW w:w="38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Class A Common Stock, $0.0001 par value</w:t>
            </w:r>
          </w:p>
        </w:tc>
        <w:tc>
          <w:tcPr>
            <w:tcW w:w="38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ROOT</w:t>
            </w:r>
          </w:p>
        </w:tc>
        <w:tc>
          <w:tcPr>
            <w:tcW w:w="3580" w:type="dxa"/>
            <w:vAlign w:val="bottom"/>
          </w:tcPr>
          <w:p>
            <w:pPr>
              <w:jc w:val="center"/>
              <w:spacing w:after="0"/>
              <w:rPr>
                <w:sz w:val="20"/>
                <w:szCs w:val="20"/>
                <w:color w:val="auto"/>
              </w:rPr>
            </w:pPr>
            <w:r>
              <w:rPr>
                <w:rFonts w:ascii="Arial" w:cs="Arial" w:eastAsia="Arial" w:hAnsi="Arial"/>
                <w:sz w:val="17"/>
                <w:szCs w:val="17"/>
                <w:b w:val="1"/>
                <w:bCs w:val="1"/>
                <w:color w:val="auto"/>
                <w:w w:val="95"/>
              </w:rPr>
              <w:t>The Nasdaq Stock Market LLC</w:t>
            </w:r>
          </w:p>
        </w:tc>
      </w:tr>
    </w:tbl>
    <w:p>
      <w:pPr>
        <w:spacing w:after="0" w:line="118" w:lineRule="exact"/>
        <w:rPr>
          <w:sz w:val="24"/>
          <w:szCs w:val="24"/>
          <w:color w:val="auto"/>
        </w:rPr>
      </w:pPr>
    </w:p>
    <w:p>
      <w:pPr>
        <w:ind w:right="200"/>
        <w:spacing w:after="0" w:line="279"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9"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ind w:right="48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384810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 Results of Operations and Financial Condition.</w:t>
      </w:r>
    </w:p>
    <w:p>
      <w:pPr>
        <w:spacing w:after="0" w:line="223"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7"/>
          <w:szCs w:val="17"/>
          <w:color w:val="auto"/>
        </w:rPr>
        <w:t>On February 23, 2022, Root, Inc. (the "Company") announced its financial results for the fourth quarter and the full fiscal year ended December 31, 2021, by issuing a Letter to Shareholders (the "Letter"). In the Letter the Company also announced that it would be holding a conference call on February 24, 2022, at 8:00 a.m. Eastern Time to discuss its financial results for the fourth quarter and full fiscal year ended December 31, 2021. A copy of the Letter is furnished as Exhibit 99.1 to this Current Report and incorporated by reference herein.</w:t>
      </w:r>
    </w:p>
    <w:p>
      <w:pPr>
        <w:spacing w:after="0" w:line="13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provided by specific reference in such a filing.</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7.01 Regulation FD Disclosure.</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Hemal Shah, Chief Product Officer, has notified the Company of his intention to resign from the Company, effective March 18, 2022.</w:t>
      </w:r>
    </w:p>
    <w:p>
      <w:pPr>
        <w:spacing w:after="0" w:line="15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Matt Bonakdarpour was appointed Chief Technology Officer of the Company, effective February 23, 2022, and will oversee the Company’s Engineering and Data Science and Analytics organizations.</w:t>
      </w:r>
    </w:p>
    <w:p>
      <w:pPr>
        <w:spacing w:after="0" w:line="19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information contained in Item 7.01 of this Form 8-K shall not be deemed "filed" for purposes of Section 18 of the Exchange Act, or otherwise subject to the liabilities of that section, nor shall it be deemed incorporated by reference in any filing under the Securities Act or the Exchange Act, except as expressly provided by specific reference in such a filing.</w:t>
      </w:r>
    </w:p>
    <w:p>
      <w:pPr>
        <w:spacing w:after="0" w:line="19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3"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7"/>
          <w:szCs w:val="17"/>
          <w:color w:val="auto"/>
        </w:rPr>
        <w:t>(d)</w:t>
      </w:r>
      <w:r>
        <w:rPr>
          <w:sz w:val="20"/>
          <w:szCs w:val="20"/>
          <w:color w:val="auto"/>
        </w:rPr>
        <w:tab/>
      </w:r>
      <w:r>
        <w:rPr>
          <w:rFonts w:ascii="Arial" w:cs="Arial" w:eastAsia="Arial" w:hAnsi="Arial"/>
          <w:sz w:val="15"/>
          <w:szCs w:val="15"/>
          <w:color w:val="auto"/>
        </w:rPr>
        <w:t>Exhibits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 relating to Item 2.02 shall be deemed to be furnished: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40" w:type="dxa"/>
            <w:vAlign w:val="bottom"/>
            <w:gridSpan w:val="2"/>
          </w:tcPr>
          <w:p>
            <w:pPr>
              <w:ind w:left="20"/>
              <w:spacing w:after="0"/>
              <w:rPr>
                <w:sz w:val="20"/>
                <w:szCs w:val="20"/>
                <w:color w:val="auto"/>
              </w:rPr>
            </w:pPr>
            <w:r>
              <w:rPr>
                <w:rFonts w:ascii="Arial" w:cs="Arial" w:eastAsia="Arial" w:hAnsi="Arial"/>
                <w:sz w:val="17"/>
                <w:szCs w:val="17"/>
                <w:color w:val="auto"/>
              </w:rPr>
              <w:t>Exhibit No.</w:t>
            </w:r>
          </w:p>
        </w:tc>
        <w:tc>
          <w:tcPr>
            <w:tcW w:w="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7"/>
                <w:szCs w:val="17"/>
                <w:color w:val="auto"/>
              </w:rPr>
              <w:t>Description</w:t>
            </w:r>
          </w:p>
        </w:tc>
      </w:tr>
      <w:tr>
        <w:trPr>
          <w:trHeight w:val="27"/>
        </w:trPr>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r>
      <w:tr>
        <w:trPr>
          <w:trHeight w:val="199"/>
        </w:trPr>
        <w:tc>
          <w:tcPr>
            <w:tcW w:w="1360" w:type="dxa"/>
            <w:vAlign w:val="bottom"/>
          </w:tcPr>
          <w:p>
            <w:pPr>
              <w:ind w:left="20"/>
              <w:spacing w:after="0"/>
              <w:rPr>
                <w:sz w:val="20"/>
                <w:szCs w:val="20"/>
                <w:color w:val="auto"/>
              </w:rPr>
            </w:pPr>
            <w:r>
              <w:rPr>
                <w:rFonts w:ascii="Arial" w:cs="Arial" w:eastAsia="Arial" w:hAnsi="Arial"/>
                <w:sz w:val="17"/>
                <w:szCs w:val="17"/>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bottom w:val="single" w:sz="8" w:color="0000FF"/>
            </w:tcBorders>
          </w:tcPr>
          <w:p>
            <w:pPr>
              <w:spacing w:after="0"/>
              <w:rPr>
                <w:rFonts w:ascii="Arial" w:cs="Arial" w:eastAsia="Arial" w:hAnsi="Arial"/>
                <w:sz w:val="17"/>
                <w:szCs w:val="17"/>
                <w:color w:val="0000FF"/>
                <w:w w:val="90"/>
              </w:rPr>
            </w:pPr>
            <w:hyperlink w:anchor="page4">
              <w:r>
                <w:rPr>
                  <w:rFonts w:ascii="Arial" w:cs="Arial" w:eastAsia="Arial" w:hAnsi="Arial"/>
                  <w:sz w:val="17"/>
                  <w:szCs w:val="17"/>
                  <w:color w:val="0000FF"/>
                  <w:w w:val="90"/>
                </w:rPr>
                <w:t>Letter to Shareholders, dated February 23, 2022</w:t>
              </w:r>
            </w:hyperlink>
          </w:p>
        </w:tc>
        <w:tc>
          <w:tcPr>
            <w:tcW w:w="6480" w:type="dxa"/>
            <w:vAlign w:val="bottom"/>
          </w:tcPr>
          <w:p>
            <w:pPr>
              <w:spacing w:after="0"/>
              <w:rPr>
                <w:sz w:val="17"/>
                <w:szCs w:val="17"/>
                <w:color w:val="auto"/>
              </w:rPr>
            </w:pPr>
          </w:p>
        </w:tc>
      </w:tr>
      <w:tr>
        <w:trPr>
          <w:trHeight w:val="288"/>
        </w:trPr>
        <w:tc>
          <w:tcPr>
            <w:tcW w:w="1360" w:type="dxa"/>
            <w:vAlign w:val="bottom"/>
          </w:tcPr>
          <w:p>
            <w:pPr>
              <w:ind w:left="20"/>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7"/>
                <w:szCs w:val="17"/>
                <w:color w:val="auto"/>
              </w:rPr>
              <w:t>The cover page from this Current Report on Form 8-K, formatted in Inline XBRL.</w:t>
            </w:r>
          </w:p>
        </w:tc>
      </w:tr>
      <w:tr>
        <w:trPr>
          <w:trHeight w:val="2083"/>
        </w:trPr>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hereunto duly authorized.</w:t>
      </w:r>
    </w:p>
    <w:p>
      <w:pPr>
        <w:spacing w:after="0" w:line="223" w:lineRule="exact"/>
        <w:rPr>
          <w:sz w:val="20"/>
          <w:szCs w:val="20"/>
          <w:color w:val="auto"/>
        </w:rPr>
      </w:pPr>
    </w:p>
    <w:p>
      <w:pPr>
        <w:jc w:val="center"/>
        <w:ind w:left="380"/>
        <w:spacing w:after="0"/>
        <w:rPr>
          <w:sz w:val="20"/>
          <w:szCs w:val="20"/>
          <w:color w:val="auto"/>
        </w:rPr>
      </w:pPr>
      <w:r>
        <w:rPr>
          <w:rFonts w:ascii="Arial" w:cs="Arial" w:eastAsia="Arial" w:hAnsi="Arial"/>
          <w:sz w:val="17"/>
          <w:szCs w:val="17"/>
          <w:b w:val="1"/>
          <w:bCs w:val="1"/>
          <w:color w:val="auto"/>
        </w:rPr>
        <w:t>ROOT, INC.</w:t>
      </w:r>
    </w:p>
    <w:p>
      <w:pPr>
        <w:spacing w:after="0" w:line="3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Dated: February 23, 2022</w:t>
      </w:r>
    </w:p>
    <w:p>
      <w:pPr>
        <w:spacing w:after="0" w:line="75" w:lineRule="exact"/>
        <w:rPr>
          <w:sz w:val="20"/>
          <w:szCs w:val="20"/>
          <w:color w:val="auto"/>
        </w:rPr>
      </w:pPr>
    </w:p>
    <w:p>
      <w:pPr>
        <w:ind w:left="5360"/>
        <w:spacing w:after="0"/>
        <w:tabs>
          <w:tab w:leader="none" w:pos="59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31115</wp:posOffset>
            </wp:positionV>
            <wp:extent cx="3397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68"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Alexander Timm</w:t>
      </w:r>
    </w:p>
    <w:p>
      <w:pPr>
        <w:spacing w:after="0" w:line="7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Chief Executive Officer and Director</w:t>
      </w:r>
    </w:p>
    <w:p>
      <w:pPr>
        <w:sectPr>
          <w:pgSz w:w="11900" w:h="16838" w:orient="portrait"/>
          <w:cols w:equalWidth="0" w:num="1">
            <w:col w:w="11120"/>
          </w:cols>
          <w:pgMar w:left="320" w:top="1359" w:right="459" w:bottom="1440" w:gutter="0" w:footer="0" w:header="0"/>
        </w:sectPr>
      </w:pPr>
    </w:p>
    <w:bookmarkStart w:id="3" w:name="page4"/>
    <w:bookmarkEnd w:id="3"/>
    <w:p>
      <w:pPr>
        <w:spacing w:after="0"/>
        <w:rPr>
          <w:sz w:val="20"/>
          <w:szCs w:val="20"/>
          <w:color w:val="auto"/>
        </w:rPr>
      </w:pPr>
      <w:r>
        <w:rPr>
          <w:rFonts w:ascii="Arial" w:cs="Arial" w:eastAsia="Arial" w:hAnsi="Arial"/>
          <w:sz w:val="96"/>
          <w:szCs w:val="96"/>
          <w:color w:val="FF5715"/>
        </w:rPr>
        <w:t>Q4 2021</w:t>
      </w:r>
    </w:p>
    <w:p>
      <w:pPr>
        <w:spacing w:after="0" w:line="47" w:lineRule="exact"/>
        <w:rPr>
          <w:sz w:val="20"/>
          <w:szCs w:val="20"/>
          <w:color w:val="auto"/>
        </w:rPr>
      </w:pPr>
    </w:p>
    <w:p>
      <w:pPr>
        <w:ind w:right="4899"/>
        <w:spacing w:after="0" w:line="261" w:lineRule="auto"/>
        <w:rPr>
          <w:sz w:val="20"/>
          <w:szCs w:val="20"/>
          <w:color w:val="auto"/>
        </w:rPr>
      </w:pPr>
      <w:r>
        <w:rPr>
          <w:rFonts w:ascii="Arial" w:cs="Arial" w:eastAsia="Arial" w:hAnsi="Arial"/>
          <w:sz w:val="96"/>
          <w:szCs w:val="96"/>
          <w:color w:val="auto"/>
        </w:rPr>
        <w:t>Shareholder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1680845</wp:posOffset>
            </wp:positionV>
            <wp:extent cx="6745605" cy="2202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45605" cy="2202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4455795</wp:posOffset>
            </wp:positionV>
            <wp:extent cx="671195" cy="212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1195" cy="21272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color w:val="242424"/>
        </w:rPr>
        <w:t>Letter to Shareholders: FY 2021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B6B6B6"/>
        </w:rPr>
        <w:t>____________________________________________________________________________________________________________</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7"/>
          <w:szCs w:val="27"/>
          <w:b w:val="1"/>
          <w:bCs w:val="1"/>
          <w:color w:val="FF5715"/>
        </w:rPr>
        <w:t>Key annual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5836920" cy="7187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36920" cy="718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40"/>
        <w:spacing w:after="0"/>
        <w:rPr>
          <w:sz w:val="20"/>
          <w:szCs w:val="20"/>
          <w:color w:val="auto"/>
        </w:rPr>
      </w:pPr>
      <w:r>
        <w:rPr>
          <w:rFonts w:ascii="Arial" w:cs="Arial" w:eastAsia="Arial" w:hAnsi="Arial"/>
          <w:sz w:val="17"/>
          <w:szCs w:val="17"/>
          <w:color w:val="929292"/>
        </w:rPr>
        <w:t>2</w:t>
      </w:r>
    </w:p>
    <w:p>
      <w:pPr>
        <w:sectPr>
          <w:pgSz w:w="11900" w:h="16838" w:orient="portrait"/>
          <w:cols w:equalWidth="0" w:num="1">
            <w:col w:w="11340"/>
          </w:cols>
          <w:pgMar w:left="320" w:top="344" w:right="239" w:bottom="1440" w:gutter="0" w:footer="0" w:header="0"/>
        </w:sectPr>
      </w:pPr>
    </w:p>
    <w:bookmarkStart w:id="5" w:name="page6"/>
    <w:bookmarkEnd w:id="5"/>
    <w:p>
      <w:pPr>
        <w:spacing w:after="0"/>
        <w:rPr>
          <w:sz w:val="20"/>
          <w:szCs w:val="20"/>
          <w:color w:val="auto"/>
        </w:rPr>
      </w:pPr>
      <w:r>
        <w:rPr>
          <w:rFonts w:ascii="Arial" w:cs="Arial" w:eastAsia="Arial" w:hAnsi="Arial"/>
          <w:sz w:val="19"/>
          <w:szCs w:val="19"/>
          <w:b w:val="1"/>
          <w:bCs w:val="1"/>
          <w:color w:val="242424"/>
        </w:rPr>
        <w:t>Letter to Shareholders: FY 2021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B6B6B6"/>
        </w:rPr>
        <w:t>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7"/>
          <w:szCs w:val="27"/>
          <w:b w:val="1"/>
          <w:bCs w:val="1"/>
          <w:color w:val="FF5715"/>
        </w:rPr>
        <w:t>Dear Shareholders:</w:t>
      </w:r>
    </w:p>
    <w:p>
      <w:pPr>
        <w:spacing w:after="0" w:line="200" w:lineRule="exact"/>
        <w:rPr>
          <w:sz w:val="20"/>
          <w:szCs w:val="20"/>
          <w:color w:val="auto"/>
        </w:rPr>
      </w:pPr>
    </w:p>
    <w:p>
      <w:pPr>
        <w:spacing w:after="0" w:line="300" w:lineRule="exact"/>
        <w:rPr>
          <w:sz w:val="20"/>
          <w:szCs w:val="20"/>
          <w:color w:val="auto"/>
        </w:rPr>
      </w:pPr>
    </w:p>
    <w:p>
      <w:pPr>
        <w:ind w:right="100"/>
        <w:spacing w:after="0" w:line="370" w:lineRule="auto"/>
        <w:rPr>
          <w:sz w:val="20"/>
          <w:szCs w:val="20"/>
          <w:color w:val="auto"/>
        </w:rPr>
      </w:pPr>
      <w:r>
        <w:rPr>
          <w:rFonts w:ascii="Arial" w:cs="Arial" w:eastAsia="Arial" w:hAnsi="Arial"/>
          <w:sz w:val="17"/>
          <w:szCs w:val="17"/>
          <w:color w:val="auto"/>
        </w:rPr>
        <w:t>2021 was a challenging year for insurtechs and auto insurer capital market investors as inflationary pressures led to rapidly accelerating loss trends. Despite the challenges of our new environment, Root’s technology has enabled us to not only recognize the trends early, but take swift action to proactively address these environmental pressures.</w:t>
      </w:r>
    </w:p>
    <w:p>
      <w:pPr>
        <w:spacing w:after="0" w:line="218" w:lineRule="exact"/>
        <w:rPr>
          <w:sz w:val="20"/>
          <w:szCs w:val="20"/>
          <w:color w:val="auto"/>
        </w:rPr>
      </w:pPr>
    </w:p>
    <w:p>
      <w:pPr>
        <w:ind w:right="120"/>
        <w:spacing w:after="0" w:line="370" w:lineRule="auto"/>
        <w:rPr>
          <w:sz w:val="20"/>
          <w:szCs w:val="20"/>
          <w:color w:val="auto"/>
        </w:rPr>
      </w:pPr>
      <w:r>
        <w:rPr>
          <w:rFonts w:ascii="Arial" w:cs="Arial" w:eastAsia="Arial" w:hAnsi="Arial"/>
          <w:sz w:val="17"/>
          <w:szCs w:val="17"/>
          <w:color w:val="auto"/>
        </w:rPr>
        <w:t>While we’ve learned from and adjusted to these challenges, our underlying belief in our business has not changed. By focusing on data science and technology, we continue to drive increased efficiencies and segmentation. With our transformational Carvana partnership, we are reinventing how and when insurance products are purchased. We believe these investments will meaningfully build better customer experiences and a path to profit.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Furthermore, we’re excited to say that our beliefs are backed by our data, as seen in our results:</w:t>
      </w:r>
    </w:p>
    <w:p>
      <w:pPr>
        <w:spacing w:after="0" w:line="307" w:lineRule="exact"/>
        <w:rPr>
          <w:sz w:val="20"/>
          <w:szCs w:val="20"/>
          <w:color w:val="auto"/>
        </w:rPr>
      </w:pPr>
    </w:p>
    <w:p>
      <w:pPr>
        <w:ind w:left="620" w:right="140" w:hanging="307"/>
        <w:spacing w:after="0" w:line="357" w:lineRule="auto"/>
        <w:tabs>
          <w:tab w:leader="none" w:pos="622" w:val="left"/>
        </w:tabs>
        <w:numPr>
          <w:ilvl w:val="0"/>
          <w:numId w:val="2"/>
        </w:numPr>
        <w:rPr>
          <w:rFonts w:ascii="Arial" w:cs="Arial" w:eastAsia="Arial" w:hAnsi="Arial"/>
          <w:sz w:val="19"/>
          <w:szCs w:val="19"/>
          <w:color w:val="auto"/>
        </w:rPr>
      </w:pPr>
      <w:r>
        <w:rPr>
          <w:rFonts w:ascii="Arial" w:cs="Arial" w:eastAsia="Arial" w:hAnsi="Arial"/>
          <w:sz w:val="17"/>
          <w:szCs w:val="17"/>
          <w:color w:val="auto"/>
        </w:rPr>
        <w:t>Stabilized loss ratios versus Q3 despite auto insurance peers continuing to report sequential increases in Q4. This was a result of improved underwriting, segmentation, and state management efforts. The speed at which we responded to trend was only possible because our data science and technology allowed us to spot the trend early and act quickly. To do this while also shipping the next generation of our segmentation models is our strategy in action.</w:t>
      </w:r>
    </w:p>
    <w:p>
      <w:pPr>
        <w:spacing w:after="0" w:line="1" w:lineRule="exact"/>
        <w:rPr>
          <w:rFonts w:ascii="Arial" w:cs="Arial" w:eastAsia="Arial" w:hAnsi="Arial"/>
          <w:sz w:val="19"/>
          <w:szCs w:val="19"/>
          <w:color w:val="auto"/>
        </w:rPr>
      </w:pPr>
    </w:p>
    <w:p>
      <w:pPr>
        <w:ind w:left="620" w:right="860" w:hanging="307"/>
        <w:spacing w:after="0" w:line="364" w:lineRule="auto"/>
        <w:tabs>
          <w:tab w:leader="none" w:pos="616" w:val="left"/>
        </w:tabs>
        <w:numPr>
          <w:ilvl w:val="0"/>
          <w:numId w:val="2"/>
        </w:numPr>
        <w:rPr>
          <w:rFonts w:ascii="Arial" w:cs="Arial" w:eastAsia="Arial" w:hAnsi="Arial"/>
          <w:sz w:val="17"/>
          <w:szCs w:val="17"/>
          <w:color w:val="auto"/>
        </w:rPr>
      </w:pPr>
      <w:r>
        <w:rPr>
          <w:rFonts w:ascii="Arial" w:cs="Arial" w:eastAsia="Arial" w:hAnsi="Arial"/>
          <w:sz w:val="17"/>
          <w:szCs w:val="17"/>
          <w:color w:val="auto"/>
        </w:rPr>
        <w:t>Shipped and iterated on the Carvana embedded product, increasing weekly new writings from our platform by 3.5x and setting the groundwork for further expansion.</w:t>
      </w: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Reduced direct operating loss from $172 million in Q2 to $92 million in Q4.</w:t>
      </w:r>
    </w:p>
    <w:p>
      <w:pPr>
        <w:spacing w:after="0" w:line="101" w:lineRule="exact"/>
        <w:rPr>
          <w:rFonts w:ascii="Arial" w:cs="Arial" w:eastAsia="Arial" w:hAnsi="Arial"/>
          <w:sz w:val="17"/>
          <w:szCs w:val="17"/>
          <w:color w:val="auto"/>
        </w:rPr>
      </w:pPr>
    </w:p>
    <w:p>
      <w:pPr>
        <w:ind w:left="620" w:right="100" w:hanging="307"/>
        <w:spacing w:after="0" w:line="364" w:lineRule="auto"/>
        <w:tabs>
          <w:tab w:leader="none" w:pos="616" w:val="left"/>
        </w:tabs>
        <w:numPr>
          <w:ilvl w:val="0"/>
          <w:numId w:val="2"/>
        </w:numPr>
        <w:rPr>
          <w:rFonts w:ascii="Arial" w:cs="Arial" w:eastAsia="Arial" w:hAnsi="Arial"/>
          <w:sz w:val="17"/>
          <w:szCs w:val="17"/>
          <w:color w:val="auto"/>
        </w:rPr>
      </w:pPr>
      <w:r>
        <w:rPr>
          <w:rFonts w:ascii="Arial" w:cs="Arial" w:eastAsia="Arial" w:hAnsi="Arial"/>
          <w:sz w:val="17"/>
          <w:szCs w:val="17"/>
          <w:color w:val="auto"/>
        </w:rPr>
        <w:t>Materially reduced our cash burn in response to the loss environment by cutting marketing spend by 62% in Q4 and run-rate fixed expenses by roughly $48 million annually from peak 2021 levels. This material, decisive action shows our agility and ability to optimize for profit when the environment calls for it.</w:t>
      </w:r>
    </w:p>
    <w:p>
      <w:pPr>
        <w:ind w:left="620" w:right="500" w:hanging="307"/>
        <w:spacing w:after="0" w:line="376" w:lineRule="auto"/>
        <w:tabs>
          <w:tab w:leader="none" w:pos="616" w:val="left"/>
        </w:tabs>
        <w:numPr>
          <w:ilvl w:val="0"/>
          <w:numId w:val="2"/>
        </w:numPr>
        <w:rPr>
          <w:rFonts w:ascii="Arial" w:cs="Arial" w:eastAsia="Arial" w:hAnsi="Arial"/>
          <w:sz w:val="17"/>
          <w:szCs w:val="17"/>
          <w:color w:val="auto"/>
        </w:rPr>
      </w:pPr>
      <w:r>
        <w:rPr>
          <w:rFonts w:ascii="Arial" w:cs="Arial" w:eastAsia="Arial" w:hAnsi="Arial"/>
          <w:sz w:val="17"/>
          <w:szCs w:val="17"/>
          <w:color w:val="auto"/>
        </w:rPr>
        <w:t>Closed our BlackRock term loan facility of $300 million with a 5-year duration in Q1’22. This is both longer duration and larger than any facility we have secured to date, providing new capital for us to focus on our long-term path to profit.</w:t>
      </w:r>
    </w:p>
    <w:p>
      <w:pPr>
        <w:spacing w:after="0" w:line="213" w:lineRule="exact"/>
        <w:rPr>
          <w:sz w:val="20"/>
          <w:szCs w:val="20"/>
          <w:color w:val="auto"/>
        </w:rPr>
      </w:pPr>
    </w:p>
    <w:p>
      <w:pPr>
        <w:ind w:right="280"/>
        <w:spacing w:after="0" w:line="367" w:lineRule="auto"/>
        <w:rPr>
          <w:sz w:val="20"/>
          <w:szCs w:val="20"/>
          <w:color w:val="auto"/>
        </w:rPr>
      </w:pPr>
      <w:r>
        <w:rPr>
          <w:rFonts w:ascii="Arial" w:cs="Arial" w:eastAsia="Arial" w:hAnsi="Arial"/>
          <w:sz w:val="17"/>
          <w:szCs w:val="17"/>
          <w:color w:val="auto"/>
        </w:rPr>
        <w:t>When scaling an insurance company, there are high fixed costs upfront—product development, acquisition costs, and the cost to acquire data to train our algorithms. Over the last six years, we have borne many of these costs as we strengthen the competitive advantage that comes from our data science and technology. As we mature and our environment has shifted, the focus on the profitability of the business we’re writing has improved significantly over the last few quarters. We believe we have line of sight to profitable unit economics and capital to execute on the strategic priorities to get us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615315</wp:posOffset>
            </wp:positionV>
            <wp:extent cx="671195" cy="212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11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640"/>
        <w:spacing w:after="0"/>
        <w:rPr>
          <w:sz w:val="20"/>
          <w:szCs w:val="20"/>
          <w:color w:val="auto"/>
        </w:rPr>
      </w:pPr>
      <w:r>
        <w:rPr>
          <w:rFonts w:ascii="Arial" w:cs="Arial" w:eastAsia="Arial" w:hAnsi="Arial"/>
          <w:sz w:val="17"/>
          <w:szCs w:val="17"/>
          <w:color w:val="929292"/>
        </w:rPr>
        <w:t>3</w:t>
      </w:r>
    </w:p>
    <w:p>
      <w:pPr>
        <w:sectPr>
          <w:pgSz w:w="11900" w:h="16838" w:orient="portrait"/>
          <w:cols w:equalWidth="0" w:num="1">
            <w:col w:w="11340"/>
          </w:cols>
          <w:pgMar w:left="320" w:top="344" w:right="239"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color w:val="242424"/>
        </w:rPr>
        <w:t>Letter to Shareholders: FY 2021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B6B6B6"/>
        </w:rPr>
        <w:t>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7"/>
          <w:szCs w:val="27"/>
          <w:b w:val="1"/>
          <w:bCs w:val="1"/>
          <w:color w:val="FF5715"/>
        </w:rPr>
        <w:t>Q4 2021 highlights:</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All figures are compared to Q4 2020 unless otherwise stated.</w:t>
      </w:r>
    </w:p>
    <w:p>
      <w:pPr>
        <w:spacing w:after="0" w:line="351"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Gross written premium increased 9% to $158 million</w:t>
      </w:r>
    </w:p>
    <w:p>
      <w:pPr>
        <w:spacing w:after="0" w:line="10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Gross earned premium increased 22% to $189 million; Gross earned premium from seasoned states was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31750</wp:posOffset>
            </wp:positionV>
            <wp:extent cx="3380740" cy="2456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80740" cy="2456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Renewal premium % of gross earned premiums remained roughly steady over Q4 2020 at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31750</wp:posOffset>
            </wp:positionV>
            <wp:extent cx="5116195" cy="1882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16195" cy="1882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Gross profit decreased by $17 million to $(23) million as our results remain pressured by the current loss cost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842645</wp:posOffset>
            </wp:positionV>
            <wp:extent cx="671195" cy="212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11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640"/>
        <w:spacing w:after="0"/>
        <w:rPr>
          <w:sz w:val="20"/>
          <w:szCs w:val="20"/>
          <w:color w:val="auto"/>
        </w:rPr>
      </w:pPr>
      <w:r>
        <w:rPr>
          <w:rFonts w:ascii="Arial" w:cs="Arial" w:eastAsia="Arial" w:hAnsi="Arial"/>
          <w:sz w:val="17"/>
          <w:szCs w:val="17"/>
          <w:color w:val="929292"/>
        </w:rPr>
        <w:t>4</w:t>
      </w:r>
    </w:p>
    <w:p>
      <w:pPr>
        <w:sectPr>
          <w:pgSz w:w="11900" w:h="16838" w:orient="portrait"/>
          <w:cols w:equalWidth="0" w:num="1">
            <w:col w:w="11340"/>
          </w:cols>
          <w:pgMar w:left="320" w:top="344" w:right="23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242424"/>
        </w:rPr>
        <w:t>Letter to Shareholders: FY 2021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B6B6B6"/>
        </w:rPr>
        <w:t>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b w:val="1"/>
          <w:bCs w:val="1"/>
          <w:color w:val="FF5715"/>
        </w:rPr>
        <w:t>Customer Experience</w:t>
      </w:r>
    </w:p>
    <w:p>
      <w:pPr>
        <w:spacing w:after="0" w:line="178" w:lineRule="exact"/>
        <w:rPr>
          <w:sz w:val="20"/>
          <w:szCs w:val="20"/>
          <w:color w:val="auto"/>
        </w:rPr>
      </w:pPr>
    </w:p>
    <w:p>
      <w:pPr>
        <w:ind w:right="140"/>
        <w:spacing w:after="0" w:line="368" w:lineRule="auto"/>
        <w:rPr>
          <w:sz w:val="20"/>
          <w:szCs w:val="20"/>
          <w:color w:val="auto"/>
        </w:rPr>
      </w:pPr>
      <w:r>
        <w:rPr>
          <w:rFonts w:ascii="Arial" w:cs="Arial" w:eastAsia="Arial" w:hAnsi="Arial"/>
          <w:sz w:val="17"/>
          <w:szCs w:val="17"/>
          <w:color w:val="auto"/>
        </w:rPr>
        <w:t>We fight every day to meet a customer’s evolving needs by leveraging our technology to dramatically improve the customer experience. Our unique ability to meet consumers where they are with embedded products enables us to cost-efficiently address a pressing auto insurance need at the point it arises. The combination of convenience, fair pricing, and unparalleled customer service from binding through claims are the building blocks of long-term customer loyalty.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b w:val="1"/>
          <w:bCs w:val="1"/>
          <w:color w:val="FF5715"/>
        </w:rPr>
        <w:t>Carvana update</w:t>
      </w:r>
    </w:p>
    <w:p>
      <w:pPr>
        <w:spacing w:after="0" w:line="125" w:lineRule="exact"/>
        <w:rPr>
          <w:sz w:val="20"/>
          <w:szCs w:val="20"/>
          <w:color w:val="auto"/>
        </w:rPr>
      </w:pPr>
    </w:p>
    <w:p>
      <w:pPr>
        <w:ind w:right="180"/>
        <w:spacing w:after="0" w:line="367" w:lineRule="auto"/>
        <w:rPr>
          <w:sz w:val="20"/>
          <w:szCs w:val="20"/>
          <w:color w:val="auto"/>
        </w:rPr>
      </w:pPr>
      <w:r>
        <w:rPr>
          <w:rFonts w:ascii="Arial" w:cs="Arial" w:eastAsia="Arial" w:hAnsi="Arial"/>
          <w:sz w:val="17"/>
          <w:szCs w:val="17"/>
          <w:color w:val="auto"/>
        </w:rPr>
        <w:t>Our exclusive partnership with Carvana is the first step to building an industry-leading embedded experience with the ideal partner that is the fastest-growing auto seller in the United States and shares our passion for the customer experience. This product provides attractive customer acquisition costs to high-retaining customers. We announced the partnership in August and got to work with our Carvana counterparts immediately. Through our shared commitment to build the very best technology, the quality and effectiveness of what we’ve been able to develop in less than six months has surpassed expectations on both sides. We are openly collaborating so we can rapidly iterate on the product.</w:t>
      </w:r>
    </w:p>
    <w:p>
      <w:pPr>
        <w:spacing w:after="0" w:line="220" w:lineRule="exact"/>
        <w:rPr>
          <w:sz w:val="20"/>
          <w:szCs w:val="20"/>
          <w:color w:val="auto"/>
        </w:rPr>
      </w:pPr>
    </w:p>
    <w:p>
      <w:pPr>
        <w:ind w:right="200"/>
        <w:spacing w:after="0" w:line="366" w:lineRule="auto"/>
        <w:rPr>
          <w:sz w:val="20"/>
          <w:szCs w:val="20"/>
          <w:color w:val="auto"/>
        </w:rPr>
      </w:pPr>
      <w:r>
        <w:rPr>
          <w:rFonts w:ascii="Arial" w:cs="Arial" w:eastAsia="Arial" w:hAnsi="Arial"/>
          <w:sz w:val="17"/>
          <w:szCs w:val="17"/>
          <w:color w:val="auto"/>
        </w:rPr>
        <w:t>Fast-follow improvements in the first version of the embedded product include a quote presented as part of the Carvana workflow, automated proof of insurance, pre-filled bind flow, and less than our average 47 seconds needed for the customer to obtain a “Carvana Insurance, Built with Root” policy. Additionally, Carvana’s reconditioning centers allow for full knowledge of the condition of the car before a quote is presented to a customer, driving more accuracy for us and less disruption to the customer. While it’s early, and we’re adding new states to the embedded footprint each week, the metrics around attach rate, loss ratio, and retention look extremely positive. We expect that Carvana customers will represent a material percentage of our new writings in Q1 and continue to build throughout the year.</w:t>
      </w:r>
    </w:p>
    <w:p>
      <w:pPr>
        <w:spacing w:after="0" w:line="223" w:lineRule="exact"/>
        <w:rPr>
          <w:sz w:val="20"/>
          <w:szCs w:val="20"/>
          <w:color w:val="auto"/>
        </w:rPr>
      </w:pPr>
    </w:p>
    <w:p>
      <w:pPr>
        <w:ind w:right="100"/>
        <w:spacing w:after="0" w:line="368" w:lineRule="auto"/>
        <w:rPr>
          <w:sz w:val="20"/>
          <w:szCs w:val="20"/>
          <w:color w:val="auto"/>
        </w:rPr>
      </w:pPr>
      <w:r>
        <w:rPr>
          <w:rFonts w:ascii="Arial" w:cs="Arial" w:eastAsia="Arial" w:hAnsi="Arial"/>
          <w:sz w:val="17"/>
          <w:szCs w:val="17"/>
          <w:color w:val="auto"/>
        </w:rPr>
        <w:t>As we have driven product market fit, Carvana decided to increase our share of traffic. This shift took place months ahead of what was committed to in our initial agreement, reflecting both the success of the partnership and Carvana’s enthusiasm over the level of interest their customers have shown in our embedded offering. We expect to continue to improve customer adoption as we dramatically improve customer experience, learn more around what drives bind rates, and continue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762000</wp:posOffset>
            </wp:positionV>
            <wp:extent cx="671195" cy="212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11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640"/>
        <w:spacing w:after="0"/>
        <w:rPr>
          <w:sz w:val="20"/>
          <w:szCs w:val="20"/>
          <w:color w:val="auto"/>
        </w:rPr>
      </w:pPr>
      <w:r>
        <w:rPr>
          <w:rFonts w:ascii="Arial" w:cs="Arial" w:eastAsia="Arial" w:hAnsi="Arial"/>
          <w:sz w:val="17"/>
          <w:szCs w:val="17"/>
          <w:color w:val="929292"/>
        </w:rPr>
        <w:t>5</w:t>
      </w:r>
    </w:p>
    <w:p>
      <w:pPr>
        <w:sectPr>
          <w:pgSz w:w="11900" w:h="16838" w:orient="portrait"/>
          <w:cols w:equalWidth="0" w:num="1">
            <w:col w:w="11340"/>
          </w:cols>
          <w:pgMar w:left="320" w:top="344" w:right="239" w:bottom="1440" w:gutter="0" w:footer="0" w:header="0"/>
        </w:sectPr>
      </w:pPr>
    </w:p>
    <w:bookmarkStart w:id="8" w:name="page9"/>
    <w:bookmarkEnd w:id="8"/>
    <w:p>
      <w:pPr>
        <w:spacing w:after="0"/>
        <w:rPr>
          <w:sz w:val="20"/>
          <w:szCs w:val="20"/>
          <w:color w:val="auto"/>
        </w:rPr>
      </w:pPr>
      <w:r>
        <w:rPr>
          <w:rFonts w:ascii="Arial" w:cs="Arial" w:eastAsia="Arial" w:hAnsi="Arial"/>
          <w:sz w:val="19"/>
          <w:szCs w:val="19"/>
          <w:b w:val="1"/>
          <w:bCs w:val="1"/>
          <w:color w:val="242424"/>
        </w:rPr>
        <w:t>Letter to Shareholders: FY 2021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B6B6B6"/>
        </w:rPr>
        <w:t>____________________________________________________________________________________________________________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370205</wp:posOffset>
            </wp:positionV>
            <wp:extent cx="1637030" cy="499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37030" cy="49911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1148080</wp:posOffset>
            </wp:positionV>
            <wp:extent cx="5108575" cy="1924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08575" cy="1924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120"/>
        <w:spacing w:after="0" w:line="370" w:lineRule="auto"/>
        <w:rPr>
          <w:sz w:val="20"/>
          <w:szCs w:val="20"/>
          <w:color w:val="auto"/>
        </w:rPr>
      </w:pPr>
      <w:r>
        <w:rPr>
          <w:rFonts w:ascii="Arial" w:cs="Arial" w:eastAsia="Arial" w:hAnsi="Arial"/>
          <w:sz w:val="17"/>
          <w:szCs w:val="17"/>
          <w:color w:val="auto"/>
        </w:rPr>
        <w:t>Our next step is focused on building V2 of our embedded product with Carvana. This includes exploring how we could use telematics information in pricing, underwriting, and customer experience. We also are building a brokerage offering to serve customers in states where Root doesn’t currently write business.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1"/>
          <w:szCs w:val="21"/>
          <w:b w:val="1"/>
          <w:bCs w:val="1"/>
          <w:color w:val="FF5715"/>
        </w:rPr>
        <w:t>Distribution / Expansion</w:t>
      </w:r>
    </w:p>
    <w:p>
      <w:pPr>
        <w:spacing w:after="0" w:line="125" w:lineRule="exact"/>
        <w:rPr>
          <w:sz w:val="20"/>
          <w:szCs w:val="20"/>
          <w:color w:val="auto"/>
        </w:rPr>
      </w:pPr>
    </w:p>
    <w:p>
      <w:pPr>
        <w:ind w:right="700"/>
        <w:spacing w:after="0" w:line="364" w:lineRule="auto"/>
        <w:rPr>
          <w:sz w:val="20"/>
          <w:szCs w:val="20"/>
          <w:color w:val="auto"/>
        </w:rPr>
      </w:pPr>
      <w:r>
        <w:rPr>
          <w:rFonts w:ascii="Arial" w:cs="Arial" w:eastAsia="Arial" w:hAnsi="Arial"/>
          <w:sz w:val="17"/>
          <w:szCs w:val="17"/>
          <w:color w:val="auto"/>
        </w:rPr>
        <w:t>We continue to leverage our technology platform to diversify our distribution channels. We’ve decided to further focus on our fully embedded products, given the level of customer adoption we are seeing in the early days.</w:t>
      </w:r>
    </w:p>
    <w:p>
      <w:pPr>
        <w:jc w:val="both"/>
        <w:ind w:right="220"/>
        <w:spacing w:after="0" w:line="370" w:lineRule="auto"/>
        <w:rPr>
          <w:sz w:val="20"/>
          <w:szCs w:val="20"/>
          <w:color w:val="auto"/>
        </w:rPr>
      </w:pPr>
      <w:r>
        <w:rPr>
          <w:rFonts w:ascii="Arial" w:cs="Arial" w:eastAsia="Arial" w:hAnsi="Arial"/>
          <w:sz w:val="17"/>
          <w:szCs w:val="17"/>
          <w:color w:val="auto"/>
        </w:rPr>
        <w:t>We have also received tremendous interest in our embedded insurance offering from other prospective partners, though our focus remains on our exclusive Carvana partnership. We continue to test diverse methods of distribution on a smaller scale. As we drive toward underwriting profitability, our appetite for scaling these investments will grow.</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7"/>
          <w:szCs w:val="27"/>
          <w:b w:val="1"/>
          <w:bCs w:val="1"/>
          <w:color w:val="FF5715"/>
        </w:rPr>
        <w:t>Underwriting</w:t>
      </w:r>
    </w:p>
    <w:p>
      <w:pPr>
        <w:spacing w:after="0" w:line="178" w:lineRule="exact"/>
        <w:rPr>
          <w:sz w:val="20"/>
          <w:szCs w:val="20"/>
          <w:color w:val="auto"/>
        </w:rPr>
      </w:pPr>
    </w:p>
    <w:p>
      <w:pPr>
        <w:ind w:right="240"/>
        <w:spacing w:after="0" w:line="368" w:lineRule="auto"/>
        <w:rPr>
          <w:sz w:val="20"/>
          <w:szCs w:val="20"/>
          <w:color w:val="auto"/>
        </w:rPr>
      </w:pPr>
      <w:r>
        <w:rPr>
          <w:rFonts w:ascii="Arial" w:cs="Arial" w:eastAsia="Arial" w:hAnsi="Arial"/>
          <w:sz w:val="17"/>
          <w:szCs w:val="17"/>
          <w:color w:val="auto"/>
        </w:rPr>
        <w:t>Our data science and technology advantage has created what we believe to be some of most powerful models in the industry. For these models to shine, we need to drive improvement in our traditional underwriting abilities and state management. This will accelerate our path to profit. Our results in Q4 demonstrate how Root leverages its data to gain insight into shifting trends and technology to implement change quickly. While many 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671195" cy="212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11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640"/>
        <w:spacing w:after="0"/>
        <w:rPr>
          <w:sz w:val="20"/>
          <w:szCs w:val="20"/>
          <w:color w:val="auto"/>
        </w:rPr>
      </w:pPr>
      <w:r>
        <w:rPr>
          <w:rFonts w:ascii="Arial" w:cs="Arial" w:eastAsia="Arial" w:hAnsi="Arial"/>
          <w:sz w:val="17"/>
          <w:szCs w:val="17"/>
          <w:color w:val="929292"/>
        </w:rPr>
        <w:t>6</w:t>
      </w:r>
    </w:p>
    <w:p>
      <w:pPr>
        <w:sectPr>
          <w:pgSz w:w="11900" w:h="16838" w:orient="portrait"/>
          <w:cols w:equalWidth="0" w:num="1">
            <w:col w:w="11340"/>
          </w:cols>
          <w:pgMar w:left="320" w:top="344" w:right="239" w:bottom="1440" w:gutter="0" w:footer="0" w:header="0"/>
        </w:sectPr>
      </w:pPr>
    </w:p>
    <w:bookmarkStart w:id="9" w:name="page10"/>
    <w:bookmarkEnd w:id="9"/>
    <w:p>
      <w:pPr>
        <w:spacing w:after="0"/>
        <w:rPr>
          <w:sz w:val="20"/>
          <w:szCs w:val="20"/>
          <w:color w:val="auto"/>
        </w:rPr>
      </w:pPr>
      <w:r>
        <w:rPr>
          <w:rFonts w:ascii="Arial" w:cs="Arial" w:eastAsia="Arial" w:hAnsi="Arial"/>
          <w:sz w:val="19"/>
          <w:szCs w:val="19"/>
          <w:b w:val="1"/>
          <w:bCs w:val="1"/>
          <w:color w:val="242424"/>
        </w:rPr>
        <w:t>Letter to Shareholders: FY 2021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B6B6B6"/>
        </w:rPr>
        <w:t>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20"/>
        <w:spacing w:after="0" w:line="370" w:lineRule="auto"/>
        <w:rPr>
          <w:sz w:val="20"/>
          <w:szCs w:val="20"/>
          <w:color w:val="auto"/>
        </w:rPr>
      </w:pPr>
      <w:r>
        <w:rPr>
          <w:rFonts w:ascii="Arial" w:cs="Arial" w:eastAsia="Arial" w:hAnsi="Arial"/>
          <w:sz w:val="17"/>
          <w:szCs w:val="17"/>
          <w:color w:val="auto"/>
        </w:rPr>
        <w:t>have experienced an escalating impact of loss cost trends impacting quarterly results, we have maintained a relatively steady accident period loss ratio the past three quarters. We also noted a decrease in miles driven towards the end of Q4, benefiting the frequency we experienced in our book. While the loss ratio remaining flat is a positive data point in this environment, a 90% loss ratio is well above our stated goal of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-40640</wp:posOffset>
            </wp:positionV>
            <wp:extent cx="5108575" cy="4903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08575" cy="4903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We continue to advance our machine learning loss models, allowing Root to respond more quickly to changes</w:t>
      </w:r>
    </w:p>
    <w:p>
      <w:pPr>
        <w:spacing w:after="0" w:line="101" w:lineRule="exact"/>
        <w:rPr>
          <w:sz w:val="20"/>
          <w:szCs w:val="20"/>
          <w:color w:val="auto"/>
        </w:rPr>
      </w:pPr>
    </w:p>
    <w:p>
      <w:pPr>
        <w:ind w:right="180"/>
        <w:spacing w:after="0" w:line="370" w:lineRule="auto"/>
        <w:rPr>
          <w:sz w:val="20"/>
          <w:szCs w:val="20"/>
          <w:color w:val="auto"/>
        </w:rPr>
      </w:pPr>
      <w:r>
        <w:rPr>
          <w:rFonts w:ascii="Arial" w:cs="Arial" w:eastAsia="Arial" w:hAnsi="Arial"/>
          <w:sz w:val="17"/>
          <w:szCs w:val="17"/>
          <w:color w:val="auto"/>
        </w:rPr>
        <w:t>in the market, improve pricing segmentation through enhancements to McModel, our countrywide pricing model, as well as take rate increases in response to inflation. In the fourth quarter, eight rate increases were implemented with an additional five implemented quarter-to-date. Cumulatively since the beginning of 2021, we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474345</wp:posOffset>
            </wp:positionV>
            <wp:extent cx="671195" cy="212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11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40"/>
        <w:spacing w:after="0"/>
        <w:rPr>
          <w:sz w:val="20"/>
          <w:szCs w:val="20"/>
          <w:color w:val="auto"/>
        </w:rPr>
      </w:pPr>
      <w:r>
        <w:rPr>
          <w:rFonts w:ascii="Arial" w:cs="Arial" w:eastAsia="Arial" w:hAnsi="Arial"/>
          <w:sz w:val="17"/>
          <w:szCs w:val="17"/>
          <w:color w:val="929292"/>
        </w:rPr>
        <w:t>7</w:t>
      </w:r>
    </w:p>
    <w:p>
      <w:pPr>
        <w:sectPr>
          <w:pgSz w:w="11900" w:h="16838" w:orient="portrait"/>
          <w:cols w:equalWidth="0" w:num="1">
            <w:col w:w="11340"/>
          </w:cols>
          <w:pgMar w:left="320" w:top="344" w:right="239" w:bottom="1440" w:gutter="0" w:footer="0" w:header="0"/>
        </w:sectPr>
      </w:pPr>
    </w:p>
    <w:bookmarkStart w:id="10" w:name="page11"/>
    <w:bookmarkEnd w:id="10"/>
    <w:p>
      <w:pPr>
        <w:spacing w:after="0"/>
        <w:rPr>
          <w:sz w:val="20"/>
          <w:szCs w:val="20"/>
          <w:color w:val="auto"/>
        </w:rPr>
      </w:pPr>
      <w:r>
        <w:rPr>
          <w:rFonts w:ascii="Arial" w:cs="Arial" w:eastAsia="Arial" w:hAnsi="Arial"/>
          <w:sz w:val="19"/>
          <w:szCs w:val="19"/>
          <w:b w:val="1"/>
          <w:bCs w:val="1"/>
          <w:color w:val="242424"/>
        </w:rPr>
        <w:t>Letter to Shareholders: FY 2021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B6B6B6"/>
        </w:rPr>
        <w:t>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500"/>
        <w:spacing w:after="0" w:line="370" w:lineRule="auto"/>
        <w:rPr>
          <w:sz w:val="20"/>
          <w:szCs w:val="20"/>
          <w:color w:val="auto"/>
        </w:rPr>
      </w:pPr>
      <w:r>
        <w:rPr>
          <w:rFonts w:ascii="Arial" w:cs="Arial" w:eastAsia="Arial" w:hAnsi="Arial"/>
          <w:sz w:val="17"/>
          <w:szCs w:val="17"/>
          <w:color w:val="auto"/>
        </w:rPr>
        <w:t>implemented 42 rate increases with a weighted average rate of roughly 14%, impacting the vast majority of our premium. We are also seeing a marked improvement in frequency from UBI 4.0, further demonstrating how the predictive power of our technology translates into measurable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106045</wp:posOffset>
            </wp:positionV>
            <wp:extent cx="5018405" cy="4117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18405" cy="411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0"/>
        <w:spacing w:after="0" w:line="368" w:lineRule="auto"/>
        <w:rPr>
          <w:sz w:val="20"/>
          <w:szCs w:val="20"/>
          <w:color w:val="auto"/>
        </w:rPr>
      </w:pPr>
      <w:r>
        <w:rPr>
          <w:rFonts w:ascii="Arial" w:cs="Arial" w:eastAsia="Arial" w:hAnsi="Arial"/>
          <w:sz w:val="17"/>
          <w:szCs w:val="17"/>
          <w:color w:val="auto"/>
        </w:rPr>
        <w:t>In addition to positioning ourselves to address the immediate need of appropriately reflecting cost in our pricing, we are committed to strengthening our underwriting foundation. We are tightening our underwriting standards and rolling out improved policy forms to manage loss leakage. We are leaning on our state level management to better work within each individual jurisdiction and take a more surgical approach in responding to the current loss environment.</w:t>
      </w:r>
    </w:p>
    <w:p>
      <w:pPr>
        <w:spacing w:after="0" w:line="219" w:lineRule="exact"/>
        <w:rPr>
          <w:sz w:val="20"/>
          <w:szCs w:val="20"/>
          <w:color w:val="auto"/>
        </w:rPr>
      </w:pPr>
    </w:p>
    <w:p>
      <w:pPr>
        <w:ind w:right="300"/>
        <w:spacing w:after="0" w:line="376" w:lineRule="auto"/>
        <w:rPr>
          <w:sz w:val="20"/>
          <w:szCs w:val="20"/>
          <w:color w:val="auto"/>
        </w:rPr>
      </w:pPr>
      <w:r>
        <w:rPr>
          <w:rFonts w:ascii="Arial" w:cs="Arial" w:eastAsia="Arial" w:hAnsi="Arial"/>
          <w:sz w:val="17"/>
          <w:szCs w:val="17"/>
          <w:color w:val="auto"/>
        </w:rPr>
        <w:t>Taken together, we expect these actions to drive improvement in our loss ratio throughout the year and bring our performance closer to our stated goal of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618490</wp:posOffset>
            </wp:positionV>
            <wp:extent cx="671195" cy="212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11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640"/>
        <w:spacing w:after="0"/>
        <w:rPr>
          <w:sz w:val="20"/>
          <w:szCs w:val="20"/>
          <w:color w:val="auto"/>
        </w:rPr>
      </w:pPr>
      <w:r>
        <w:rPr>
          <w:rFonts w:ascii="Arial" w:cs="Arial" w:eastAsia="Arial" w:hAnsi="Arial"/>
          <w:sz w:val="17"/>
          <w:szCs w:val="17"/>
          <w:color w:val="929292"/>
        </w:rPr>
        <w:t>8</w:t>
      </w:r>
    </w:p>
    <w:p>
      <w:pPr>
        <w:sectPr>
          <w:pgSz w:w="11900" w:h="16838" w:orient="portrait"/>
          <w:cols w:equalWidth="0" w:num="1">
            <w:col w:w="11340"/>
          </w:cols>
          <w:pgMar w:left="320" w:top="344" w:right="239" w:bottom="1440" w:gutter="0" w:footer="0" w:header="0"/>
        </w:sectPr>
      </w:pPr>
    </w:p>
    <w:bookmarkStart w:id="11" w:name="page12"/>
    <w:bookmarkEnd w:id="11"/>
    <w:p>
      <w:pPr>
        <w:spacing w:after="0"/>
        <w:rPr>
          <w:sz w:val="20"/>
          <w:szCs w:val="20"/>
          <w:color w:val="auto"/>
        </w:rPr>
      </w:pPr>
      <w:r>
        <w:rPr>
          <w:rFonts w:ascii="Arial" w:cs="Arial" w:eastAsia="Arial" w:hAnsi="Arial"/>
          <w:sz w:val="19"/>
          <w:szCs w:val="19"/>
          <w:b w:val="1"/>
          <w:bCs w:val="1"/>
          <w:color w:val="242424"/>
        </w:rPr>
        <w:t>Letter to Shareholders: FY 2021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B6B6B6"/>
        </w:rPr>
        <w:t>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b w:val="1"/>
          <w:bCs w:val="1"/>
          <w:color w:val="FF5715"/>
        </w:rPr>
        <w:t>Path to profit</w:t>
      </w:r>
    </w:p>
    <w:p>
      <w:pPr>
        <w:spacing w:after="0" w:line="178" w:lineRule="exact"/>
        <w:rPr>
          <w:sz w:val="20"/>
          <w:szCs w:val="20"/>
          <w:color w:val="auto"/>
        </w:rPr>
      </w:pPr>
    </w:p>
    <w:p>
      <w:pPr>
        <w:ind w:right="180"/>
        <w:spacing w:after="0" w:line="368" w:lineRule="auto"/>
        <w:rPr>
          <w:sz w:val="20"/>
          <w:szCs w:val="20"/>
          <w:color w:val="auto"/>
        </w:rPr>
      </w:pPr>
      <w:r>
        <w:rPr>
          <w:rFonts w:ascii="Arial" w:cs="Arial" w:eastAsia="Arial" w:hAnsi="Arial"/>
          <w:sz w:val="17"/>
          <w:szCs w:val="17"/>
          <w:color w:val="auto"/>
        </w:rPr>
        <w:t>Root is committed to building an enduring business for the long term. To achieve this, we have solidly prioritized our capital investments. We began implementing operating changes across the business early in Q3. We substantially reduced direct marketing spend in response to the elevated macro loss environment and customer acquisition cost in digital channels. During the Q4, we reduced our sales and marketing spend by 62% sequentially, in addition to the 40% sequential drop we experienced in the Q3.</w:t>
      </w:r>
    </w:p>
    <w:p>
      <w:pPr>
        <w:spacing w:after="0" w:line="219" w:lineRule="exact"/>
        <w:rPr>
          <w:sz w:val="20"/>
          <w:szCs w:val="20"/>
          <w:color w:val="auto"/>
        </w:rPr>
      </w:pPr>
    </w:p>
    <w:p>
      <w:pPr>
        <w:ind w:right="200"/>
        <w:spacing w:after="0" w:line="366" w:lineRule="auto"/>
        <w:rPr>
          <w:sz w:val="20"/>
          <w:szCs w:val="20"/>
          <w:color w:val="auto"/>
        </w:rPr>
      </w:pPr>
      <w:r>
        <w:rPr>
          <w:rFonts w:ascii="Arial" w:cs="Arial" w:eastAsia="Arial" w:hAnsi="Arial"/>
          <w:sz w:val="17"/>
          <w:szCs w:val="17"/>
          <w:color w:val="auto"/>
        </w:rPr>
        <w:t>Our commitment to our path to profit did not stop at marketing spend. This work underpinned the difficult decision we took in January to reduce our workforce by approximately 20%, resulting in run-rate expense savings of approximately $30 million annually. We expect to incur approximately $7 million in severance, benefits, and related costs related to the workforce reduction as well as approximately $2 million in real estate exit costs in Q1’22. This was another prudent move for our business, given the deep focus on key strategic priorities. We will continue to take action to manage our capital consumption while investing in the areas of the business where we see the greatest potential: further developing our embedded product with Carvana, developing additional embedded product partnerships, strengthening our underwriting foundation, and continuing to utilize our technology to address long-standing inefficiency in the auto insurance industry.</w:t>
      </w:r>
    </w:p>
    <w:p>
      <w:pPr>
        <w:spacing w:after="0" w:line="221" w:lineRule="exact"/>
        <w:rPr>
          <w:sz w:val="20"/>
          <w:szCs w:val="20"/>
          <w:color w:val="auto"/>
        </w:rPr>
      </w:pPr>
    </w:p>
    <w:p>
      <w:pPr>
        <w:ind w:right="260"/>
        <w:spacing w:after="0" w:line="376" w:lineRule="auto"/>
        <w:rPr>
          <w:sz w:val="20"/>
          <w:szCs w:val="20"/>
          <w:color w:val="auto"/>
        </w:rPr>
      </w:pPr>
      <w:r>
        <w:rPr>
          <w:rFonts w:ascii="Arial" w:cs="Arial" w:eastAsia="Arial" w:hAnsi="Arial"/>
          <w:sz w:val="17"/>
          <w:szCs w:val="17"/>
          <w:color w:val="auto"/>
        </w:rPr>
        <w:t>We are confident that the changes made and underway, combined with our unique ability to respond quickly to today’s insurance environment, will establish a solid path to profitability and secure our future success.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7"/>
          <w:szCs w:val="27"/>
          <w:b w:val="1"/>
          <w:bCs w:val="1"/>
          <w:color w:val="FF5715"/>
        </w:rPr>
        <w:t>Looking ahead</w:t>
      </w:r>
    </w:p>
    <w:p>
      <w:pPr>
        <w:spacing w:after="0" w:line="178" w:lineRule="exact"/>
        <w:rPr>
          <w:sz w:val="20"/>
          <w:szCs w:val="20"/>
          <w:color w:val="auto"/>
        </w:rPr>
      </w:pPr>
    </w:p>
    <w:p>
      <w:pPr>
        <w:ind w:right="120"/>
        <w:spacing w:after="0" w:line="356" w:lineRule="auto"/>
        <w:rPr>
          <w:sz w:val="20"/>
          <w:szCs w:val="20"/>
          <w:color w:val="auto"/>
        </w:rPr>
      </w:pPr>
      <w:r>
        <w:rPr>
          <w:rFonts w:ascii="Arial" w:cs="Arial" w:eastAsia="Arial" w:hAnsi="Arial"/>
          <w:sz w:val="17"/>
          <w:szCs w:val="17"/>
          <w:color w:val="auto"/>
        </w:rPr>
        <w:t>We continue to execute on the goals we set out during Q2’21. We are using our technology and customer knowledge to gain differentiated access to customers to acquire profitable business. We are improving our insurance operations, making extraordinary leaps forward in our partnership with Carvana, and prudently managing capital. In the face of an uncertain auto environment, we continue to expect gross written premium to reflect significant year-over-year declines in the first half of 2022 as we take active steps to take underwriting/pricing actions to react to the loss cost environment, prepare to ramp up our Carvana partnership in the back half of the year, and materially reduce our operating loss. We also continue to expect a meaningful improvement in full-year operating losses in 2022 as we prioritize expense management and reduce capital consumption. With further reduction in marketing costs and fixed expenses on a year-over-year basis, we expect approximately 25% operating loss improvement in the first half of 2022</w:t>
      </w:r>
      <w:r>
        <w:rPr>
          <w:rFonts w:ascii="Arial" w:cs="Arial" w:eastAsia="Arial" w:hAnsi="Arial"/>
          <w:sz w:val="22"/>
          <w:szCs w:val="22"/>
          <w:color w:val="auto"/>
          <w:vertAlign w:val="superscript"/>
        </w:rPr>
        <w:t>1</w:t>
      </w:r>
      <w:r>
        <w:rPr>
          <w:rFonts w:ascii="Arial" w:cs="Arial" w:eastAsia="Arial" w:hAnsi="Arial"/>
          <w:sz w:val="17"/>
          <w:szCs w:val="17"/>
          <w:color w:val="auto"/>
        </w:rPr>
        <w:t>. We are planning to host an investor day in September in New York, NY. This platform will give Root the opportunity to give a greater level of detail on future expectations for the business, including operating performance for the back half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16370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78" w:lineRule="exact"/>
        <w:rPr>
          <w:sz w:val="20"/>
          <w:szCs w:val="20"/>
          <w:color w:val="auto"/>
        </w:rPr>
      </w:pPr>
    </w:p>
    <w:p>
      <w:pPr>
        <w:ind w:left="100" w:hanging="97"/>
        <w:spacing w:after="0"/>
        <w:tabs>
          <w:tab w:leader="none" w:pos="100" w:val="left"/>
        </w:tabs>
        <w:numPr>
          <w:ilvl w:val="0"/>
          <w:numId w:val="6"/>
        </w:numPr>
        <w:rPr>
          <w:rFonts w:ascii="Arial" w:cs="Arial" w:eastAsia="Arial" w:hAnsi="Arial"/>
          <w:sz w:val="9"/>
          <w:szCs w:val="9"/>
          <w:color w:val="auto"/>
        </w:rPr>
      </w:pPr>
      <w:r>
        <w:rPr>
          <w:rFonts w:ascii="Arial" w:cs="Arial" w:eastAsia="Arial" w:hAnsi="Arial"/>
          <w:sz w:val="14"/>
          <w:szCs w:val="14"/>
          <w:color w:val="auto"/>
        </w:rPr>
        <w:t>Before restructuring charge of $9-12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508635</wp:posOffset>
            </wp:positionV>
            <wp:extent cx="671195" cy="212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11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640"/>
        <w:spacing w:after="0"/>
        <w:rPr>
          <w:sz w:val="20"/>
          <w:szCs w:val="20"/>
          <w:color w:val="auto"/>
        </w:rPr>
      </w:pPr>
      <w:r>
        <w:rPr>
          <w:rFonts w:ascii="Arial" w:cs="Arial" w:eastAsia="Arial" w:hAnsi="Arial"/>
          <w:sz w:val="17"/>
          <w:szCs w:val="17"/>
          <w:color w:val="929292"/>
        </w:rPr>
        <w:t>9</w:t>
      </w:r>
    </w:p>
    <w:p>
      <w:pPr>
        <w:sectPr>
          <w:pgSz w:w="11900" w:h="16838" w:orient="portrait"/>
          <w:cols w:equalWidth="0" w:num="1">
            <w:col w:w="11340"/>
          </w:cols>
          <w:pgMar w:left="320" w:top="344" w:right="239" w:bottom="1440" w:gutter="0" w:footer="0" w:header="0"/>
        </w:sectPr>
      </w:pPr>
    </w:p>
    <w:bookmarkStart w:id="12" w:name="page13"/>
    <w:bookmarkEnd w:id="12"/>
    <w:p>
      <w:pPr>
        <w:spacing w:after="0"/>
        <w:rPr>
          <w:sz w:val="20"/>
          <w:szCs w:val="20"/>
          <w:color w:val="auto"/>
        </w:rPr>
      </w:pPr>
      <w:r>
        <w:rPr>
          <w:rFonts w:ascii="Arial" w:cs="Arial" w:eastAsia="Arial" w:hAnsi="Arial"/>
          <w:sz w:val="19"/>
          <w:szCs w:val="19"/>
          <w:b w:val="1"/>
          <w:bCs w:val="1"/>
          <w:color w:val="242424"/>
        </w:rPr>
        <w:t>Letter to Shareholders: FY 2021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B6B6B6"/>
        </w:rPr>
        <w:t>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00"/>
        <w:spacing w:after="0" w:line="368" w:lineRule="auto"/>
        <w:rPr>
          <w:sz w:val="20"/>
          <w:szCs w:val="20"/>
          <w:color w:val="auto"/>
        </w:rPr>
      </w:pPr>
      <w:r>
        <w:rPr>
          <w:rFonts w:ascii="Arial" w:cs="Arial" w:eastAsia="Arial" w:hAnsi="Arial"/>
          <w:sz w:val="17"/>
          <w:szCs w:val="17"/>
          <w:color w:val="auto"/>
        </w:rPr>
        <w:t>We sit in a stronger position than we have at any other time in Root’s history. Our ability to quickly iterate and implement changes not only makes us stronger in the volatile environment we face today but is a core part of the infrastructure that makes Root built to last. Our near-term goals are clear: continuing to capitalize on our technology advantage, strengthen our underwriting foundation, and building out our embedded product through our partnership with Carvana. The success of this focus can be measured in our top and bottom-line results in coming quarters and years ahead.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We appreciate your continued support and look forward to what’s ahead for Root.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302260</wp:posOffset>
            </wp:positionV>
            <wp:extent cx="1817370" cy="376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17370" cy="376555"/>
                    </a:xfrm>
                    <a:prstGeom prst="rect">
                      <a:avLst/>
                    </a:prstGeom>
                    <a:noFill/>
                  </pic:spPr>
                </pic:pic>
              </a:graphicData>
            </a:graphic>
          </wp:anchor>
        </w:drawing>
      </w:r>
    </w:p>
    <w:p>
      <w:pPr>
        <w:sectPr>
          <w:pgSz w:w="11900" w:h="16838" w:orient="portrait"/>
          <w:cols w:equalWidth="0" w:num="1">
            <w:col w:w="11340"/>
          </w:cols>
          <w:pgMar w:left="320" w:top="3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FF5715"/>
        </w:rPr>
        <w:t>Alex Timm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color w:val="FF5715"/>
        </w:rPr>
        <w:t>Daniel Rosenthal</w:t>
      </w:r>
    </w:p>
    <w:p>
      <w:pPr>
        <w:spacing w:after="0" w:line="45" w:lineRule="exact"/>
        <w:rPr>
          <w:sz w:val="20"/>
          <w:szCs w:val="20"/>
          <w:color w:val="auto"/>
        </w:rPr>
      </w:pPr>
    </w:p>
    <w:p>
      <w:pPr>
        <w:sectPr>
          <w:pgSz w:w="11900" w:h="16838" w:orient="portrait"/>
          <w:cols w:equalWidth="0" w:num="2">
            <w:col w:w="1300" w:space="720"/>
            <w:col w:w="9320"/>
          </w:cols>
          <w:pgMar w:left="320" w:top="344" w:right="239" w:bottom="1440" w:gutter="0" w:footer="0" w:header="0"/>
          <w:type w:val="continuous"/>
        </w:sectPr>
      </w:pPr>
    </w:p>
    <w:p>
      <w:pPr>
        <w:spacing w:after="0"/>
        <w:rPr>
          <w:sz w:val="20"/>
          <w:szCs w:val="20"/>
          <w:color w:val="auto"/>
        </w:rPr>
      </w:pPr>
      <w:r>
        <w:rPr>
          <w:rFonts w:ascii="Arial" w:cs="Arial" w:eastAsia="Arial" w:hAnsi="Arial"/>
          <w:sz w:val="20"/>
          <w:szCs w:val="20"/>
          <w:color w:val="auto"/>
        </w:rPr>
        <w:t>Co-Founder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4194175</wp:posOffset>
            </wp:positionV>
            <wp:extent cx="671195" cy="212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1195" cy="212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CROO &amp; CFO</w:t>
      </w:r>
    </w:p>
    <w:p>
      <w:pPr>
        <w:spacing w:after="0" w:line="200" w:lineRule="exact"/>
        <w:rPr>
          <w:sz w:val="20"/>
          <w:szCs w:val="20"/>
          <w:color w:val="auto"/>
        </w:rPr>
      </w:pPr>
    </w:p>
    <w:p>
      <w:pPr>
        <w:sectPr>
          <w:pgSz w:w="11900" w:h="16838" w:orient="portrait"/>
          <w:cols w:equalWidth="0" w:num="2">
            <w:col w:w="1820" w:space="720"/>
            <w:col w:w="8800"/>
          </w:cols>
          <w:pgMar w:left="320" w:top="34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40"/>
        <w:spacing w:after="0"/>
        <w:rPr>
          <w:sz w:val="20"/>
          <w:szCs w:val="20"/>
          <w:color w:val="auto"/>
        </w:rPr>
      </w:pPr>
      <w:r>
        <w:rPr>
          <w:rFonts w:ascii="Arial" w:cs="Arial" w:eastAsia="Arial" w:hAnsi="Arial"/>
          <w:sz w:val="17"/>
          <w:szCs w:val="17"/>
          <w:color w:val="929292"/>
        </w:rPr>
        <w:t>10</w:t>
      </w:r>
    </w:p>
    <w:p>
      <w:pPr>
        <w:sectPr>
          <w:pgSz w:w="11900" w:h="16838" w:orient="portrait"/>
          <w:cols w:equalWidth="0" w:num="1">
            <w:col w:w="11340"/>
          </w:cols>
          <w:pgMar w:left="320" w:top="344"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9"/>
          <w:szCs w:val="19"/>
          <w:b w:val="1"/>
          <w:bCs w:val="1"/>
          <w:color w:val="242424"/>
        </w:rPr>
        <w:t>Letter to Shareholders: FY 2021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B6B6B6"/>
        </w:rPr>
        <w:t>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b w:val="1"/>
          <w:bCs w:val="1"/>
          <w:color w:val="FF5715"/>
        </w:rPr>
        <w:t>Non-GAAP financial measures</w:t>
      </w:r>
    </w:p>
    <w:p>
      <w:pPr>
        <w:spacing w:after="0" w:line="200" w:lineRule="exact"/>
        <w:rPr>
          <w:sz w:val="20"/>
          <w:szCs w:val="20"/>
          <w:color w:val="auto"/>
        </w:rPr>
      </w:pPr>
    </w:p>
    <w:p>
      <w:pPr>
        <w:spacing w:after="0" w:line="210" w:lineRule="exact"/>
        <w:rPr>
          <w:sz w:val="20"/>
          <w:szCs w:val="20"/>
          <w:color w:val="auto"/>
        </w:rPr>
      </w:pPr>
    </w:p>
    <w:p>
      <w:pPr>
        <w:ind w:right="100"/>
        <w:spacing w:after="0" w:line="384" w:lineRule="auto"/>
        <w:rPr>
          <w:sz w:val="20"/>
          <w:szCs w:val="20"/>
          <w:color w:val="auto"/>
        </w:rPr>
      </w:pPr>
      <w:r>
        <w:rPr>
          <w:rFonts w:ascii="Arial" w:cs="Arial" w:eastAsia="Arial" w:hAnsi="Arial"/>
          <w:sz w:val="17"/>
          <w:szCs w:val="17"/>
          <w:color w:val="auto"/>
        </w:rPr>
        <w:t>This letter and statements made during the above referenced webcast may include information relating to Adjusted Gross Profit (Loss) and Direct Contribution, which are "non-GAAP financial measures." These non-GAAP financial measures have not been calculated in accordance with generally accepted accounting principles in the United States, or GAAP, and should be considered in addition to results prepared in accordance with GAAP,</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GAAP Gross Profit (Loss), and should not be considered as a substitute for, or superior to, GAAP results.</w:t>
      </w:r>
    </w:p>
    <w:p>
      <w:pPr>
        <w:spacing w:after="0" w:line="333" w:lineRule="exact"/>
        <w:rPr>
          <w:sz w:val="20"/>
          <w:szCs w:val="20"/>
          <w:color w:val="auto"/>
        </w:rPr>
      </w:pPr>
    </w:p>
    <w:p>
      <w:pPr>
        <w:ind w:right="440"/>
        <w:spacing w:after="0" w:line="364" w:lineRule="auto"/>
        <w:rPr>
          <w:sz w:val="20"/>
          <w:szCs w:val="20"/>
          <w:color w:val="auto"/>
        </w:rPr>
      </w:pPr>
      <w:r>
        <w:rPr>
          <w:rFonts w:ascii="Arial" w:cs="Arial" w:eastAsia="Arial" w:hAnsi="Arial"/>
          <w:sz w:val="17"/>
          <w:szCs w:val="17"/>
          <w:color w:val="auto"/>
        </w:rPr>
        <w:t>In addition, Adjusted Gross Profit (Loss) and Direct Contribution should not be construed as indicators of our operating performance, liquidity, or cash flows generated by operating, investing and financing activities,</w:t>
      </w:r>
    </w:p>
    <w:p>
      <w:pPr>
        <w:ind w:right="3280"/>
        <w:spacing w:after="0" w:line="368" w:lineRule="auto"/>
        <w:rPr>
          <w:sz w:val="20"/>
          <w:szCs w:val="20"/>
          <w:color w:val="auto"/>
        </w:rPr>
      </w:pPr>
      <w:r>
        <w:rPr>
          <w:rFonts w:ascii="Arial" w:cs="Arial" w:eastAsia="Arial" w:hAnsi="Arial"/>
          <w:sz w:val="17"/>
          <w:szCs w:val="17"/>
          <w:color w:val="auto"/>
        </w:rPr>
        <w:t>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spacing w:after="0" w:line="219" w:lineRule="exact"/>
        <w:rPr>
          <w:sz w:val="20"/>
          <w:szCs w:val="20"/>
          <w:color w:val="auto"/>
        </w:rPr>
      </w:pPr>
    </w:p>
    <w:p>
      <w:pPr>
        <w:ind w:right="180"/>
        <w:spacing w:after="0" w:line="366" w:lineRule="auto"/>
        <w:rPr>
          <w:sz w:val="20"/>
          <w:szCs w:val="20"/>
          <w:color w:val="auto"/>
        </w:rPr>
      </w:pPr>
      <w:r>
        <w:rPr>
          <w:rFonts w:ascii="Arial" w:cs="Arial" w:eastAsia="Arial" w:hAnsi="Arial"/>
          <w:sz w:val="17"/>
          <w:szCs w:val="17"/>
          <w:color w:val="auto"/>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 (4) review and assess the operating performance of our management team, (5) analyze and evaluate financial and strategic planning decisions regarding future operating investments, and (6) plan for and prepare future annual operating budgets and determine appropriate levels of operating investments.</w:t>
      </w:r>
    </w:p>
    <w:p>
      <w:pPr>
        <w:spacing w:after="0" w:line="223" w:lineRule="exact"/>
        <w:rPr>
          <w:sz w:val="20"/>
          <w:szCs w:val="20"/>
          <w:color w:val="auto"/>
        </w:rPr>
      </w:pPr>
    </w:p>
    <w:p>
      <w:pPr>
        <w:ind w:right="180"/>
        <w:spacing w:after="0" w:line="364" w:lineRule="auto"/>
        <w:rPr>
          <w:sz w:val="20"/>
          <w:szCs w:val="20"/>
          <w:color w:val="auto"/>
        </w:rPr>
      </w:pPr>
      <w:r>
        <w:rPr>
          <w:rFonts w:ascii="Arial" w:cs="Arial" w:eastAsia="Arial" w:hAnsi="Arial"/>
          <w:sz w:val="17"/>
          <w:szCs w:val="17"/>
          <w:color w:val="auto"/>
        </w:rPr>
        <w:t>We have not reconciled Adjusted Gross Profit (Loss) and Direct Contribution outlook to GAAP Gross Profit (Loss) because we do not provide an outlook for GAAP Gross Profit (Loss) due to the uncertainty and potential variability of factors used to calculate GAAP Gross Profit (Loss). Because we cannot reasonably predict such items,</w:t>
      </w:r>
    </w:p>
    <w:p>
      <w:pPr>
        <w:ind w:right="340"/>
        <w:spacing w:after="0" w:line="376" w:lineRule="auto"/>
        <w:rPr>
          <w:sz w:val="20"/>
          <w:szCs w:val="20"/>
          <w:color w:val="auto"/>
        </w:rPr>
      </w:pPr>
      <w:r>
        <w:rPr>
          <w:rFonts w:ascii="Arial" w:cs="Arial" w:eastAsia="Arial" w:hAnsi="Arial"/>
          <w:sz w:val="17"/>
          <w:szCs w:val="17"/>
          <w:color w:val="auto"/>
        </w:rPr>
        <w:t>a reconciliation of the non-GAAP financial measure outlook to the corresponding GAAP measure is not available without unreasonable effort. We caution, however, that such items could have a significant impact on the calculation of GAAP Gross Profit (Loss).</w:t>
      </w:r>
    </w:p>
    <w:p>
      <w:pPr>
        <w:spacing w:after="0" w:line="213" w:lineRule="exact"/>
        <w:rPr>
          <w:sz w:val="20"/>
          <w:szCs w:val="20"/>
          <w:color w:val="auto"/>
        </w:rPr>
      </w:pPr>
    </w:p>
    <w:p>
      <w:pPr>
        <w:ind w:right="660"/>
        <w:spacing w:after="0" w:line="376" w:lineRule="auto"/>
        <w:rPr>
          <w:sz w:val="20"/>
          <w:szCs w:val="20"/>
          <w:color w:val="auto"/>
        </w:rPr>
      </w:pPr>
      <w:r>
        <w:rPr>
          <w:rFonts w:ascii="Arial" w:cs="Arial" w:eastAsia="Arial" w:hAnsi="Arial"/>
          <w:sz w:val="17"/>
          <w:szCs w:val="17"/>
          <w:color w:val="auto"/>
        </w:rPr>
        <w:t>For more information regarding the non-GAAP financial measures discussed in this release, please see “Non-GAAP financial measures” and “Reconciliation of GAAP to non-GAAP financial measures”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757555</wp:posOffset>
            </wp:positionV>
            <wp:extent cx="671195" cy="212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11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640"/>
        <w:spacing w:after="0"/>
        <w:rPr>
          <w:sz w:val="20"/>
          <w:szCs w:val="20"/>
          <w:color w:val="auto"/>
        </w:rPr>
      </w:pPr>
      <w:r>
        <w:rPr>
          <w:rFonts w:ascii="Arial" w:cs="Arial" w:eastAsia="Arial" w:hAnsi="Arial"/>
          <w:sz w:val="17"/>
          <w:szCs w:val="17"/>
          <w:color w:val="929292"/>
        </w:rPr>
        <w:t>11</w:t>
      </w:r>
    </w:p>
    <w:p>
      <w:pPr>
        <w:sectPr>
          <w:pgSz w:w="11900" w:h="16838" w:orient="portrait"/>
          <w:cols w:equalWidth="0" w:num="1">
            <w:col w:w="11340"/>
          </w:cols>
          <w:pgMar w:left="320" w:top="344" w:right="239" w:bottom="1440" w:gutter="0" w:footer="0" w:header="0"/>
        </w:sectPr>
      </w:pPr>
    </w:p>
    <w:bookmarkStart w:id="14" w:name="page15"/>
    <w:bookmarkEnd w:id="14"/>
    <w:p>
      <w:pPr>
        <w:spacing w:after="0"/>
        <w:rPr>
          <w:sz w:val="20"/>
          <w:szCs w:val="20"/>
          <w:color w:val="auto"/>
        </w:rPr>
      </w:pPr>
      <w:r>
        <w:rPr>
          <w:rFonts w:ascii="Arial" w:cs="Arial" w:eastAsia="Arial" w:hAnsi="Arial"/>
          <w:sz w:val="19"/>
          <w:szCs w:val="19"/>
          <w:b w:val="1"/>
          <w:bCs w:val="1"/>
          <w:color w:val="242424"/>
        </w:rPr>
        <w:t>Letter to Shareholders: FY 2021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B6B6B6"/>
        </w:rPr>
        <w:t>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7"/>
          <w:szCs w:val="27"/>
          <w:b w:val="1"/>
          <w:bCs w:val="1"/>
          <w:color w:val="FF5715"/>
        </w:rPr>
        <w:t>Forward-looking statements</w:t>
      </w:r>
    </w:p>
    <w:p>
      <w:pPr>
        <w:spacing w:after="0" w:line="178" w:lineRule="exact"/>
        <w:rPr>
          <w:sz w:val="20"/>
          <w:szCs w:val="20"/>
          <w:color w:val="auto"/>
        </w:rPr>
      </w:pPr>
    </w:p>
    <w:p>
      <w:pPr>
        <w:jc w:val="both"/>
        <w:ind w:right="160"/>
        <w:spacing w:after="0" w:line="364" w:lineRule="auto"/>
        <w:rPr>
          <w:sz w:val="20"/>
          <w:szCs w:val="20"/>
          <w:color w:val="auto"/>
        </w:rPr>
      </w:pPr>
      <w:r>
        <w:rPr>
          <w:rFonts w:ascii="Arial" w:cs="Arial" w:eastAsia="Arial" w:hAnsi="Arial"/>
          <w:sz w:val="17"/>
          <w:szCs w:val="17"/>
          <w:color w:val="auto"/>
        </w:rPr>
        <w:t>This letter contains—and statements made during the above-referenced webcast will contain— forward-looking statements relating to, among other things, the future performance of Root and its consolidated subsidiaries that are based on Root’s current expectations, forecasts, and assumptions, and involve risks and uncertainties.</w:t>
      </w:r>
    </w:p>
    <w:p>
      <w:pPr>
        <w:spacing w:after="0"/>
        <w:rPr>
          <w:sz w:val="20"/>
          <w:szCs w:val="20"/>
          <w:color w:val="auto"/>
        </w:rPr>
      </w:pPr>
      <w:r>
        <w:rPr>
          <w:rFonts w:ascii="Arial" w:cs="Arial" w:eastAsia="Arial" w:hAnsi="Arial"/>
          <w:sz w:val="17"/>
          <w:szCs w:val="17"/>
          <w:color w:val="auto"/>
        </w:rPr>
        <w:t>These include, but are not limited to, statements regarding:</w:t>
      </w:r>
    </w:p>
    <w:p>
      <w:pPr>
        <w:spacing w:after="0" w:line="333" w:lineRule="exact"/>
        <w:rPr>
          <w:sz w:val="20"/>
          <w:szCs w:val="20"/>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expected financial results for 2022</w:t>
      </w:r>
    </w:p>
    <w:p>
      <w:pPr>
        <w:spacing w:after="0" w:line="101"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build new versions of our embedded insurance offering</w:t>
      </w:r>
    </w:p>
    <w:p>
      <w:pPr>
        <w:spacing w:after="0" w:line="101" w:lineRule="exact"/>
        <w:rPr>
          <w:rFonts w:ascii="Arial" w:cs="Arial" w:eastAsia="Arial" w:hAnsi="Arial"/>
          <w:sz w:val="17"/>
          <w:szCs w:val="17"/>
          <w:color w:val="auto"/>
        </w:rPr>
      </w:pPr>
    </w:p>
    <w:p>
      <w:pPr>
        <w:ind w:left="620" w:right="440" w:hanging="307"/>
        <w:spacing w:after="0" w:line="364"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reduce customer acquisition costs, realize other expected benefits and drive a significant long-term competitive advantage through our partnership with Carvana and with our embedded insurance offering</w:t>
      </w:r>
    </w:p>
    <w:p>
      <w:pPr>
        <w:ind w:left="620" w:right="520" w:hanging="307"/>
        <w:spacing w:after="0" w:line="364"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retain existing customers, acquire new customers, and expand our customer reach, and expand our distribution channels through additional partnership relationships, digital media and referrals</w:t>
      </w: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remove the use of credit score from our rating variables no later than 2025</w:t>
      </w:r>
    </w:p>
    <w:p>
      <w:pPr>
        <w:spacing w:after="0" w:line="101" w:lineRule="exact"/>
        <w:rPr>
          <w:rFonts w:ascii="Arial" w:cs="Arial" w:eastAsia="Arial" w:hAnsi="Arial"/>
          <w:sz w:val="17"/>
          <w:szCs w:val="17"/>
          <w:color w:val="auto"/>
        </w:rPr>
      </w:pPr>
    </w:p>
    <w:p>
      <w:pPr>
        <w:ind w:left="620" w:right="280" w:hanging="307"/>
        <w:spacing w:after="0" w:line="364"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expectations regarding our future financial performance, including total revenue, gross profit, adjusted gross profit, direct contribution, gross loss ratio, marketing costs and costs of customer acquisition, gross LAE ratio, quota share levels, and expansion of our renewal premium base</w:t>
      </w: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impact of the COVID-19 pandemic on our business and financial performance</w:t>
      </w:r>
    </w:p>
    <w:p>
      <w:pPr>
        <w:spacing w:after="0" w:line="101" w:lineRule="exact"/>
        <w:rPr>
          <w:rFonts w:ascii="Arial" w:cs="Arial" w:eastAsia="Arial" w:hAnsi="Arial"/>
          <w:sz w:val="17"/>
          <w:szCs w:val="17"/>
          <w:color w:val="auto"/>
        </w:rPr>
      </w:pPr>
    </w:p>
    <w:p>
      <w:pPr>
        <w:ind w:left="620" w:right="2980" w:hanging="307"/>
        <w:spacing w:after="0" w:line="364"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goal to be licensed in all states in the United States and the timing of obtaining additional licenses and launching in new states</w:t>
      </w: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accuracy and efficiency of our telematics and behavioral data, and our ability to gather and leverage additional data</w:t>
      </w:r>
    </w:p>
    <w:p>
      <w:pPr>
        <w:spacing w:after="0" w:line="101"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materially improve retention rates and our ability to realize benefits from retaining customers</w:t>
      </w:r>
    </w:p>
    <w:p>
      <w:pPr>
        <w:spacing w:after="0" w:line="101" w:lineRule="exact"/>
        <w:rPr>
          <w:rFonts w:ascii="Arial" w:cs="Arial" w:eastAsia="Arial" w:hAnsi="Arial"/>
          <w:sz w:val="17"/>
          <w:szCs w:val="17"/>
          <w:color w:val="auto"/>
        </w:rPr>
      </w:pPr>
    </w:p>
    <w:p>
      <w:pPr>
        <w:ind w:left="620" w:right="380" w:hanging="307"/>
        <w:spacing w:after="0" w:line="364"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release new products and features and the timing and effectiveness of those releases, including our new Algorithm Version 4.0, McModel 4.1, and Carvana V2</w:t>
      </w: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underwrite risks accurately and charge profitable rates</w:t>
      </w:r>
    </w:p>
    <w:p>
      <w:pPr>
        <w:spacing w:after="0" w:line="101"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drive improved conversion and decrease the costs of customer acquisition with improved customer characteristics</w:t>
      </w:r>
    </w:p>
    <w:p>
      <w:pPr>
        <w:spacing w:after="0" w:line="101"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realize the benefits anticipated from our Texas county mutual fronting arrangement</w:t>
      </w:r>
    </w:p>
    <w:p>
      <w:pPr>
        <w:spacing w:after="0" w:line="101"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maintain and enhance our brand and reputation</w:t>
      </w:r>
    </w:p>
    <w:p>
      <w:pPr>
        <w:spacing w:after="0" w:line="101"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compete effectively with existing competitors and new market entrants in our industry</w:t>
      </w:r>
    </w:p>
    <w:p>
      <w:pPr>
        <w:spacing w:after="0" w:line="101"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operate a “capital-light” business and obtain and maintain reinsurance contracts</w:t>
      </w:r>
    </w:p>
    <w:p>
      <w:pPr>
        <w:spacing w:after="0" w:line="101"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realize economies of scale and grow margins</w:t>
      </w:r>
    </w:p>
    <w:p>
      <w:pPr>
        <w:spacing w:after="0" w:line="101" w:lineRule="exact"/>
        <w:rPr>
          <w:rFonts w:ascii="Arial" w:cs="Arial" w:eastAsia="Arial" w:hAnsi="Arial"/>
          <w:sz w:val="17"/>
          <w:szCs w:val="17"/>
          <w:color w:val="auto"/>
        </w:rPr>
      </w:pPr>
    </w:p>
    <w:p>
      <w:pPr>
        <w:ind w:left="620" w:right="3860" w:hanging="307"/>
        <w:spacing w:after="0" w:line="376"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expand our distribution channels through additional partnership relationships, independent agencies, digital media, and referrals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462915</wp:posOffset>
            </wp:positionV>
            <wp:extent cx="671195" cy="212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11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640"/>
        <w:spacing w:after="0"/>
        <w:rPr>
          <w:sz w:val="20"/>
          <w:szCs w:val="20"/>
          <w:color w:val="auto"/>
        </w:rPr>
      </w:pPr>
      <w:r>
        <w:rPr>
          <w:rFonts w:ascii="Arial" w:cs="Arial" w:eastAsia="Arial" w:hAnsi="Arial"/>
          <w:sz w:val="17"/>
          <w:szCs w:val="17"/>
          <w:color w:val="929292"/>
        </w:rPr>
        <w:t>12</w:t>
      </w:r>
    </w:p>
    <w:p>
      <w:pPr>
        <w:sectPr>
          <w:pgSz w:w="11900" w:h="16838" w:orient="portrait"/>
          <w:cols w:equalWidth="0" w:num="1">
            <w:col w:w="11340"/>
          </w:cols>
          <w:pgMar w:left="320" w:top="344" w:right="239" w:bottom="1440" w:gutter="0" w:footer="0" w:header="0"/>
        </w:sectPr>
      </w:pPr>
    </w:p>
    <w:bookmarkStart w:id="15" w:name="page16"/>
    <w:bookmarkEnd w:id="15"/>
    <w:p>
      <w:pPr>
        <w:spacing w:after="0"/>
        <w:rPr>
          <w:sz w:val="20"/>
          <w:szCs w:val="20"/>
          <w:color w:val="auto"/>
        </w:rPr>
      </w:pPr>
      <w:r>
        <w:rPr>
          <w:rFonts w:ascii="Arial" w:cs="Arial" w:eastAsia="Arial" w:hAnsi="Arial"/>
          <w:sz w:val="19"/>
          <w:szCs w:val="19"/>
          <w:b w:val="1"/>
          <w:bCs w:val="1"/>
          <w:color w:val="242424"/>
        </w:rPr>
        <w:t>Letter to Shareholders: FY 2021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B6B6B6"/>
        </w:rPr>
        <w:t>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any costs associated therewith</w:t>
      </w:r>
    </w:p>
    <w:p>
      <w:pPr>
        <w:spacing w:after="0" w:line="101"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expand domestically and internationally</w:t>
      </w:r>
    </w:p>
    <w:p>
      <w:pPr>
        <w:spacing w:after="0" w:line="101"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deliver a vertically integrated customer experience</w:t>
      </w:r>
    </w:p>
    <w:p>
      <w:pPr>
        <w:spacing w:after="0" w:line="101" w:lineRule="exact"/>
        <w:rPr>
          <w:rFonts w:ascii="Arial" w:cs="Arial" w:eastAsia="Arial" w:hAnsi="Arial"/>
          <w:sz w:val="17"/>
          <w:szCs w:val="17"/>
          <w:color w:val="auto"/>
        </w:rPr>
      </w:pPr>
    </w:p>
    <w:p>
      <w:pPr>
        <w:ind w:left="620" w:right="3700" w:hanging="307"/>
        <w:spacing w:after="0" w:line="364"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develop products that utilize our telematics to drive better customer satisfaction and retention</w:t>
      </w: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develop an autonomous claims experience</w:t>
      </w:r>
    </w:p>
    <w:p>
      <w:pPr>
        <w:spacing w:after="0" w:line="101"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take rate action early and react to changing environments</w:t>
      </w:r>
    </w:p>
    <w:p>
      <w:pPr>
        <w:spacing w:after="0" w:line="101" w:lineRule="exact"/>
        <w:rPr>
          <w:rFonts w:ascii="Arial" w:cs="Arial" w:eastAsia="Arial" w:hAnsi="Arial"/>
          <w:sz w:val="17"/>
          <w:szCs w:val="17"/>
          <w:color w:val="auto"/>
        </w:rPr>
      </w:pPr>
    </w:p>
    <w:p>
      <w:pPr>
        <w:ind w:left="620" w:right="1060" w:hanging="307"/>
        <w:spacing w:after="0" w:line="364"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attract, motivate and retain key personnel, or hire personnel, in a competitive labor market and to offer competitive compensation and benefits</w:t>
      </w:r>
    </w:p>
    <w:p>
      <w:pPr>
        <w:ind w:left="620" w:right="260" w:hanging="307"/>
        <w:spacing w:after="0" w:line="376"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raise additional capital as needed, maintain compliance with our term loan agreement, meet risk-based capital requirements, stay in compliance with laws and regulation that currently apply or become applicable to our business</w:t>
      </w:r>
    </w:p>
    <w:p>
      <w:pPr>
        <w:spacing w:after="0" w:line="213" w:lineRule="exact"/>
        <w:rPr>
          <w:sz w:val="20"/>
          <w:szCs w:val="20"/>
          <w:color w:val="auto"/>
        </w:rPr>
      </w:pPr>
    </w:p>
    <w:p>
      <w:pPr>
        <w:ind w:right="260"/>
        <w:spacing w:after="0" w:line="376" w:lineRule="auto"/>
        <w:rPr>
          <w:sz w:val="20"/>
          <w:szCs w:val="20"/>
          <w:color w:val="auto"/>
        </w:rPr>
      </w:pPr>
      <w:r>
        <w:rPr>
          <w:rFonts w:ascii="Arial" w:cs="Arial" w:eastAsia="Arial" w:hAnsi="Arial"/>
          <w:sz w:val="17"/>
          <w:szCs w:val="17"/>
          <w:color w:val="auto"/>
        </w:rPr>
        <w:t>Root’s actual results could differ materially from those predicted or implied by such forward-looking statements, and reported results should not be considered as an indication of future performance.</w:t>
      </w:r>
    </w:p>
    <w:p>
      <w:pPr>
        <w:spacing w:after="0" w:line="213" w:lineRule="exact"/>
        <w:rPr>
          <w:sz w:val="20"/>
          <w:szCs w:val="20"/>
          <w:color w:val="auto"/>
        </w:rPr>
      </w:pPr>
    </w:p>
    <w:p>
      <w:pPr>
        <w:ind w:right="380"/>
        <w:spacing w:after="0" w:line="370" w:lineRule="auto"/>
        <w:rPr>
          <w:sz w:val="20"/>
          <w:szCs w:val="20"/>
          <w:color w:val="auto"/>
        </w:rPr>
      </w:pPr>
      <w:r>
        <w:rPr>
          <w:rFonts w:ascii="Arial" w:cs="Arial" w:eastAsia="Arial" w:hAnsi="Arial"/>
          <w:sz w:val="17"/>
          <w:szCs w:val="17"/>
          <w:color w:val="auto"/>
        </w:rPr>
        <w:t xml:space="preserve">Factors that could cause or contribute to such differences also include, but are not limited to, those factors that could affect Root’s business, operating results, and stock price included under the captions “Risk Factors” and “Management’s Discussion and Analysis of Financial Condition and Results of Operations” in Root’s 2021 Annual Report on Form 10-K at </w:t>
      </w:r>
      <w:r>
        <w:rPr>
          <w:rFonts w:ascii="Arial" w:cs="Arial" w:eastAsia="Arial" w:hAnsi="Arial"/>
          <w:sz w:val="17"/>
          <w:szCs w:val="17"/>
          <w:b w:val="1"/>
          <w:bCs w:val="1"/>
          <w:color w:val="FF5715"/>
        </w:rPr>
        <w:t>http://ir.joinroot.com</w:t>
      </w:r>
      <w:r>
        <w:rPr>
          <w:rFonts w:ascii="Arial" w:cs="Arial" w:eastAsia="Arial" w:hAnsi="Arial"/>
          <w:sz w:val="17"/>
          <w:szCs w:val="17"/>
          <w:color w:val="auto"/>
        </w:rPr>
        <w:t xml:space="preserve"> or the SEC’s website at </w:t>
      </w:r>
      <w:r>
        <w:rPr>
          <w:rFonts w:ascii="Arial" w:cs="Arial" w:eastAsia="Arial" w:hAnsi="Arial"/>
          <w:sz w:val="17"/>
          <w:szCs w:val="17"/>
          <w:b w:val="1"/>
          <w:bCs w:val="1"/>
          <w:color w:val="FF5715"/>
        </w:rPr>
        <w:t>www.sec.gov.</w:t>
      </w:r>
    </w:p>
    <w:p>
      <w:pPr>
        <w:spacing w:after="0" w:line="218" w:lineRule="exact"/>
        <w:rPr>
          <w:sz w:val="20"/>
          <w:szCs w:val="20"/>
          <w:color w:val="auto"/>
        </w:rPr>
      </w:pPr>
    </w:p>
    <w:p>
      <w:pPr>
        <w:jc w:val="both"/>
        <w:ind w:right="800"/>
        <w:spacing w:after="0" w:line="370" w:lineRule="auto"/>
        <w:rPr>
          <w:sz w:val="20"/>
          <w:szCs w:val="20"/>
          <w:color w:val="auto"/>
        </w:rPr>
      </w:pPr>
      <w:r>
        <w:rPr>
          <w:rFonts w:ascii="Arial" w:cs="Arial" w:eastAsia="Arial" w:hAnsi="Arial"/>
          <w:sz w:val="17"/>
          <w:szCs w:val="17"/>
          <w:color w:val="auto"/>
        </w:rPr>
        <w:t>Undue reliance should not be placed on the forward-looking statements in this letter or the above-referenced webcast, which are based on information available to Root on the date hereof. Such forward-looking statements do not include the potential impact of any acquisitions or divestitures that may be announced and/or completed after the date hereof. We assume no obligation to update such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613410</wp:posOffset>
            </wp:positionV>
            <wp:extent cx="671195" cy="212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11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40"/>
        <w:spacing w:after="0"/>
        <w:rPr>
          <w:sz w:val="20"/>
          <w:szCs w:val="20"/>
          <w:color w:val="auto"/>
        </w:rPr>
      </w:pPr>
      <w:r>
        <w:rPr>
          <w:rFonts w:ascii="Arial" w:cs="Arial" w:eastAsia="Arial" w:hAnsi="Arial"/>
          <w:sz w:val="17"/>
          <w:szCs w:val="17"/>
          <w:color w:val="929292"/>
        </w:rPr>
        <w:t>13</w:t>
      </w:r>
    </w:p>
    <w:p>
      <w:pPr>
        <w:sectPr>
          <w:pgSz w:w="11900" w:h="16838" w:orient="portrait"/>
          <w:cols w:equalWidth="0" w:num="1">
            <w:col w:w="11340"/>
          </w:cols>
          <w:pgMar w:left="320" w:top="344" w:right="239" w:bottom="1440" w:gutter="0" w:footer="0" w:header="0"/>
        </w:sectPr>
      </w:pPr>
    </w:p>
    <w:bookmarkStart w:id="16" w:name="page17"/>
    <w:bookmarkEnd w:id="16"/>
    <w:p>
      <w:pPr>
        <w:spacing w:after="0"/>
        <w:rPr>
          <w:sz w:val="20"/>
          <w:szCs w:val="20"/>
          <w:color w:val="auto"/>
        </w:rPr>
      </w:pPr>
      <w:r>
        <w:rPr>
          <w:rFonts w:ascii="Arial" w:cs="Arial" w:eastAsia="Arial" w:hAnsi="Arial"/>
          <w:sz w:val="19"/>
          <w:szCs w:val="19"/>
          <w:b w:val="1"/>
          <w:bCs w:val="1"/>
          <w:color w:val="242424"/>
        </w:rPr>
        <w:t>Letter to Shareholders: FY 2021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B6B6B6"/>
        </w:rPr>
        <w:t>____________________________________________________________________________________________________________</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7"/>
          <w:szCs w:val="27"/>
          <w:b w:val="1"/>
          <w:bCs w:val="1"/>
          <w:color w:val="FF5715"/>
        </w:rPr>
        <w:t>Financial statements</w:t>
      </w:r>
    </w:p>
    <w:p>
      <w:pPr>
        <w:spacing w:after="0" w:line="7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ROOT, INC. AND SUBSIDIARIES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BALANCE SHEETS - 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3"/>
        </w:trPr>
        <w:tc>
          <w:tcPr>
            <w:tcW w:w="8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(in millions, except par value )</w:t>
            </w:r>
          </w:p>
        </w:tc>
        <w:tc>
          <w:tcPr>
            <w:tcW w:w="0" w:type="dxa"/>
            <w:vAlign w:val="bottom"/>
          </w:tcPr>
          <w:p>
            <w:pPr>
              <w:spacing w:after="0"/>
              <w:rPr>
                <w:sz w:val="1"/>
                <w:szCs w:val="1"/>
                <w:color w:val="auto"/>
              </w:rPr>
            </w:pPr>
          </w:p>
        </w:tc>
      </w:tr>
      <w:tr>
        <w:trPr>
          <w:trHeight w:val="207"/>
        </w:trPr>
        <w:tc>
          <w:tcPr>
            <w:tcW w:w="80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40" w:type="dxa"/>
            <w:vAlign w:val="bottom"/>
          </w:tcPr>
          <w:p>
            <w:pPr>
              <w:ind w:left="120"/>
              <w:spacing w:after="0"/>
              <w:rPr>
                <w:sz w:val="20"/>
                <w:szCs w:val="20"/>
                <w:color w:val="auto"/>
              </w:rPr>
            </w:pPr>
            <w:r>
              <w:rPr>
                <w:rFonts w:ascii="Arial" w:cs="Arial" w:eastAsia="Arial" w:hAnsi="Arial"/>
                <w:sz w:val="16"/>
                <w:szCs w:val="16"/>
                <w:color w:val="auto"/>
              </w:rPr>
              <w:t>Investments: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040" w:type="dxa"/>
            <w:vAlign w:val="bottom"/>
            <w:shd w:val="clear" w:color="auto" w:fill="DBDBDB"/>
          </w:tcPr>
          <w:p>
            <w:pPr>
              <w:ind w:left="220"/>
              <w:spacing w:after="0" w:line="155" w:lineRule="exact"/>
              <w:rPr>
                <w:sz w:val="20"/>
                <w:szCs w:val="20"/>
                <w:color w:val="auto"/>
              </w:rPr>
            </w:pPr>
            <w:r>
              <w:rPr>
                <w:rFonts w:ascii="Arial" w:cs="Arial" w:eastAsia="Arial" w:hAnsi="Arial"/>
                <w:sz w:val="16"/>
                <w:szCs w:val="16"/>
                <w:color w:val="auto"/>
                <w:w w:val="99"/>
              </w:rPr>
              <w:t>Fixed maturities available-for-sale, at fair value (amortized cost: $129.5 and $215.4 at December 31, 2021 and</w:t>
            </w:r>
          </w:p>
        </w:tc>
        <w:tc>
          <w:tcPr>
            <w:tcW w:w="360" w:type="dxa"/>
            <w:vAlign w:val="bottom"/>
            <w:vMerge w:val="restart"/>
            <w:shd w:val="clear" w:color="auto" w:fill="DBDBDB"/>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7"/>
                <w:szCs w:val="17"/>
                <w:color w:val="auto"/>
              </w:rPr>
              <w:t>129.9</w:t>
            </w:r>
          </w:p>
        </w:tc>
        <w:tc>
          <w:tcPr>
            <w:tcW w:w="80" w:type="dxa"/>
            <w:vAlign w:val="bottom"/>
            <w:shd w:val="clear" w:color="auto" w:fill="DBDBDB"/>
          </w:tcPr>
          <w:p>
            <w:pPr>
              <w:spacing w:after="0"/>
              <w:rPr>
                <w:sz w:val="13"/>
                <w:szCs w:val="13"/>
                <w:color w:val="auto"/>
              </w:rPr>
            </w:pPr>
          </w:p>
        </w:tc>
        <w:tc>
          <w:tcPr>
            <w:tcW w:w="380" w:type="dxa"/>
            <w:vAlign w:val="bottom"/>
            <w:vMerge w:val="restart"/>
            <w:shd w:val="clear" w:color="auto" w:fill="DBDBDB"/>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7"/>
                <w:szCs w:val="17"/>
                <w:color w:val="auto"/>
              </w:rPr>
              <w:t>221.0</w:t>
            </w:r>
          </w:p>
        </w:tc>
        <w:tc>
          <w:tcPr>
            <w:tcW w:w="0" w:type="dxa"/>
            <w:vAlign w:val="bottom"/>
          </w:tcPr>
          <w:p>
            <w:pPr>
              <w:spacing w:after="0"/>
              <w:rPr>
                <w:sz w:val="1"/>
                <w:szCs w:val="1"/>
                <w:color w:val="auto"/>
              </w:rPr>
            </w:pPr>
          </w:p>
        </w:tc>
      </w:tr>
      <w:tr>
        <w:trPr>
          <w:trHeight w:val="206"/>
        </w:trPr>
        <w:tc>
          <w:tcPr>
            <w:tcW w:w="8040" w:type="dxa"/>
            <w:vAlign w:val="bottom"/>
            <w:shd w:val="clear" w:color="auto" w:fill="DBDBDB"/>
          </w:tcPr>
          <w:p>
            <w:pPr>
              <w:ind w:left="380"/>
              <w:spacing w:after="0"/>
              <w:rPr>
                <w:sz w:val="20"/>
                <w:szCs w:val="20"/>
                <w:color w:val="auto"/>
              </w:rPr>
            </w:pPr>
            <w:r>
              <w:rPr>
                <w:rFonts w:ascii="Arial" w:cs="Arial" w:eastAsia="Arial" w:hAnsi="Arial"/>
                <w:sz w:val="16"/>
                <w:szCs w:val="16"/>
                <w:color w:val="auto"/>
              </w:rPr>
              <w:t>December 31, 2020, respectively)</w:t>
            </w:r>
          </w:p>
        </w:tc>
        <w:tc>
          <w:tcPr>
            <w:tcW w:w="360" w:type="dxa"/>
            <w:vAlign w:val="bottom"/>
            <w:vMerge w:val="continue"/>
            <w:shd w:val="clear" w:color="auto" w:fill="DBDBDB"/>
          </w:tcPr>
          <w:p>
            <w:pPr>
              <w:spacing w:after="0"/>
              <w:rPr>
                <w:sz w:val="17"/>
                <w:szCs w:val="17"/>
                <w:color w:val="auto"/>
              </w:rPr>
            </w:pPr>
          </w:p>
        </w:tc>
        <w:tc>
          <w:tcPr>
            <w:tcW w:w="120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80" w:type="dxa"/>
            <w:vAlign w:val="bottom"/>
            <w:vMerge w:val="continue"/>
            <w:shd w:val="clear" w:color="auto" w:fill="DBDBDB"/>
          </w:tcPr>
          <w:p>
            <w:pPr>
              <w:spacing w:after="0"/>
              <w:rPr>
                <w:sz w:val="17"/>
                <w:szCs w:val="17"/>
                <w:color w:val="auto"/>
              </w:rPr>
            </w:pPr>
          </w:p>
        </w:tc>
        <w:tc>
          <w:tcPr>
            <w:tcW w:w="118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40" w:type="dxa"/>
            <w:vAlign w:val="bottom"/>
          </w:tcPr>
          <w:p>
            <w:pPr>
              <w:ind w:left="220"/>
              <w:spacing w:after="0"/>
              <w:rPr>
                <w:sz w:val="20"/>
                <w:szCs w:val="20"/>
                <w:color w:val="auto"/>
              </w:rPr>
            </w:pPr>
            <w:r>
              <w:rPr>
                <w:rFonts w:ascii="Arial" w:cs="Arial" w:eastAsia="Arial" w:hAnsi="Arial"/>
                <w:sz w:val="16"/>
                <w:szCs w:val="16"/>
                <w:color w:val="auto"/>
                <w:w w:val="94"/>
              </w:rPr>
              <w:t>Short-term investments (amortized cost: zero and $3.0 at December 31, 2021 and December 31, 2020, respectively)</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9"/>
        </w:trPr>
        <w:tc>
          <w:tcPr>
            <w:tcW w:w="80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Other investments</w:t>
            </w: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4.7</w:t>
            </w:r>
          </w:p>
        </w:tc>
        <w:tc>
          <w:tcPr>
            <w:tcW w:w="8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12"/>
        </w:trPr>
        <w:tc>
          <w:tcPr>
            <w:tcW w:w="8040" w:type="dxa"/>
            <w:vAlign w:val="bottom"/>
          </w:tcPr>
          <w:p>
            <w:pPr>
              <w:ind w:left="320"/>
              <w:spacing w:after="0"/>
              <w:rPr>
                <w:sz w:val="20"/>
                <w:szCs w:val="20"/>
                <w:color w:val="auto"/>
              </w:rPr>
            </w:pPr>
            <w:r>
              <w:rPr>
                <w:rFonts w:ascii="Arial" w:cs="Arial" w:eastAsia="Arial" w:hAnsi="Arial"/>
                <w:sz w:val="16"/>
                <w:szCs w:val="16"/>
                <w:color w:val="auto"/>
              </w:rPr>
              <w:t>Total investments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134.6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224.5</w:t>
            </w:r>
          </w:p>
        </w:tc>
        <w:tc>
          <w:tcPr>
            <w:tcW w:w="0" w:type="dxa"/>
            <w:vAlign w:val="bottom"/>
          </w:tcPr>
          <w:p>
            <w:pPr>
              <w:spacing w:after="0"/>
              <w:rPr>
                <w:sz w:val="1"/>
                <w:szCs w:val="1"/>
                <w:color w:val="auto"/>
              </w:rPr>
            </w:pPr>
          </w:p>
        </w:tc>
      </w:tr>
      <w:tr>
        <w:trPr>
          <w:trHeight w:val="220"/>
        </w:trPr>
        <w:tc>
          <w:tcPr>
            <w:tcW w:w="80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706.0</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1,112.8</w:t>
            </w:r>
          </w:p>
        </w:tc>
        <w:tc>
          <w:tcPr>
            <w:tcW w:w="0" w:type="dxa"/>
            <w:vAlign w:val="bottom"/>
          </w:tcPr>
          <w:p>
            <w:pPr>
              <w:spacing w:after="0"/>
              <w:rPr>
                <w:sz w:val="1"/>
                <w:szCs w:val="1"/>
                <w:color w:val="auto"/>
              </w:rPr>
            </w:pPr>
          </w:p>
        </w:tc>
      </w:tr>
      <w:tr>
        <w:trPr>
          <w:trHeight w:val="218"/>
        </w:trPr>
        <w:tc>
          <w:tcPr>
            <w:tcW w:w="8040" w:type="dxa"/>
            <w:vAlign w:val="bottom"/>
          </w:tcPr>
          <w:p>
            <w:pPr>
              <w:ind w:left="120"/>
              <w:spacing w:after="0"/>
              <w:rPr>
                <w:sz w:val="20"/>
                <w:szCs w:val="20"/>
                <w:color w:val="auto"/>
              </w:rPr>
            </w:pPr>
            <w:r>
              <w:rPr>
                <w:rFonts w:ascii="Arial" w:cs="Arial" w:eastAsia="Arial" w:hAnsi="Arial"/>
                <w:sz w:val="16"/>
                <w:szCs w:val="16"/>
                <w:color w:val="auto"/>
              </w:rPr>
              <w:t>Restricted cash</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0"/>
        </w:trPr>
        <w:tc>
          <w:tcPr>
            <w:tcW w:w="8040" w:type="dxa"/>
            <w:vAlign w:val="bottom"/>
            <w:shd w:val="clear" w:color="auto" w:fill="DBDBDB"/>
          </w:tcPr>
          <w:p>
            <w:pPr>
              <w:ind w:left="120"/>
              <w:spacing w:after="0"/>
              <w:rPr>
                <w:sz w:val="20"/>
                <w:szCs w:val="20"/>
                <w:color w:val="auto"/>
              </w:rPr>
            </w:pPr>
            <w:r>
              <w:rPr>
                <w:rFonts w:ascii="Arial" w:cs="Arial" w:eastAsia="Arial" w:hAnsi="Arial"/>
                <w:sz w:val="16"/>
                <w:szCs w:val="16"/>
                <w:color w:val="auto"/>
                <w:w w:val="95"/>
              </w:rPr>
              <w:t>Premiums receivable, net of allowance of $5.4 and $3.5 at December 31, 2021 and December 31, 2020, respectively</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148.1</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130.1</w:t>
            </w:r>
          </w:p>
        </w:tc>
        <w:tc>
          <w:tcPr>
            <w:tcW w:w="0" w:type="dxa"/>
            <w:vAlign w:val="bottom"/>
          </w:tcPr>
          <w:p>
            <w:pPr>
              <w:spacing w:after="0"/>
              <w:rPr>
                <w:sz w:val="1"/>
                <w:szCs w:val="1"/>
                <w:color w:val="auto"/>
              </w:rPr>
            </w:pPr>
          </w:p>
        </w:tc>
      </w:tr>
      <w:tr>
        <w:trPr>
          <w:trHeight w:val="218"/>
        </w:trPr>
        <w:tc>
          <w:tcPr>
            <w:tcW w:w="8040" w:type="dxa"/>
            <w:vAlign w:val="bottom"/>
          </w:tcPr>
          <w:p>
            <w:pPr>
              <w:ind w:left="120"/>
              <w:spacing w:after="0"/>
              <w:rPr>
                <w:sz w:val="20"/>
                <w:szCs w:val="20"/>
                <w:color w:val="auto"/>
              </w:rPr>
            </w:pPr>
            <w:r>
              <w:rPr>
                <w:rFonts w:ascii="Arial" w:cs="Arial" w:eastAsia="Arial" w:hAnsi="Arial"/>
                <w:sz w:val="16"/>
                <w:szCs w:val="16"/>
                <w:color w:val="auto"/>
                <w:w w:val="92"/>
              </w:rPr>
              <w:t>Reinsurance recoverable, net of allowance of $0.2 and zero at December 31, 2021 and December 31, 2020, respectively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155.0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124.8</w:t>
            </w:r>
          </w:p>
        </w:tc>
        <w:tc>
          <w:tcPr>
            <w:tcW w:w="0" w:type="dxa"/>
            <w:vAlign w:val="bottom"/>
          </w:tcPr>
          <w:p>
            <w:pPr>
              <w:spacing w:after="0"/>
              <w:rPr>
                <w:sz w:val="1"/>
                <w:szCs w:val="1"/>
                <w:color w:val="auto"/>
              </w:rPr>
            </w:pPr>
          </w:p>
        </w:tc>
      </w:tr>
      <w:tr>
        <w:trPr>
          <w:trHeight w:val="220"/>
        </w:trPr>
        <w:tc>
          <w:tcPr>
            <w:tcW w:w="80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Prepaid reinsurance premiums</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100.8</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112.8</w:t>
            </w:r>
          </w:p>
        </w:tc>
        <w:tc>
          <w:tcPr>
            <w:tcW w:w="0" w:type="dxa"/>
            <w:vAlign w:val="bottom"/>
          </w:tcPr>
          <w:p>
            <w:pPr>
              <w:spacing w:after="0"/>
              <w:rPr>
                <w:sz w:val="1"/>
                <w:szCs w:val="1"/>
                <w:color w:val="auto"/>
              </w:rPr>
            </w:pPr>
          </w:p>
        </w:tc>
      </w:tr>
      <w:tr>
        <w:trPr>
          <w:trHeight w:val="218"/>
        </w:trPr>
        <w:tc>
          <w:tcPr>
            <w:tcW w:w="8040" w:type="dxa"/>
            <w:vAlign w:val="bottom"/>
            <w:tcBorders>
              <w:bottom w:val="single" w:sz="8" w:color="DBDBDB"/>
            </w:tcBorders>
          </w:tcPr>
          <w:p>
            <w:pPr>
              <w:ind w:left="12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w:t>
            </w:r>
          </w:p>
        </w:tc>
        <w:tc>
          <w:tcPr>
            <w:tcW w:w="8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w:t>
            </w:r>
          </w:p>
        </w:tc>
        <w:tc>
          <w:tcPr>
            <w:tcW w:w="0" w:type="dxa"/>
            <w:vAlign w:val="bottom"/>
          </w:tcPr>
          <w:p>
            <w:pPr>
              <w:spacing w:after="0"/>
              <w:rPr>
                <w:sz w:val="1"/>
                <w:szCs w:val="1"/>
                <w:color w:val="auto"/>
              </w:rPr>
            </w:pPr>
          </w:p>
        </w:tc>
      </w:tr>
      <w:tr>
        <w:trPr>
          <w:trHeight w:val="238"/>
        </w:trPr>
        <w:tc>
          <w:tcPr>
            <w:tcW w:w="804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shd w:val="clear" w:color="auto" w:fill="DBDBDB"/>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1,319.3</w:t>
            </w:r>
          </w:p>
        </w:tc>
        <w:tc>
          <w:tcPr>
            <w:tcW w:w="8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1,762.3</w:t>
            </w:r>
          </w:p>
        </w:tc>
        <w:tc>
          <w:tcPr>
            <w:tcW w:w="0" w:type="dxa"/>
            <w:vAlign w:val="bottom"/>
          </w:tcPr>
          <w:p>
            <w:pPr>
              <w:spacing w:after="0"/>
              <w:rPr>
                <w:sz w:val="1"/>
                <w:szCs w:val="1"/>
                <w:color w:val="auto"/>
              </w:rPr>
            </w:pPr>
          </w:p>
        </w:tc>
      </w:tr>
      <w:tr>
        <w:trPr>
          <w:trHeight w:val="20"/>
        </w:trPr>
        <w:tc>
          <w:tcPr>
            <w:tcW w:w="804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6"/>
                <w:szCs w:val="16"/>
                <w:b w:val="1"/>
                <w:bCs w:val="1"/>
                <w:color w:val="auto"/>
              </w:rPr>
              <w:t>Liabilities, Redeemable Convertible Preferred Stock and Stockholders’ Equity</w:t>
            </w: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0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Liabilities:</w:t>
            </w: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40" w:type="dxa"/>
            <w:vAlign w:val="bottom"/>
          </w:tcPr>
          <w:p>
            <w:pPr>
              <w:ind w:left="120"/>
              <w:spacing w:after="0"/>
              <w:rPr>
                <w:sz w:val="20"/>
                <w:szCs w:val="20"/>
                <w:color w:val="auto"/>
              </w:rPr>
            </w:pPr>
            <w:r>
              <w:rPr>
                <w:rFonts w:ascii="Arial" w:cs="Arial" w:eastAsia="Arial" w:hAnsi="Arial"/>
                <w:sz w:val="16"/>
                <w:szCs w:val="16"/>
                <w:color w:val="auto"/>
              </w:rPr>
              <w:t>Loss and loss adjustment expense reserves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320.2</w:t>
            </w:r>
          </w:p>
        </w:tc>
        <w:tc>
          <w:tcPr>
            <w:tcW w:w="8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237.2</w:t>
            </w:r>
          </w:p>
        </w:tc>
        <w:tc>
          <w:tcPr>
            <w:tcW w:w="0" w:type="dxa"/>
            <w:vAlign w:val="bottom"/>
          </w:tcPr>
          <w:p>
            <w:pPr>
              <w:spacing w:after="0"/>
              <w:rPr>
                <w:sz w:val="1"/>
                <w:szCs w:val="1"/>
                <w:color w:val="auto"/>
              </w:rPr>
            </w:pPr>
          </w:p>
        </w:tc>
      </w:tr>
      <w:tr>
        <w:trPr>
          <w:trHeight w:val="220"/>
        </w:trPr>
        <w:tc>
          <w:tcPr>
            <w:tcW w:w="80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Unearned premiums</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180.1</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157.1</w:t>
            </w:r>
          </w:p>
        </w:tc>
        <w:tc>
          <w:tcPr>
            <w:tcW w:w="0" w:type="dxa"/>
            <w:vAlign w:val="bottom"/>
          </w:tcPr>
          <w:p>
            <w:pPr>
              <w:spacing w:after="0"/>
              <w:rPr>
                <w:sz w:val="1"/>
                <w:szCs w:val="1"/>
                <w:color w:val="auto"/>
              </w:rPr>
            </w:pPr>
          </w:p>
        </w:tc>
      </w:tr>
      <w:tr>
        <w:trPr>
          <w:trHeight w:val="218"/>
        </w:trPr>
        <w:tc>
          <w:tcPr>
            <w:tcW w:w="8040" w:type="dxa"/>
            <w:vAlign w:val="bottom"/>
          </w:tcPr>
          <w:p>
            <w:pPr>
              <w:ind w:left="120"/>
              <w:spacing w:after="0"/>
              <w:rPr>
                <w:sz w:val="20"/>
                <w:szCs w:val="20"/>
                <w:color w:val="auto"/>
              </w:rPr>
            </w:pPr>
            <w:r>
              <w:rPr>
                <w:rFonts w:ascii="Arial" w:cs="Arial" w:eastAsia="Arial" w:hAnsi="Arial"/>
                <w:sz w:val="16"/>
                <w:szCs w:val="16"/>
                <w:color w:val="auto"/>
              </w:rPr>
              <w:t>Long-term debt and warrants</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188.2</w:t>
            </w:r>
          </w:p>
        </w:tc>
        <w:tc>
          <w:tcPr>
            <w:tcW w:w="0" w:type="dxa"/>
            <w:vAlign w:val="bottom"/>
          </w:tcPr>
          <w:p>
            <w:pPr>
              <w:spacing w:after="0"/>
              <w:rPr>
                <w:sz w:val="1"/>
                <w:szCs w:val="1"/>
                <w:color w:val="auto"/>
              </w:rPr>
            </w:pPr>
          </w:p>
        </w:tc>
      </w:tr>
      <w:tr>
        <w:trPr>
          <w:trHeight w:val="220"/>
        </w:trPr>
        <w:tc>
          <w:tcPr>
            <w:tcW w:w="80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Reinsurance premiums payable</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101.6</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218"/>
        </w:trPr>
        <w:tc>
          <w:tcPr>
            <w:tcW w:w="8040" w:type="dxa"/>
            <w:vAlign w:val="bottom"/>
          </w:tcPr>
          <w:p>
            <w:pPr>
              <w:ind w:left="12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19"/>
        </w:trPr>
        <w:tc>
          <w:tcPr>
            <w:tcW w:w="80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39.9</w:t>
            </w:r>
          </w:p>
        </w:tc>
        <w:tc>
          <w:tcPr>
            <w:tcW w:w="8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12"/>
        </w:trPr>
        <w:tc>
          <w:tcPr>
            <w:tcW w:w="804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670.9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729.9</w:t>
            </w:r>
          </w:p>
        </w:tc>
        <w:tc>
          <w:tcPr>
            <w:tcW w:w="0" w:type="dxa"/>
            <w:vAlign w:val="bottom"/>
          </w:tcPr>
          <w:p>
            <w:pPr>
              <w:spacing w:after="0"/>
              <w:rPr>
                <w:sz w:val="1"/>
                <w:szCs w:val="1"/>
                <w:color w:val="auto"/>
              </w:rPr>
            </w:pPr>
          </w:p>
        </w:tc>
      </w:tr>
      <w:tr>
        <w:trPr>
          <w:trHeight w:val="207"/>
        </w:trPr>
        <w:tc>
          <w:tcPr>
            <w:tcW w:w="8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Commitments and Contingencies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040" w:type="dxa"/>
            <w:vAlign w:val="bottom"/>
          </w:tcPr>
          <w:p>
            <w:pPr>
              <w:ind w:left="20"/>
              <w:spacing w:after="0" w:line="168" w:lineRule="exact"/>
              <w:rPr>
                <w:sz w:val="20"/>
                <w:szCs w:val="20"/>
                <w:color w:val="auto"/>
              </w:rPr>
            </w:pPr>
            <w:r>
              <w:rPr>
                <w:rFonts w:ascii="Arial" w:cs="Arial" w:eastAsia="Arial" w:hAnsi="Arial"/>
                <w:sz w:val="17"/>
                <w:szCs w:val="17"/>
                <w:color w:val="auto"/>
                <w:w w:val="98"/>
              </w:rPr>
              <w:t>Redeemable convertible preferred stock, $0.0001 par value, 14.1 and zero shares issued and outstanding at</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40" w:type="dxa"/>
            <w:vAlign w:val="bottom"/>
          </w:tcPr>
          <w:p>
            <w:pPr>
              <w:ind w:left="180"/>
              <w:spacing w:after="0" w:line="167" w:lineRule="exact"/>
              <w:rPr>
                <w:sz w:val="20"/>
                <w:szCs w:val="20"/>
                <w:color w:val="auto"/>
              </w:rPr>
            </w:pPr>
            <w:r>
              <w:rPr>
                <w:rFonts w:ascii="Arial" w:cs="Arial" w:eastAsia="Arial" w:hAnsi="Arial"/>
                <w:sz w:val="17"/>
                <w:szCs w:val="17"/>
                <w:color w:val="auto"/>
              </w:rPr>
              <w:t>December 31, 2021 and December 31, 2020, respectively (liquidation preference of $126.5 and zero,</w:t>
            </w: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112.0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8040" w:type="dxa"/>
            <w:vAlign w:val="bottom"/>
          </w:tcPr>
          <w:p>
            <w:pPr>
              <w:ind w:left="180"/>
              <w:spacing w:after="0"/>
              <w:rPr>
                <w:sz w:val="20"/>
                <w:szCs w:val="20"/>
                <w:color w:val="auto"/>
              </w:rPr>
            </w:pPr>
            <w:r>
              <w:rPr>
                <w:rFonts w:ascii="Arial" w:cs="Arial" w:eastAsia="Arial" w:hAnsi="Arial"/>
                <w:sz w:val="17"/>
                <w:szCs w:val="17"/>
                <w:color w:val="auto"/>
              </w:rPr>
              <w:t>respectively)</w:t>
            </w: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Stockholders’ equity:</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040" w:type="dxa"/>
            <w:vAlign w:val="bottom"/>
          </w:tcPr>
          <w:p>
            <w:pPr>
              <w:ind w:left="120"/>
              <w:spacing w:after="0" w:line="155" w:lineRule="exact"/>
              <w:rPr>
                <w:sz w:val="20"/>
                <w:szCs w:val="20"/>
                <w:color w:val="auto"/>
              </w:rPr>
            </w:pPr>
            <w:r>
              <w:rPr>
                <w:rFonts w:ascii="Arial" w:cs="Arial" w:eastAsia="Arial" w:hAnsi="Arial"/>
                <w:sz w:val="16"/>
                <w:szCs w:val="16"/>
                <w:color w:val="auto"/>
                <w:w w:val="95"/>
              </w:rPr>
              <w:t>Class A common stock, $0.0001 par value, 142.9 and 59.4 shares issued and outstanding at December 31, 2021 and</w:t>
            </w:r>
          </w:p>
        </w:tc>
        <w:tc>
          <w:tcPr>
            <w:tcW w:w="36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040" w:type="dxa"/>
            <w:vAlign w:val="bottom"/>
          </w:tcPr>
          <w:p>
            <w:pPr>
              <w:ind w:left="280"/>
              <w:spacing w:after="0"/>
              <w:rPr>
                <w:sz w:val="20"/>
                <w:szCs w:val="20"/>
                <w:color w:val="auto"/>
              </w:rPr>
            </w:pPr>
            <w:r>
              <w:rPr>
                <w:rFonts w:ascii="Arial" w:cs="Arial" w:eastAsia="Arial" w:hAnsi="Arial"/>
                <w:sz w:val="16"/>
                <w:szCs w:val="16"/>
                <w:color w:val="auto"/>
              </w:rPr>
              <w:t>December 31, 2020, respectively</w:t>
            </w:r>
          </w:p>
        </w:tc>
        <w:tc>
          <w:tcPr>
            <w:tcW w:w="3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040" w:type="dxa"/>
            <w:vAlign w:val="bottom"/>
            <w:shd w:val="clear" w:color="auto" w:fill="DBDBDB"/>
          </w:tcPr>
          <w:p>
            <w:pPr>
              <w:ind w:left="120"/>
              <w:spacing w:after="0" w:line="155" w:lineRule="exact"/>
              <w:rPr>
                <w:sz w:val="20"/>
                <w:szCs w:val="20"/>
                <w:color w:val="auto"/>
              </w:rPr>
            </w:pPr>
            <w:r>
              <w:rPr>
                <w:rFonts w:ascii="Arial" w:cs="Arial" w:eastAsia="Arial" w:hAnsi="Arial"/>
                <w:sz w:val="16"/>
                <w:szCs w:val="16"/>
                <w:color w:val="auto"/>
                <w:w w:val="94"/>
              </w:rPr>
              <w:t>Class B common stock, $0.0001 par value, 109.9 and 192.2 shares issued and outstanding at December 31, 2021 and</w:t>
            </w:r>
          </w:p>
        </w:tc>
        <w:tc>
          <w:tcPr>
            <w:tcW w:w="360" w:type="dxa"/>
            <w:vAlign w:val="bottom"/>
            <w:shd w:val="clear" w:color="auto" w:fill="DBDBDB"/>
          </w:tcPr>
          <w:p>
            <w:pPr>
              <w:spacing w:after="0"/>
              <w:rPr>
                <w:sz w:val="13"/>
                <w:szCs w:val="13"/>
                <w:color w:val="auto"/>
              </w:rPr>
            </w:pPr>
          </w:p>
        </w:tc>
        <w:tc>
          <w:tcPr>
            <w:tcW w:w="12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DBDBDB"/>
          </w:tcPr>
          <w:p>
            <w:pPr>
              <w:spacing w:after="0"/>
              <w:rPr>
                <w:sz w:val="13"/>
                <w:szCs w:val="13"/>
                <w:color w:val="auto"/>
              </w:rPr>
            </w:pP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040" w:type="dxa"/>
            <w:vAlign w:val="bottom"/>
            <w:shd w:val="clear" w:color="auto" w:fill="DBDBDB"/>
          </w:tcPr>
          <w:p>
            <w:pPr>
              <w:ind w:left="280"/>
              <w:spacing w:after="0"/>
              <w:rPr>
                <w:sz w:val="20"/>
                <w:szCs w:val="20"/>
                <w:color w:val="auto"/>
              </w:rPr>
            </w:pPr>
            <w:r>
              <w:rPr>
                <w:rFonts w:ascii="Arial" w:cs="Arial" w:eastAsia="Arial" w:hAnsi="Arial"/>
                <w:sz w:val="16"/>
                <w:szCs w:val="16"/>
                <w:color w:val="auto"/>
              </w:rPr>
              <w:t>December 31, 2020, respectively</w:t>
            </w:r>
          </w:p>
        </w:tc>
        <w:tc>
          <w:tcPr>
            <w:tcW w:w="360" w:type="dxa"/>
            <w:vAlign w:val="bottom"/>
            <w:shd w:val="clear" w:color="auto" w:fill="DBDBDB"/>
          </w:tcPr>
          <w:p>
            <w:pPr>
              <w:spacing w:after="0"/>
              <w:rPr>
                <w:sz w:val="17"/>
                <w:szCs w:val="17"/>
                <w:color w:val="auto"/>
              </w:rPr>
            </w:pPr>
          </w:p>
        </w:tc>
        <w:tc>
          <w:tcPr>
            <w:tcW w:w="1280" w:type="dxa"/>
            <w:vAlign w:val="bottom"/>
            <w:gridSpan w:val="2"/>
            <w:vMerge w:val="continue"/>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18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40" w:type="dxa"/>
            <w:vAlign w:val="bottom"/>
          </w:tcPr>
          <w:p>
            <w:pPr>
              <w:ind w:left="120"/>
              <w:spacing w:after="0"/>
              <w:rPr>
                <w:sz w:val="20"/>
                <w:szCs w:val="20"/>
                <w:color w:val="auto"/>
              </w:rPr>
            </w:pPr>
            <w:r>
              <w:rPr>
                <w:rFonts w:ascii="Arial" w:cs="Arial" w:eastAsia="Arial" w:hAnsi="Arial"/>
                <w:sz w:val="16"/>
                <w:szCs w:val="16"/>
                <w:color w:val="auto"/>
              </w:rPr>
              <w:t>Treasury stock, at cost</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20"/>
        </w:trPr>
        <w:tc>
          <w:tcPr>
            <w:tcW w:w="80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Additional paid-in capital</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1,806.1</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1,775.6</w:t>
            </w:r>
          </w:p>
        </w:tc>
        <w:tc>
          <w:tcPr>
            <w:tcW w:w="0" w:type="dxa"/>
            <w:vAlign w:val="bottom"/>
          </w:tcPr>
          <w:p>
            <w:pPr>
              <w:spacing w:after="0"/>
              <w:rPr>
                <w:sz w:val="1"/>
                <w:szCs w:val="1"/>
                <w:color w:val="auto"/>
              </w:rPr>
            </w:pPr>
          </w:p>
        </w:tc>
      </w:tr>
      <w:tr>
        <w:trPr>
          <w:trHeight w:val="218"/>
        </w:trPr>
        <w:tc>
          <w:tcPr>
            <w:tcW w:w="8040" w:type="dxa"/>
            <w:vAlign w:val="bottom"/>
          </w:tcPr>
          <w:p>
            <w:pPr>
              <w:ind w:left="120"/>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9"/>
        </w:trPr>
        <w:tc>
          <w:tcPr>
            <w:tcW w:w="80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Accumulated loss</w:t>
            </w: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(1,270.1)</w:t>
            </w:r>
          </w:p>
        </w:tc>
        <w:tc>
          <w:tcPr>
            <w:tcW w:w="8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(748.0)</w:t>
            </w:r>
          </w:p>
        </w:tc>
        <w:tc>
          <w:tcPr>
            <w:tcW w:w="0" w:type="dxa"/>
            <w:vAlign w:val="bottom"/>
          </w:tcPr>
          <w:p>
            <w:pPr>
              <w:spacing w:after="0"/>
              <w:rPr>
                <w:sz w:val="1"/>
                <w:szCs w:val="1"/>
                <w:color w:val="auto"/>
              </w:rPr>
            </w:pPr>
          </w:p>
        </w:tc>
      </w:tr>
      <w:tr>
        <w:trPr>
          <w:trHeight w:val="212"/>
        </w:trPr>
        <w:tc>
          <w:tcPr>
            <w:tcW w:w="8040" w:type="dxa"/>
            <w:vAlign w:val="bottom"/>
            <w:tcBorders>
              <w:bottom w:val="single" w:sz="8" w:color="DBDBDB"/>
            </w:tcBorders>
          </w:tcPr>
          <w:p>
            <w:pPr>
              <w:ind w:left="22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536.4</w:t>
            </w:r>
          </w:p>
        </w:tc>
        <w:tc>
          <w:tcPr>
            <w:tcW w:w="8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1,032.4</w:t>
            </w:r>
          </w:p>
        </w:tc>
        <w:tc>
          <w:tcPr>
            <w:tcW w:w="0" w:type="dxa"/>
            <w:vAlign w:val="bottom"/>
          </w:tcPr>
          <w:p>
            <w:pPr>
              <w:spacing w:after="0"/>
              <w:rPr>
                <w:sz w:val="1"/>
                <w:szCs w:val="1"/>
                <w:color w:val="auto"/>
              </w:rPr>
            </w:pPr>
          </w:p>
        </w:tc>
      </w:tr>
      <w:tr>
        <w:trPr>
          <w:trHeight w:val="238"/>
        </w:trPr>
        <w:tc>
          <w:tcPr>
            <w:tcW w:w="804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6"/>
                <w:szCs w:val="16"/>
                <w:color w:val="auto"/>
              </w:rPr>
              <w:t>Total liabilities, redeemable convertible preferred stock and stockholders’ equity</w:t>
            </w:r>
          </w:p>
        </w:tc>
        <w:tc>
          <w:tcPr>
            <w:tcW w:w="360" w:type="dxa"/>
            <w:vAlign w:val="bottom"/>
            <w:tcBorders>
              <w:bottom w:val="single" w:sz="8" w:color="auto"/>
            </w:tcBorders>
            <w:shd w:val="clear" w:color="auto" w:fill="DBDBDB"/>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1,319.3</w:t>
            </w:r>
          </w:p>
        </w:tc>
        <w:tc>
          <w:tcPr>
            <w:tcW w:w="8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1,762.3</w:t>
            </w:r>
          </w:p>
        </w:tc>
        <w:tc>
          <w:tcPr>
            <w:tcW w:w="0" w:type="dxa"/>
            <w:vAlign w:val="bottom"/>
          </w:tcPr>
          <w:p>
            <w:pPr>
              <w:spacing w:after="0"/>
              <w:rPr>
                <w:sz w:val="1"/>
                <w:szCs w:val="1"/>
                <w:color w:val="auto"/>
              </w:rPr>
            </w:pPr>
          </w:p>
        </w:tc>
      </w:tr>
      <w:tr>
        <w:trPr>
          <w:trHeight w:val="20"/>
        </w:trPr>
        <w:tc>
          <w:tcPr>
            <w:tcW w:w="804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565150</wp:posOffset>
            </wp:positionV>
            <wp:extent cx="671195" cy="212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11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40"/>
        <w:spacing w:after="0"/>
        <w:rPr>
          <w:sz w:val="20"/>
          <w:szCs w:val="20"/>
          <w:color w:val="auto"/>
        </w:rPr>
      </w:pPr>
      <w:r>
        <w:rPr>
          <w:rFonts w:ascii="Arial" w:cs="Arial" w:eastAsia="Arial" w:hAnsi="Arial"/>
          <w:sz w:val="17"/>
          <w:szCs w:val="17"/>
          <w:color w:val="929292"/>
        </w:rPr>
        <w:t>14</w:t>
      </w:r>
    </w:p>
    <w:p>
      <w:pPr>
        <w:sectPr>
          <w:pgSz w:w="11900" w:h="16838" w:orient="portrait"/>
          <w:cols w:equalWidth="0" w:num="1">
            <w:col w:w="11340"/>
          </w:cols>
          <w:pgMar w:left="320" w:top="344" w:right="239" w:bottom="1440" w:gutter="0" w:footer="0" w:header="0"/>
        </w:sectPr>
      </w:pPr>
    </w:p>
    <w:bookmarkStart w:id="17" w:name="page18"/>
    <w:bookmarkEnd w:id="17"/>
    <w:p>
      <w:pPr>
        <w:spacing w:after="0"/>
        <w:rPr>
          <w:sz w:val="20"/>
          <w:szCs w:val="20"/>
          <w:color w:val="auto"/>
        </w:rPr>
      </w:pPr>
      <w:r>
        <w:rPr>
          <w:rFonts w:ascii="Arial" w:cs="Arial" w:eastAsia="Arial" w:hAnsi="Arial"/>
          <w:sz w:val="19"/>
          <w:szCs w:val="19"/>
          <w:b w:val="1"/>
          <w:bCs w:val="1"/>
          <w:color w:val="242424"/>
        </w:rPr>
        <w:t>Letter to Shareholders: FY 2021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B6B6B6"/>
        </w:rPr>
        <w:t>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ROOT, INC. AND SUBSIDIARIES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STATEMENTS OF OPERATIONS AND COMPREHENSIVE LOSS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330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 December 31,</w:t>
            </w:r>
          </w:p>
        </w:tc>
        <w:tc>
          <w:tcPr>
            <w:tcW w:w="360" w:type="dxa"/>
            <w:vAlign w:val="bottom"/>
          </w:tcPr>
          <w:p>
            <w:pPr>
              <w:spacing w:after="0"/>
              <w:rPr>
                <w:sz w:val="16"/>
                <w:szCs w:val="16"/>
                <w:color w:val="auto"/>
              </w:rPr>
            </w:pPr>
          </w:p>
        </w:tc>
        <w:tc>
          <w:tcPr>
            <w:tcW w:w="2840" w:type="dxa"/>
            <w:vAlign w:val="bottom"/>
            <w:gridSpan w:val="4"/>
          </w:tcPr>
          <w:p>
            <w:pPr>
              <w:jc w:val="right"/>
              <w:ind w:right="735"/>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78"/>
        </w:trPr>
        <w:tc>
          <w:tcPr>
            <w:tcW w:w="474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40" w:type="dxa"/>
            <w:vAlign w:val="bottom"/>
            <w:gridSpan w:val="5"/>
          </w:tcPr>
          <w:p>
            <w:pPr>
              <w:ind w:left="240"/>
              <w:spacing w:after="0"/>
              <w:rPr>
                <w:sz w:val="20"/>
                <w:szCs w:val="20"/>
                <w:color w:val="auto"/>
              </w:rPr>
            </w:pPr>
            <w:r>
              <w:rPr>
                <w:rFonts w:ascii="Arial" w:cs="Arial" w:eastAsia="Arial" w:hAnsi="Arial"/>
                <w:sz w:val="14"/>
                <w:szCs w:val="14"/>
                <w:b w:val="1"/>
                <w:bCs w:val="1"/>
                <w:color w:val="auto"/>
              </w:rPr>
              <w:t>(in millions, except per share data)</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740" w:type="dxa"/>
            <w:vAlign w:val="bottom"/>
            <w:shd w:val="clear" w:color="auto" w:fill="DBDBDB"/>
          </w:tcPr>
          <w:p>
            <w:pPr>
              <w:ind w:left="20"/>
              <w:spacing w:after="0"/>
              <w:rPr>
                <w:sz w:val="20"/>
                <w:szCs w:val="20"/>
                <w:color w:val="auto"/>
              </w:rPr>
            </w:pPr>
            <w:r>
              <w:rPr>
                <w:rFonts w:ascii="Arial" w:cs="Arial" w:eastAsia="Arial" w:hAnsi="Arial"/>
                <w:sz w:val="17"/>
                <w:szCs w:val="17"/>
                <w:color w:val="auto"/>
              </w:rPr>
              <w:t>Revenues:</w:t>
            </w:r>
          </w:p>
        </w:tc>
        <w:tc>
          <w:tcPr>
            <w:tcW w:w="96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40" w:type="dxa"/>
            <w:vAlign w:val="bottom"/>
          </w:tcPr>
          <w:p>
            <w:pPr>
              <w:ind w:left="120"/>
              <w:spacing w:after="0"/>
              <w:rPr>
                <w:sz w:val="20"/>
                <w:szCs w:val="20"/>
                <w:color w:val="auto"/>
              </w:rPr>
            </w:pPr>
            <w:r>
              <w:rPr>
                <w:rFonts w:ascii="Arial" w:cs="Arial" w:eastAsia="Arial" w:hAnsi="Arial"/>
                <w:sz w:val="17"/>
                <w:szCs w:val="17"/>
                <w:color w:val="auto"/>
              </w:rPr>
              <w:t>Net premiums earned</w:t>
            </w:r>
          </w:p>
        </w:tc>
        <w:tc>
          <w:tcPr>
            <w:tcW w:w="960" w:type="dxa"/>
            <w:vAlign w:val="bottom"/>
          </w:tcPr>
          <w:p>
            <w:pPr>
              <w:jc w:val="right"/>
              <w:ind w:right="781"/>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84.9</w:t>
            </w:r>
          </w:p>
        </w:tc>
        <w:tc>
          <w:tcPr>
            <w:tcW w:w="8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44.1</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310.3</w:t>
            </w:r>
          </w:p>
        </w:tc>
        <w:tc>
          <w:tcPr>
            <w:tcW w:w="8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322.5</w:t>
            </w:r>
          </w:p>
        </w:tc>
        <w:tc>
          <w:tcPr>
            <w:tcW w:w="0" w:type="dxa"/>
            <w:vAlign w:val="bottom"/>
          </w:tcPr>
          <w:p>
            <w:pPr>
              <w:spacing w:after="0"/>
              <w:rPr>
                <w:sz w:val="1"/>
                <w:szCs w:val="1"/>
                <w:color w:val="auto"/>
              </w:rPr>
            </w:pPr>
          </w:p>
        </w:tc>
      </w:tr>
      <w:tr>
        <w:trPr>
          <w:trHeight w:val="220"/>
        </w:trPr>
        <w:tc>
          <w:tcPr>
            <w:tcW w:w="4740" w:type="dxa"/>
            <w:vAlign w:val="bottom"/>
            <w:shd w:val="clear" w:color="auto" w:fill="DBDBDB"/>
          </w:tcPr>
          <w:p>
            <w:pPr>
              <w:ind w:left="120"/>
              <w:spacing w:after="0"/>
              <w:rPr>
                <w:sz w:val="20"/>
                <w:szCs w:val="20"/>
                <w:color w:val="auto"/>
              </w:rPr>
            </w:pPr>
            <w:r>
              <w:rPr>
                <w:rFonts w:ascii="Arial" w:cs="Arial" w:eastAsia="Arial" w:hAnsi="Arial"/>
                <w:sz w:val="17"/>
                <w:szCs w:val="17"/>
                <w:color w:val="auto"/>
              </w:rPr>
              <w:t>Net investment income</w:t>
            </w:r>
          </w:p>
        </w:tc>
        <w:tc>
          <w:tcPr>
            <w:tcW w:w="96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2.4</w:t>
            </w:r>
          </w:p>
        </w:tc>
        <w:tc>
          <w:tcPr>
            <w:tcW w:w="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5.0</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8"/>
        </w:trPr>
        <w:tc>
          <w:tcPr>
            <w:tcW w:w="4740" w:type="dxa"/>
            <w:vAlign w:val="bottom"/>
          </w:tcPr>
          <w:p>
            <w:pPr>
              <w:ind w:left="120"/>
              <w:spacing w:after="0"/>
              <w:rPr>
                <w:sz w:val="20"/>
                <w:szCs w:val="20"/>
                <w:color w:val="auto"/>
              </w:rPr>
            </w:pPr>
            <w:r>
              <w:rPr>
                <w:rFonts w:ascii="Arial" w:cs="Arial" w:eastAsia="Arial" w:hAnsi="Arial"/>
                <w:sz w:val="17"/>
                <w:szCs w:val="17"/>
                <w:color w:val="auto"/>
              </w:rPr>
              <w:t>Net realized gains on investments</w:t>
            </w:r>
          </w:p>
        </w:tc>
        <w:tc>
          <w:tcPr>
            <w:tcW w:w="9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0"/>
        </w:trPr>
        <w:tc>
          <w:tcPr>
            <w:tcW w:w="4740" w:type="dxa"/>
            <w:vAlign w:val="bottom"/>
            <w:shd w:val="clear" w:color="auto" w:fill="DBDBDB"/>
          </w:tcPr>
          <w:p>
            <w:pPr>
              <w:ind w:left="120"/>
              <w:spacing w:after="0"/>
              <w:rPr>
                <w:sz w:val="20"/>
                <w:szCs w:val="20"/>
                <w:color w:val="auto"/>
              </w:rPr>
            </w:pPr>
            <w:r>
              <w:rPr>
                <w:rFonts w:ascii="Arial" w:cs="Arial" w:eastAsia="Arial" w:hAnsi="Arial"/>
                <w:sz w:val="17"/>
                <w:szCs w:val="17"/>
                <w:color w:val="auto"/>
              </w:rPr>
              <w:t>Fee income</w:t>
            </w:r>
          </w:p>
        </w:tc>
        <w:tc>
          <w:tcPr>
            <w:tcW w:w="96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5.2</w:t>
            </w:r>
          </w:p>
        </w:tc>
        <w:tc>
          <w:tcPr>
            <w:tcW w:w="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20.9</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18"/>
        </w:trPr>
        <w:tc>
          <w:tcPr>
            <w:tcW w:w="4740" w:type="dxa"/>
            <w:vAlign w:val="bottom"/>
            <w:tcBorders>
              <w:bottom w:val="single" w:sz="8" w:color="DBDBDB"/>
            </w:tcBorders>
          </w:tcPr>
          <w:p>
            <w:pPr>
              <w:ind w:left="120"/>
              <w:spacing w:after="0"/>
              <w:rPr>
                <w:sz w:val="20"/>
                <w:szCs w:val="20"/>
                <w:color w:val="auto"/>
              </w:rPr>
            </w:pPr>
            <w:r>
              <w:rPr>
                <w:rFonts w:ascii="Arial" w:cs="Arial" w:eastAsia="Arial" w:hAnsi="Arial"/>
                <w:sz w:val="17"/>
                <w:szCs w:val="17"/>
                <w:color w:val="auto"/>
              </w:rPr>
              <w:t>Other income</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8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8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3"/>
        </w:trPr>
        <w:tc>
          <w:tcPr>
            <w:tcW w:w="4740" w:type="dxa"/>
            <w:vAlign w:val="bottom"/>
            <w:shd w:val="clear" w:color="auto" w:fill="DBDBDB"/>
          </w:tcPr>
          <w:p>
            <w:pPr>
              <w:ind w:left="220"/>
              <w:spacing w:after="0"/>
              <w:rPr>
                <w:sz w:val="20"/>
                <w:szCs w:val="20"/>
                <w:color w:val="auto"/>
              </w:rPr>
            </w:pPr>
            <w:r>
              <w:rPr>
                <w:rFonts w:ascii="Arial" w:cs="Arial" w:eastAsia="Arial" w:hAnsi="Arial"/>
                <w:sz w:val="17"/>
                <w:szCs w:val="17"/>
                <w:color w:val="auto"/>
              </w:rPr>
              <w:t>Total revenues</w:t>
            </w:r>
          </w:p>
        </w:tc>
        <w:tc>
          <w:tcPr>
            <w:tcW w:w="96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93.2</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50.9</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345.4</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346.8</w:t>
            </w:r>
          </w:p>
        </w:tc>
        <w:tc>
          <w:tcPr>
            <w:tcW w:w="0" w:type="dxa"/>
            <w:vAlign w:val="bottom"/>
          </w:tcPr>
          <w:p>
            <w:pPr>
              <w:spacing w:after="0"/>
              <w:rPr>
                <w:sz w:val="1"/>
                <w:szCs w:val="1"/>
                <w:color w:val="auto"/>
              </w:rPr>
            </w:pPr>
          </w:p>
        </w:tc>
      </w:tr>
      <w:tr>
        <w:trPr>
          <w:trHeight w:val="218"/>
        </w:trPr>
        <w:tc>
          <w:tcPr>
            <w:tcW w:w="47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40" w:type="dxa"/>
            <w:vAlign w:val="bottom"/>
            <w:shd w:val="clear" w:color="auto" w:fill="DBDBDB"/>
          </w:tcPr>
          <w:p>
            <w:pPr>
              <w:ind w:left="120"/>
              <w:spacing w:after="0"/>
              <w:rPr>
                <w:sz w:val="20"/>
                <w:szCs w:val="20"/>
                <w:color w:val="auto"/>
              </w:rPr>
            </w:pPr>
            <w:r>
              <w:rPr>
                <w:rFonts w:ascii="Arial" w:cs="Arial" w:eastAsia="Arial" w:hAnsi="Arial"/>
                <w:sz w:val="17"/>
                <w:szCs w:val="17"/>
                <w:color w:val="auto"/>
              </w:rPr>
              <w:t>Loss and loss adjustment expenses</w:t>
            </w:r>
          </w:p>
        </w:tc>
        <w:tc>
          <w:tcPr>
            <w:tcW w:w="96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107.8</w:t>
            </w:r>
          </w:p>
        </w:tc>
        <w:tc>
          <w:tcPr>
            <w:tcW w:w="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59.5</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392.3</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362.8</w:t>
            </w:r>
          </w:p>
        </w:tc>
        <w:tc>
          <w:tcPr>
            <w:tcW w:w="0" w:type="dxa"/>
            <w:vAlign w:val="bottom"/>
          </w:tcPr>
          <w:p>
            <w:pPr>
              <w:spacing w:after="0"/>
              <w:rPr>
                <w:sz w:val="1"/>
                <w:szCs w:val="1"/>
                <w:color w:val="auto"/>
              </w:rPr>
            </w:pPr>
          </w:p>
        </w:tc>
      </w:tr>
      <w:tr>
        <w:trPr>
          <w:trHeight w:val="218"/>
        </w:trPr>
        <w:tc>
          <w:tcPr>
            <w:tcW w:w="4740" w:type="dxa"/>
            <w:vAlign w:val="bottom"/>
          </w:tcPr>
          <w:p>
            <w:pPr>
              <w:ind w:left="120"/>
              <w:spacing w:after="0"/>
              <w:rPr>
                <w:sz w:val="20"/>
                <w:szCs w:val="20"/>
                <w:color w:val="auto"/>
              </w:rPr>
            </w:pPr>
            <w:r>
              <w:rPr>
                <w:rFonts w:ascii="Arial" w:cs="Arial" w:eastAsia="Arial" w:hAnsi="Arial"/>
                <w:sz w:val="17"/>
                <w:szCs w:val="17"/>
                <w:color w:val="auto"/>
              </w:rPr>
              <w:t>Sales and marketing</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24.7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139.7</w:t>
            </w:r>
          </w:p>
        </w:tc>
        <w:tc>
          <w:tcPr>
            <w:tcW w:w="0" w:type="dxa"/>
            <w:vAlign w:val="bottom"/>
          </w:tcPr>
          <w:p>
            <w:pPr>
              <w:spacing w:after="0"/>
              <w:rPr>
                <w:sz w:val="1"/>
                <w:szCs w:val="1"/>
                <w:color w:val="auto"/>
              </w:rPr>
            </w:pPr>
          </w:p>
        </w:tc>
      </w:tr>
      <w:tr>
        <w:trPr>
          <w:trHeight w:val="220"/>
        </w:trPr>
        <w:tc>
          <w:tcPr>
            <w:tcW w:w="4740" w:type="dxa"/>
            <w:vAlign w:val="bottom"/>
            <w:shd w:val="clear" w:color="auto" w:fill="DBDBDB"/>
          </w:tcPr>
          <w:p>
            <w:pPr>
              <w:ind w:left="120"/>
              <w:spacing w:after="0"/>
              <w:rPr>
                <w:sz w:val="20"/>
                <w:szCs w:val="20"/>
                <w:color w:val="auto"/>
              </w:rPr>
            </w:pPr>
            <w:r>
              <w:rPr>
                <w:rFonts w:ascii="Arial" w:cs="Arial" w:eastAsia="Arial" w:hAnsi="Arial"/>
                <w:sz w:val="17"/>
                <w:szCs w:val="17"/>
                <w:color w:val="auto"/>
              </w:rPr>
              <w:t>Other insurance expense (benefit)</w:t>
            </w:r>
          </w:p>
        </w:tc>
        <w:tc>
          <w:tcPr>
            <w:tcW w:w="96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8.6</w:t>
            </w:r>
          </w:p>
        </w:tc>
        <w:tc>
          <w:tcPr>
            <w:tcW w:w="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5.0</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8"/>
        </w:trPr>
        <w:tc>
          <w:tcPr>
            <w:tcW w:w="4740" w:type="dxa"/>
            <w:vAlign w:val="bottom"/>
          </w:tcPr>
          <w:p>
            <w:pPr>
              <w:ind w:left="120"/>
              <w:spacing w:after="0"/>
              <w:rPr>
                <w:sz w:val="20"/>
                <w:szCs w:val="20"/>
                <w:color w:val="auto"/>
              </w:rPr>
            </w:pPr>
            <w:r>
              <w:rPr>
                <w:rFonts w:ascii="Arial" w:cs="Arial" w:eastAsia="Arial" w:hAnsi="Arial"/>
                <w:sz w:val="17"/>
                <w:szCs w:val="17"/>
                <w:color w:val="auto"/>
              </w:rPr>
              <w:t>Technology and development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52.9</w:t>
            </w:r>
          </w:p>
        </w:tc>
        <w:tc>
          <w:tcPr>
            <w:tcW w:w="0" w:type="dxa"/>
            <w:vAlign w:val="bottom"/>
          </w:tcPr>
          <w:p>
            <w:pPr>
              <w:spacing w:after="0"/>
              <w:rPr>
                <w:sz w:val="1"/>
                <w:szCs w:val="1"/>
                <w:color w:val="auto"/>
              </w:rPr>
            </w:pPr>
          </w:p>
        </w:tc>
      </w:tr>
      <w:tr>
        <w:trPr>
          <w:trHeight w:val="220"/>
        </w:trPr>
        <w:tc>
          <w:tcPr>
            <w:tcW w:w="4740" w:type="dxa"/>
            <w:vAlign w:val="bottom"/>
            <w:shd w:val="clear" w:color="auto" w:fill="DBDBDB"/>
          </w:tcPr>
          <w:p>
            <w:pPr>
              <w:ind w:left="120"/>
              <w:spacing w:after="0"/>
              <w:rPr>
                <w:sz w:val="20"/>
                <w:szCs w:val="20"/>
                <w:color w:val="auto"/>
              </w:rPr>
            </w:pPr>
            <w:r>
              <w:rPr>
                <w:rFonts w:ascii="Arial" w:cs="Arial" w:eastAsia="Arial" w:hAnsi="Arial"/>
                <w:sz w:val="17"/>
                <w:szCs w:val="17"/>
                <w:color w:val="auto"/>
              </w:rPr>
              <w:t>General and administrative</w:t>
            </w:r>
          </w:p>
        </w:tc>
        <w:tc>
          <w:tcPr>
            <w:tcW w:w="96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27.8</w:t>
            </w:r>
          </w:p>
        </w:tc>
        <w:tc>
          <w:tcPr>
            <w:tcW w:w="8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19.7</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97.6</w:t>
            </w:r>
          </w:p>
        </w:tc>
        <w:tc>
          <w:tcPr>
            <w:tcW w:w="8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78.5</w:t>
            </w:r>
          </w:p>
        </w:tc>
        <w:tc>
          <w:tcPr>
            <w:tcW w:w="0" w:type="dxa"/>
            <w:vAlign w:val="bottom"/>
          </w:tcPr>
          <w:p>
            <w:pPr>
              <w:spacing w:after="0"/>
              <w:rPr>
                <w:sz w:val="1"/>
                <w:szCs w:val="1"/>
                <w:color w:val="auto"/>
              </w:rPr>
            </w:pPr>
          </w:p>
        </w:tc>
      </w:tr>
      <w:tr>
        <w:trPr>
          <w:trHeight w:val="211"/>
        </w:trPr>
        <w:tc>
          <w:tcPr>
            <w:tcW w:w="4740" w:type="dxa"/>
            <w:vAlign w:val="bottom"/>
            <w:tcBorders>
              <w:bottom w:val="single" w:sz="8" w:color="DBDBDB"/>
            </w:tcBorders>
          </w:tcPr>
          <w:p>
            <w:pPr>
              <w:ind w:left="220"/>
              <w:spacing w:after="0"/>
              <w:rPr>
                <w:sz w:val="20"/>
                <w:szCs w:val="20"/>
                <w:color w:val="auto"/>
              </w:rPr>
            </w:pPr>
            <w:r>
              <w:rPr>
                <w:rFonts w:ascii="Arial" w:cs="Arial" w:eastAsia="Arial" w:hAnsi="Arial"/>
                <w:sz w:val="17"/>
                <w:szCs w:val="17"/>
                <w:color w:val="auto"/>
              </w:rPr>
              <w:t>Total operating expenses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185.1</w:t>
            </w:r>
          </w:p>
        </w:tc>
        <w:tc>
          <w:tcPr>
            <w:tcW w:w="8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139.4</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830.6</w:t>
            </w:r>
          </w:p>
        </w:tc>
        <w:tc>
          <w:tcPr>
            <w:tcW w:w="8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632.1</w:t>
            </w:r>
          </w:p>
        </w:tc>
        <w:tc>
          <w:tcPr>
            <w:tcW w:w="0" w:type="dxa"/>
            <w:vAlign w:val="bottom"/>
          </w:tcPr>
          <w:p>
            <w:pPr>
              <w:spacing w:after="0"/>
              <w:rPr>
                <w:sz w:val="1"/>
                <w:szCs w:val="1"/>
                <w:color w:val="auto"/>
              </w:rPr>
            </w:pPr>
          </w:p>
        </w:tc>
      </w:tr>
      <w:tr>
        <w:trPr>
          <w:trHeight w:val="213"/>
        </w:trPr>
        <w:tc>
          <w:tcPr>
            <w:tcW w:w="4740" w:type="dxa"/>
            <w:vAlign w:val="bottom"/>
            <w:shd w:val="clear" w:color="auto" w:fill="DBDBDB"/>
          </w:tcPr>
          <w:p>
            <w:pPr>
              <w:ind w:left="20"/>
              <w:spacing w:after="0"/>
              <w:rPr>
                <w:sz w:val="20"/>
                <w:szCs w:val="20"/>
                <w:color w:val="auto"/>
              </w:rPr>
            </w:pPr>
            <w:r>
              <w:rPr>
                <w:rFonts w:ascii="Arial" w:cs="Arial" w:eastAsia="Arial" w:hAnsi="Arial"/>
                <w:sz w:val="17"/>
                <w:szCs w:val="17"/>
                <w:color w:val="auto"/>
              </w:rPr>
              <w:t>Operating loss</w:t>
            </w:r>
          </w:p>
        </w:tc>
        <w:tc>
          <w:tcPr>
            <w:tcW w:w="96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(91.9)</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(88.5)</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(485.2)</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(285.3)</w:t>
            </w:r>
          </w:p>
        </w:tc>
        <w:tc>
          <w:tcPr>
            <w:tcW w:w="0" w:type="dxa"/>
            <w:vAlign w:val="bottom"/>
          </w:tcPr>
          <w:p>
            <w:pPr>
              <w:spacing w:after="0"/>
              <w:rPr>
                <w:sz w:val="1"/>
                <w:szCs w:val="1"/>
                <w:color w:val="auto"/>
              </w:rPr>
            </w:pPr>
          </w:p>
        </w:tc>
      </w:tr>
      <w:tr>
        <w:trPr>
          <w:trHeight w:val="218"/>
        </w:trPr>
        <w:tc>
          <w:tcPr>
            <w:tcW w:w="474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(77.7)</w:t>
            </w:r>
          </w:p>
        </w:tc>
        <w:tc>
          <w:tcPr>
            <w:tcW w:w="0" w:type="dxa"/>
            <w:vAlign w:val="bottom"/>
          </w:tcPr>
          <w:p>
            <w:pPr>
              <w:spacing w:after="0"/>
              <w:rPr>
                <w:sz w:val="1"/>
                <w:szCs w:val="1"/>
                <w:color w:val="auto"/>
              </w:rPr>
            </w:pPr>
          </w:p>
        </w:tc>
      </w:tr>
      <w:tr>
        <w:trPr>
          <w:trHeight w:val="220"/>
        </w:trPr>
        <w:tc>
          <w:tcPr>
            <w:tcW w:w="4740" w:type="dxa"/>
            <w:vAlign w:val="bottom"/>
            <w:shd w:val="clear" w:color="auto" w:fill="DBDBDB"/>
          </w:tcPr>
          <w:p>
            <w:pPr>
              <w:ind w:left="20"/>
              <w:spacing w:after="0"/>
              <w:rPr>
                <w:sz w:val="20"/>
                <w:szCs w:val="20"/>
                <w:color w:val="auto"/>
              </w:rPr>
            </w:pPr>
            <w:r>
              <w:rPr>
                <w:rFonts w:ascii="Arial" w:cs="Arial" w:eastAsia="Arial" w:hAnsi="Arial"/>
                <w:sz w:val="17"/>
                <w:szCs w:val="17"/>
                <w:color w:val="auto"/>
              </w:rPr>
              <w:t>Loss on early extinguishment of debt</w:t>
            </w:r>
          </w:p>
        </w:tc>
        <w:tc>
          <w:tcPr>
            <w:tcW w:w="96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(15.9)</w:t>
            </w:r>
          </w:p>
        </w:tc>
        <w:tc>
          <w:tcPr>
            <w:tcW w:w="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(15.9)</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4740" w:type="dxa"/>
            <w:vAlign w:val="bottom"/>
          </w:tcPr>
          <w:p>
            <w:pPr>
              <w:ind w:left="20"/>
              <w:spacing w:after="0"/>
              <w:rPr>
                <w:sz w:val="20"/>
                <w:szCs w:val="20"/>
                <w:color w:val="auto"/>
              </w:rPr>
            </w:pPr>
            <w:r>
              <w:rPr>
                <w:rFonts w:ascii="Arial" w:cs="Arial" w:eastAsia="Arial" w:hAnsi="Arial"/>
                <w:sz w:val="17"/>
                <w:szCs w:val="17"/>
                <w:color w:val="auto"/>
              </w:rPr>
              <w:t>Loss before income tax expense</w:t>
            </w: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(109.9)</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(133.3)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(521.1)</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(363.0)</w:t>
            </w:r>
          </w:p>
        </w:tc>
        <w:tc>
          <w:tcPr>
            <w:tcW w:w="0" w:type="dxa"/>
            <w:vAlign w:val="bottom"/>
          </w:tcPr>
          <w:p>
            <w:pPr>
              <w:spacing w:after="0"/>
              <w:rPr>
                <w:sz w:val="1"/>
                <w:szCs w:val="1"/>
                <w:color w:val="auto"/>
              </w:rPr>
            </w:pPr>
          </w:p>
        </w:tc>
      </w:tr>
      <w:tr>
        <w:trPr>
          <w:trHeight w:val="219"/>
        </w:trPr>
        <w:tc>
          <w:tcPr>
            <w:tcW w:w="4740" w:type="dxa"/>
            <w:vAlign w:val="bottom"/>
            <w:shd w:val="clear" w:color="auto" w:fill="DBDBDB"/>
          </w:tcPr>
          <w:p>
            <w:pPr>
              <w:ind w:left="20"/>
              <w:spacing w:after="0"/>
              <w:rPr>
                <w:sz w:val="20"/>
                <w:szCs w:val="20"/>
                <w:color w:val="auto"/>
              </w:rPr>
            </w:pPr>
            <w:r>
              <w:rPr>
                <w:rFonts w:ascii="Arial" w:cs="Arial" w:eastAsia="Arial" w:hAnsi="Arial"/>
                <w:sz w:val="17"/>
                <w:szCs w:val="17"/>
                <w:color w:val="auto"/>
              </w:rPr>
              <w:t>Income tax expense</w:t>
            </w:r>
          </w:p>
        </w:tc>
        <w:tc>
          <w:tcPr>
            <w:tcW w:w="960" w:type="dxa"/>
            <w:vAlign w:val="bottom"/>
            <w:shd w:val="clear" w:color="auto" w:fill="DBDBDB"/>
          </w:tcPr>
          <w:p>
            <w:pPr>
              <w:spacing w:after="0"/>
              <w:rPr>
                <w:sz w:val="19"/>
                <w:szCs w:val="19"/>
                <w:color w:val="auto"/>
              </w:rPr>
            </w:pPr>
          </w:p>
        </w:tc>
        <w:tc>
          <w:tcPr>
            <w:tcW w:w="680" w:type="dxa"/>
            <w:vAlign w:val="bottom"/>
            <w:gridSpan w:val="2"/>
            <w:shd w:val="clear" w:color="auto" w:fill="DBDBDB"/>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7"/>
                <w:szCs w:val="17"/>
                <w:color w:val="auto"/>
              </w:rPr>
              <w:t>Net loss</w:t>
            </w: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(109.9)</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(133.3)</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(521.1)</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(363.0)</w:t>
            </w:r>
          </w:p>
        </w:tc>
        <w:tc>
          <w:tcPr>
            <w:tcW w:w="0" w:type="dxa"/>
            <w:vAlign w:val="bottom"/>
          </w:tcPr>
          <w:p>
            <w:pPr>
              <w:spacing w:after="0"/>
              <w:rPr>
                <w:sz w:val="1"/>
                <w:szCs w:val="1"/>
                <w:color w:val="auto"/>
              </w:rPr>
            </w:pPr>
          </w:p>
        </w:tc>
      </w:tr>
      <w:tr>
        <w:trPr>
          <w:trHeight w:val="20"/>
        </w:trPr>
        <w:tc>
          <w:tcPr>
            <w:tcW w:w="4740" w:type="dxa"/>
            <w:vAlign w:val="bottom"/>
            <w:tcBorders>
              <w:bottom w:val="single" w:sz="8" w:color="DBDBDB"/>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40" w:type="dxa"/>
            <w:vAlign w:val="bottom"/>
            <w:shd w:val="clear" w:color="auto" w:fill="DBDBDB"/>
          </w:tcPr>
          <w:p>
            <w:pPr>
              <w:ind w:left="20"/>
              <w:spacing w:after="0" w:line="185" w:lineRule="exact"/>
              <w:rPr>
                <w:sz w:val="20"/>
                <w:szCs w:val="20"/>
                <w:color w:val="auto"/>
              </w:rPr>
            </w:pPr>
            <w:r>
              <w:rPr>
                <w:rFonts w:ascii="Arial" w:cs="Arial" w:eastAsia="Arial" w:hAnsi="Arial"/>
                <w:sz w:val="17"/>
                <w:szCs w:val="17"/>
                <w:color w:val="auto"/>
              </w:rPr>
              <w:t>Other comprehensive (loss) income:</w:t>
            </w:r>
          </w:p>
        </w:tc>
        <w:tc>
          <w:tcPr>
            <w:tcW w:w="96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740" w:type="dxa"/>
            <w:vAlign w:val="bottom"/>
          </w:tcPr>
          <w:p>
            <w:pPr>
              <w:ind w:left="120"/>
              <w:spacing w:after="0"/>
              <w:rPr>
                <w:sz w:val="20"/>
                <w:szCs w:val="20"/>
                <w:color w:val="auto"/>
              </w:rPr>
            </w:pPr>
            <w:r>
              <w:rPr>
                <w:rFonts w:ascii="Arial" w:cs="Arial" w:eastAsia="Arial" w:hAnsi="Arial"/>
                <w:sz w:val="17"/>
                <w:szCs w:val="17"/>
                <w:color w:val="auto"/>
              </w:rPr>
              <w:t>Changes in net unrealized (losses) gains on investments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38"/>
        </w:trPr>
        <w:tc>
          <w:tcPr>
            <w:tcW w:w="47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7"/>
                <w:szCs w:val="17"/>
                <w:color w:val="auto"/>
              </w:rPr>
              <w:t>Comprehensive loss</w:t>
            </w:r>
          </w:p>
        </w:tc>
        <w:tc>
          <w:tcPr>
            <w:tcW w:w="960" w:type="dxa"/>
            <w:vAlign w:val="bottom"/>
            <w:tcBorders>
              <w:top w:val="single" w:sz="8" w:color="auto"/>
              <w:bottom w:val="single" w:sz="8" w:color="auto"/>
            </w:tcBorders>
            <w:shd w:val="clear" w:color="auto" w:fill="DBDBDB"/>
          </w:tcPr>
          <w:p>
            <w:pPr>
              <w:jc w:val="right"/>
              <w:ind w:right="781"/>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(111.1)</w:t>
            </w:r>
          </w:p>
        </w:tc>
        <w:tc>
          <w:tcPr>
            <w:tcW w:w="80" w:type="dxa"/>
            <w:vAlign w:val="bottom"/>
            <w:tcBorders>
              <w:top w:val="single" w:sz="8" w:color="DBDBDB"/>
              <w:bottom w:val="single" w:sz="8" w:color="DBDBDB"/>
            </w:tcBorders>
            <w:shd w:val="clear" w:color="auto" w:fill="DBDBDB"/>
          </w:tcPr>
          <w:p>
            <w:pPr>
              <w:spacing w:after="0"/>
              <w:rPr>
                <w:sz w:val="20"/>
                <w:szCs w:val="20"/>
                <w:color w:val="auto"/>
              </w:rPr>
            </w:pPr>
          </w:p>
        </w:tc>
        <w:tc>
          <w:tcPr>
            <w:tcW w:w="360" w:type="dxa"/>
            <w:vAlign w:val="bottom"/>
            <w:tcBorders>
              <w:top w:val="single" w:sz="8" w:color="auto"/>
              <w:bottom w:val="single" w:sz="8" w:color="auto"/>
            </w:tcBorders>
            <w:shd w:val="clear" w:color="auto" w:fill="DBDBDB"/>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(133.3)</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360" w:type="dxa"/>
            <w:vAlign w:val="bottom"/>
            <w:tcBorders>
              <w:top w:val="single" w:sz="8" w:color="auto"/>
              <w:bottom w:val="single" w:sz="8" w:color="auto"/>
            </w:tcBorders>
            <w:shd w:val="clear" w:color="auto" w:fill="DBDBDB"/>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(526.3)</w:t>
            </w:r>
          </w:p>
        </w:tc>
        <w:tc>
          <w:tcPr>
            <w:tcW w:w="80" w:type="dxa"/>
            <w:vAlign w:val="bottom"/>
            <w:tcBorders>
              <w:top w:val="single" w:sz="8" w:color="DBDBDB"/>
              <w:bottom w:val="single" w:sz="8" w:color="DBDBDB"/>
            </w:tcBorders>
            <w:shd w:val="clear" w:color="auto" w:fill="DBDBDB"/>
          </w:tcPr>
          <w:p>
            <w:pPr>
              <w:spacing w:after="0"/>
              <w:rPr>
                <w:sz w:val="20"/>
                <w:szCs w:val="20"/>
                <w:color w:val="auto"/>
              </w:rPr>
            </w:pPr>
          </w:p>
        </w:tc>
        <w:tc>
          <w:tcPr>
            <w:tcW w:w="380" w:type="dxa"/>
            <w:vAlign w:val="bottom"/>
            <w:tcBorders>
              <w:top w:val="single" w:sz="8" w:color="auto"/>
              <w:bottom w:val="single" w:sz="8" w:color="auto"/>
            </w:tcBorders>
            <w:shd w:val="clear" w:color="auto" w:fill="DBDBDB"/>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(358.0)</w:t>
            </w:r>
          </w:p>
        </w:tc>
        <w:tc>
          <w:tcPr>
            <w:tcW w:w="0" w:type="dxa"/>
            <w:vAlign w:val="bottom"/>
          </w:tcPr>
          <w:p>
            <w:pPr>
              <w:spacing w:after="0"/>
              <w:rPr>
                <w:sz w:val="1"/>
                <w:szCs w:val="1"/>
                <w:color w:val="auto"/>
              </w:rPr>
            </w:pPr>
          </w:p>
        </w:tc>
      </w:tr>
      <w:tr>
        <w:trPr>
          <w:trHeight w:val="20"/>
        </w:trPr>
        <w:tc>
          <w:tcPr>
            <w:tcW w:w="474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7"/>
                <w:szCs w:val="17"/>
                <w:color w:val="auto"/>
                <w:w w:val="97"/>
              </w:rPr>
              <w:t>Loss per common share: basic and diluted (both Class A and B)</w:t>
            </w: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40" w:type="dxa"/>
            <w:vAlign w:val="bottom"/>
            <w:vMerge w:val="continue"/>
          </w:tcPr>
          <w:p>
            <w:pPr>
              <w:spacing w:after="0"/>
              <w:rPr>
                <w:sz w:val="16"/>
                <w:szCs w:val="16"/>
                <w:color w:val="auto"/>
              </w:rPr>
            </w:pPr>
          </w:p>
        </w:tc>
        <w:tc>
          <w:tcPr>
            <w:tcW w:w="960" w:type="dxa"/>
            <w:vAlign w:val="bottom"/>
          </w:tcPr>
          <w:p>
            <w:pPr>
              <w:jc w:val="right"/>
              <w:ind w:right="781"/>
              <w:spacing w:after="0" w:line="190" w:lineRule="exact"/>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line="190" w:lineRule="exact"/>
              <w:rPr>
                <w:sz w:val="20"/>
                <w:szCs w:val="20"/>
                <w:color w:val="auto"/>
              </w:rPr>
            </w:pPr>
            <w:r>
              <w:rPr>
                <w:rFonts w:ascii="Arial" w:cs="Arial" w:eastAsia="Arial" w:hAnsi="Arial"/>
                <w:sz w:val="17"/>
                <w:szCs w:val="17"/>
                <w:color w:val="auto"/>
              </w:rPr>
              <w:t>(0.44)</w:t>
            </w:r>
          </w:p>
        </w:tc>
        <w:tc>
          <w:tcPr>
            <w:tcW w:w="80" w:type="dxa"/>
            <w:vAlign w:val="bottom"/>
          </w:tcPr>
          <w:p>
            <w:pPr>
              <w:spacing w:after="0"/>
              <w:rPr>
                <w:sz w:val="16"/>
                <w:szCs w:val="16"/>
                <w:color w:val="auto"/>
              </w:rPr>
            </w:pPr>
          </w:p>
        </w:tc>
        <w:tc>
          <w:tcPr>
            <w:tcW w:w="360" w:type="dxa"/>
            <w:vAlign w:val="bottom"/>
          </w:tcPr>
          <w:p>
            <w:pPr>
              <w:jc w:val="right"/>
              <w:ind w:right="174"/>
              <w:spacing w:after="0" w:line="190" w:lineRule="exact"/>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line="190" w:lineRule="exact"/>
              <w:rPr>
                <w:sz w:val="20"/>
                <w:szCs w:val="20"/>
                <w:color w:val="auto"/>
              </w:rPr>
            </w:pPr>
            <w:r>
              <w:rPr>
                <w:rFonts w:ascii="Arial" w:cs="Arial" w:eastAsia="Arial" w:hAnsi="Arial"/>
                <w:sz w:val="17"/>
                <w:szCs w:val="17"/>
                <w:color w:val="auto"/>
              </w:rPr>
              <w:t>(0.72)</w:t>
            </w:r>
          </w:p>
        </w:tc>
        <w:tc>
          <w:tcPr>
            <w:tcW w:w="100" w:type="dxa"/>
            <w:vAlign w:val="bottom"/>
          </w:tcPr>
          <w:p>
            <w:pPr>
              <w:spacing w:after="0"/>
              <w:rPr>
                <w:sz w:val="16"/>
                <w:szCs w:val="16"/>
                <w:color w:val="auto"/>
              </w:rPr>
            </w:pPr>
          </w:p>
        </w:tc>
        <w:tc>
          <w:tcPr>
            <w:tcW w:w="360" w:type="dxa"/>
            <w:vAlign w:val="bottom"/>
          </w:tcPr>
          <w:p>
            <w:pPr>
              <w:jc w:val="right"/>
              <w:ind w:right="174"/>
              <w:spacing w:after="0" w:line="190" w:lineRule="exact"/>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line="190" w:lineRule="exact"/>
              <w:rPr>
                <w:sz w:val="20"/>
                <w:szCs w:val="20"/>
                <w:color w:val="auto"/>
              </w:rPr>
            </w:pPr>
            <w:r>
              <w:rPr>
                <w:rFonts w:ascii="Arial" w:cs="Arial" w:eastAsia="Arial" w:hAnsi="Arial"/>
                <w:sz w:val="17"/>
                <w:szCs w:val="17"/>
                <w:color w:val="auto"/>
              </w:rPr>
              <w:t>(2.09)</w:t>
            </w:r>
          </w:p>
        </w:tc>
        <w:tc>
          <w:tcPr>
            <w:tcW w:w="80" w:type="dxa"/>
            <w:vAlign w:val="bottom"/>
          </w:tcPr>
          <w:p>
            <w:pPr>
              <w:spacing w:after="0"/>
              <w:rPr>
                <w:sz w:val="16"/>
                <w:szCs w:val="16"/>
                <w:color w:val="auto"/>
              </w:rPr>
            </w:pPr>
          </w:p>
        </w:tc>
        <w:tc>
          <w:tcPr>
            <w:tcW w:w="380" w:type="dxa"/>
            <w:vAlign w:val="bottom"/>
          </w:tcPr>
          <w:p>
            <w:pPr>
              <w:jc w:val="right"/>
              <w:ind w:right="194"/>
              <w:spacing w:after="0" w:line="190" w:lineRule="exact"/>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line="190" w:lineRule="exact"/>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169"/>
        </w:trPr>
        <w:tc>
          <w:tcPr>
            <w:tcW w:w="4740" w:type="dxa"/>
            <w:vAlign w:val="bottom"/>
            <w:shd w:val="clear" w:color="auto" w:fill="DBDBDB"/>
          </w:tcPr>
          <w:p>
            <w:pPr>
              <w:ind w:left="20"/>
              <w:spacing w:after="0" w:line="169" w:lineRule="exact"/>
              <w:rPr>
                <w:sz w:val="20"/>
                <w:szCs w:val="20"/>
                <w:color w:val="auto"/>
              </w:rPr>
            </w:pPr>
            <w:r>
              <w:rPr>
                <w:rFonts w:ascii="Arial" w:cs="Arial" w:eastAsia="Arial" w:hAnsi="Arial"/>
                <w:sz w:val="17"/>
                <w:szCs w:val="17"/>
                <w:color w:val="auto"/>
                <w:w w:val="95"/>
              </w:rPr>
              <w:t>Weighted-average common shares outstanding: basic and diluted</w:t>
            </w:r>
          </w:p>
        </w:tc>
        <w:tc>
          <w:tcPr>
            <w:tcW w:w="960" w:type="dxa"/>
            <w:vAlign w:val="bottom"/>
            <w:shd w:val="clear" w:color="auto" w:fill="DBDBDB"/>
          </w:tcPr>
          <w:p>
            <w:pPr>
              <w:spacing w:after="0"/>
              <w:rPr>
                <w:sz w:val="14"/>
                <w:szCs w:val="14"/>
                <w:color w:val="auto"/>
              </w:rPr>
            </w:pPr>
          </w:p>
        </w:tc>
        <w:tc>
          <w:tcPr>
            <w:tcW w:w="600" w:type="dxa"/>
            <w:vAlign w:val="bottom"/>
            <w:vMerge w:val="restart"/>
            <w:shd w:val="clear" w:color="auto" w:fill="DBDBDB"/>
          </w:tcPr>
          <w:p>
            <w:pPr>
              <w:jc w:val="right"/>
              <w:spacing w:after="0"/>
              <w:rPr>
                <w:sz w:val="20"/>
                <w:szCs w:val="20"/>
                <w:color w:val="auto"/>
              </w:rPr>
            </w:pPr>
            <w:r>
              <w:rPr>
                <w:rFonts w:ascii="Arial" w:cs="Arial" w:eastAsia="Arial" w:hAnsi="Arial"/>
                <w:sz w:val="17"/>
                <w:szCs w:val="17"/>
                <w:color w:val="auto"/>
              </w:rPr>
              <w:t>250.3</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7"/>
                <w:szCs w:val="17"/>
                <w:color w:val="auto"/>
              </w:rPr>
              <w:t>185.4</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7"/>
                <w:szCs w:val="17"/>
                <w:color w:val="auto"/>
              </w:rPr>
              <w:t>249.2</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7"/>
                <w:szCs w:val="17"/>
                <w:color w:val="auto"/>
              </w:rPr>
              <w:t>75.5</w:t>
            </w:r>
          </w:p>
        </w:tc>
        <w:tc>
          <w:tcPr>
            <w:tcW w:w="0" w:type="dxa"/>
            <w:vAlign w:val="bottom"/>
          </w:tcPr>
          <w:p>
            <w:pPr>
              <w:spacing w:after="0"/>
              <w:rPr>
                <w:sz w:val="1"/>
                <w:szCs w:val="1"/>
                <w:color w:val="auto"/>
              </w:rPr>
            </w:pPr>
          </w:p>
        </w:tc>
      </w:tr>
      <w:tr>
        <w:trPr>
          <w:trHeight w:val="219"/>
        </w:trPr>
        <w:tc>
          <w:tcPr>
            <w:tcW w:w="4740" w:type="dxa"/>
            <w:vAlign w:val="bottom"/>
            <w:shd w:val="clear" w:color="auto" w:fill="DBDBDB"/>
          </w:tcPr>
          <w:p>
            <w:pPr>
              <w:ind w:left="180"/>
              <w:spacing w:after="0"/>
              <w:rPr>
                <w:sz w:val="20"/>
                <w:szCs w:val="20"/>
                <w:color w:val="auto"/>
              </w:rPr>
            </w:pPr>
            <w:r>
              <w:rPr>
                <w:rFonts w:ascii="Arial" w:cs="Arial" w:eastAsia="Arial" w:hAnsi="Arial"/>
                <w:sz w:val="17"/>
                <w:szCs w:val="17"/>
                <w:color w:val="auto"/>
              </w:rPr>
              <w:t>(both Class A and B)</w:t>
            </w:r>
          </w:p>
        </w:tc>
        <w:tc>
          <w:tcPr>
            <w:tcW w:w="960" w:type="dxa"/>
            <w:vAlign w:val="bottom"/>
            <w:shd w:val="clear" w:color="auto" w:fill="DBDBDB"/>
          </w:tcPr>
          <w:p>
            <w:pPr>
              <w:spacing w:after="0"/>
              <w:rPr>
                <w:sz w:val="19"/>
                <w:szCs w:val="19"/>
                <w:color w:val="auto"/>
              </w:rPr>
            </w:pPr>
          </w:p>
        </w:tc>
        <w:tc>
          <w:tcPr>
            <w:tcW w:w="600" w:type="dxa"/>
            <w:vAlign w:val="bottom"/>
            <w:vMerge w:val="continue"/>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vMerge w:val="continue"/>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vMerge w:val="continue"/>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565150</wp:posOffset>
            </wp:positionV>
            <wp:extent cx="671195" cy="212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11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40"/>
        <w:spacing w:after="0"/>
        <w:rPr>
          <w:sz w:val="20"/>
          <w:szCs w:val="20"/>
          <w:color w:val="auto"/>
        </w:rPr>
      </w:pPr>
      <w:r>
        <w:rPr>
          <w:rFonts w:ascii="Arial" w:cs="Arial" w:eastAsia="Arial" w:hAnsi="Arial"/>
          <w:sz w:val="17"/>
          <w:szCs w:val="17"/>
          <w:color w:val="929292"/>
        </w:rPr>
        <w:t>15</w:t>
      </w:r>
    </w:p>
    <w:p>
      <w:pPr>
        <w:sectPr>
          <w:pgSz w:w="11900" w:h="16838" w:orient="portrait"/>
          <w:cols w:equalWidth="0" w:num="1">
            <w:col w:w="11340"/>
          </w:cols>
          <w:pgMar w:left="320" w:top="344" w:right="239" w:bottom="1440" w:gutter="0" w:footer="0" w:header="0"/>
        </w:sectPr>
      </w:pPr>
    </w:p>
    <w:bookmarkStart w:id="18" w:name="page19"/>
    <w:bookmarkEnd w:id="18"/>
    <w:p>
      <w:pPr>
        <w:spacing w:after="0"/>
        <w:rPr>
          <w:sz w:val="20"/>
          <w:szCs w:val="20"/>
          <w:color w:val="auto"/>
        </w:rPr>
      </w:pPr>
      <w:r>
        <w:rPr>
          <w:rFonts w:ascii="Arial" w:cs="Arial" w:eastAsia="Arial" w:hAnsi="Arial"/>
          <w:sz w:val="19"/>
          <w:szCs w:val="19"/>
          <w:b w:val="1"/>
          <w:bCs w:val="1"/>
          <w:color w:val="242424"/>
        </w:rPr>
        <w:t>Letter to Shareholders: FY 2021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B6B6B6"/>
        </w:rPr>
        <w:t>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ROOT, INC. AND SUBSIDIARIES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STATEMENTS OF CASH FLOWS - 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60" w:type="dxa"/>
            <w:vAlign w:val="bottom"/>
            <w:tcBorders>
              <w:top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2020</w:t>
            </w:r>
          </w:p>
        </w:tc>
      </w:tr>
      <w:tr>
        <w:trPr>
          <w:trHeight w:val="172"/>
        </w:trPr>
        <w:tc>
          <w:tcPr>
            <w:tcW w:w="8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gridSpan w:val="3"/>
          </w:tcPr>
          <w:p>
            <w:pPr>
              <w:jc w:val="right"/>
              <w:ind w:right="63"/>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4"/>
                <w:szCs w:val="14"/>
                <w:color w:val="auto"/>
              </w:rPr>
            </w:pPr>
          </w:p>
        </w:tc>
      </w:tr>
      <w:tr>
        <w:trPr>
          <w:trHeight w:val="207"/>
        </w:trPr>
        <w:tc>
          <w:tcPr>
            <w:tcW w:w="8160" w:type="dxa"/>
            <w:vAlign w:val="bottom"/>
            <w:shd w:val="clear" w:color="auto" w:fill="DBDBDB"/>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94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5"/>
                <w:szCs w:val="15"/>
                <w:color w:val="auto"/>
              </w:rPr>
              <w:t>Net loss</w:t>
            </w:r>
          </w:p>
        </w:tc>
        <w:tc>
          <w:tcPr>
            <w:tcW w:w="940" w:type="dxa"/>
            <w:vAlign w:val="bottom"/>
          </w:tcPr>
          <w:p>
            <w:pPr>
              <w:jc w:val="right"/>
              <w:ind w:right="766"/>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(521.1)</w:t>
            </w:r>
          </w:p>
        </w:tc>
        <w:tc>
          <w:tcPr>
            <w:tcW w:w="8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(363.0)</w:t>
            </w:r>
          </w:p>
        </w:tc>
      </w:tr>
      <w:tr>
        <w:trPr>
          <w:trHeight w:val="209"/>
        </w:trPr>
        <w:tc>
          <w:tcPr>
            <w:tcW w:w="8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94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r>
      <w:tr>
        <w:trPr>
          <w:trHeight w:val="203"/>
        </w:trPr>
        <w:tc>
          <w:tcPr>
            <w:tcW w:w="8160" w:type="dxa"/>
            <w:vAlign w:val="bottom"/>
          </w:tcPr>
          <w:p>
            <w:pPr>
              <w:ind w:left="120"/>
              <w:spacing w:after="0"/>
              <w:rPr>
                <w:sz w:val="20"/>
                <w:szCs w:val="20"/>
                <w:color w:val="auto"/>
              </w:rPr>
            </w:pPr>
            <w:r>
              <w:rPr>
                <w:rFonts w:ascii="Arial" w:cs="Arial" w:eastAsia="Arial" w:hAnsi="Arial"/>
                <w:sz w:val="15"/>
                <w:szCs w:val="15"/>
                <w:color w:val="auto"/>
              </w:rPr>
              <w:t>Share-based compensation</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19.3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209"/>
        </w:trPr>
        <w:tc>
          <w:tcPr>
            <w:tcW w:w="81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Warrant compensation expense</w:t>
            </w:r>
          </w:p>
        </w:tc>
        <w:tc>
          <w:tcPr>
            <w:tcW w:w="94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160" w:type="dxa"/>
            <w:vAlign w:val="bottom"/>
          </w:tcPr>
          <w:p>
            <w:pPr>
              <w:ind w:left="120"/>
              <w:spacing w:after="0"/>
              <w:rPr>
                <w:sz w:val="20"/>
                <w:szCs w:val="20"/>
                <w:color w:val="auto"/>
              </w:rPr>
            </w:pPr>
            <w:r>
              <w:rPr>
                <w:rFonts w:ascii="Arial" w:cs="Arial" w:eastAsia="Arial" w:hAnsi="Arial"/>
                <w:sz w:val="15"/>
                <w:szCs w:val="15"/>
                <w:color w:val="auto"/>
              </w:rPr>
              <w:t>Tender offer</w:t>
            </w:r>
          </w:p>
        </w:tc>
        <w:tc>
          <w:tcPr>
            <w:tcW w:w="9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25.1</w:t>
            </w:r>
          </w:p>
        </w:tc>
      </w:tr>
      <w:tr>
        <w:trPr>
          <w:trHeight w:val="209"/>
        </w:trPr>
        <w:tc>
          <w:tcPr>
            <w:tcW w:w="81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Depreciation and amortization</w:t>
            </w:r>
          </w:p>
        </w:tc>
        <w:tc>
          <w:tcPr>
            <w:tcW w:w="94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16.6</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15.6</w:t>
            </w:r>
          </w:p>
        </w:tc>
      </w:tr>
      <w:tr>
        <w:trPr>
          <w:trHeight w:val="203"/>
        </w:trPr>
        <w:tc>
          <w:tcPr>
            <w:tcW w:w="8160" w:type="dxa"/>
            <w:vAlign w:val="bottom"/>
          </w:tcPr>
          <w:p>
            <w:pPr>
              <w:ind w:left="120"/>
              <w:spacing w:after="0"/>
              <w:rPr>
                <w:sz w:val="20"/>
                <w:szCs w:val="20"/>
                <w:color w:val="auto"/>
              </w:rPr>
            </w:pPr>
            <w:r>
              <w:rPr>
                <w:rFonts w:ascii="Arial" w:cs="Arial" w:eastAsia="Arial" w:hAnsi="Arial"/>
                <w:sz w:val="15"/>
                <w:szCs w:val="15"/>
                <w:color w:val="auto"/>
              </w:rPr>
              <w:t>Bad debt expense</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20.9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23.6</w:t>
            </w:r>
          </w:p>
        </w:tc>
      </w:tr>
      <w:tr>
        <w:trPr>
          <w:trHeight w:val="209"/>
        </w:trPr>
        <w:tc>
          <w:tcPr>
            <w:tcW w:w="81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Loss on early extinguishment of debt</w:t>
            </w:r>
          </w:p>
        </w:tc>
        <w:tc>
          <w:tcPr>
            <w:tcW w:w="94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15.9</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160" w:type="dxa"/>
            <w:vAlign w:val="bottom"/>
          </w:tcPr>
          <w:p>
            <w:pPr>
              <w:ind w:left="120"/>
              <w:spacing w:after="0"/>
              <w:rPr>
                <w:sz w:val="20"/>
                <w:szCs w:val="20"/>
                <w:color w:val="auto"/>
              </w:rPr>
            </w:pPr>
            <w:r>
              <w:rPr>
                <w:rFonts w:ascii="Arial" w:cs="Arial" w:eastAsia="Arial" w:hAnsi="Arial"/>
                <w:sz w:val="15"/>
                <w:szCs w:val="15"/>
                <w:color w:val="auto"/>
              </w:rPr>
              <w:t>Warrants fair value adjustment</w:t>
            </w:r>
          </w:p>
        </w:tc>
        <w:tc>
          <w:tcPr>
            <w:tcW w:w="9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54.7</w:t>
            </w:r>
          </w:p>
        </w:tc>
      </w:tr>
      <w:tr>
        <w:trPr>
          <w:trHeight w:val="209"/>
        </w:trPr>
        <w:tc>
          <w:tcPr>
            <w:tcW w:w="81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Paid-in-kind interest expense</w:t>
            </w:r>
          </w:p>
        </w:tc>
        <w:tc>
          <w:tcPr>
            <w:tcW w:w="94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10.6</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9.1</w:t>
            </w:r>
          </w:p>
        </w:tc>
      </w:tr>
      <w:tr>
        <w:trPr>
          <w:trHeight w:val="203"/>
        </w:trPr>
        <w:tc>
          <w:tcPr>
            <w:tcW w:w="8160" w:type="dxa"/>
            <w:vAlign w:val="bottom"/>
          </w:tcPr>
          <w:p>
            <w:pPr>
              <w:ind w:left="120"/>
              <w:spacing w:after="0"/>
              <w:rPr>
                <w:sz w:val="20"/>
                <w:szCs w:val="20"/>
                <w:color w:val="auto"/>
              </w:rPr>
            </w:pPr>
            <w:r>
              <w:rPr>
                <w:rFonts w:ascii="Arial" w:cs="Arial" w:eastAsia="Arial" w:hAnsi="Arial"/>
                <w:sz w:val="15"/>
                <w:szCs w:val="15"/>
                <w:color w:val="auto"/>
              </w:rPr>
              <w:t>Paid-in-kind interest paid</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(20.5)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81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Net realized gains on investments</w:t>
            </w:r>
          </w:p>
        </w:tc>
        <w:tc>
          <w:tcPr>
            <w:tcW w:w="94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(0.3)</w:t>
            </w:r>
          </w:p>
        </w:tc>
      </w:tr>
      <w:tr>
        <w:trPr>
          <w:trHeight w:val="203"/>
        </w:trPr>
        <w:tc>
          <w:tcPr>
            <w:tcW w:w="8160" w:type="dxa"/>
            <w:vAlign w:val="bottom"/>
          </w:tcPr>
          <w:p>
            <w:pPr>
              <w:ind w:left="120"/>
              <w:spacing w:after="0"/>
              <w:rPr>
                <w:sz w:val="20"/>
                <w:szCs w:val="20"/>
                <w:color w:val="auto"/>
              </w:rPr>
            </w:pPr>
            <w:r>
              <w:rPr>
                <w:rFonts w:ascii="Arial" w:cs="Arial" w:eastAsia="Arial" w:hAnsi="Arial"/>
                <w:sz w:val="15"/>
                <w:szCs w:val="15"/>
                <w:color w:val="auto"/>
              </w:rPr>
              <w:t>Change in fair value of equity securities</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8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Changes in operating assets and liabilities:</w:t>
            </w:r>
          </w:p>
        </w:tc>
        <w:tc>
          <w:tcPr>
            <w:tcW w:w="94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r>
      <w:tr>
        <w:trPr>
          <w:trHeight w:val="203"/>
        </w:trPr>
        <w:tc>
          <w:tcPr>
            <w:tcW w:w="8160" w:type="dxa"/>
            <w:vAlign w:val="bottom"/>
          </w:tcPr>
          <w:p>
            <w:pPr>
              <w:ind w:left="120"/>
              <w:spacing w:after="0"/>
              <w:rPr>
                <w:sz w:val="20"/>
                <w:szCs w:val="20"/>
                <w:color w:val="auto"/>
              </w:rPr>
            </w:pPr>
            <w:r>
              <w:rPr>
                <w:rFonts w:ascii="Arial" w:cs="Arial" w:eastAsia="Arial" w:hAnsi="Arial"/>
                <w:sz w:val="15"/>
                <w:szCs w:val="15"/>
                <w:color w:val="auto"/>
              </w:rPr>
              <w:t>Premiums receivable</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(39.7)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(31.0)</w:t>
            </w:r>
          </w:p>
        </w:tc>
      </w:tr>
      <w:tr>
        <w:trPr>
          <w:trHeight w:val="209"/>
        </w:trPr>
        <w:tc>
          <w:tcPr>
            <w:tcW w:w="81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Reinsurance recoverable</w:t>
            </w:r>
          </w:p>
        </w:tc>
        <w:tc>
          <w:tcPr>
            <w:tcW w:w="94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(30.4)</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(99.5)</w:t>
            </w:r>
          </w:p>
        </w:tc>
      </w:tr>
      <w:tr>
        <w:trPr>
          <w:trHeight w:val="203"/>
        </w:trPr>
        <w:tc>
          <w:tcPr>
            <w:tcW w:w="8160" w:type="dxa"/>
            <w:vAlign w:val="bottom"/>
          </w:tcPr>
          <w:p>
            <w:pPr>
              <w:ind w:left="120"/>
              <w:spacing w:after="0"/>
              <w:rPr>
                <w:sz w:val="20"/>
                <w:szCs w:val="20"/>
                <w:color w:val="auto"/>
              </w:rPr>
            </w:pPr>
            <w:r>
              <w:rPr>
                <w:rFonts w:ascii="Arial" w:cs="Arial" w:eastAsia="Arial" w:hAnsi="Arial"/>
                <w:sz w:val="15"/>
                <w:szCs w:val="15"/>
                <w:color w:val="auto"/>
              </w:rPr>
              <w:t>Prepaid reinsurance premiums</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(95.4)</w:t>
            </w:r>
          </w:p>
        </w:tc>
      </w:tr>
      <w:tr>
        <w:trPr>
          <w:trHeight w:val="209"/>
        </w:trPr>
        <w:tc>
          <w:tcPr>
            <w:tcW w:w="81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Other assets</w:t>
            </w:r>
          </w:p>
        </w:tc>
        <w:tc>
          <w:tcPr>
            <w:tcW w:w="94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0.8</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(21.7)</w:t>
            </w:r>
          </w:p>
        </w:tc>
      </w:tr>
      <w:tr>
        <w:trPr>
          <w:trHeight w:val="203"/>
        </w:trPr>
        <w:tc>
          <w:tcPr>
            <w:tcW w:w="8160" w:type="dxa"/>
            <w:vAlign w:val="bottom"/>
          </w:tcPr>
          <w:p>
            <w:pPr>
              <w:ind w:left="120"/>
              <w:spacing w:after="0"/>
              <w:rPr>
                <w:sz w:val="20"/>
                <w:szCs w:val="20"/>
                <w:color w:val="auto"/>
              </w:rPr>
            </w:pPr>
            <w:r>
              <w:rPr>
                <w:rFonts w:ascii="Arial" w:cs="Arial" w:eastAsia="Arial" w:hAnsi="Arial"/>
                <w:sz w:val="15"/>
                <w:szCs w:val="15"/>
                <w:color w:val="auto"/>
              </w:rPr>
              <w:t>Losses and loss adjustment expenses reserves</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83.0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96.5</w:t>
            </w:r>
          </w:p>
        </w:tc>
      </w:tr>
      <w:tr>
        <w:trPr>
          <w:trHeight w:val="209"/>
        </w:trPr>
        <w:tc>
          <w:tcPr>
            <w:tcW w:w="81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Unearned premiums</w:t>
            </w:r>
          </w:p>
        </w:tc>
        <w:tc>
          <w:tcPr>
            <w:tcW w:w="94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23.0</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11.7</w:t>
            </w:r>
          </w:p>
        </w:tc>
      </w:tr>
      <w:tr>
        <w:trPr>
          <w:trHeight w:val="203"/>
        </w:trPr>
        <w:tc>
          <w:tcPr>
            <w:tcW w:w="8160" w:type="dxa"/>
            <w:vAlign w:val="bottom"/>
          </w:tcPr>
          <w:p>
            <w:pPr>
              <w:ind w:left="120"/>
              <w:spacing w:after="0"/>
              <w:rPr>
                <w:sz w:val="20"/>
                <w:szCs w:val="20"/>
                <w:color w:val="auto"/>
              </w:rPr>
            </w:pPr>
            <w:r>
              <w:rPr>
                <w:rFonts w:ascii="Arial" w:cs="Arial" w:eastAsia="Arial" w:hAnsi="Arial"/>
                <w:sz w:val="15"/>
                <w:szCs w:val="15"/>
                <w:color w:val="auto"/>
              </w:rPr>
              <w:t>Reinsurance premiums payable</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63.4</w:t>
            </w:r>
          </w:p>
        </w:tc>
      </w:tr>
      <w:tr>
        <w:trPr>
          <w:trHeight w:val="209"/>
        </w:trPr>
        <w:tc>
          <w:tcPr>
            <w:tcW w:w="81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Accounts payable and accrued expenses</w:t>
            </w:r>
          </w:p>
        </w:tc>
        <w:tc>
          <w:tcPr>
            <w:tcW w:w="94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(19.2)</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18.2</w:t>
            </w:r>
          </w:p>
        </w:tc>
      </w:tr>
      <w:tr>
        <w:trPr>
          <w:trHeight w:val="203"/>
        </w:trPr>
        <w:tc>
          <w:tcPr>
            <w:tcW w:w="8160" w:type="dxa"/>
            <w:vAlign w:val="bottom"/>
            <w:tcBorders>
              <w:bottom w:val="single" w:sz="8" w:color="DBDBDB"/>
            </w:tcBorders>
          </w:tcPr>
          <w:p>
            <w:pPr>
              <w:ind w:left="120"/>
              <w:spacing w:after="0"/>
              <w:rPr>
                <w:sz w:val="20"/>
                <w:szCs w:val="20"/>
                <w:color w:val="auto"/>
              </w:rPr>
            </w:pPr>
            <w:r>
              <w:rPr>
                <w:rFonts w:ascii="Arial" w:cs="Arial" w:eastAsia="Arial" w:hAnsi="Arial"/>
                <w:sz w:val="15"/>
                <w:szCs w:val="15"/>
                <w:color w:val="auto"/>
              </w:rPr>
              <w:t>Other liabilities</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w:t>
            </w:r>
          </w:p>
        </w:tc>
        <w:tc>
          <w:tcPr>
            <w:tcW w:w="8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r>
      <w:tr>
        <w:trPr>
          <w:trHeight w:val="202"/>
        </w:trPr>
        <w:tc>
          <w:tcPr>
            <w:tcW w:w="8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used in operating activities</w:t>
            </w:r>
          </w:p>
        </w:tc>
        <w:tc>
          <w:tcPr>
            <w:tcW w:w="940" w:type="dxa"/>
            <w:vAlign w:val="bottom"/>
            <w:tcBorders>
              <w:bottom w:val="single" w:sz="8" w:color="auto"/>
            </w:tcBorders>
            <w:shd w:val="clear" w:color="auto" w:fill="DBDBDB"/>
          </w:tcPr>
          <w:p>
            <w:pPr>
              <w:spacing w:after="0"/>
              <w:rPr>
                <w:sz w:val="17"/>
                <w:szCs w:val="17"/>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(403.4)</w:t>
            </w:r>
          </w:p>
        </w:tc>
        <w:tc>
          <w:tcPr>
            <w:tcW w:w="80" w:type="dxa"/>
            <w:vAlign w:val="bottom"/>
            <w:shd w:val="clear" w:color="auto" w:fill="DBDBDB"/>
          </w:tcPr>
          <w:p>
            <w:pPr>
              <w:spacing w:after="0"/>
              <w:rPr>
                <w:sz w:val="17"/>
                <w:szCs w:val="17"/>
                <w:color w:val="auto"/>
              </w:rPr>
            </w:pPr>
          </w:p>
        </w:tc>
        <w:tc>
          <w:tcPr>
            <w:tcW w:w="46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(287.2)</w:t>
            </w:r>
          </w:p>
        </w:tc>
      </w:tr>
      <w:tr>
        <w:trPr>
          <w:trHeight w:val="184"/>
        </w:trPr>
        <w:tc>
          <w:tcPr>
            <w:tcW w:w="816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8"/>
        </w:trPr>
        <w:tc>
          <w:tcPr>
            <w:tcW w:w="81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Purchases of investments</w:t>
            </w:r>
          </w:p>
        </w:tc>
        <w:tc>
          <w:tcPr>
            <w:tcW w:w="94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(17.0)</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(158.4)</w:t>
            </w:r>
          </w:p>
        </w:tc>
      </w:tr>
      <w:tr>
        <w:trPr>
          <w:trHeight w:val="203"/>
        </w:trPr>
        <w:tc>
          <w:tcPr>
            <w:tcW w:w="8160" w:type="dxa"/>
            <w:vAlign w:val="bottom"/>
          </w:tcPr>
          <w:p>
            <w:pPr>
              <w:ind w:left="120"/>
              <w:spacing w:after="0"/>
              <w:rPr>
                <w:sz w:val="20"/>
                <w:szCs w:val="20"/>
                <w:color w:val="auto"/>
              </w:rPr>
            </w:pPr>
            <w:r>
              <w:rPr>
                <w:rFonts w:ascii="Arial" w:cs="Arial" w:eastAsia="Arial" w:hAnsi="Arial"/>
                <w:sz w:val="15"/>
                <w:szCs w:val="15"/>
                <w:color w:val="auto"/>
              </w:rPr>
              <w:t>Proceeds from maturities, call and pay downs of investments</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34.7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42.5</w:t>
            </w:r>
          </w:p>
        </w:tc>
      </w:tr>
      <w:tr>
        <w:trPr>
          <w:trHeight w:val="209"/>
        </w:trPr>
        <w:tc>
          <w:tcPr>
            <w:tcW w:w="81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Sales of investments</w:t>
            </w:r>
          </w:p>
        </w:tc>
        <w:tc>
          <w:tcPr>
            <w:tcW w:w="94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70.4</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17.9</w:t>
            </w:r>
          </w:p>
        </w:tc>
      </w:tr>
      <w:tr>
        <w:trPr>
          <w:trHeight w:val="203"/>
        </w:trPr>
        <w:tc>
          <w:tcPr>
            <w:tcW w:w="8160" w:type="dxa"/>
            <w:vAlign w:val="bottom"/>
          </w:tcPr>
          <w:p>
            <w:pPr>
              <w:ind w:left="120"/>
              <w:spacing w:after="0"/>
              <w:rPr>
                <w:sz w:val="20"/>
                <w:szCs w:val="20"/>
                <w:color w:val="auto"/>
              </w:rPr>
            </w:pPr>
            <w:r>
              <w:rPr>
                <w:rFonts w:ascii="Arial" w:cs="Arial" w:eastAsia="Arial" w:hAnsi="Arial"/>
                <w:sz w:val="15"/>
                <w:szCs w:val="15"/>
                <w:color w:val="auto"/>
              </w:rPr>
              <w:t>Purchases of indefinite-lived intangible assets and transaction costs</w:t>
            </w:r>
          </w:p>
        </w:tc>
        <w:tc>
          <w:tcPr>
            <w:tcW w:w="9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209"/>
        </w:trPr>
        <w:tc>
          <w:tcPr>
            <w:tcW w:w="81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Capitalization of internally developed software</w:t>
            </w:r>
          </w:p>
        </w:tc>
        <w:tc>
          <w:tcPr>
            <w:tcW w:w="94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w:t>
            </w:r>
          </w:p>
        </w:tc>
      </w:tr>
      <w:tr>
        <w:trPr>
          <w:trHeight w:val="203"/>
        </w:trPr>
        <w:tc>
          <w:tcPr>
            <w:tcW w:w="8160" w:type="dxa"/>
            <w:vAlign w:val="bottom"/>
            <w:tcBorders>
              <w:bottom w:val="single" w:sz="8" w:color="DBDBDB"/>
            </w:tcBorders>
          </w:tcPr>
          <w:p>
            <w:pPr>
              <w:ind w:left="120"/>
              <w:spacing w:after="0"/>
              <w:rPr>
                <w:sz w:val="20"/>
                <w:szCs w:val="20"/>
                <w:color w:val="auto"/>
              </w:rPr>
            </w:pPr>
            <w:r>
              <w:rPr>
                <w:rFonts w:ascii="Arial" w:cs="Arial" w:eastAsia="Arial" w:hAnsi="Arial"/>
                <w:sz w:val="15"/>
                <w:szCs w:val="15"/>
                <w:color w:val="auto"/>
              </w:rPr>
              <w:t>Purchases of fixed assets</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8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w:t>
            </w:r>
          </w:p>
        </w:tc>
      </w:tr>
      <w:tr>
        <w:trPr>
          <w:trHeight w:val="202"/>
        </w:trPr>
        <w:tc>
          <w:tcPr>
            <w:tcW w:w="8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(used in) investing activities</w:t>
            </w:r>
          </w:p>
        </w:tc>
        <w:tc>
          <w:tcPr>
            <w:tcW w:w="940" w:type="dxa"/>
            <w:vAlign w:val="bottom"/>
            <w:tcBorders>
              <w:bottom w:val="single" w:sz="8" w:color="auto"/>
            </w:tcBorders>
            <w:shd w:val="clear" w:color="auto" w:fill="DBDBDB"/>
          </w:tcPr>
          <w:p>
            <w:pPr>
              <w:spacing w:after="0"/>
              <w:rPr>
                <w:sz w:val="17"/>
                <w:szCs w:val="17"/>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76.9</w:t>
            </w:r>
          </w:p>
        </w:tc>
        <w:tc>
          <w:tcPr>
            <w:tcW w:w="80" w:type="dxa"/>
            <w:vAlign w:val="bottom"/>
            <w:shd w:val="clear" w:color="auto" w:fill="DBDBDB"/>
          </w:tcPr>
          <w:p>
            <w:pPr>
              <w:spacing w:after="0"/>
              <w:rPr>
                <w:sz w:val="17"/>
                <w:szCs w:val="17"/>
                <w:color w:val="auto"/>
              </w:rPr>
            </w:pPr>
          </w:p>
        </w:tc>
        <w:tc>
          <w:tcPr>
            <w:tcW w:w="46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(114.1)</w:t>
            </w:r>
          </w:p>
        </w:tc>
      </w:tr>
      <w:tr>
        <w:trPr>
          <w:trHeight w:val="184"/>
        </w:trPr>
        <w:tc>
          <w:tcPr>
            <w:tcW w:w="816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8"/>
        </w:trPr>
        <w:tc>
          <w:tcPr>
            <w:tcW w:w="81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Proceeds from issuance of common stock from IPO and concurrent private placements, net of issuance costs</w:t>
            </w:r>
          </w:p>
        </w:tc>
        <w:tc>
          <w:tcPr>
            <w:tcW w:w="940" w:type="dxa"/>
            <w:vAlign w:val="bottom"/>
            <w:shd w:val="clear" w:color="auto" w:fill="DBDBDB"/>
          </w:tcPr>
          <w:p>
            <w:pPr>
              <w:spacing w:after="0"/>
              <w:rPr>
                <w:sz w:val="18"/>
                <w:szCs w:val="18"/>
                <w:color w:val="auto"/>
              </w:rPr>
            </w:pPr>
          </w:p>
        </w:tc>
        <w:tc>
          <w:tcPr>
            <w:tcW w:w="64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1,098.1</w:t>
            </w:r>
          </w:p>
        </w:tc>
      </w:tr>
      <w:tr>
        <w:trPr>
          <w:trHeight w:val="203"/>
        </w:trPr>
        <w:tc>
          <w:tcPr>
            <w:tcW w:w="8160" w:type="dxa"/>
            <w:vAlign w:val="bottom"/>
          </w:tcPr>
          <w:p>
            <w:pPr>
              <w:ind w:left="120"/>
              <w:spacing w:after="0"/>
              <w:rPr>
                <w:sz w:val="20"/>
                <w:szCs w:val="20"/>
                <w:color w:val="auto"/>
              </w:rPr>
            </w:pPr>
            <w:r>
              <w:rPr>
                <w:rFonts w:ascii="Arial" w:cs="Arial" w:eastAsia="Arial" w:hAnsi="Arial"/>
                <w:sz w:val="15"/>
                <w:szCs w:val="15"/>
                <w:color w:val="auto"/>
              </w:rPr>
              <w:t>Proceeds from exercise of stock options and restricted stock units, net of tax proceeds/(withholding)</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09"/>
        </w:trPr>
        <w:tc>
          <w:tcPr>
            <w:tcW w:w="81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Proceeds from issuance of preferred stock and related warrants</w:t>
            </w:r>
          </w:p>
        </w:tc>
        <w:tc>
          <w:tcPr>
            <w:tcW w:w="94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126.5</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160" w:type="dxa"/>
            <w:vAlign w:val="bottom"/>
          </w:tcPr>
          <w:p>
            <w:pPr>
              <w:ind w:left="120"/>
              <w:spacing w:after="0"/>
              <w:rPr>
                <w:sz w:val="20"/>
                <w:szCs w:val="20"/>
                <w:color w:val="auto"/>
              </w:rPr>
            </w:pPr>
            <w:r>
              <w:rPr>
                <w:rFonts w:ascii="Arial" w:cs="Arial" w:eastAsia="Arial" w:hAnsi="Arial"/>
                <w:sz w:val="15"/>
                <w:szCs w:val="15"/>
                <w:color w:val="auto"/>
              </w:rPr>
              <w:t>Payment of preferred stock and related warrants issuance costs</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81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Proceeds from issuance of debt and related warrants, net of issuance costs</w:t>
            </w:r>
          </w:p>
        </w:tc>
        <w:tc>
          <w:tcPr>
            <w:tcW w:w="940" w:type="dxa"/>
            <w:vAlign w:val="bottom"/>
            <w:shd w:val="clear" w:color="auto" w:fill="DBDBDB"/>
          </w:tcPr>
          <w:p>
            <w:pPr>
              <w:spacing w:after="0"/>
              <w:rPr>
                <w:sz w:val="18"/>
                <w:szCs w:val="18"/>
                <w:color w:val="auto"/>
              </w:rPr>
            </w:pPr>
          </w:p>
        </w:tc>
        <w:tc>
          <w:tcPr>
            <w:tcW w:w="64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12.0</w:t>
            </w:r>
          </w:p>
        </w:tc>
      </w:tr>
      <w:tr>
        <w:trPr>
          <w:trHeight w:val="203"/>
        </w:trPr>
        <w:tc>
          <w:tcPr>
            <w:tcW w:w="8160" w:type="dxa"/>
            <w:vAlign w:val="bottom"/>
          </w:tcPr>
          <w:p>
            <w:pPr>
              <w:ind w:left="120"/>
              <w:spacing w:after="0"/>
              <w:rPr>
                <w:sz w:val="20"/>
                <w:szCs w:val="20"/>
                <w:color w:val="auto"/>
              </w:rPr>
            </w:pPr>
            <w:r>
              <w:rPr>
                <w:rFonts w:ascii="Arial" w:cs="Arial" w:eastAsia="Arial" w:hAnsi="Arial"/>
                <w:sz w:val="15"/>
                <w:szCs w:val="15"/>
                <w:color w:val="auto"/>
              </w:rPr>
              <w:t>Repayments of long-term debt</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(199.5)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(13.5)</w:t>
            </w:r>
          </w:p>
        </w:tc>
      </w:tr>
      <w:tr>
        <w:trPr>
          <w:trHeight w:val="209"/>
        </w:trPr>
        <w:tc>
          <w:tcPr>
            <w:tcW w:w="8160" w:type="dxa"/>
            <w:vAlign w:val="bottom"/>
            <w:shd w:val="clear" w:color="auto" w:fill="DBDBDB"/>
          </w:tcPr>
          <w:p>
            <w:pPr>
              <w:ind w:left="120"/>
              <w:spacing w:after="0"/>
              <w:rPr>
                <w:sz w:val="20"/>
                <w:szCs w:val="20"/>
                <w:color w:val="auto"/>
              </w:rPr>
            </w:pPr>
            <w:r>
              <w:rPr>
                <w:rFonts w:ascii="Arial" w:cs="Arial" w:eastAsia="Arial" w:hAnsi="Arial"/>
                <w:sz w:val="15"/>
                <w:szCs w:val="15"/>
                <w:color w:val="auto"/>
              </w:rPr>
              <w:t>Purchases of treasury stock</w:t>
            </w:r>
          </w:p>
        </w:tc>
        <w:tc>
          <w:tcPr>
            <w:tcW w:w="940" w:type="dxa"/>
            <w:vAlign w:val="bottom"/>
            <w:shd w:val="clear" w:color="auto" w:fill="DBDBDB"/>
          </w:tcPr>
          <w:p>
            <w:pPr>
              <w:spacing w:after="0"/>
              <w:rPr>
                <w:sz w:val="18"/>
                <w:szCs w:val="18"/>
                <w:color w:val="auto"/>
              </w:rPr>
            </w:pPr>
          </w:p>
        </w:tc>
        <w:tc>
          <w:tcPr>
            <w:tcW w:w="64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(0.2)</w:t>
            </w:r>
          </w:p>
        </w:tc>
      </w:tr>
      <w:tr>
        <w:trPr>
          <w:trHeight w:val="196"/>
        </w:trPr>
        <w:tc>
          <w:tcPr>
            <w:tcW w:w="81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Net cash (used in) provided by financing activities</w:t>
            </w:r>
          </w:p>
        </w:tc>
        <w:tc>
          <w:tcPr>
            <w:tcW w:w="9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(80.3)</w:t>
            </w:r>
          </w:p>
        </w:tc>
        <w:tc>
          <w:tcPr>
            <w:tcW w:w="80" w:type="dxa"/>
            <w:vAlign w:val="bottom"/>
            <w:tcBorders>
              <w:bottom w:val="single" w:sz="8" w:color="DBDBDB"/>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1,098.5</w:t>
            </w:r>
          </w:p>
        </w:tc>
      </w:tr>
      <w:tr>
        <w:trPr>
          <w:trHeight w:val="202"/>
        </w:trPr>
        <w:tc>
          <w:tcPr>
            <w:tcW w:w="8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(decrease) increase in cash, cash equivalents and restricted cash</w:t>
            </w:r>
          </w:p>
        </w:tc>
        <w:tc>
          <w:tcPr>
            <w:tcW w:w="940" w:type="dxa"/>
            <w:vAlign w:val="bottom"/>
            <w:shd w:val="clear" w:color="auto" w:fill="DBDBDB"/>
          </w:tcPr>
          <w:p>
            <w:pPr>
              <w:spacing w:after="0"/>
              <w:rPr>
                <w:sz w:val="17"/>
                <w:szCs w:val="17"/>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(406.8)</w:t>
            </w:r>
          </w:p>
        </w:tc>
        <w:tc>
          <w:tcPr>
            <w:tcW w:w="8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697.2</w:t>
            </w:r>
          </w:p>
        </w:tc>
      </w:tr>
      <w:tr>
        <w:trPr>
          <w:trHeight w:val="203"/>
        </w:trPr>
        <w:tc>
          <w:tcPr>
            <w:tcW w:w="81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Cash, cash equivalents and restricted cash at beginning of year</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1,113.8</w:t>
            </w:r>
          </w:p>
        </w:tc>
        <w:tc>
          <w:tcPr>
            <w:tcW w:w="8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416.6</w:t>
            </w:r>
          </w:p>
        </w:tc>
      </w:tr>
      <w:tr>
        <w:trPr>
          <w:trHeight w:val="227"/>
        </w:trPr>
        <w:tc>
          <w:tcPr>
            <w:tcW w:w="8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Cash, cash equivalents and restricted cash at end of year</w:t>
            </w:r>
          </w:p>
        </w:tc>
        <w:tc>
          <w:tcPr>
            <w:tcW w:w="940" w:type="dxa"/>
            <w:vAlign w:val="bottom"/>
            <w:tcBorders>
              <w:bottom w:val="single" w:sz="8" w:color="auto"/>
            </w:tcBorders>
            <w:shd w:val="clear" w:color="auto" w:fill="DBDBDB"/>
          </w:tcPr>
          <w:p>
            <w:pPr>
              <w:jc w:val="right"/>
              <w:ind w:right="766"/>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707.0</w:t>
            </w:r>
          </w:p>
        </w:tc>
        <w:tc>
          <w:tcPr>
            <w:tcW w:w="80" w:type="dxa"/>
            <w:vAlign w:val="bottom"/>
            <w:tcBorders>
              <w:bottom w:val="single" w:sz="8" w:color="DBDBDB"/>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1,113.8</w:t>
            </w:r>
          </w:p>
        </w:tc>
      </w:tr>
      <w:tr>
        <w:trPr>
          <w:trHeight w:val="20"/>
        </w:trPr>
        <w:tc>
          <w:tcPr>
            <w:tcW w:w="816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565150</wp:posOffset>
            </wp:positionV>
            <wp:extent cx="671195" cy="2127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11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40"/>
        <w:spacing w:after="0"/>
        <w:rPr>
          <w:sz w:val="20"/>
          <w:szCs w:val="20"/>
          <w:color w:val="auto"/>
        </w:rPr>
      </w:pPr>
      <w:r>
        <w:rPr>
          <w:rFonts w:ascii="Arial" w:cs="Arial" w:eastAsia="Arial" w:hAnsi="Arial"/>
          <w:sz w:val="17"/>
          <w:szCs w:val="17"/>
          <w:color w:val="929292"/>
        </w:rPr>
        <w:t>16</w:t>
      </w:r>
    </w:p>
    <w:p>
      <w:pPr>
        <w:sectPr>
          <w:pgSz w:w="11900" w:h="16838" w:orient="portrait"/>
          <w:cols w:equalWidth="0" w:num="1">
            <w:col w:w="11340"/>
          </w:cols>
          <w:pgMar w:left="320" w:top="344" w:right="239" w:bottom="1440" w:gutter="0" w:footer="0" w:header="0"/>
        </w:sectPr>
      </w:pPr>
    </w:p>
    <w:bookmarkStart w:id="19" w:name="page20"/>
    <w:bookmarkEnd w:id="19"/>
    <w:p>
      <w:pPr>
        <w:spacing w:after="0"/>
        <w:rPr>
          <w:sz w:val="20"/>
          <w:szCs w:val="20"/>
          <w:color w:val="auto"/>
        </w:rPr>
      </w:pPr>
      <w:r>
        <w:rPr>
          <w:rFonts w:ascii="Arial" w:cs="Arial" w:eastAsia="Arial" w:hAnsi="Arial"/>
          <w:sz w:val="19"/>
          <w:szCs w:val="19"/>
          <w:b w:val="1"/>
          <w:bCs w:val="1"/>
          <w:color w:val="242424"/>
        </w:rPr>
        <w:t>Letter to Shareholders: FY 2021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B6B6B6"/>
        </w:rPr>
        <w:t>____________________________________________________________________________________________________________</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7"/>
          <w:szCs w:val="27"/>
          <w:b w:val="1"/>
          <w:bCs w:val="1"/>
          <w:color w:val="FF5715"/>
        </w:rPr>
        <w:t>Supplemental financial information</w:t>
      </w:r>
    </w:p>
    <w:p>
      <w:pPr>
        <w:spacing w:after="0" w:line="7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ROOT, INC. AND SUBSIDIARIES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KEY PERFORMANCE INDICATORS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4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w w:val="99"/>
              </w:rPr>
              <w:t>Three Months Ended December 31,</w:t>
            </w:r>
          </w:p>
        </w:tc>
        <w:tc>
          <w:tcPr>
            <w:tcW w:w="440" w:type="dxa"/>
            <w:vAlign w:val="bottom"/>
          </w:tcPr>
          <w:p>
            <w:pPr>
              <w:spacing w:after="0"/>
              <w:rPr>
                <w:sz w:val="15"/>
                <w:szCs w:val="15"/>
                <w:color w:val="auto"/>
              </w:rPr>
            </w:pPr>
          </w:p>
        </w:tc>
        <w:tc>
          <w:tcPr>
            <w:tcW w:w="2960" w:type="dxa"/>
            <w:vAlign w:val="bottom"/>
            <w:gridSpan w:val="3"/>
          </w:tcPr>
          <w:p>
            <w:pPr>
              <w:jc w:val="right"/>
              <w:ind w:right="795"/>
              <w:spacing w:after="0"/>
              <w:rPr>
                <w:sz w:val="20"/>
                <w:szCs w:val="20"/>
                <w:color w:val="auto"/>
              </w:rPr>
            </w:pPr>
            <w:r>
              <w:rPr>
                <w:rFonts w:ascii="Arial" w:cs="Arial" w:eastAsia="Arial" w:hAnsi="Arial"/>
                <w:sz w:val="14"/>
                <w:szCs w:val="14"/>
                <w:b w:val="1"/>
                <w:bCs w:val="1"/>
                <w:color w:val="auto"/>
              </w:rPr>
              <w:t>Years Ended December 31,</w:t>
            </w:r>
          </w:p>
        </w:tc>
      </w:tr>
      <w:tr>
        <w:trPr>
          <w:trHeight w:val="24"/>
        </w:trPr>
        <w:tc>
          <w:tcPr>
            <w:tcW w:w="44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2"/>
        </w:trPr>
        <w:tc>
          <w:tcPr>
            <w:tcW w:w="44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176"/>
        </w:trPr>
        <w:tc>
          <w:tcPr>
            <w:tcW w:w="4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2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89"/>
              </w:rPr>
              <w:t>(dollars in millions, except Premiums per Policy)</w:t>
            </w: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
        </w:trPr>
        <w:tc>
          <w:tcPr>
            <w:tcW w:w="4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4420" w:type="dxa"/>
            <w:vAlign w:val="bottom"/>
            <w:shd w:val="clear" w:color="auto" w:fill="DBDBDB"/>
          </w:tcPr>
          <w:p>
            <w:pPr>
              <w:ind w:left="20"/>
              <w:spacing w:after="0"/>
              <w:rPr>
                <w:sz w:val="20"/>
                <w:szCs w:val="20"/>
                <w:color w:val="auto"/>
              </w:rPr>
            </w:pPr>
            <w:r>
              <w:rPr>
                <w:rFonts w:ascii="Arial" w:cs="Arial" w:eastAsia="Arial" w:hAnsi="Arial"/>
                <w:sz w:val="17"/>
                <w:szCs w:val="17"/>
                <w:color w:val="auto"/>
              </w:rPr>
              <w:t>Policies in force</w:t>
            </w:r>
          </w:p>
        </w:tc>
        <w:tc>
          <w:tcPr>
            <w:tcW w:w="380" w:type="dxa"/>
            <w:vAlign w:val="bottom"/>
            <w:shd w:val="clear" w:color="auto" w:fill="DBDBDB"/>
          </w:tcPr>
          <w:p>
            <w:pPr>
              <w:spacing w:after="0"/>
              <w:rPr>
                <w:sz w:val="21"/>
                <w:szCs w:val="21"/>
                <w:color w:val="auto"/>
              </w:rPr>
            </w:pPr>
          </w:p>
        </w:tc>
        <w:tc>
          <w:tcPr>
            <w:tcW w:w="13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50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1240" w:type="dxa"/>
            <w:vAlign w:val="bottom"/>
            <w:shd w:val="clear" w:color="auto" w:fill="DBDBDB"/>
          </w:tcPr>
          <w:p>
            <w:pPr>
              <w:spacing w:after="0"/>
              <w:rPr>
                <w:sz w:val="21"/>
                <w:szCs w:val="21"/>
                <w:color w:val="auto"/>
              </w:rPr>
            </w:pPr>
          </w:p>
        </w:tc>
      </w:tr>
      <w:tr>
        <w:trPr>
          <w:trHeight w:val="238"/>
        </w:trPr>
        <w:tc>
          <w:tcPr>
            <w:tcW w:w="4420" w:type="dxa"/>
            <w:vAlign w:val="bottom"/>
          </w:tcPr>
          <w:p>
            <w:pPr>
              <w:ind w:left="220"/>
              <w:spacing w:after="0"/>
              <w:rPr>
                <w:sz w:val="20"/>
                <w:szCs w:val="20"/>
                <w:color w:val="auto"/>
              </w:rPr>
            </w:pPr>
            <w:r>
              <w:rPr>
                <w:rFonts w:ascii="Arial" w:cs="Arial" w:eastAsia="Arial" w:hAnsi="Arial"/>
                <w:sz w:val="17"/>
                <w:szCs w:val="17"/>
                <w:color w:val="auto"/>
              </w:rPr>
              <w:t>Auto</w:t>
            </w:r>
          </w:p>
        </w:tc>
        <w:tc>
          <w:tcPr>
            <w:tcW w:w="380" w:type="dxa"/>
            <w:vAlign w:val="bottom"/>
          </w:tcPr>
          <w:p>
            <w:pPr>
              <w:spacing w:after="0"/>
              <w:rPr>
                <w:sz w:val="20"/>
                <w:szCs w:val="20"/>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color w:val="auto"/>
              </w:rPr>
              <w:t>354,371</w:t>
            </w:r>
          </w:p>
        </w:tc>
        <w:tc>
          <w:tcPr>
            <w:tcW w:w="240" w:type="dxa"/>
            <w:vAlign w:val="bottom"/>
          </w:tcPr>
          <w:p>
            <w:pPr>
              <w:spacing w:after="0"/>
              <w:rPr>
                <w:sz w:val="20"/>
                <w:szCs w:val="20"/>
                <w:color w:val="auto"/>
              </w:rPr>
            </w:pPr>
          </w:p>
        </w:tc>
        <w:tc>
          <w:tcPr>
            <w:tcW w:w="1500" w:type="dxa"/>
            <w:vAlign w:val="bottom"/>
          </w:tcPr>
          <w:p>
            <w:pPr>
              <w:jc w:val="right"/>
              <w:ind w:right="176"/>
              <w:spacing w:after="0"/>
              <w:rPr>
                <w:sz w:val="20"/>
                <w:szCs w:val="20"/>
                <w:color w:val="auto"/>
              </w:rPr>
            </w:pPr>
            <w:r>
              <w:rPr>
                <w:rFonts w:ascii="Arial" w:cs="Arial" w:eastAsia="Arial" w:hAnsi="Arial"/>
                <w:sz w:val="17"/>
                <w:szCs w:val="17"/>
                <w:color w:val="auto"/>
              </w:rPr>
              <w:t>322,759</w:t>
            </w:r>
          </w:p>
        </w:tc>
        <w:tc>
          <w:tcPr>
            <w:tcW w:w="440" w:type="dxa"/>
            <w:vAlign w:val="bottom"/>
          </w:tcPr>
          <w:p>
            <w:pPr>
              <w:spacing w:after="0"/>
              <w:rPr>
                <w:sz w:val="20"/>
                <w:szCs w:val="20"/>
                <w:color w:val="auto"/>
              </w:rPr>
            </w:pPr>
          </w:p>
        </w:tc>
        <w:tc>
          <w:tcPr>
            <w:tcW w:w="1280" w:type="dxa"/>
            <w:vAlign w:val="bottom"/>
          </w:tcPr>
          <w:p>
            <w:pPr>
              <w:jc w:val="right"/>
              <w:ind w:right="176"/>
              <w:spacing w:after="0"/>
              <w:rPr>
                <w:sz w:val="20"/>
                <w:szCs w:val="20"/>
                <w:color w:val="auto"/>
              </w:rPr>
            </w:pPr>
            <w:r>
              <w:rPr>
                <w:rFonts w:ascii="Arial" w:cs="Arial" w:eastAsia="Arial" w:hAnsi="Arial"/>
                <w:sz w:val="17"/>
                <w:szCs w:val="17"/>
                <w:color w:val="auto"/>
              </w:rPr>
              <w:t>354,371</w:t>
            </w:r>
          </w:p>
        </w:tc>
        <w:tc>
          <w:tcPr>
            <w:tcW w:w="440" w:type="dxa"/>
            <w:vAlign w:val="bottom"/>
          </w:tcPr>
          <w:p>
            <w:pPr>
              <w:spacing w:after="0"/>
              <w:rPr>
                <w:sz w:val="20"/>
                <w:szCs w:val="20"/>
                <w:color w:val="auto"/>
              </w:rPr>
            </w:pPr>
          </w:p>
        </w:tc>
        <w:tc>
          <w:tcPr>
            <w:tcW w:w="1240" w:type="dxa"/>
            <w:vAlign w:val="bottom"/>
          </w:tcPr>
          <w:p>
            <w:pPr>
              <w:jc w:val="right"/>
              <w:ind w:right="115"/>
              <w:spacing w:after="0"/>
              <w:rPr>
                <w:sz w:val="20"/>
                <w:szCs w:val="20"/>
                <w:color w:val="auto"/>
              </w:rPr>
            </w:pPr>
            <w:r>
              <w:rPr>
                <w:rFonts w:ascii="Arial" w:cs="Arial" w:eastAsia="Arial" w:hAnsi="Arial"/>
                <w:sz w:val="17"/>
                <w:szCs w:val="17"/>
                <w:color w:val="auto"/>
              </w:rPr>
              <w:t>322,759</w:t>
            </w:r>
          </w:p>
        </w:tc>
      </w:tr>
      <w:tr>
        <w:trPr>
          <w:trHeight w:val="252"/>
        </w:trPr>
        <w:tc>
          <w:tcPr>
            <w:tcW w:w="4420" w:type="dxa"/>
            <w:vAlign w:val="bottom"/>
            <w:shd w:val="clear" w:color="auto" w:fill="DBDBDB"/>
          </w:tcPr>
          <w:p>
            <w:pPr>
              <w:ind w:left="220"/>
              <w:spacing w:after="0"/>
              <w:rPr>
                <w:sz w:val="20"/>
                <w:szCs w:val="20"/>
                <w:color w:val="auto"/>
              </w:rPr>
            </w:pPr>
            <w:r>
              <w:rPr>
                <w:rFonts w:ascii="Arial" w:cs="Arial" w:eastAsia="Arial" w:hAnsi="Arial"/>
                <w:sz w:val="17"/>
                <w:szCs w:val="17"/>
                <w:color w:val="auto"/>
              </w:rPr>
              <w:t>Renters</w:t>
            </w:r>
          </w:p>
        </w:tc>
        <w:tc>
          <w:tcPr>
            <w:tcW w:w="380" w:type="dxa"/>
            <w:vAlign w:val="bottom"/>
            <w:shd w:val="clear" w:color="auto" w:fill="DBDBDB"/>
          </w:tcPr>
          <w:p>
            <w:pPr>
              <w:spacing w:after="0"/>
              <w:rPr>
                <w:sz w:val="21"/>
                <w:szCs w:val="21"/>
                <w:color w:val="auto"/>
              </w:rPr>
            </w:pPr>
          </w:p>
        </w:tc>
        <w:tc>
          <w:tcPr>
            <w:tcW w:w="1300" w:type="dxa"/>
            <w:vAlign w:val="bottom"/>
            <w:shd w:val="clear" w:color="auto" w:fill="DBDBDB"/>
          </w:tcPr>
          <w:p>
            <w:pPr>
              <w:jc w:val="right"/>
              <w:ind w:right="156"/>
              <w:spacing w:after="0"/>
              <w:rPr>
                <w:sz w:val="20"/>
                <w:szCs w:val="20"/>
                <w:color w:val="auto"/>
              </w:rPr>
            </w:pPr>
            <w:r>
              <w:rPr>
                <w:rFonts w:ascii="Arial" w:cs="Arial" w:eastAsia="Arial" w:hAnsi="Arial"/>
                <w:sz w:val="17"/>
                <w:szCs w:val="17"/>
                <w:color w:val="auto"/>
              </w:rPr>
              <w:t>8,802</w:t>
            </w:r>
          </w:p>
        </w:tc>
        <w:tc>
          <w:tcPr>
            <w:tcW w:w="240" w:type="dxa"/>
            <w:vAlign w:val="bottom"/>
            <w:shd w:val="clear" w:color="auto" w:fill="DBDBDB"/>
          </w:tcPr>
          <w:p>
            <w:pPr>
              <w:spacing w:after="0"/>
              <w:rPr>
                <w:sz w:val="21"/>
                <w:szCs w:val="21"/>
                <w:color w:val="auto"/>
              </w:rPr>
            </w:pPr>
          </w:p>
        </w:tc>
        <w:tc>
          <w:tcPr>
            <w:tcW w:w="1500" w:type="dxa"/>
            <w:vAlign w:val="bottom"/>
            <w:shd w:val="clear" w:color="auto" w:fill="DBDBDB"/>
          </w:tcPr>
          <w:p>
            <w:pPr>
              <w:jc w:val="right"/>
              <w:ind w:right="176"/>
              <w:spacing w:after="0"/>
              <w:rPr>
                <w:sz w:val="20"/>
                <w:szCs w:val="20"/>
                <w:color w:val="auto"/>
              </w:rPr>
            </w:pPr>
            <w:r>
              <w:rPr>
                <w:rFonts w:ascii="Arial" w:cs="Arial" w:eastAsia="Arial" w:hAnsi="Arial"/>
                <w:sz w:val="17"/>
                <w:szCs w:val="17"/>
                <w:color w:val="auto"/>
              </w:rPr>
              <w:t>7,739</w:t>
            </w:r>
          </w:p>
        </w:tc>
        <w:tc>
          <w:tcPr>
            <w:tcW w:w="440" w:type="dxa"/>
            <w:vAlign w:val="bottom"/>
            <w:shd w:val="clear" w:color="auto" w:fill="DBDBDB"/>
          </w:tcPr>
          <w:p>
            <w:pPr>
              <w:spacing w:after="0"/>
              <w:rPr>
                <w:sz w:val="21"/>
                <w:szCs w:val="21"/>
                <w:color w:val="auto"/>
              </w:rPr>
            </w:pPr>
          </w:p>
        </w:tc>
        <w:tc>
          <w:tcPr>
            <w:tcW w:w="1280" w:type="dxa"/>
            <w:vAlign w:val="bottom"/>
            <w:shd w:val="clear" w:color="auto" w:fill="DBDBDB"/>
          </w:tcPr>
          <w:p>
            <w:pPr>
              <w:jc w:val="right"/>
              <w:ind w:right="176"/>
              <w:spacing w:after="0"/>
              <w:rPr>
                <w:sz w:val="20"/>
                <w:szCs w:val="20"/>
                <w:color w:val="auto"/>
              </w:rPr>
            </w:pPr>
            <w:r>
              <w:rPr>
                <w:rFonts w:ascii="Arial" w:cs="Arial" w:eastAsia="Arial" w:hAnsi="Arial"/>
                <w:sz w:val="17"/>
                <w:szCs w:val="17"/>
                <w:color w:val="auto"/>
              </w:rPr>
              <w:t>8,802</w:t>
            </w:r>
          </w:p>
        </w:tc>
        <w:tc>
          <w:tcPr>
            <w:tcW w:w="440" w:type="dxa"/>
            <w:vAlign w:val="bottom"/>
            <w:shd w:val="clear" w:color="auto" w:fill="DBDBDB"/>
          </w:tcPr>
          <w:p>
            <w:pPr>
              <w:spacing w:after="0"/>
              <w:rPr>
                <w:sz w:val="21"/>
                <w:szCs w:val="21"/>
                <w:color w:val="auto"/>
              </w:rPr>
            </w:pPr>
          </w:p>
        </w:tc>
        <w:tc>
          <w:tcPr>
            <w:tcW w:w="1240" w:type="dxa"/>
            <w:vAlign w:val="bottom"/>
            <w:shd w:val="clear" w:color="auto" w:fill="DBDBDB"/>
          </w:tcPr>
          <w:p>
            <w:pPr>
              <w:jc w:val="right"/>
              <w:ind w:right="115"/>
              <w:spacing w:after="0"/>
              <w:rPr>
                <w:sz w:val="20"/>
                <w:szCs w:val="20"/>
                <w:color w:val="auto"/>
              </w:rPr>
            </w:pPr>
            <w:r>
              <w:rPr>
                <w:rFonts w:ascii="Arial" w:cs="Arial" w:eastAsia="Arial" w:hAnsi="Arial"/>
                <w:sz w:val="17"/>
                <w:szCs w:val="17"/>
                <w:color w:val="auto"/>
              </w:rPr>
              <w:t>7,739</w:t>
            </w:r>
          </w:p>
        </w:tc>
      </w:tr>
      <w:tr>
        <w:trPr>
          <w:trHeight w:val="238"/>
        </w:trPr>
        <w:tc>
          <w:tcPr>
            <w:tcW w:w="4420" w:type="dxa"/>
            <w:vAlign w:val="bottom"/>
          </w:tcPr>
          <w:p>
            <w:pPr>
              <w:ind w:left="20"/>
              <w:spacing w:after="0"/>
              <w:rPr>
                <w:sz w:val="20"/>
                <w:szCs w:val="20"/>
                <w:color w:val="auto"/>
              </w:rPr>
            </w:pPr>
            <w:r>
              <w:rPr>
                <w:rFonts w:ascii="Arial" w:cs="Arial" w:eastAsia="Arial" w:hAnsi="Arial"/>
                <w:sz w:val="17"/>
                <w:szCs w:val="17"/>
                <w:color w:val="auto"/>
              </w:rPr>
              <w:t>Premiums per policy</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2"/>
        </w:trPr>
        <w:tc>
          <w:tcPr>
            <w:tcW w:w="4420" w:type="dxa"/>
            <w:vAlign w:val="bottom"/>
            <w:shd w:val="clear" w:color="auto" w:fill="DBDBDB"/>
          </w:tcPr>
          <w:p>
            <w:pPr>
              <w:ind w:left="220"/>
              <w:spacing w:after="0"/>
              <w:rPr>
                <w:sz w:val="20"/>
                <w:szCs w:val="20"/>
                <w:color w:val="auto"/>
              </w:rPr>
            </w:pPr>
            <w:r>
              <w:rPr>
                <w:rFonts w:ascii="Arial" w:cs="Arial" w:eastAsia="Arial" w:hAnsi="Arial"/>
                <w:sz w:val="17"/>
                <w:szCs w:val="17"/>
                <w:color w:val="auto"/>
              </w:rPr>
              <w:t>Auto</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DBDBDB"/>
          </w:tcPr>
          <w:p>
            <w:pPr>
              <w:jc w:val="right"/>
              <w:ind w:right="156"/>
              <w:spacing w:after="0"/>
              <w:rPr>
                <w:sz w:val="20"/>
                <w:szCs w:val="20"/>
                <w:color w:val="auto"/>
              </w:rPr>
            </w:pPr>
            <w:r>
              <w:rPr>
                <w:rFonts w:ascii="Arial" w:cs="Arial" w:eastAsia="Arial" w:hAnsi="Arial"/>
                <w:sz w:val="17"/>
                <w:szCs w:val="17"/>
                <w:color w:val="auto"/>
              </w:rPr>
              <w:t>1,006</w:t>
            </w:r>
          </w:p>
        </w:tc>
        <w:tc>
          <w:tcPr>
            <w:tcW w:w="2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DBDBDB"/>
          </w:tcPr>
          <w:p>
            <w:pPr>
              <w:jc w:val="right"/>
              <w:ind w:right="176"/>
              <w:spacing w:after="0"/>
              <w:rPr>
                <w:sz w:val="20"/>
                <w:szCs w:val="20"/>
                <w:color w:val="auto"/>
              </w:rPr>
            </w:pPr>
            <w:r>
              <w:rPr>
                <w:rFonts w:ascii="Arial" w:cs="Arial" w:eastAsia="Arial" w:hAnsi="Arial"/>
                <w:sz w:val="17"/>
                <w:szCs w:val="17"/>
                <w:color w:val="auto"/>
              </w:rPr>
              <w:t>939</w:t>
            </w:r>
          </w:p>
        </w:tc>
        <w:tc>
          <w:tcPr>
            <w:tcW w:w="440" w:type="dxa"/>
            <w:vAlign w:val="bottom"/>
            <w:shd w:val="clear" w:color="auto" w:fill="DBDBDB"/>
          </w:tcPr>
          <w:p>
            <w:pPr>
              <w:jc w:val="right"/>
              <w:ind w:right="214"/>
              <w:spacing w:after="0"/>
              <w:rPr>
                <w:sz w:val="20"/>
                <w:szCs w:val="20"/>
                <w:color w:val="auto"/>
              </w:rPr>
            </w:pPr>
            <w:r>
              <w:rPr>
                <w:rFonts w:ascii="Arial" w:cs="Arial" w:eastAsia="Arial" w:hAnsi="Arial"/>
                <w:sz w:val="17"/>
                <w:szCs w:val="17"/>
                <w:color w:val="auto"/>
              </w:rPr>
              <w:t>$</w:t>
            </w:r>
          </w:p>
        </w:tc>
        <w:tc>
          <w:tcPr>
            <w:tcW w:w="1280" w:type="dxa"/>
            <w:vAlign w:val="bottom"/>
            <w:shd w:val="clear" w:color="auto" w:fill="DBDBDB"/>
          </w:tcPr>
          <w:p>
            <w:pPr>
              <w:jc w:val="right"/>
              <w:ind w:right="176"/>
              <w:spacing w:after="0"/>
              <w:rPr>
                <w:sz w:val="20"/>
                <w:szCs w:val="20"/>
                <w:color w:val="auto"/>
              </w:rPr>
            </w:pPr>
            <w:r>
              <w:rPr>
                <w:rFonts w:ascii="Arial" w:cs="Arial" w:eastAsia="Arial" w:hAnsi="Arial"/>
                <w:sz w:val="17"/>
                <w:szCs w:val="17"/>
                <w:color w:val="auto"/>
              </w:rPr>
              <w:t>1,006</w:t>
            </w:r>
          </w:p>
        </w:tc>
        <w:tc>
          <w:tcPr>
            <w:tcW w:w="440" w:type="dxa"/>
            <w:vAlign w:val="bottom"/>
            <w:shd w:val="clear" w:color="auto" w:fill="DBDBDB"/>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shd w:val="clear" w:color="auto" w:fill="DBDBDB"/>
          </w:tcPr>
          <w:p>
            <w:pPr>
              <w:jc w:val="right"/>
              <w:ind w:right="115"/>
              <w:spacing w:after="0"/>
              <w:rPr>
                <w:sz w:val="20"/>
                <w:szCs w:val="20"/>
                <w:color w:val="auto"/>
              </w:rPr>
            </w:pPr>
            <w:r>
              <w:rPr>
                <w:rFonts w:ascii="Arial" w:cs="Arial" w:eastAsia="Arial" w:hAnsi="Arial"/>
                <w:sz w:val="17"/>
                <w:szCs w:val="17"/>
                <w:color w:val="auto"/>
              </w:rPr>
              <w:t>939</w:t>
            </w:r>
          </w:p>
        </w:tc>
      </w:tr>
      <w:tr>
        <w:trPr>
          <w:trHeight w:val="238"/>
        </w:trPr>
        <w:tc>
          <w:tcPr>
            <w:tcW w:w="4420" w:type="dxa"/>
            <w:vAlign w:val="bottom"/>
          </w:tcPr>
          <w:p>
            <w:pPr>
              <w:ind w:left="220"/>
              <w:spacing w:after="0"/>
              <w:rPr>
                <w:sz w:val="20"/>
                <w:szCs w:val="20"/>
                <w:color w:val="auto"/>
              </w:rPr>
            </w:pPr>
            <w:r>
              <w:rPr>
                <w:rFonts w:ascii="Arial" w:cs="Arial" w:eastAsia="Arial" w:hAnsi="Arial"/>
                <w:sz w:val="17"/>
                <w:szCs w:val="17"/>
                <w:color w:val="auto"/>
              </w:rPr>
              <w:t>Renters</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56"/>
              <w:spacing w:after="0"/>
              <w:rPr>
                <w:sz w:val="20"/>
                <w:szCs w:val="20"/>
                <w:color w:val="auto"/>
              </w:rPr>
            </w:pPr>
            <w:r>
              <w:rPr>
                <w:rFonts w:ascii="Arial" w:cs="Arial" w:eastAsia="Arial" w:hAnsi="Arial"/>
                <w:sz w:val="17"/>
                <w:szCs w:val="17"/>
                <w:color w:val="auto"/>
              </w:rPr>
              <w:t>140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176"/>
              <w:spacing w:after="0"/>
              <w:rPr>
                <w:sz w:val="20"/>
                <w:szCs w:val="20"/>
                <w:color w:val="auto"/>
              </w:rPr>
            </w:pPr>
            <w:r>
              <w:rPr>
                <w:rFonts w:ascii="Arial" w:cs="Arial" w:eastAsia="Arial" w:hAnsi="Arial"/>
                <w:sz w:val="17"/>
                <w:szCs w:val="17"/>
                <w:color w:val="auto"/>
              </w:rPr>
              <w:t>140</w:t>
            </w:r>
          </w:p>
        </w:tc>
        <w:tc>
          <w:tcPr>
            <w:tcW w:w="44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76"/>
              <w:spacing w:after="0"/>
              <w:rPr>
                <w:sz w:val="20"/>
                <w:szCs w:val="20"/>
                <w:color w:val="auto"/>
              </w:rPr>
            </w:pPr>
            <w:r>
              <w:rPr>
                <w:rFonts w:ascii="Arial" w:cs="Arial" w:eastAsia="Arial" w:hAnsi="Arial"/>
                <w:sz w:val="17"/>
                <w:szCs w:val="17"/>
                <w:color w:val="auto"/>
              </w:rPr>
              <w:t>140</w:t>
            </w:r>
          </w:p>
        </w:tc>
        <w:tc>
          <w:tcPr>
            <w:tcW w:w="44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15"/>
              <w:spacing w:after="0"/>
              <w:rPr>
                <w:sz w:val="20"/>
                <w:szCs w:val="20"/>
                <w:color w:val="auto"/>
              </w:rPr>
            </w:pPr>
            <w:r>
              <w:rPr>
                <w:rFonts w:ascii="Arial" w:cs="Arial" w:eastAsia="Arial" w:hAnsi="Arial"/>
                <w:sz w:val="17"/>
                <w:szCs w:val="17"/>
                <w:color w:val="auto"/>
              </w:rPr>
              <w:t>140</w:t>
            </w:r>
          </w:p>
        </w:tc>
      </w:tr>
      <w:tr>
        <w:trPr>
          <w:trHeight w:val="252"/>
        </w:trPr>
        <w:tc>
          <w:tcPr>
            <w:tcW w:w="4420" w:type="dxa"/>
            <w:vAlign w:val="bottom"/>
            <w:shd w:val="clear" w:color="auto" w:fill="DBDBDB"/>
          </w:tcPr>
          <w:p>
            <w:pPr>
              <w:ind w:left="20"/>
              <w:spacing w:after="0"/>
              <w:rPr>
                <w:sz w:val="20"/>
                <w:szCs w:val="20"/>
                <w:color w:val="auto"/>
              </w:rPr>
            </w:pPr>
            <w:r>
              <w:rPr>
                <w:rFonts w:ascii="Arial" w:cs="Arial" w:eastAsia="Arial" w:hAnsi="Arial"/>
                <w:sz w:val="17"/>
                <w:szCs w:val="17"/>
                <w:color w:val="auto"/>
              </w:rPr>
              <w:t>Premiums in force</w:t>
            </w:r>
          </w:p>
        </w:tc>
        <w:tc>
          <w:tcPr>
            <w:tcW w:w="380" w:type="dxa"/>
            <w:vAlign w:val="bottom"/>
            <w:shd w:val="clear" w:color="auto" w:fill="DBDBDB"/>
          </w:tcPr>
          <w:p>
            <w:pPr>
              <w:spacing w:after="0"/>
              <w:rPr>
                <w:sz w:val="21"/>
                <w:szCs w:val="21"/>
                <w:color w:val="auto"/>
              </w:rPr>
            </w:pPr>
          </w:p>
        </w:tc>
        <w:tc>
          <w:tcPr>
            <w:tcW w:w="13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50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1240" w:type="dxa"/>
            <w:vAlign w:val="bottom"/>
            <w:shd w:val="clear" w:color="auto" w:fill="DBDBDB"/>
          </w:tcPr>
          <w:p>
            <w:pPr>
              <w:spacing w:after="0"/>
              <w:rPr>
                <w:sz w:val="21"/>
                <w:szCs w:val="21"/>
                <w:color w:val="auto"/>
              </w:rPr>
            </w:pPr>
          </w:p>
        </w:tc>
      </w:tr>
      <w:tr>
        <w:trPr>
          <w:trHeight w:val="238"/>
        </w:trPr>
        <w:tc>
          <w:tcPr>
            <w:tcW w:w="4420" w:type="dxa"/>
            <w:vAlign w:val="bottom"/>
          </w:tcPr>
          <w:p>
            <w:pPr>
              <w:ind w:left="220"/>
              <w:spacing w:after="0"/>
              <w:rPr>
                <w:sz w:val="20"/>
                <w:szCs w:val="20"/>
                <w:color w:val="auto"/>
              </w:rPr>
            </w:pPr>
            <w:r>
              <w:rPr>
                <w:rFonts w:ascii="Arial" w:cs="Arial" w:eastAsia="Arial" w:hAnsi="Arial"/>
                <w:sz w:val="17"/>
                <w:szCs w:val="17"/>
                <w:color w:val="auto"/>
              </w:rPr>
              <w:t>Auto</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56"/>
              <w:spacing w:after="0"/>
              <w:rPr>
                <w:sz w:val="20"/>
                <w:szCs w:val="20"/>
                <w:color w:val="auto"/>
              </w:rPr>
            </w:pPr>
            <w:r>
              <w:rPr>
                <w:rFonts w:ascii="Arial" w:cs="Arial" w:eastAsia="Arial" w:hAnsi="Arial"/>
                <w:sz w:val="17"/>
                <w:szCs w:val="17"/>
                <w:color w:val="auto"/>
              </w:rPr>
              <w:t>713.0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176"/>
              <w:spacing w:after="0"/>
              <w:rPr>
                <w:sz w:val="20"/>
                <w:szCs w:val="20"/>
                <w:color w:val="auto"/>
              </w:rPr>
            </w:pPr>
            <w:r>
              <w:rPr>
                <w:rFonts w:ascii="Arial" w:cs="Arial" w:eastAsia="Arial" w:hAnsi="Arial"/>
                <w:sz w:val="17"/>
                <w:szCs w:val="17"/>
                <w:color w:val="auto"/>
              </w:rPr>
              <w:t>606.1</w:t>
            </w:r>
          </w:p>
        </w:tc>
        <w:tc>
          <w:tcPr>
            <w:tcW w:w="44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76"/>
              <w:spacing w:after="0"/>
              <w:rPr>
                <w:sz w:val="20"/>
                <w:szCs w:val="20"/>
                <w:color w:val="auto"/>
              </w:rPr>
            </w:pPr>
            <w:r>
              <w:rPr>
                <w:rFonts w:ascii="Arial" w:cs="Arial" w:eastAsia="Arial" w:hAnsi="Arial"/>
                <w:sz w:val="17"/>
                <w:szCs w:val="17"/>
                <w:color w:val="auto"/>
              </w:rPr>
              <w:t>713.0</w:t>
            </w:r>
          </w:p>
        </w:tc>
        <w:tc>
          <w:tcPr>
            <w:tcW w:w="44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15"/>
              <w:spacing w:after="0"/>
              <w:rPr>
                <w:sz w:val="20"/>
                <w:szCs w:val="20"/>
                <w:color w:val="auto"/>
              </w:rPr>
            </w:pPr>
            <w:r>
              <w:rPr>
                <w:rFonts w:ascii="Arial" w:cs="Arial" w:eastAsia="Arial" w:hAnsi="Arial"/>
                <w:sz w:val="17"/>
                <w:szCs w:val="17"/>
                <w:color w:val="auto"/>
              </w:rPr>
              <w:t>606.1</w:t>
            </w:r>
          </w:p>
        </w:tc>
      </w:tr>
      <w:tr>
        <w:trPr>
          <w:trHeight w:val="252"/>
        </w:trPr>
        <w:tc>
          <w:tcPr>
            <w:tcW w:w="4420" w:type="dxa"/>
            <w:vAlign w:val="bottom"/>
            <w:shd w:val="clear" w:color="auto" w:fill="DBDBDB"/>
          </w:tcPr>
          <w:p>
            <w:pPr>
              <w:ind w:left="220"/>
              <w:spacing w:after="0"/>
              <w:rPr>
                <w:sz w:val="20"/>
                <w:szCs w:val="20"/>
                <w:color w:val="auto"/>
              </w:rPr>
            </w:pPr>
            <w:r>
              <w:rPr>
                <w:rFonts w:ascii="Arial" w:cs="Arial" w:eastAsia="Arial" w:hAnsi="Arial"/>
                <w:sz w:val="17"/>
                <w:szCs w:val="17"/>
                <w:color w:val="auto"/>
              </w:rPr>
              <w:t>Renters</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DBDBDB"/>
          </w:tcPr>
          <w:p>
            <w:pPr>
              <w:jc w:val="right"/>
              <w:ind w:right="156"/>
              <w:spacing w:after="0"/>
              <w:rPr>
                <w:sz w:val="20"/>
                <w:szCs w:val="20"/>
                <w:color w:val="auto"/>
              </w:rPr>
            </w:pPr>
            <w:r>
              <w:rPr>
                <w:rFonts w:ascii="Arial" w:cs="Arial" w:eastAsia="Arial" w:hAnsi="Arial"/>
                <w:sz w:val="17"/>
                <w:szCs w:val="17"/>
                <w:color w:val="auto"/>
              </w:rPr>
              <w:t>1.2</w:t>
            </w:r>
          </w:p>
        </w:tc>
        <w:tc>
          <w:tcPr>
            <w:tcW w:w="2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DBDBDB"/>
          </w:tcPr>
          <w:p>
            <w:pPr>
              <w:jc w:val="right"/>
              <w:ind w:right="176"/>
              <w:spacing w:after="0"/>
              <w:rPr>
                <w:sz w:val="20"/>
                <w:szCs w:val="20"/>
                <w:color w:val="auto"/>
              </w:rPr>
            </w:pPr>
            <w:r>
              <w:rPr>
                <w:rFonts w:ascii="Arial" w:cs="Arial" w:eastAsia="Arial" w:hAnsi="Arial"/>
                <w:sz w:val="17"/>
                <w:szCs w:val="17"/>
                <w:color w:val="auto"/>
              </w:rPr>
              <w:t>1.1</w:t>
            </w:r>
          </w:p>
        </w:tc>
        <w:tc>
          <w:tcPr>
            <w:tcW w:w="440" w:type="dxa"/>
            <w:vAlign w:val="bottom"/>
            <w:shd w:val="clear" w:color="auto" w:fill="DBDBDB"/>
          </w:tcPr>
          <w:p>
            <w:pPr>
              <w:jc w:val="right"/>
              <w:ind w:right="214"/>
              <w:spacing w:after="0"/>
              <w:rPr>
                <w:sz w:val="20"/>
                <w:szCs w:val="20"/>
                <w:color w:val="auto"/>
              </w:rPr>
            </w:pPr>
            <w:r>
              <w:rPr>
                <w:rFonts w:ascii="Arial" w:cs="Arial" w:eastAsia="Arial" w:hAnsi="Arial"/>
                <w:sz w:val="17"/>
                <w:szCs w:val="17"/>
                <w:color w:val="auto"/>
              </w:rPr>
              <w:t>$</w:t>
            </w:r>
          </w:p>
        </w:tc>
        <w:tc>
          <w:tcPr>
            <w:tcW w:w="1280" w:type="dxa"/>
            <w:vAlign w:val="bottom"/>
            <w:shd w:val="clear" w:color="auto" w:fill="DBDBDB"/>
          </w:tcPr>
          <w:p>
            <w:pPr>
              <w:jc w:val="right"/>
              <w:ind w:right="176"/>
              <w:spacing w:after="0"/>
              <w:rPr>
                <w:sz w:val="20"/>
                <w:szCs w:val="20"/>
                <w:color w:val="auto"/>
              </w:rPr>
            </w:pPr>
            <w:r>
              <w:rPr>
                <w:rFonts w:ascii="Arial" w:cs="Arial" w:eastAsia="Arial" w:hAnsi="Arial"/>
                <w:sz w:val="17"/>
                <w:szCs w:val="17"/>
                <w:color w:val="auto"/>
              </w:rPr>
              <w:t>1.2</w:t>
            </w:r>
          </w:p>
        </w:tc>
        <w:tc>
          <w:tcPr>
            <w:tcW w:w="440" w:type="dxa"/>
            <w:vAlign w:val="bottom"/>
            <w:shd w:val="clear" w:color="auto" w:fill="DBDBDB"/>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shd w:val="clear" w:color="auto" w:fill="DBDBDB"/>
          </w:tcPr>
          <w:p>
            <w:pPr>
              <w:jc w:val="right"/>
              <w:ind w:right="115"/>
              <w:spacing w:after="0"/>
              <w:rPr>
                <w:sz w:val="20"/>
                <w:szCs w:val="20"/>
                <w:color w:val="auto"/>
              </w:rPr>
            </w:pPr>
            <w:r>
              <w:rPr>
                <w:rFonts w:ascii="Arial" w:cs="Arial" w:eastAsia="Arial" w:hAnsi="Arial"/>
                <w:sz w:val="17"/>
                <w:szCs w:val="17"/>
                <w:color w:val="auto"/>
              </w:rPr>
              <w:t>1.1</w:t>
            </w:r>
          </w:p>
        </w:tc>
      </w:tr>
      <w:tr>
        <w:trPr>
          <w:trHeight w:val="245"/>
        </w:trPr>
        <w:tc>
          <w:tcPr>
            <w:tcW w:w="4420" w:type="dxa"/>
            <w:vAlign w:val="bottom"/>
          </w:tcPr>
          <w:p>
            <w:pPr>
              <w:ind w:left="20"/>
              <w:spacing w:after="0" w:line="245" w:lineRule="exact"/>
              <w:rPr>
                <w:sz w:val="20"/>
                <w:szCs w:val="20"/>
                <w:color w:val="auto"/>
              </w:rPr>
            </w:pPr>
            <w:r>
              <w:rPr>
                <w:rFonts w:ascii="Arial" w:cs="Arial" w:eastAsia="Arial" w:hAnsi="Arial"/>
                <w:sz w:val="17"/>
                <w:szCs w:val="17"/>
                <w:color w:val="auto"/>
              </w:rPr>
              <w:t>Gross written premium</w:t>
            </w:r>
            <w:r>
              <w:rPr>
                <w:rFonts w:ascii="Arial" w:cs="Arial" w:eastAsia="Arial" w:hAnsi="Arial"/>
                <w:sz w:val="22"/>
                <w:szCs w:val="22"/>
                <w:color w:val="auto"/>
                <w:vertAlign w:val="superscript"/>
              </w:rPr>
              <w:t>(1)</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56"/>
              <w:spacing w:after="0"/>
              <w:rPr>
                <w:sz w:val="20"/>
                <w:szCs w:val="20"/>
                <w:color w:val="auto"/>
              </w:rPr>
            </w:pPr>
            <w:r>
              <w:rPr>
                <w:rFonts w:ascii="Arial" w:cs="Arial" w:eastAsia="Arial" w:hAnsi="Arial"/>
                <w:sz w:val="17"/>
                <w:szCs w:val="17"/>
                <w:color w:val="auto"/>
              </w:rPr>
              <w:t>158.4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176"/>
              <w:spacing w:after="0"/>
              <w:rPr>
                <w:sz w:val="20"/>
                <w:szCs w:val="20"/>
                <w:color w:val="auto"/>
              </w:rPr>
            </w:pPr>
            <w:r>
              <w:rPr>
                <w:rFonts w:ascii="Arial" w:cs="Arial" w:eastAsia="Arial" w:hAnsi="Arial"/>
                <w:sz w:val="17"/>
                <w:szCs w:val="17"/>
                <w:color w:val="auto"/>
              </w:rPr>
              <w:t>145.7</w:t>
            </w:r>
          </w:p>
        </w:tc>
        <w:tc>
          <w:tcPr>
            <w:tcW w:w="44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76"/>
              <w:spacing w:after="0"/>
              <w:rPr>
                <w:sz w:val="20"/>
                <w:szCs w:val="20"/>
                <w:color w:val="auto"/>
              </w:rPr>
            </w:pPr>
            <w:r>
              <w:rPr>
                <w:rFonts w:ascii="Arial" w:cs="Arial" w:eastAsia="Arial" w:hAnsi="Arial"/>
                <w:sz w:val="17"/>
                <w:szCs w:val="17"/>
                <w:color w:val="auto"/>
              </w:rPr>
              <w:t>742.6</w:t>
            </w:r>
          </w:p>
        </w:tc>
        <w:tc>
          <w:tcPr>
            <w:tcW w:w="44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15"/>
              <w:spacing w:after="0"/>
              <w:rPr>
                <w:sz w:val="20"/>
                <w:szCs w:val="20"/>
                <w:color w:val="auto"/>
              </w:rPr>
            </w:pPr>
            <w:r>
              <w:rPr>
                <w:rFonts w:ascii="Arial" w:cs="Arial" w:eastAsia="Arial" w:hAnsi="Arial"/>
                <w:sz w:val="17"/>
                <w:szCs w:val="17"/>
                <w:color w:val="auto"/>
              </w:rPr>
              <w:t>616.8</w:t>
            </w:r>
          </w:p>
        </w:tc>
      </w:tr>
      <w:tr>
        <w:trPr>
          <w:trHeight w:val="245"/>
        </w:trPr>
        <w:tc>
          <w:tcPr>
            <w:tcW w:w="4420" w:type="dxa"/>
            <w:vAlign w:val="bottom"/>
            <w:shd w:val="clear" w:color="auto" w:fill="DBDBDB"/>
          </w:tcPr>
          <w:p>
            <w:pPr>
              <w:ind w:left="20"/>
              <w:spacing w:after="0" w:line="245" w:lineRule="exact"/>
              <w:rPr>
                <w:sz w:val="20"/>
                <w:szCs w:val="20"/>
                <w:color w:val="auto"/>
              </w:rPr>
            </w:pPr>
            <w:r>
              <w:rPr>
                <w:rFonts w:ascii="Arial" w:cs="Arial" w:eastAsia="Arial" w:hAnsi="Arial"/>
                <w:sz w:val="17"/>
                <w:szCs w:val="17"/>
                <w:color w:val="auto"/>
              </w:rPr>
              <w:t>Gross earned premium</w:t>
            </w:r>
            <w:r>
              <w:rPr>
                <w:rFonts w:ascii="Arial" w:cs="Arial" w:eastAsia="Arial" w:hAnsi="Arial"/>
                <w:sz w:val="22"/>
                <w:szCs w:val="22"/>
                <w:color w:val="auto"/>
                <w:vertAlign w:val="superscript"/>
              </w:rPr>
              <w:t>(1)</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DBDBDB"/>
          </w:tcPr>
          <w:p>
            <w:pPr>
              <w:jc w:val="right"/>
              <w:ind w:right="156"/>
              <w:spacing w:after="0"/>
              <w:rPr>
                <w:sz w:val="20"/>
                <w:szCs w:val="20"/>
                <w:color w:val="auto"/>
              </w:rPr>
            </w:pPr>
            <w:r>
              <w:rPr>
                <w:rFonts w:ascii="Arial" w:cs="Arial" w:eastAsia="Arial" w:hAnsi="Arial"/>
                <w:sz w:val="17"/>
                <w:szCs w:val="17"/>
                <w:color w:val="auto"/>
              </w:rPr>
              <w:t>189.3</w:t>
            </w:r>
          </w:p>
        </w:tc>
        <w:tc>
          <w:tcPr>
            <w:tcW w:w="2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DBDBDB"/>
          </w:tcPr>
          <w:p>
            <w:pPr>
              <w:jc w:val="right"/>
              <w:ind w:right="176"/>
              <w:spacing w:after="0"/>
              <w:rPr>
                <w:sz w:val="20"/>
                <w:szCs w:val="20"/>
                <w:color w:val="auto"/>
              </w:rPr>
            </w:pPr>
            <w:r>
              <w:rPr>
                <w:rFonts w:ascii="Arial" w:cs="Arial" w:eastAsia="Arial" w:hAnsi="Arial"/>
                <w:sz w:val="17"/>
                <w:szCs w:val="17"/>
                <w:color w:val="auto"/>
              </w:rPr>
              <w:t>155.0</w:t>
            </w:r>
          </w:p>
        </w:tc>
        <w:tc>
          <w:tcPr>
            <w:tcW w:w="440" w:type="dxa"/>
            <w:vAlign w:val="bottom"/>
            <w:shd w:val="clear" w:color="auto" w:fill="DBDBDB"/>
          </w:tcPr>
          <w:p>
            <w:pPr>
              <w:jc w:val="right"/>
              <w:ind w:right="214"/>
              <w:spacing w:after="0"/>
              <w:rPr>
                <w:sz w:val="20"/>
                <w:szCs w:val="20"/>
                <w:color w:val="auto"/>
              </w:rPr>
            </w:pPr>
            <w:r>
              <w:rPr>
                <w:rFonts w:ascii="Arial" w:cs="Arial" w:eastAsia="Arial" w:hAnsi="Arial"/>
                <w:sz w:val="17"/>
                <w:szCs w:val="17"/>
                <w:color w:val="auto"/>
              </w:rPr>
              <w:t>$</w:t>
            </w:r>
          </w:p>
        </w:tc>
        <w:tc>
          <w:tcPr>
            <w:tcW w:w="1280" w:type="dxa"/>
            <w:vAlign w:val="bottom"/>
            <w:shd w:val="clear" w:color="auto" w:fill="DBDBDB"/>
          </w:tcPr>
          <w:p>
            <w:pPr>
              <w:jc w:val="right"/>
              <w:ind w:right="176"/>
              <w:spacing w:after="0"/>
              <w:rPr>
                <w:sz w:val="20"/>
                <w:szCs w:val="20"/>
                <w:color w:val="auto"/>
              </w:rPr>
            </w:pPr>
            <w:r>
              <w:rPr>
                <w:rFonts w:ascii="Arial" w:cs="Arial" w:eastAsia="Arial" w:hAnsi="Arial"/>
                <w:sz w:val="17"/>
                <w:szCs w:val="17"/>
                <w:color w:val="auto"/>
              </w:rPr>
              <w:t>719.6</w:t>
            </w:r>
          </w:p>
        </w:tc>
        <w:tc>
          <w:tcPr>
            <w:tcW w:w="440" w:type="dxa"/>
            <w:vAlign w:val="bottom"/>
            <w:shd w:val="clear" w:color="auto" w:fill="DBDBDB"/>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shd w:val="clear" w:color="auto" w:fill="DBDBDB"/>
          </w:tcPr>
          <w:p>
            <w:pPr>
              <w:jc w:val="right"/>
              <w:ind w:right="115"/>
              <w:spacing w:after="0"/>
              <w:rPr>
                <w:sz w:val="20"/>
                <w:szCs w:val="20"/>
                <w:color w:val="auto"/>
              </w:rPr>
            </w:pPr>
            <w:r>
              <w:rPr>
                <w:rFonts w:ascii="Arial" w:cs="Arial" w:eastAsia="Arial" w:hAnsi="Arial"/>
                <w:sz w:val="17"/>
                <w:szCs w:val="17"/>
                <w:color w:val="auto"/>
              </w:rPr>
              <w:t>605.2</w:t>
            </w:r>
          </w:p>
        </w:tc>
      </w:tr>
      <w:tr>
        <w:trPr>
          <w:trHeight w:val="238"/>
        </w:trPr>
        <w:tc>
          <w:tcPr>
            <w:tcW w:w="4420" w:type="dxa"/>
            <w:vAlign w:val="bottom"/>
          </w:tcPr>
          <w:p>
            <w:pPr>
              <w:ind w:left="20"/>
              <w:spacing w:after="0"/>
              <w:rPr>
                <w:sz w:val="20"/>
                <w:szCs w:val="20"/>
                <w:color w:val="auto"/>
              </w:rPr>
            </w:pPr>
            <w:r>
              <w:rPr>
                <w:rFonts w:ascii="Arial" w:cs="Arial" w:eastAsia="Arial" w:hAnsi="Arial"/>
                <w:sz w:val="17"/>
                <w:szCs w:val="17"/>
                <w:color w:val="auto"/>
              </w:rPr>
              <w:t>Gross profit/(loss)</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16"/>
              <w:spacing w:after="0"/>
              <w:rPr>
                <w:sz w:val="20"/>
                <w:szCs w:val="20"/>
                <w:color w:val="auto"/>
              </w:rPr>
            </w:pPr>
            <w:r>
              <w:rPr>
                <w:rFonts w:ascii="Arial" w:cs="Arial" w:eastAsia="Arial" w:hAnsi="Arial"/>
                <w:sz w:val="17"/>
                <w:szCs w:val="17"/>
                <w:color w:val="auto"/>
              </w:rPr>
              <w:t>(23.2)</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136"/>
              <w:spacing w:after="0"/>
              <w:rPr>
                <w:sz w:val="20"/>
                <w:szCs w:val="20"/>
                <w:color w:val="auto"/>
              </w:rPr>
            </w:pPr>
            <w:r>
              <w:rPr>
                <w:rFonts w:ascii="Arial" w:cs="Arial" w:eastAsia="Arial" w:hAnsi="Arial"/>
                <w:sz w:val="17"/>
                <w:szCs w:val="17"/>
                <w:color w:val="auto"/>
              </w:rPr>
              <w:t>(6.5)</w:t>
            </w:r>
          </w:p>
        </w:tc>
        <w:tc>
          <w:tcPr>
            <w:tcW w:w="44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16"/>
              <w:spacing w:after="0"/>
              <w:rPr>
                <w:sz w:val="20"/>
                <w:szCs w:val="20"/>
                <w:color w:val="auto"/>
              </w:rPr>
            </w:pPr>
            <w:r>
              <w:rPr>
                <w:rFonts w:ascii="Arial" w:cs="Arial" w:eastAsia="Arial" w:hAnsi="Arial"/>
                <w:sz w:val="17"/>
                <w:szCs w:val="17"/>
                <w:color w:val="auto"/>
              </w:rPr>
              <w:t>(51.9)</w:t>
            </w:r>
          </w:p>
        </w:tc>
        <w:tc>
          <w:tcPr>
            <w:tcW w:w="44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(14.2)</w:t>
            </w:r>
          </w:p>
        </w:tc>
      </w:tr>
      <w:tr>
        <w:trPr>
          <w:trHeight w:val="252"/>
        </w:trPr>
        <w:tc>
          <w:tcPr>
            <w:tcW w:w="4420" w:type="dxa"/>
            <w:vAlign w:val="bottom"/>
            <w:shd w:val="clear" w:color="auto" w:fill="DBDBDB"/>
          </w:tcPr>
          <w:p>
            <w:pPr>
              <w:ind w:left="20"/>
              <w:spacing w:after="0"/>
              <w:rPr>
                <w:sz w:val="20"/>
                <w:szCs w:val="20"/>
                <w:color w:val="auto"/>
              </w:rPr>
            </w:pPr>
            <w:r>
              <w:rPr>
                <w:rFonts w:ascii="Arial" w:cs="Arial" w:eastAsia="Arial" w:hAnsi="Arial"/>
                <w:sz w:val="17"/>
                <w:szCs w:val="17"/>
                <w:color w:val="auto"/>
              </w:rPr>
              <w:t>Gross margin</w:t>
            </w:r>
          </w:p>
        </w:tc>
        <w:tc>
          <w:tcPr>
            <w:tcW w:w="380" w:type="dxa"/>
            <w:vAlign w:val="bottom"/>
            <w:shd w:val="clear" w:color="auto" w:fill="DBDBDB"/>
          </w:tcPr>
          <w:p>
            <w:pPr>
              <w:spacing w:after="0"/>
              <w:rPr>
                <w:sz w:val="21"/>
                <w:szCs w:val="21"/>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(24.9)%</w:t>
            </w:r>
          </w:p>
        </w:tc>
        <w:tc>
          <w:tcPr>
            <w:tcW w:w="24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(12.8)%</w:t>
            </w:r>
          </w:p>
        </w:tc>
        <w:tc>
          <w:tcPr>
            <w:tcW w:w="4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(15.0)%</w:t>
            </w:r>
          </w:p>
        </w:tc>
        <w:tc>
          <w:tcPr>
            <w:tcW w:w="44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(4.1)%</w:t>
            </w:r>
          </w:p>
        </w:tc>
      </w:tr>
      <w:tr>
        <w:trPr>
          <w:trHeight w:val="238"/>
        </w:trPr>
        <w:tc>
          <w:tcPr>
            <w:tcW w:w="4420" w:type="dxa"/>
            <w:vAlign w:val="bottom"/>
          </w:tcPr>
          <w:p>
            <w:pPr>
              <w:ind w:left="20"/>
              <w:spacing w:after="0"/>
              <w:rPr>
                <w:sz w:val="20"/>
                <w:szCs w:val="20"/>
                <w:color w:val="auto"/>
              </w:rPr>
            </w:pPr>
            <w:r>
              <w:rPr>
                <w:rFonts w:ascii="Arial" w:cs="Arial" w:eastAsia="Arial" w:hAnsi="Arial"/>
                <w:sz w:val="17"/>
                <w:szCs w:val="17"/>
                <w:color w:val="auto"/>
              </w:rPr>
              <w:t>Adjusted gross profit/(loss)</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16"/>
              <w:spacing w:after="0"/>
              <w:rPr>
                <w:sz w:val="20"/>
                <w:szCs w:val="20"/>
                <w:color w:val="auto"/>
              </w:rPr>
            </w:pPr>
            <w:r>
              <w:rPr>
                <w:rFonts w:ascii="Arial" w:cs="Arial" w:eastAsia="Arial" w:hAnsi="Arial"/>
                <w:sz w:val="17"/>
                <w:szCs w:val="17"/>
                <w:color w:val="auto"/>
              </w:rPr>
              <w:t>(13.8)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176"/>
              <w:spacing w:after="0"/>
              <w:rPr>
                <w:sz w:val="20"/>
                <w:szCs w:val="20"/>
                <w:color w:val="auto"/>
              </w:rPr>
            </w:pPr>
            <w:r>
              <w:rPr>
                <w:rFonts w:ascii="Arial" w:cs="Arial" w:eastAsia="Arial" w:hAnsi="Arial"/>
                <w:sz w:val="17"/>
                <w:szCs w:val="17"/>
                <w:color w:val="auto"/>
              </w:rPr>
              <w:t>3.9</w:t>
            </w:r>
          </w:p>
        </w:tc>
        <w:tc>
          <w:tcPr>
            <w:tcW w:w="44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36"/>
              <w:spacing w:after="0"/>
              <w:rPr>
                <w:sz w:val="20"/>
                <w:szCs w:val="20"/>
                <w:color w:val="auto"/>
              </w:rPr>
            </w:pPr>
            <w:r>
              <w:rPr>
                <w:rFonts w:ascii="Arial" w:cs="Arial" w:eastAsia="Arial" w:hAnsi="Arial"/>
                <w:sz w:val="17"/>
                <w:szCs w:val="17"/>
                <w:color w:val="auto"/>
              </w:rPr>
              <w:t>(3.3)</w:t>
            </w:r>
          </w:p>
        </w:tc>
        <w:tc>
          <w:tcPr>
            <w:tcW w:w="44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15"/>
              <w:spacing w:after="0"/>
              <w:rPr>
                <w:sz w:val="20"/>
                <w:szCs w:val="20"/>
                <w:color w:val="auto"/>
              </w:rPr>
            </w:pPr>
            <w:r>
              <w:rPr>
                <w:rFonts w:ascii="Arial" w:cs="Arial" w:eastAsia="Arial" w:hAnsi="Arial"/>
                <w:sz w:val="17"/>
                <w:szCs w:val="17"/>
                <w:color w:val="auto"/>
              </w:rPr>
              <w:t>21.0</w:t>
            </w:r>
          </w:p>
        </w:tc>
      </w:tr>
      <w:tr>
        <w:trPr>
          <w:trHeight w:val="252"/>
        </w:trPr>
        <w:tc>
          <w:tcPr>
            <w:tcW w:w="4420" w:type="dxa"/>
            <w:vAlign w:val="bottom"/>
            <w:shd w:val="clear" w:color="auto" w:fill="DBDBDB"/>
          </w:tcPr>
          <w:p>
            <w:pPr>
              <w:ind w:left="20"/>
              <w:spacing w:after="0"/>
              <w:rPr>
                <w:sz w:val="20"/>
                <w:szCs w:val="20"/>
                <w:color w:val="auto"/>
              </w:rPr>
            </w:pPr>
            <w:r>
              <w:rPr>
                <w:rFonts w:ascii="Arial" w:cs="Arial" w:eastAsia="Arial" w:hAnsi="Arial"/>
                <w:sz w:val="17"/>
                <w:szCs w:val="17"/>
                <w:color w:val="auto"/>
              </w:rPr>
              <w:t>Direct contribution</w:t>
            </w:r>
          </w:p>
        </w:tc>
        <w:tc>
          <w:tcPr>
            <w:tcW w:w="380" w:type="dxa"/>
            <w:vAlign w:val="bottom"/>
            <w:shd w:val="clear" w:color="auto" w:fill="DBDBDB"/>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DBDBDB"/>
          </w:tcPr>
          <w:p>
            <w:pPr>
              <w:jc w:val="right"/>
              <w:ind w:right="116"/>
              <w:spacing w:after="0"/>
              <w:rPr>
                <w:sz w:val="20"/>
                <w:szCs w:val="20"/>
                <w:color w:val="auto"/>
              </w:rPr>
            </w:pPr>
            <w:r>
              <w:rPr>
                <w:rFonts w:ascii="Arial" w:cs="Arial" w:eastAsia="Arial" w:hAnsi="Arial"/>
                <w:sz w:val="17"/>
                <w:szCs w:val="17"/>
                <w:color w:val="auto"/>
              </w:rPr>
              <w:t>(4.2)</w:t>
            </w:r>
          </w:p>
        </w:tc>
        <w:tc>
          <w:tcPr>
            <w:tcW w:w="2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DBDBDB"/>
          </w:tcPr>
          <w:p>
            <w:pPr>
              <w:jc w:val="right"/>
              <w:ind w:right="176"/>
              <w:spacing w:after="0"/>
              <w:rPr>
                <w:sz w:val="20"/>
                <w:szCs w:val="20"/>
                <w:color w:val="auto"/>
              </w:rPr>
            </w:pPr>
            <w:r>
              <w:rPr>
                <w:rFonts w:ascii="Arial" w:cs="Arial" w:eastAsia="Arial" w:hAnsi="Arial"/>
                <w:sz w:val="17"/>
                <w:szCs w:val="17"/>
                <w:color w:val="auto"/>
              </w:rPr>
              <w:t>13.5</w:t>
            </w:r>
          </w:p>
        </w:tc>
        <w:tc>
          <w:tcPr>
            <w:tcW w:w="440" w:type="dxa"/>
            <w:vAlign w:val="bottom"/>
            <w:shd w:val="clear" w:color="auto" w:fill="DBDBDB"/>
          </w:tcPr>
          <w:p>
            <w:pPr>
              <w:jc w:val="right"/>
              <w:ind w:right="214"/>
              <w:spacing w:after="0"/>
              <w:rPr>
                <w:sz w:val="20"/>
                <w:szCs w:val="20"/>
                <w:color w:val="auto"/>
              </w:rPr>
            </w:pPr>
            <w:r>
              <w:rPr>
                <w:rFonts w:ascii="Arial" w:cs="Arial" w:eastAsia="Arial" w:hAnsi="Arial"/>
                <w:sz w:val="17"/>
                <w:szCs w:val="17"/>
                <w:color w:val="auto"/>
              </w:rPr>
              <w:t>$</w:t>
            </w:r>
          </w:p>
        </w:tc>
        <w:tc>
          <w:tcPr>
            <w:tcW w:w="1280" w:type="dxa"/>
            <w:vAlign w:val="bottom"/>
            <w:shd w:val="clear" w:color="auto" w:fill="DBDBDB"/>
          </w:tcPr>
          <w:p>
            <w:pPr>
              <w:jc w:val="right"/>
              <w:ind w:right="176"/>
              <w:spacing w:after="0"/>
              <w:rPr>
                <w:sz w:val="20"/>
                <w:szCs w:val="20"/>
                <w:color w:val="auto"/>
              </w:rPr>
            </w:pPr>
            <w:r>
              <w:rPr>
                <w:rFonts w:ascii="Arial" w:cs="Arial" w:eastAsia="Arial" w:hAnsi="Arial"/>
                <w:sz w:val="17"/>
                <w:szCs w:val="17"/>
                <w:color w:val="auto"/>
              </w:rPr>
              <w:t>8.1</w:t>
            </w:r>
          </w:p>
        </w:tc>
        <w:tc>
          <w:tcPr>
            <w:tcW w:w="440" w:type="dxa"/>
            <w:vAlign w:val="bottom"/>
            <w:shd w:val="clear" w:color="auto" w:fill="DBDBDB"/>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shd w:val="clear" w:color="auto" w:fill="DBDBDB"/>
          </w:tcPr>
          <w:p>
            <w:pPr>
              <w:jc w:val="right"/>
              <w:ind w:right="115"/>
              <w:spacing w:after="0"/>
              <w:rPr>
                <w:sz w:val="20"/>
                <w:szCs w:val="20"/>
                <w:color w:val="auto"/>
              </w:rPr>
            </w:pPr>
            <w:r>
              <w:rPr>
                <w:rFonts w:ascii="Arial" w:cs="Arial" w:eastAsia="Arial" w:hAnsi="Arial"/>
                <w:sz w:val="17"/>
                <w:szCs w:val="17"/>
                <w:color w:val="auto"/>
              </w:rPr>
              <w:t>18.9</w:t>
            </w:r>
          </w:p>
        </w:tc>
      </w:tr>
      <w:tr>
        <w:trPr>
          <w:trHeight w:val="238"/>
        </w:trPr>
        <w:tc>
          <w:tcPr>
            <w:tcW w:w="4420" w:type="dxa"/>
            <w:vAlign w:val="bottom"/>
          </w:tcPr>
          <w:p>
            <w:pPr>
              <w:ind w:left="20"/>
              <w:spacing w:after="0"/>
              <w:rPr>
                <w:sz w:val="20"/>
                <w:szCs w:val="20"/>
                <w:color w:val="auto"/>
              </w:rPr>
            </w:pPr>
            <w:r>
              <w:rPr>
                <w:rFonts w:ascii="Arial" w:cs="Arial" w:eastAsia="Arial" w:hAnsi="Arial"/>
                <w:sz w:val="17"/>
                <w:szCs w:val="17"/>
                <w:color w:val="auto"/>
              </w:rPr>
              <w:t>Ratio of adjusted gross profit/(loss) to total revenue</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(14.8)%</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7.7 %</w:t>
            </w:r>
          </w:p>
        </w:tc>
        <w:tc>
          <w:tcPr>
            <w:tcW w:w="4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w:t>
            </w: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6.1 %</w:t>
            </w:r>
          </w:p>
        </w:tc>
      </w:tr>
      <w:tr>
        <w:trPr>
          <w:trHeight w:val="252"/>
        </w:trPr>
        <w:tc>
          <w:tcPr>
            <w:tcW w:w="4420" w:type="dxa"/>
            <w:vAlign w:val="bottom"/>
            <w:shd w:val="clear" w:color="auto" w:fill="DBDBDB"/>
          </w:tcPr>
          <w:p>
            <w:pPr>
              <w:ind w:left="20"/>
              <w:spacing w:after="0"/>
              <w:rPr>
                <w:sz w:val="20"/>
                <w:szCs w:val="20"/>
                <w:color w:val="auto"/>
              </w:rPr>
            </w:pPr>
            <w:r>
              <w:rPr>
                <w:rFonts w:ascii="Arial" w:cs="Arial" w:eastAsia="Arial" w:hAnsi="Arial"/>
                <w:sz w:val="17"/>
                <w:szCs w:val="17"/>
                <w:color w:val="auto"/>
                <w:w w:val="95"/>
              </w:rPr>
              <w:t>Ratio of adjusted gross profit/(loss) to gross earned premium</w:t>
            </w:r>
          </w:p>
        </w:tc>
        <w:tc>
          <w:tcPr>
            <w:tcW w:w="380" w:type="dxa"/>
            <w:vAlign w:val="bottom"/>
            <w:shd w:val="clear" w:color="auto" w:fill="DBDBDB"/>
          </w:tcPr>
          <w:p>
            <w:pPr>
              <w:spacing w:after="0"/>
              <w:rPr>
                <w:sz w:val="21"/>
                <w:szCs w:val="21"/>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(7.3)%</w:t>
            </w:r>
          </w:p>
        </w:tc>
        <w:tc>
          <w:tcPr>
            <w:tcW w:w="24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2.5 %</w:t>
            </w:r>
          </w:p>
        </w:tc>
        <w:tc>
          <w:tcPr>
            <w:tcW w:w="4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(0.5)%</w:t>
            </w:r>
          </w:p>
        </w:tc>
        <w:tc>
          <w:tcPr>
            <w:tcW w:w="44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3.5 %</w:t>
            </w:r>
          </w:p>
        </w:tc>
      </w:tr>
      <w:tr>
        <w:trPr>
          <w:trHeight w:val="238"/>
        </w:trPr>
        <w:tc>
          <w:tcPr>
            <w:tcW w:w="4420" w:type="dxa"/>
            <w:vAlign w:val="bottom"/>
          </w:tcPr>
          <w:p>
            <w:pPr>
              <w:ind w:left="20"/>
              <w:spacing w:after="0"/>
              <w:rPr>
                <w:sz w:val="20"/>
                <w:szCs w:val="20"/>
                <w:color w:val="auto"/>
              </w:rPr>
            </w:pPr>
            <w:r>
              <w:rPr>
                <w:rFonts w:ascii="Arial" w:cs="Arial" w:eastAsia="Arial" w:hAnsi="Arial"/>
                <w:sz w:val="17"/>
                <w:szCs w:val="17"/>
                <w:color w:val="auto"/>
              </w:rPr>
              <w:t>Ratio of direct contribution to total revenue</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(4.5)%</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26.5 %</w:t>
            </w:r>
          </w:p>
        </w:tc>
        <w:tc>
          <w:tcPr>
            <w:tcW w:w="4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2.3 %</w:t>
            </w: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5.4 %</w:t>
            </w:r>
          </w:p>
        </w:tc>
      </w:tr>
      <w:tr>
        <w:trPr>
          <w:trHeight w:val="252"/>
        </w:trPr>
        <w:tc>
          <w:tcPr>
            <w:tcW w:w="4420" w:type="dxa"/>
            <w:vAlign w:val="bottom"/>
            <w:shd w:val="clear" w:color="auto" w:fill="DBDBDB"/>
          </w:tcPr>
          <w:p>
            <w:pPr>
              <w:ind w:left="20"/>
              <w:spacing w:after="0"/>
              <w:rPr>
                <w:sz w:val="20"/>
                <w:szCs w:val="20"/>
                <w:color w:val="auto"/>
              </w:rPr>
            </w:pPr>
            <w:r>
              <w:rPr>
                <w:rFonts w:ascii="Arial" w:cs="Arial" w:eastAsia="Arial" w:hAnsi="Arial"/>
                <w:sz w:val="17"/>
                <w:szCs w:val="17"/>
                <w:color w:val="auto"/>
              </w:rPr>
              <w:t>Ratio of direct contribution to gross earned premium</w:t>
            </w:r>
          </w:p>
        </w:tc>
        <w:tc>
          <w:tcPr>
            <w:tcW w:w="380" w:type="dxa"/>
            <w:vAlign w:val="bottom"/>
            <w:shd w:val="clear" w:color="auto" w:fill="DBDBDB"/>
          </w:tcPr>
          <w:p>
            <w:pPr>
              <w:spacing w:after="0"/>
              <w:rPr>
                <w:sz w:val="21"/>
                <w:szCs w:val="21"/>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(2.2)%</w:t>
            </w:r>
          </w:p>
        </w:tc>
        <w:tc>
          <w:tcPr>
            <w:tcW w:w="24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8.7 %</w:t>
            </w:r>
          </w:p>
        </w:tc>
        <w:tc>
          <w:tcPr>
            <w:tcW w:w="4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1.1 %</w:t>
            </w:r>
          </w:p>
        </w:tc>
        <w:tc>
          <w:tcPr>
            <w:tcW w:w="44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3.1 %</w:t>
            </w:r>
          </w:p>
        </w:tc>
      </w:tr>
      <w:tr>
        <w:trPr>
          <w:trHeight w:val="238"/>
        </w:trPr>
        <w:tc>
          <w:tcPr>
            <w:tcW w:w="4420" w:type="dxa"/>
            <w:vAlign w:val="bottom"/>
          </w:tcPr>
          <w:p>
            <w:pPr>
              <w:ind w:left="20"/>
              <w:spacing w:after="0"/>
              <w:rPr>
                <w:sz w:val="20"/>
                <w:szCs w:val="20"/>
                <w:color w:val="auto"/>
              </w:rPr>
            </w:pPr>
            <w:r>
              <w:rPr>
                <w:rFonts w:ascii="Arial" w:cs="Arial" w:eastAsia="Arial" w:hAnsi="Arial"/>
                <w:sz w:val="17"/>
                <w:szCs w:val="17"/>
                <w:color w:val="auto"/>
              </w:rPr>
              <w:t>Gross loss ratio</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88.5 %</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75.8 %</w:t>
            </w:r>
          </w:p>
        </w:tc>
        <w:tc>
          <w:tcPr>
            <w:tcW w:w="4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86.0 %</w:t>
            </w: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82.0 %</w:t>
            </w:r>
          </w:p>
        </w:tc>
      </w:tr>
      <w:tr>
        <w:trPr>
          <w:trHeight w:val="252"/>
        </w:trPr>
        <w:tc>
          <w:tcPr>
            <w:tcW w:w="4420" w:type="dxa"/>
            <w:vAlign w:val="bottom"/>
            <w:shd w:val="clear" w:color="auto" w:fill="DBDBDB"/>
          </w:tcPr>
          <w:p>
            <w:pPr>
              <w:ind w:left="20"/>
              <w:spacing w:after="0"/>
              <w:rPr>
                <w:sz w:val="20"/>
                <w:szCs w:val="20"/>
                <w:color w:val="auto"/>
              </w:rPr>
            </w:pPr>
            <w:r>
              <w:rPr>
                <w:rFonts w:ascii="Arial" w:cs="Arial" w:eastAsia="Arial" w:hAnsi="Arial"/>
                <w:sz w:val="17"/>
                <w:szCs w:val="17"/>
                <w:color w:val="auto"/>
              </w:rPr>
              <w:t>Gross LAE ratio</w:t>
            </w:r>
          </w:p>
        </w:tc>
        <w:tc>
          <w:tcPr>
            <w:tcW w:w="380" w:type="dxa"/>
            <w:vAlign w:val="bottom"/>
            <w:shd w:val="clear" w:color="auto" w:fill="DBDBDB"/>
          </w:tcPr>
          <w:p>
            <w:pPr>
              <w:spacing w:after="0"/>
              <w:rPr>
                <w:sz w:val="21"/>
                <w:szCs w:val="21"/>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11.0 %</w:t>
            </w:r>
          </w:p>
        </w:tc>
        <w:tc>
          <w:tcPr>
            <w:tcW w:w="24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11.1 %</w:t>
            </w:r>
          </w:p>
        </w:tc>
        <w:tc>
          <w:tcPr>
            <w:tcW w:w="4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10.5 %</w:t>
            </w:r>
          </w:p>
        </w:tc>
        <w:tc>
          <w:tcPr>
            <w:tcW w:w="44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10.1 %</w:t>
            </w:r>
          </w:p>
        </w:tc>
      </w:tr>
      <w:tr>
        <w:trPr>
          <w:trHeight w:val="230"/>
        </w:trPr>
        <w:tc>
          <w:tcPr>
            <w:tcW w:w="4420" w:type="dxa"/>
            <w:vAlign w:val="bottom"/>
          </w:tcPr>
          <w:p>
            <w:pPr>
              <w:ind w:left="20"/>
              <w:spacing w:after="0"/>
              <w:rPr>
                <w:sz w:val="20"/>
                <w:szCs w:val="20"/>
                <w:color w:val="auto"/>
              </w:rPr>
            </w:pPr>
            <w:r>
              <w:rPr>
                <w:rFonts w:ascii="Arial" w:cs="Arial" w:eastAsia="Arial" w:hAnsi="Arial"/>
                <w:sz w:val="17"/>
                <w:szCs w:val="17"/>
                <w:color w:val="auto"/>
              </w:rPr>
              <w:t>Gross accident period loss ratio</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90.7 %</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81.5 %</w:t>
            </w:r>
          </w:p>
        </w:tc>
        <w:tc>
          <w:tcPr>
            <w:tcW w:w="4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87.9 %</w:t>
            </w: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76.2 %</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21"/>
          <w:szCs w:val="21"/>
          <w:color w:val="auto"/>
        </w:rPr>
        <w:t>_____________</w:t>
      </w:r>
    </w:p>
    <w:p>
      <w:pPr>
        <w:spacing w:after="0" w:line="30" w:lineRule="exact"/>
        <w:rPr>
          <w:sz w:val="20"/>
          <w:szCs w:val="20"/>
          <w:color w:val="auto"/>
        </w:rPr>
      </w:pPr>
    </w:p>
    <w:p>
      <w:pPr>
        <w:ind w:left="320" w:right="120" w:hanging="317"/>
        <w:spacing w:after="0"/>
        <w:tabs>
          <w:tab w:leader="none" w:pos="205"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premiums assumed from the fronting carrier that commenced in August 2021. Assumed written premiums and assumed earned premium for the three months ended December 31, 2021 were $9.1 million and $6.3 million, respectively. Assumed written premium and assumed earned premium for the year ended December 31, 2021 were $16.7 million and $7.3 million, respectively. Prior to the fronting carrier commencement, we did not assume any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753110</wp:posOffset>
            </wp:positionV>
            <wp:extent cx="671195" cy="212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11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640"/>
        <w:spacing w:after="0"/>
        <w:rPr>
          <w:sz w:val="20"/>
          <w:szCs w:val="20"/>
          <w:color w:val="auto"/>
        </w:rPr>
      </w:pPr>
      <w:r>
        <w:rPr>
          <w:rFonts w:ascii="Arial" w:cs="Arial" w:eastAsia="Arial" w:hAnsi="Arial"/>
          <w:sz w:val="17"/>
          <w:szCs w:val="17"/>
          <w:color w:val="929292"/>
        </w:rPr>
        <w:t>17</w:t>
      </w:r>
    </w:p>
    <w:p>
      <w:pPr>
        <w:sectPr>
          <w:pgSz w:w="11900" w:h="16838" w:orient="portrait"/>
          <w:cols w:equalWidth="0" w:num="1">
            <w:col w:w="11340"/>
          </w:cols>
          <w:pgMar w:left="320" w:top="344" w:right="239" w:bottom="1440" w:gutter="0" w:footer="0" w:header="0"/>
        </w:sectPr>
      </w:pPr>
    </w:p>
    <w:bookmarkStart w:id="20" w:name="page21"/>
    <w:bookmarkEnd w:id="20"/>
    <w:p>
      <w:pPr>
        <w:spacing w:after="0"/>
        <w:rPr>
          <w:sz w:val="20"/>
          <w:szCs w:val="20"/>
          <w:color w:val="auto"/>
        </w:rPr>
      </w:pPr>
      <w:r>
        <w:rPr>
          <w:rFonts w:ascii="Arial" w:cs="Arial" w:eastAsia="Arial" w:hAnsi="Arial"/>
          <w:sz w:val="19"/>
          <w:szCs w:val="19"/>
          <w:b w:val="1"/>
          <w:bCs w:val="1"/>
          <w:color w:val="242424"/>
        </w:rPr>
        <w:t>Letter to Shareholders: FY 2021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B6B6B6"/>
        </w:rPr>
        <w:t>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ROOT, INC. AND SUBSIDIARIES</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RECONCILIATION OF TOTAL REVENUE TO GROSS PROFIT/(LOSS), ADJUSTED GROSS PROFIT/(LOSS) AND DIRECT CONTRIBUTION -</w:t>
      </w:r>
    </w:p>
    <w:p>
      <w:pPr>
        <w:jc w:val="center"/>
        <w:ind w:right="100"/>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20" w:type="dxa"/>
            <w:vAlign w:val="bottom"/>
            <w:tcBorders>
              <w:top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2920" w:type="dxa"/>
            <w:vAlign w:val="bottom"/>
            <w:tcBorders>
              <w:top w:val="single" w:sz="8" w:color="auto"/>
              <w:bottom w:val="single" w:sz="8" w:color="auto"/>
            </w:tcBorders>
            <w:gridSpan w:val="6"/>
          </w:tcPr>
          <w:p>
            <w:pPr>
              <w:jc w:val="center"/>
              <w:ind w:left="195"/>
              <w:spacing w:after="0"/>
              <w:rPr>
                <w:sz w:val="20"/>
                <w:szCs w:val="20"/>
                <w:color w:val="auto"/>
              </w:rPr>
            </w:pPr>
            <w:r>
              <w:rPr>
                <w:rFonts w:ascii="Arial" w:cs="Arial" w:eastAsia="Arial" w:hAnsi="Arial"/>
                <w:sz w:val="14"/>
                <w:szCs w:val="14"/>
                <w:b w:val="1"/>
                <w:bCs w:val="1"/>
                <w:color w:val="auto"/>
                <w:w w:val="89"/>
              </w:rPr>
              <w:t>Three Months Ended December 31,</w:t>
            </w:r>
          </w:p>
        </w:tc>
        <w:tc>
          <w:tcPr>
            <w:tcW w:w="1240" w:type="dxa"/>
            <w:vAlign w:val="bottom"/>
            <w:tcBorders>
              <w:top w:val="single" w:sz="8" w:color="auto"/>
              <w:bottom w:val="single" w:sz="8" w:color="auto"/>
            </w:tcBorders>
          </w:tcPr>
          <w:p>
            <w:pPr>
              <w:spacing w:after="0"/>
              <w:rPr>
                <w:sz w:val="15"/>
                <w:szCs w:val="15"/>
                <w:color w:val="auto"/>
              </w:rPr>
            </w:pPr>
          </w:p>
        </w:tc>
      </w:tr>
      <w:tr>
        <w:trPr>
          <w:trHeight w:val="193"/>
        </w:trPr>
        <w:tc>
          <w:tcPr>
            <w:tcW w:w="61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r>
      <w:tr>
        <w:trPr>
          <w:trHeight w:val="178"/>
        </w:trPr>
        <w:tc>
          <w:tcPr>
            <w:tcW w:w="6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(dollars in millions)</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20"/>
        </w:trPr>
        <w:tc>
          <w:tcPr>
            <w:tcW w:w="6120" w:type="dxa"/>
            <w:vAlign w:val="bottom"/>
            <w:shd w:val="clear" w:color="auto" w:fill="DBDBDB"/>
          </w:tcPr>
          <w:p>
            <w:pPr>
              <w:ind w:left="20"/>
              <w:spacing w:after="0"/>
              <w:rPr>
                <w:sz w:val="20"/>
                <w:szCs w:val="20"/>
                <w:color w:val="auto"/>
              </w:rPr>
            </w:pPr>
            <w:r>
              <w:rPr>
                <w:rFonts w:ascii="Arial" w:cs="Arial" w:eastAsia="Arial" w:hAnsi="Arial"/>
                <w:sz w:val="17"/>
                <w:szCs w:val="17"/>
                <w:color w:val="auto"/>
              </w:rPr>
              <w:t>Total revenue</w:t>
            </w:r>
          </w:p>
        </w:tc>
        <w:tc>
          <w:tcPr>
            <w:tcW w:w="960" w:type="dxa"/>
            <w:vAlign w:val="bottom"/>
            <w:shd w:val="clear" w:color="auto" w:fill="DBDBDB"/>
          </w:tcPr>
          <w:p>
            <w:pPr>
              <w:jc w:val="right"/>
              <w:ind w:right="778"/>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DBDBDB"/>
          </w:tcPr>
          <w:p>
            <w:pPr>
              <w:jc w:val="right"/>
              <w:ind w:right="115"/>
              <w:spacing w:after="0"/>
              <w:rPr>
                <w:sz w:val="20"/>
                <w:szCs w:val="20"/>
                <w:color w:val="auto"/>
              </w:rPr>
            </w:pPr>
            <w:r>
              <w:rPr>
                <w:rFonts w:ascii="Arial" w:cs="Arial" w:eastAsia="Arial" w:hAnsi="Arial"/>
                <w:sz w:val="17"/>
                <w:szCs w:val="17"/>
                <w:color w:val="auto"/>
              </w:rPr>
              <w:t>93.2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DBDBDB"/>
          </w:tcPr>
          <w:p>
            <w:pPr>
              <w:jc w:val="right"/>
              <w:ind w:right="116"/>
              <w:spacing w:after="0"/>
              <w:rPr>
                <w:sz w:val="20"/>
                <w:szCs w:val="20"/>
                <w:color w:val="auto"/>
              </w:rPr>
            </w:pPr>
            <w:r>
              <w:rPr>
                <w:rFonts w:ascii="Arial" w:cs="Arial" w:eastAsia="Arial" w:hAnsi="Arial"/>
                <w:sz w:val="17"/>
                <w:szCs w:val="17"/>
                <w:color w:val="auto"/>
              </w:rPr>
              <w:t>50.9</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DBDBDB"/>
          </w:tcPr>
          <w:p>
            <w:pPr>
              <w:jc w:val="right"/>
              <w:ind w:right="115"/>
              <w:spacing w:after="0"/>
              <w:rPr>
                <w:sz w:val="20"/>
                <w:szCs w:val="20"/>
                <w:color w:val="auto"/>
              </w:rPr>
            </w:pPr>
            <w:r>
              <w:rPr>
                <w:rFonts w:ascii="Arial" w:cs="Arial" w:eastAsia="Arial" w:hAnsi="Arial"/>
                <w:sz w:val="17"/>
                <w:szCs w:val="17"/>
                <w:color w:val="auto"/>
              </w:rPr>
              <w:t>106.5</w:t>
            </w: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Loss and loss adjustment expenses</w:t>
            </w:r>
          </w:p>
        </w:tc>
        <w:tc>
          <w:tcPr>
            <w:tcW w:w="96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7"/>
                <w:szCs w:val="17"/>
                <w:color w:val="auto"/>
                <w:w w:val="92"/>
              </w:rPr>
              <w:t>(107.8)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76"/>
              <w:spacing w:after="0"/>
              <w:rPr>
                <w:sz w:val="20"/>
                <w:szCs w:val="20"/>
                <w:color w:val="auto"/>
              </w:rPr>
            </w:pPr>
            <w:r>
              <w:rPr>
                <w:rFonts w:ascii="Arial" w:cs="Arial" w:eastAsia="Arial" w:hAnsi="Arial"/>
                <w:sz w:val="17"/>
                <w:szCs w:val="17"/>
                <w:color w:val="auto"/>
              </w:rPr>
              <w:t>(59.5)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(110.9)</w:t>
            </w:r>
          </w:p>
        </w:tc>
      </w:tr>
      <w:tr>
        <w:trPr>
          <w:trHeight w:val="220"/>
        </w:trPr>
        <w:tc>
          <w:tcPr>
            <w:tcW w:w="6120" w:type="dxa"/>
            <w:vAlign w:val="bottom"/>
            <w:shd w:val="clear" w:color="auto" w:fill="DBDBDB"/>
          </w:tcPr>
          <w:p>
            <w:pPr>
              <w:ind w:left="20"/>
              <w:spacing w:after="0"/>
              <w:rPr>
                <w:sz w:val="20"/>
                <w:szCs w:val="20"/>
                <w:color w:val="auto"/>
              </w:rPr>
            </w:pPr>
            <w:r>
              <w:rPr>
                <w:rFonts w:ascii="Arial" w:cs="Arial" w:eastAsia="Arial" w:hAnsi="Arial"/>
                <w:sz w:val="17"/>
                <w:szCs w:val="17"/>
                <w:color w:val="auto"/>
              </w:rPr>
              <w:t>Other insurance (expense) benefit</w:t>
            </w:r>
          </w:p>
        </w:tc>
        <w:tc>
          <w:tcPr>
            <w:tcW w:w="960" w:type="dxa"/>
            <w:vAlign w:val="bottom"/>
            <w:tcBorders>
              <w:bottom w:val="single" w:sz="8" w:color="auto"/>
            </w:tcBorders>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jc w:val="right"/>
              <w:ind w:right="75"/>
              <w:spacing w:after="0"/>
              <w:rPr>
                <w:sz w:val="20"/>
                <w:szCs w:val="20"/>
                <w:color w:val="auto"/>
              </w:rPr>
            </w:pPr>
            <w:r>
              <w:rPr>
                <w:rFonts w:ascii="Arial" w:cs="Arial" w:eastAsia="Arial" w:hAnsi="Arial"/>
                <w:sz w:val="17"/>
                <w:szCs w:val="17"/>
                <w:color w:val="auto"/>
              </w:rPr>
              <w:t>(8.6)</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jc w:val="right"/>
              <w:ind w:right="116"/>
              <w:spacing w:after="0"/>
              <w:rPr>
                <w:sz w:val="20"/>
                <w:szCs w:val="20"/>
                <w:color w:val="auto"/>
              </w:rPr>
            </w:pPr>
            <w:r>
              <w:rPr>
                <w:rFonts w:ascii="Arial" w:cs="Arial" w:eastAsia="Arial" w:hAnsi="Arial"/>
                <w:sz w:val="17"/>
                <w:szCs w:val="17"/>
                <w:color w:val="auto"/>
              </w:rPr>
              <w:t>2.1</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ind w:right="75"/>
              <w:spacing w:after="0"/>
              <w:rPr>
                <w:sz w:val="20"/>
                <w:szCs w:val="20"/>
                <w:color w:val="auto"/>
              </w:rPr>
            </w:pPr>
            <w:r>
              <w:rPr>
                <w:rFonts w:ascii="Arial" w:cs="Arial" w:eastAsia="Arial" w:hAnsi="Arial"/>
                <w:sz w:val="17"/>
                <w:szCs w:val="17"/>
                <w:color w:val="auto"/>
              </w:rPr>
              <w:t>(18.2)</w:t>
            </w:r>
          </w:p>
        </w:tc>
      </w:tr>
      <w:tr>
        <w:trPr>
          <w:trHeight w:val="211"/>
        </w:trPr>
        <w:tc>
          <w:tcPr>
            <w:tcW w:w="6120" w:type="dxa"/>
            <w:vAlign w:val="bottom"/>
          </w:tcPr>
          <w:p>
            <w:pPr>
              <w:ind w:left="20"/>
              <w:spacing w:after="0"/>
              <w:rPr>
                <w:sz w:val="20"/>
                <w:szCs w:val="20"/>
                <w:color w:val="auto"/>
              </w:rPr>
            </w:pPr>
            <w:r>
              <w:rPr>
                <w:rFonts w:ascii="Arial" w:cs="Arial" w:eastAsia="Arial" w:hAnsi="Arial"/>
                <w:sz w:val="17"/>
                <w:szCs w:val="17"/>
                <w:color w:val="auto"/>
              </w:rPr>
              <w:t>Gross profit/(loss)</w:t>
            </w:r>
          </w:p>
        </w:tc>
        <w:tc>
          <w:tcPr>
            <w:tcW w:w="960" w:type="dxa"/>
            <w:vAlign w:val="bottom"/>
          </w:tcPr>
          <w:p>
            <w:pPr>
              <w:jc w:val="right"/>
              <w:ind w:right="778"/>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ind w:right="75"/>
              <w:spacing w:after="0"/>
              <w:rPr>
                <w:sz w:val="20"/>
                <w:szCs w:val="20"/>
                <w:color w:val="auto"/>
              </w:rPr>
            </w:pPr>
            <w:r>
              <w:rPr>
                <w:rFonts w:ascii="Arial" w:cs="Arial" w:eastAsia="Arial" w:hAnsi="Arial"/>
                <w:sz w:val="17"/>
                <w:szCs w:val="17"/>
                <w:color w:val="auto"/>
              </w:rPr>
              <w:t>(23.2)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76"/>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(22.6)</w:t>
            </w:r>
          </w:p>
        </w:tc>
      </w:tr>
      <w:tr>
        <w:trPr>
          <w:trHeight w:val="246"/>
        </w:trPr>
        <w:tc>
          <w:tcPr>
            <w:tcW w:w="6120" w:type="dxa"/>
            <w:vAlign w:val="bottom"/>
            <w:shd w:val="clear" w:color="auto" w:fill="DBDBDB"/>
          </w:tcPr>
          <w:p>
            <w:pPr>
              <w:ind w:left="20"/>
              <w:spacing w:after="0"/>
              <w:rPr>
                <w:sz w:val="20"/>
                <w:szCs w:val="20"/>
                <w:color w:val="auto"/>
              </w:rPr>
            </w:pPr>
            <w:r>
              <w:rPr>
                <w:rFonts w:ascii="Arial" w:cs="Arial" w:eastAsia="Arial" w:hAnsi="Arial"/>
                <w:sz w:val="17"/>
                <w:szCs w:val="17"/>
                <w:color w:val="auto"/>
              </w:rPr>
              <w:t>Gross margin</w:t>
            </w:r>
          </w:p>
        </w:tc>
        <w:tc>
          <w:tcPr>
            <w:tcW w:w="960" w:type="dxa"/>
            <w:vAlign w:val="bottom"/>
            <w:shd w:val="clear" w:color="auto" w:fill="DBDBDB"/>
          </w:tcPr>
          <w:p>
            <w:pPr>
              <w:spacing w:after="0"/>
              <w:rPr>
                <w:sz w:val="21"/>
                <w:szCs w:val="21"/>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(24.9)%</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(12.8)%</w:t>
            </w:r>
          </w:p>
        </w:tc>
        <w:tc>
          <w:tcPr>
            <w:tcW w:w="10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(21.2)%</w:t>
            </w: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Less:</w:t>
            </w: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6120" w:type="dxa"/>
            <w:vAlign w:val="bottom"/>
            <w:shd w:val="clear" w:color="auto" w:fill="DBDBDB"/>
          </w:tcPr>
          <w:p>
            <w:pPr>
              <w:ind w:left="20"/>
              <w:spacing w:after="0"/>
              <w:rPr>
                <w:sz w:val="20"/>
                <w:szCs w:val="20"/>
                <w:color w:val="auto"/>
              </w:rPr>
            </w:pPr>
            <w:r>
              <w:rPr>
                <w:rFonts w:ascii="Arial" w:cs="Arial" w:eastAsia="Arial" w:hAnsi="Arial"/>
                <w:sz w:val="17"/>
                <w:szCs w:val="17"/>
                <w:color w:val="auto"/>
              </w:rPr>
              <w:t>Net investment income</w:t>
            </w:r>
          </w:p>
        </w:tc>
        <w:tc>
          <w:tcPr>
            <w:tcW w:w="960" w:type="dxa"/>
            <w:vAlign w:val="bottom"/>
            <w:shd w:val="clear" w:color="auto" w:fill="DBDBDB"/>
          </w:tcPr>
          <w:p>
            <w:pPr>
              <w:jc w:val="right"/>
              <w:ind w:right="778"/>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DBDBDB"/>
          </w:tcPr>
          <w:p>
            <w:pPr>
              <w:jc w:val="right"/>
              <w:ind w:right="75"/>
              <w:spacing w:after="0"/>
              <w:rPr>
                <w:sz w:val="20"/>
                <w:szCs w:val="20"/>
                <w:color w:val="auto"/>
              </w:rPr>
            </w:pPr>
            <w:r>
              <w:rPr>
                <w:rFonts w:ascii="Arial" w:cs="Arial" w:eastAsia="Arial" w:hAnsi="Arial"/>
                <w:sz w:val="17"/>
                <w:szCs w:val="17"/>
                <w:color w:val="auto"/>
              </w:rPr>
              <w:t>(2.4)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DBDBDB"/>
          </w:tcPr>
          <w:p>
            <w:pPr>
              <w:jc w:val="right"/>
              <w:ind w:right="76"/>
              <w:spacing w:after="0"/>
              <w:rPr>
                <w:sz w:val="20"/>
                <w:szCs w:val="20"/>
                <w:color w:val="auto"/>
              </w:rPr>
            </w:pPr>
            <w:r>
              <w:rPr>
                <w:rFonts w:ascii="Arial" w:cs="Arial" w:eastAsia="Arial" w:hAnsi="Arial"/>
                <w:sz w:val="17"/>
                <w:szCs w:val="17"/>
                <w:color w:val="auto"/>
              </w:rPr>
              <w:t>(1.1)</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DBDBDB"/>
          </w:tcPr>
          <w:p>
            <w:pPr>
              <w:jc w:val="right"/>
              <w:ind w:right="75"/>
              <w:spacing w:after="0"/>
              <w:rPr>
                <w:sz w:val="20"/>
                <w:szCs w:val="20"/>
                <w:color w:val="auto"/>
              </w:rPr>
            </w:pPr>
            <w:r>
              <w:rPr>
                <w:rFonts w:ascii="Arial" w:cs="Arial" w:eastAsia="Arial" w:hAnsi="Arial"/>
                <w:sz w:val="17"/>
                <w:szCs w:val="17"/>
                <w:color w:val="auto"/>
              </w:rPr>
              <w:t>(2.4)</w:t>
            </w: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Net realized gains on investments</w:t>
            </w:r>
          </w:p>
        </w:tc>
        <w:tc>
          <w:tcPr>
            <w:tcW w:w="9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60" w:type="dxa"/>
            <w:vAlign w:val="bottom"/>
          </w:tcPr>
          <w:p>
            <w:pPr>
              <w:jc w:val="right"/>
              <w:ind w:right="76"/>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220"/>
        </w:trPr>
        <w:tc>
          <w:tcPr>
            <w:tcW w:w="6120" w:type="dxa"/>
            <w:vAlign w:val="bottom"/>
            <w:shd w:val="clear" w:color="auto" w:fill="DBDBDB"/>
          </w:tcPr>
          <w:p>
            <w:pPr>
              <w:ind w:left="20"/>
              <w:spacing w:after="0" w:line="220" w:lineRule="exact"/>
              <w:rPr>
                <w:sz w:val="20"/>
                <w:szCs w:val="20"/>
                <w:color w:val="auto"/>
              </w:rPr>
            </w:pPr>
            <w:r>
              <w:rPr>
                <w:rFonts w:ascii="Arial" w:cs="Arial" w:eastAsia="Arial" w:hAnsi="Arial"/>
                <w:sz w:val="17"/>
                <w:szCs w:val="17"/>
                <w:color w:val="auto"/>
              </w:rPr>
              <w:t>Adjustments from other insurance (expense) benefit</w:t>
            </w:r>
            <w:r>
              <w:rPr>
                <w:rFonts w:ascii="Arial" w:cs="Arial" w:eastAsia="Arial" w:hAnsi="Arial"/>
                <w:sz w:val="22"/>
                <w:szCs w:val="22"/>
                <w:color w:val="auto"/>
                <w:vertAlign w:val="superscript"/>
              </w:rPr>
              <w:t>(1)</w:t>
            </w:r>
          </w:p>
        </w:tc>
        <w:tc>
          <w:tcPr>
            <w:tcW w:w="960" w:type="dxa"/>
            <w:vAlign w:val="bottom"/>
            <w:tcBorders>
              <w:bottom w:val="single" w:sz="8" w:color="auto"/>
            </w:tcBorders>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jc w:val="right"/>
              <w:ind w:right="115"/>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jc w:val="right"/>
              <w:ind w:right="116"/>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ind w:right="115"/>
              <w:spacing w:after="0"/>
              <w:rPr>
                <w:sz w:val="20"/>
                <w:szCs w:val="20"/>
                <w:color w:val="auto"/>
              </w:rPr>
            </w:pPr>
            <w:r>
              <w:rPr>
                <w:rFonts w:ascii="Arial" w:cs="Arial" w:eastAsia="Arial" w:hAnsi="Arial"/>
                <w:sz w:val="17"/>
                <w:szCs w:val="17"/>
                <w:color w:val="auto"/>
              </w:rPr>
              <w:t>10.8</w:t>
            </w:r>
          </w:p>
        </w:tc>
      </w:tr>
      <w:tr>
        <w:trPr>
          <w:trHeight w:val="211"/>
        </w:trPr>
        <w:tc>
          <w:tcPr>
            <w:tcW w:w="6120" w:type="dxa"/>
            <w:vAlign w:val="bottom"/>
          </w:tcPr>
          <w:p>
            <w:pPr>
              <w:ind w:left="20"/>
              <w:spacing w:after="0"/>
              <w:rPr>
                <w:sz w:val="20"/>
                <w:szCs w:val="20"/>
                <w:color w:val="auto"/>
              </w:rPr>
            </w:pPr>
            <w:r>
              <w:rPr>
                <w:rFonts w:ascii="Arial" w:cs="Arial" w:eastAsia="Arial" w:hAnsi="Arial"/>
                <w:sz w:val="17"/>
                <w:szCs w:val="17"/>
                <w:color w:val="auto"/>
              </w:rPr>
              <w:t>Adjusted gross profit/(loss)</w:t>
            </w:r>
          </w:p>
        </w:tc>
        <w:tc>
          <w:tcPr>
            <w:tcW w:w="96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16"/>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(14.2)</w:t>
            </w:r>
          </w:p>
        </w:tc>
      </w:tr>
      <w:tr>
        <w:trPr>
          <w:trHeight w:val="220"/>
        </w:trPr>
        <w:tc>
          <w:tcPr>
            <w:tcW w:w="6120" w:type="dxa"/>
            <w:vAlign w:val="bottom"/>
            <w:shd w:val="clear" w:color="auto" w:fill="DBDBDB"/>
          </w:tcPr>
          <w:p>
            <w:pPr>
              <w:ind w:left="20"/>
              <w:spacing w:after="0"/>
              <w:rPr>
                <w:sz w:val="20"/>
                <w:szCs w:val="20"/>
                <w:color w:val="auto"/>
              </w:rPr>
            </w:pPr>
            <w:r>
              <w:rPr>
                <w:rFonts w:ascii="Arial" w:cs="Arial" w:eastAsia="Arial" w:hAnsi="Arial"/>
                <w:sz w:val="17"/>
                <w:szCs w:val="17"/>
                <w:color w:val="auto"/>
              </w:rPr>
              <w:t>Ceded earned premium</w:t>
            </w:r>
          </w:p>
        </w:tc>
        <w:tc>
          <w:tcPr>
            <w:tcW w:w="96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115"/>
              <w:spacing w:after="0"/>
              <w:rPr>
                <w:sz w:val="20"/>
                <w:szCs w:val="20"/>
                <w:color w:val="auto"/>
              </w:rPr>
            </w:pPr>
            <w:r>
              <w:rPr>
                <w:rFonts w:ascii="Arial" w:cs="Arial" w:eastAsia="Arial" w:hAnsi="Arial"/>
                <w:sz w:val="17"/>
                <w:szCs w:val="17"/>
                <w:color w:val="auto"/>
              </w:rPr>
              <w:t>104.4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60" w:type="dxa"/>
            <w:vAlign w:val="bottom"/>
            <w:shd w:val="clear" w:color="auto" w:fill="DBDBDB"/>
          </w:tcPr>
          <w:p>
            <w:pPr>
              <w:jc w:val="right"/>
              <w:ind w:right="116"/>
              <w:spacing w:after="0"/>
              <w:rPr>
                <w:sz w:val="20"/>
                <w:szCs w:val="20"/>
                <w:color w:val="auto"/>
              </w:rPr>
            </w:pPr>
            <w:r>
              <w:rPr>
                <w:rFonts w:ascii="Arial" w:cs="Arial" w:eastAsia="Arial" w:hAnsi="Arial"/>
                <w:sz w:val="17"/>
                <w:szCs w:val="17"/>
                <w:color w:val="auto"/>
              </w:rPr>
              <w:t>110.9</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40" w:type="dxa"/>
            <w:vAlign w:val="bottom"/>
            <w:shd w:val="clear" w:color="auto" w:fill="DBDBDB"/>
          </w:tcPr>
          <w:p>
            <w:pPr>
              <w:jc w:val="right"/>
              <w:ind w:right="115"/>
              <w:spacing w:after="0"/>
              <w:rPr>
                <w:sz w:val="20"/>
                <w:szCs w:val="20"/>
                <w:color w:val="auto"/>
              </w:rPr>
            </w:pPr>
            <w:r>
              <w:rPr>
                <w:rFonts w:ascii="Arial" w:cs="Arial" w:eastAsia="Arial" w:hAnsi="Arial"/>
                <w:sz w:val="17"/>
                <w:szCs w:val="17"/>
                <w:color w:val="auto"/>
              </w:rPr>
              <w:t>18.7</w:t>
            </w: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Ceded loss and loss adjustment expenses</w:t>
            </w:r>
          </w:p>
        </w:tc>
        <w:tc>
          <w:tcPr>
            <w:tcW w:w="96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7"/>
                <w:szCs w:val="17"/>
                <w:color w:val="auto"/>
              </w:rPr>
              <w:t>(80.5)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76"/>
              <w:spacing w:after="0"/>
              <w:rPr>
                <w:sz w:val="20"/>
                <w:szCs w:val="20"/>
                <w:color w:val="auto"/>
              </w:rPr>
            </w:pPr>
            <w:r>
              <w:rPr>
                <w:rFonts w:ascii="Arial" w:cs="Arial" w:eastAsia="Arial" w:hAnsi="Arial"/>
                <w:sz w:val="17"/>
                <w:szCs w:val="17"/>
                <w:color w:val="auto"/>
              </w:rPr>
              <w:t>(75.2)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(15.8)</w:t>
            </w:r>
          </w:p>
        </w:tc>
      </w:tr>
      <w:tr>
        <w:trPr>
          <w:trHeight w:val="220"/>
        </w:trPr>
        <w:tc>
          <w:tcPr>
            <w:tcW w:w="6120" w:type="dxa"/>
            <w:vAlign w:val="bottom"/>
            <w:shd w:val="clear" w:color="auto" w:fill="DBDBDB"/>
          </w:tcPr>
          <w:p>
            <w:pPr>
              <w:ind w:left="20"/>
              <w:spacing w:after="0" w:line="220" w:lineRule="exact"/>
              <w:rPr>
                <w:sz w:val="20"/>
                <w:szCs w:val="20"/>
                <w:color w:val="auto"/>
              </w:rPr>
            </w:pPr>
            <w:r>
              <w:rPr>
                <w:rFonts w:ascii="Arial" w:cs="Arial" w:eastAsia="Arial" w:hAnsi="Arial"/>
                <w:sz w:val="17"/>
                <w:szCs w:val="17"/>
                <w:color w:val="auto"/>
              </w:rPr>
              <w:t>Net ceding commission and other</w:t>
            </w:r>
            <w:r>
              <w:rPr>
                <w:rFonts w:ascii="Arial" w:cs="Arial" w:eastAsia="Arial" w:hAnsi="Arial"/>
                <w:sz w:val="22"/>
                <w:szCs w:val="22"/>
                <w:color w:val="auto"/>
                <w:vertAlign w:val="superscript"/>
              </w:rPr>
              <w:t>(2)</w:t>
            </w:r>
          </w:p>
        </w:tc>
        <w:tc>
          <w:tcPr>
            <w:tcW w:w="960" w:type="dxa"/>
            <w:vAlign w:val="bottom"/>
            <w:tcBorders>
              <w:bottom w:val="single" w:sz="8" w:color="auto"/>
            </w:tcBorders>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jc w:val="right"/>
              <w:ind w:right="75"/>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jc w:val="right"/>
              <w:ind w:right="76"/>
              <w:spacing w:after="0"/>
              <w:rPr>
                <w:sz w:val="20"/>
                <w:szCs w:val="20"/>
                <w:color w:val="auto"/>
              </w:rPr>
            </w:pPr>
            <w:r>
              <w:rPr>
                <w:rFonts w:ascii="Arial" w:cs="Arial" w:eastAsia="Arial" w:hAnsi="Arial"/>
                <w:sz w:val="17"/>
                <w:szCs w:val="17"/>
                <w:color w:val="auto"/>
              </w:rPr>
              <w:t>(26.1)</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ind w:right="75"/>
              <w:spacing w:after="0"/>
              <w:rPr>
                <w:sz w:val="20"/>
                <w:szCs w:val="20"/>
                <w:color w:val="auto"/>
              </w:rPr>
            </w:pPr>
            <w:r>
              <w:rPr>
                <w:rFonts w:ascii="Arial" w:cs="Arial" w:eastAsia="Arial" w:hAnsi="Arial"/>
                <w:sz w:val="17"/>
                <w:szCs w:val="17"/>
                <w:color w:val="auto"/>
              </w:rPr>
              <w:t>(1.5)</w:t>
            </w:r>
          </w:p>
        </w:tc>
      </w:tr>
      <w:tr>
        <w:trPr>
          <w:trHeight w:val="211"/>
        </w:trPr>
        <w:tc>
          <w:tcPr>
            <w:tcW w:w="6120" w:type="dxa"/>
            <w:vAlign w:val="bottom"/>
          </w:tcPr>
          <w:p>
            <w:pPr>
              <w:ind w:left="20"/>
              <w:spacing w:after="0"/>
              <w:rPr>
                <w:sz w:val="20"/>
                <w:szCs w:val="20"/>
                <w:color w:val="auto"/>
              </w:rPr>
            </w:pPr>
            <w:r>
              <w:rPr>
                <w:rFonts w:ascii="Arial" w:cs="Arial" w:eastAsia="Arial" w:hAnsi="Arial"/>
                <w:sz w:val="17"/>
                <w:szCs w:val="17"/>
                <w:color w:val="auto"/>
              </w:rPr>
              <w:t>Direct contribution</w:t>
            </w:r>
          </w:p>
        </w:tc>
        <w:tc>
          <w:tcPr>
            <w:tcW w:w="96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16"/>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(12.8)</w:t>
            </w:r>
          </w:p>
        </w:tc>
      </w:tr>
      <w:tr>
        <w:trPr>
          <w:trHeight w:val="246"/>
        </w:trPr>
        <w:tc>
          <w:tcPr>
            <w:tcW w:w="6120" w:type="dxa"/>
            <w:vAlign w:val="bottom"/>
            <w:shd w:val="clear" w:color="auto" w:fill="DBDBDB"/>
          </w:tcPr>
          <w:p>
            <w:pPr>
              <w:ind w:left="20"/>
              <w:spacing w:after="0"/>
              <w:rPr>
                <w:sz w:val="20"/>
                <w:szCs w:val="20"/>
                <w:color w:val="auto"/>
              </w:rPr>
            </w:pPr>
            <w:r>
              <w:rPr>
                <w:rFonts w:ascii="Arial" w:cs="Arial" w:eastAsia="Arial" w:hAnsi="Arial"/>
                <w:sz w:val="17"/>
                <w:szCs w:val="17"/>
                <w:color w:val="auto"/>
              </w:rPr>
              <w:t>Gross earned premium</w:t>
            </w:r>
          </w:p>
        </w:tc>
        <w:tc>
          <w:tcPr>
            <w:tcW w:w="960" w:type="dxa"/>
            <w:vAlign w:val="bottom"/>
            <w:shd w:val="clear" w:color="auto" w:fill="DBDBDB"/>
          </w:tcPr>
          <w:p>
            <w:pPr>
              <w:jc w:val="right"/>
              <w:ind w:right="778"/>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DBDBDB"/>
          </w:tcPr>
          <w:p>
            <w:pPr>
              <w:jc w:val="right"/>
              <w:ind w:right="115"/>
              <w:spacing w:after="0"/>
              <w:rPr>
                <w:sz w:val="20"/>
                <w:szCs w:val="20"/>
                <w:color w:val="auto"/>
              </w:rPr>
            </w:pPr>
            <w:r>
              <w:rPr>
                <w:rFonts w:ascii="Arial" w:cs="Arial" w:eastAsia="Arial" w:hAnsi="Arial"/>
                <w:sz w:val="17"/>
                <w:szCs w:val="17"/>
                <w:color w:val="auto"/>
              </w:rPr>
              <w:t>189.3</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DBDBDB"/>
          </w:tcPr>
          <w:p>
            <w:pPr>
              <w:jc w:val="right"/>
              <w:ind w:right="116"/>
              <w:spacing w:after="0"/>
              <w:rPr>
                <w:sz w:val="20"/>
                <w:szCs w:val="20"/>
                <w:color w:val="auto"/>
              </w:rPr>
            </w:pPr>
            <w:r>
              <w:rPr>
                <w:rFonts w:ascii="Arial" w:cs="Arial" w:eastAsia="Arial" w:hAnsi="Arial"/>
                <w:sz w:val="17"/>
                <w:szCs w:val="17"/>
                <w:color w:val="auto"/>
              </w:rPr>
              <w:t>155.0</w:t>
            </w:r>
          </w:p>
        </w:tc>
        <w:tc>
          <w:tcPr>
            <w:tcW w:w="100" w:type="dxa"/>
            <w:vAlign w:val="bottom"/>
            <w:shd w:val="clear" w:color="auto" w:fill="DBDBDB"/>
          </w:tcPr>
          <w:p>
            <w:pPr>
              <w:spacing w:after="0"/>
              <w:rPr>
                <w:sz w:val="21"/>
                <w:szCs w:val="21"/>
                <w:color w:val="auto"/>
              </w:rPr>
            </w:pPr>
          </w:p>
        </w:tc>
        <w:tc>
          <w:tcPr>
            <w:tcW w:w="400" w:type="dxa"/>
            <w:vAlign w:val="bottom"/>
            <w:shd w:val="clear" w:color="auto" w:fill="DBDBDB"/>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DBDBDB"/>
          </w:tcPr>
          <w:p>
            <w:pPr>
              <w:jc w:val="right"/>
              <w:ind w:right="115"/>
              <w:spacing w:after="0"/>
              <w:rPr>
                <w:sz w:val="20"/>
                <w:szCs w:val="20"/>
                <w:color w:val="auto"/>
              </w:rPr>
            </w:pPr>
            <w:r>
              <w:rPr>
                <w:rFonts w:ascii="Arial" w:cs="Arial" w:eastAsia="Arial" w:hAnsi="Arial"/>
                <w:sz w:val="17"/>
                <w:szCs w:val="17"/>
                <w:color w:val="auto"/>
              </w:rPr>
              <w:t>119.6</w:t>
            </w:r>
          </w:p>
        </w:tc>
      </w:tr>
      <w:tr>
        <w:trPr>
          <w:trHeight w:val="244"/>
        </w:trPr>
        <w:tc>
          <w:tcPr>
            <w:tcW w:w="6120" w:type="dxa"/>
            <w:vAlign w:val="bottom"/>
          </w:tcPr>
          <w:p>
            <w:pPr>
              <w:ind w:left="20"/>
              <w:spacing w:after="0"/>
              <w:rPr>
                <w:sz w:val="20"/>
                <w:szCs w:val="20"/>
                <w:color w:val="auto"/>
              </w:rPr>
            </w:pPr>
            <w:r>
              <w:rPr>
                <w:rFonts w:ascii="Arial" w:cs="Arial" w:eastAsia="Arial" w:hAnsi="Arial"/>
                <w:sz w:val="17"/>
                <w:szCs w:val="17"/>
                <w:color w:val="auto"/>
              </w:rPr>
              <w:t>Ratio of adjusted gross profit/(loss) to total revenue</w:t>
            </w:r>
          </w:p>
        </w:tc>
        <w:tc>
          <w:tcPr>
            <w:tcW w:w="9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7.7 %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46"/>
        </w:trPr>
        <w:tc>
          <w:tcPr>
            <w:tcW w:w="6120" w:type="dxa"/>
            <w:vAlign w:val="bottom"/>
            <w:shd w:val="clear" w:color="auto" w:fill="DBDBDB"/>
          </w:tcPr>
          <w:p>
            <w:pPr>
              <w:ind w:left="20"/>
              <w:spacing w:after="0"/>
              <w:rPr>
                <w:sz w:val="20"/>
                <w:szCs w:val="20"/>
                <w:color w:val="auto"/>
              </w:rPr>
            </w:pPr>
            <w:r>
              <w:rPr>
                <w:rFonts w:ascii="Arial" w:cs="Arial" w:eastAsia="Arial" w:hAnsi="Arial"/>
                <w:sz w:val="17"/>
                <w:szCs w:val="17"/>
                <w:color w:val="auto"/>
              </w:rPr>
              <w:t>Ratio of adjusted gross profit/(loss) to gross earned premium</w:t>
            </w:r>
          </w:p>
        </w:tc>
        <w:tc>
          <w:tcPr>
            <w:tcW w:w="960" w:type="dxa"/>
            <w:vAlign w:val="bottom"/>
            <w:shd w:val="clear" w:color="auto" w:fill="DBDBDB"/>
          </w:tcPr>
          <w:p>
            <w:pPr>
              <w:spacing w:after="0"/>
              <w:rPr>
                <w:sz w:val="21"/>
                <w:szCs w:val="21"/>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2.5 %</w:t>
            </w:r>
          </w:p>
        </w:tc>
        <w:tc>
          <w:tcPr>
            <w:tcW w:w="10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(11.9)%</w:t>
            </w:r>
          </w:p>
        </w:tc>
      </w:tr>
      <w:tr>
        <w:trPr>
          <w:trHeight w:val="244"/>
        </w:trPr>
        <w:tc>
          <w:tcPr>
            <w:tcW w:w="6120" w:type="dxa"/>
            <w:vAlign w:val="bottom"/>
          </w:tcPr>
          <w:p>
            <w:pPr>
              <w:ind w:left="20"/>
              <w:spacing w:after="0"/>
              <w:rPr>
                <w:sz w:val="20"/>
                <w:szCs w:val="20"/>
                <w:color w:val="auto"/>
              </w:rPr>
            </w:pPr>
            <w:r>
              <w:rPr>
                <w:rFonts w:ascii="Arial" w:cs="Arial" w:eastAsia="Arial" w:hAnsi="Arial"/>
                <w:sz w:val="17"/>
                <w:szCs w:val="17"/>
                <w:color w:val="auto"/>
              </w:rPr>
              <w:t>Ratio of direct contribution to total revenue</w:t>
            </w:r>
          </w:p>
        </w:tc>
        <w:tc>
          <w:tcPr>
            <w:tcW w:w="9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26.5 %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46"/>
        </w:trPr>
        <w:tc>
          <w:tcPr>
            <w:tcW w:w="6120" w:type="dxa"/>
            <w:vAlign w:val="bottom"/>
            <w:shd w:val="clear" w:color="auto" w:fill="DBDBDB"/>
          </w:tcPr>
          <w:p>
            <w:pPr>
              <w:ind w:left="20"/>
              <w:spacing w:after="0"/>
              <w:rPr>
                <w:sz w:val="20"/>
                <w:szCs w:val="20"/>
                <w:color w:val="auto"/>
              </w:rPr>
            </w:pPr>
            <w:r>
              <w:rPr>
                <w:rFonts w:ascii="Arial" w:cs="Arial" w:eastAsia="Arial" w:hAnsi="Arial"/>
                <w:sz w:val="17"/>
                <w:szCs w:val="17"/>
                <w:color w:val="auto"/>
              </w:rPr>
              <w:t>Ratio of direct contribution to gross earned premium</w:t>
            </w:r>
          </w:p>
        </w:tc>
        <w:tc>
          <w:tcPr>
            <w:tcW w:w="960" w:type="dxa"/>
            <w:vAlign w:val="bottom"/>
            <w:shd w:val="clear" w:color="auto" w:fill="DBDBDB"/>
          </w:tcPr>
          <w:p>
            <w:pPr>
              <w:spacing w:after="0"/>
              <w:rPr>
                <w:sz w:val="21"/>
                <w:szCs w:val="21"/>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8.7 %</w:t>
            </w:r>
          </w:p>
        </w:tc>
        <w:tc>
          <w:tcPr>
            <w:tcW w:w="10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(10.7)%</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21"/>
          <w:szCs w:val="21"/>
          <w:color w:val="auto"/>
        </w:rPr>
        <w:t>______________</w:t>
      </w:r>
    </w:p>
    <w:p>
      <w:pPr>
        <w:spacing w:after="0" w:line="45" w:lineRule="exact"/>
        <w:rPr>
          <w:sz w:val="20"/>
          <w:szCs w:val="20"/>
          <w:color w:val="auto"/>
        </w:rPr>
      </w:pPr>
    </w:p>
    <w:p>
      <w:pPr>
        <w:ind w:left="200" w:hanging="197"/>
        <w:spacing w:after="0"/>
        <w:tabs>
          <w:tab w:leader="none" w:pos="2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Adjustments from other insurance expense includes report costs, personnel costs, allocated overhead, licenses, professional fees and other.</w:t>
      </w:r>
    </w:p>
    <w:p>
      <w:pPr>
        <w:spacing w:after="0" w:line="148" w:lineRule="exact"/>
        <w:rPr>
          <w:rFonts w:ascii="Arial" w:cs="Arial" w:eastAsia="Arial" w:hAnsi="Arial"/>
          <w:sz w:val="14"/>
          <w:szCs w:val="14"/>
          <w:color w:val="auto"/>
        </w:rPr>
      </w:pPr>
    </w:p>
    <w:p>
      <w:pPr>
        <w:ind w:left="320" w:right="420" w:hanging="317"/>
        <w:spacing w:after="0" w:line="250" w:lineRule="auto"/>
        <w:tabs>
          <w:tab w:leader="none" w:pos="205"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Net ceding commission and other is comprised of ceding commissions received in connection with reinsurance ceded, partially offset by sliding scale commission adjustments and amortization of excess ceding commission, and other impacts of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650240</wp:posOffset>
            </wp:positionV>
            <wp:extent cx="671195" cy="2127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11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40"/>
        <w:spacing w:after="0"/>
        <w:rPr>
          <w:sz w:val="20"/>
          <w:szCs w:val="20"/>
          <w:color w:val="auto"/>
        </w:rPr>
      </w:pPr>
      <w:r>
        <w:rPr>
          <w:rFonts w:ascii="Arial" w:cs="Arial" w:eastAsia="Arial" w:hAnsi="Arial"/>
          <w:sz w:val="17"/>
          <w:szCs w:val="17"/>
          <w:color w:val="929292"/>
        </w:rPr>
        <w:t>18</w:t>
      </w:r>
    </w:p>
    <w:p>
      <w:pPr>
        <w:sectPr>
          <w:pgSz w:w="11900" w:h="16838" w:orient="portrait"/>
          <w:cols w:equalWidth="0" w:num="1">
            <w:col w:w="11340"/>
          </w:cols>
          <w:pgMar w:left="320" w:top="344" w:right="239" w:bottom="1440" w:gutter="0" w:footer="0" w:header="0"/>
        </w:sectPr>
      </w:pPr>
    </w:p>
    <w:bookmarkStart w:id="21" w:name="page22"/>
    <w:bookmarkEnd w:id="21"/>
    <w:p>
      <w:pPr>
        <w:spacing w:after="0"/>
        <w:rPr>
          <w:sz w:val="20"/>
          <w:szCs w:val="20"/>
          <w:color w:val="auto"/>
        </w:rPr>
      </w:pPr>
      <w:r>
        <w:rPr>
          <w:rFonts w:ascii="Arial" w:cs="Arial" w:eastAsia="Arial" w:hAnsi="Arial"/>
          <w:sz w:val="19"/>
          <w:szCs w:val="19"/>
          <w:b w:val="1"/>
          <w:bCs w:val="1"/>
          <w:color w:val="242424"/>
        </w:rPr>
        <w:t>Letter to Shareholders: FY 2021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B6B6B6"/>
        </w:rPr>
        <w:t>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ROOT, INC. AND SUBSIDIARIES</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RECONCILIATION OF TOTAL REVENUE TO GROSS PROFIT/(LOSS), ADJUSTED GROSS PROFIT/(LOSS) AND DIRECT CONTRIBUTION -</w:t>
      </w:r>
    </w:p>
    <w:p>
      <w:pPr>
        <w:jc w:val="center"/>
        <w:ind w:right="100"/>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20" w:type="dxa"/>
            <w:vAlign w:val="bottom"/>
            <w:tcBorders>
              <w:top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74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4"/>
              </w:rPr>
              <w:t>Years Ended December 31,</w:t>
            </w:r>
          </w:p>
        </w:tc>
        <w:tc>
          <w:tcPr>
            <w:tcW w:w="4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spacing w:after="0"/>
              <w:rPr>
                <w:sz w:val="15"/>
                <w:szCs w:val="15"/>
                <w:color w:val="auto"/>
              </w:rPr>
            </w:pPr>
          </w:p>
        </w:tc>
      </w:tr>
      <w:tr>
        <w:trPr>
          <w:trHeight w:val="193"/>
        </w:trPr>
        <w:tc>
          <w:tcPr>
            <w:tcW w:w="61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r>
      <w:tr>
        <w:trPr>
          <w:trHeight w:val="192"/>
        </w:trPr>
        <w:tc>
          <w:tcPr>
            <w:tcW w:w="6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9"/>
        </w:trPr>
        <w:tc>
          <w:tcPr>
            <w:tcW w:w="6120" w:type="dxa"/>
            <w:vAlign w:val="bottom"/>
            <w:shd w:val="clear" w:color="auto" w:fill="DBDBDB"/>
          </w:tcPr>
          <w:p>
            <w:pPr>
              <w:ind w:left="20"/>
              <w:spacing w:after="0"/>
              <w:rPr>
                <w:sz w:val="20"/>
                <w:szCs w:val="20"/>
                <w:color w:val="auto"/>
              </w:rPr>
            </w:pPr>
            <w:r>
              <w:rPr>
                <w:rFonts w:ascii="Arial" w:cs="Arial" w:eastAsia="Arial" w:hAnsi="Arial"/>
                <w:sz w:val="17"/>
                <w:szCs w:val="17"/>
                <w:color w:val="auto"/>
              </w:rPr>
              <w:t>Total revenue</w:t>
            </w:r>
          </w:p>
        </w:tc>
        <w:tc>
          <w:tcPr>
            <w:tcW w:w="960" w:type="dxa"/>
            <w:vAlign w:val="bottom"/>
            <w:shd w:val="clear" w:color="auto" w:fill="DBDBDB"/>
          </w:tcPr>
          <w:p>
            <w:pPr>
              <w:jc w:val="right"/>
              <w:ind w:right="778"/>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DBDBDB"/>
          </w:tcPr>
          <w:p>
            <w:pPr>
              <w:jc w:val="right"/>
              <w:ind w:right="114"/>
              <w:spacing w:after="0"/>
              <w:rPr>
                <w:sz w:val="20"/>
                <w:szCs w:val="20"/>
                <w:color w:val="auto"/>
              </w:rPr>
            </w:pPr>
            <w:r>
              <w:rPr>
                <w:rFonts w:ascii="Arial" w:cs="Arial" w:eastAsia="Arial" w:hAnsi="Arial"/>
                <w:sz w:val="17"/>
                <w:szCs w:val="17"/>
                <w:color w:val="auto"/>
              </w:rPr>
              <w:t>345.4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ind w:lef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DBDBDB"/>
          </w:tcPr>
          <w:p>
            <w:pPr>
              <w:jc w:val="right"/>
              <w:ind w:right="115"/>
              <w:spacing w:after="0"/>
              <w:rPr>
                <w:sz w:val="20"/>
                <w:szCs w:val="20"/>
                <w:color w:val="auto"/>
              </w:rPr>
            </w:pPr>
            <w:r>
              <w:rPr>
                <w:rFonts w:ascii="Arial" w:cs="Arial" w:eastAsia="Arial" w:hAnsi="Arial"/>
                <w:sz w:val="17"/>
                <w:szCs w:val="17"/>
                <w:color w:val="auto"/>
              </w:rPr>
              <w:t>346.8</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DBDBDB"/>
          </w:tcPr>
          <w:p>
            <w:pPr>
              <w:jc w:val="right"/>
              <w:ind w:right="115"/>
              <w:spacing w:after="0"/>
              <w:rPr>
                <w:sz w:val="20"/>
                <w:szCs w:val="20"/>
                <w:color w:val="auto"/>
              </w:rPr>
            </w:pPr>
            <w:r>
              <w:rPr>
                <w:rFonts w:ascii="Arial" w:cs="Arial" w:eastAsia="Arial" w:hAnsi="Arial"/>
                <w:sz w:val="17"/>
                <w:szCs w:val="17"/>
                <w:color w:val="auto"/>
              </w:rPr>
              <w:t>290.2</w:t>
            </w: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Loss and loss adjustment expenses</w:t>
            </w:r>
          </w:p>
        </w:tc>
        <w:tc>
          <w:tcPr>
            <w:tcW w:w="960" w:type="dxa"/>
            <w:vAlign w:val="bottom"/>
          </w:tcPr>
          <w:p>
            <w:pPr>
              <w:spacing w:after="0"/>
              <w:rPr>
                <w:sz w:val="18"/>
                <w:szCs w:val="18"/>
                <w:color w:val="auto"/>
              </w:rPr>
            </w:pPr>
          </w:p>
        </w:tc>
        <w:tc>
          <w:tcPr>
            <w:tcW w:w="680" w:type="dxa"/>
            <w:vAlign w:val="bottom"/>
          </w:tcPr>
          <w:p>
            <w:pPr>
              <w:jc w:val="right"/>
              <w:ind w:right="74"/>
              <w:spacing w:after="0"/>
              <w:rPr>
                <w:sz w:val="20"/>
                <w:szCs w:val="20"/>
                <w:color w:val="auto"/>
              </w:rPr>
            </w:pPr>
            <w:r>
              <w:rPr>
                <w:rFonts w:ascii="Arial" w:cs="Arial" w:eastAsia="Arial" w:hAnsi="Arial"/>
                <w:sz w:val="17"/>
                <w:szCs w:val="17"/>
                <w:color w:val="auto"/>
                <w:w w:val="92"/>
              </w:rPr>
              <w:t>(392.3)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7"/>
                <w:szCs w:val="17"/>
                <w:color w:val="auto"/>
              </w:rPr>
              <w:t>(362.8)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(321.4)</w:t>
            </w:r>
          </w:p>
        </w:tc>
      </w:tr>
      <w:tr>
        <w:trPr>
          <w:trHeight w:val="220"/>
        </w:trPr>
        <w:tc>
          <w:tcPr>
            <w:tcW w:w="6120" w:type="dxa"/>
            <w:vAlign w:val="bottom"/>
            <w:shd w:val="clear" w:color="auto" w:fill="DBDBDB"/>
          </w:tcPr>
          <w:p>
            <w:pPr>
              <w:ind w:left="20"/>
              <w:spacing w:after="0"/>
              <w:rPr>
                <w:sz w:val="20"/>
                <w:szCs w:val="20"/>
                <w:color w:val="auto"/>
              </w:rPr>
            </w:pPr>
            <w:r>
              <w:rPr>
                <w:rFonts w:ascii="Arial" w:cs="Arial" w:eastAsia="Arial" w:hAnsi="Arial"/>
                <w:sz w:val="17"/>
                <w:szCs w:val="17"/>
                <w:color w:val="auto"/>
              </w:rPr>
              <w:t>Other insurance (expense) benefit</w:t>
            </w:r>
          </w:p>
        </w:tc>
        <w:tc>
          <w:tcPr>
            <w:tcW w:w="960" w:type="dxa"/>
            <w:vAlign w:val="bottom"/>
            <w:tcBorders>
              <w:bottom w:val="single" w:sz="8" w:color="auto"/>
            </w:tcBorders>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jc w:val="right"/>
              <w:ind w:right="74"/>
              <w:spacing w:after="0"/>
              <w:rPr>
                <w:sz w:val="20"/>
                <w:szCs w:val="20"/>
                <w:color w:val="auto"/>
              </w:rPr>
            </w:pPr>
            <w:r>
              <w:rPr>
                <w:rFonts w:ascii="Arial" w:cs="Arial" w:eastAsia="Arial" w:hAnsi="Arial"/>
                <w:sz w:val="17"/>
                <w:szCs w:val="17"/>
                <w:color w:val="auto"/>
              </w:rPr>
              <w:t>(5.0)</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ind w:right="115"/>
              <w:spacing w:after="0"/>
              <w:rPr>
                <w:sz w:val="20"/>
                <w:szCs w:val="20"/>
                <w:color w:val="auto"/>
              </w:rPr>
            </w:pPr>
            <w:r>
              <w:rPr>
                <w:rFonts w:ascii="Arial" w:cs="Arial" w:eastAsia="Arial" w:hAnsi="Arial"/>
                <w:sz w:val="17"/>
                <w:szCs w:val="17"/>
                <w:color w:val="auto"/>
              </w:rPr>
              <w:t>1.8</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ind w:right="75"/>
              <w:spacing w:after="0"/>
              <w:rPr>
                <w:sz w:val="20"/>
                <w:szCs w:val="20"/>
                <w:color w:val="auto"/>
              </w:rPr>
            </w:pPr>
            <w:r>
              <w:rPr>
                <w:rFonts w:ascii="Arial" w:cs="Arial" w:eastAsia="Arial" w:hAnsi="Arial"/>
                <w:sz w:val="17"/>
                <w:szCs w:val="17"/>
                <w:color w:val="auto"/>
              </w:rPr>
              <w:t>(52.3)</w:t>
            </w:r>
          </w:p>
        </w:tc>
      </w:tr>
      <w:tr>
        <w:trPr>
          <w:trHeight w:val="211"/>
        </w:trPr>
        <w:tc>
          <w:tcPr>
            <w:tcW w:w="6120" w:type="dxa"/>
            <w:vAlign w:val="bottom"/>
          </w:tcPr>
          <w:p>
            <w:pPr>
              <w:ind w:left="20"/>
              <w:spacing w:after="0"/>
              <w:rPr>
                <w:sz w:val="20"/>
                <w:szCs w:val="20"/>
                <w:color w:val="auto"/>
              </w:rPr>
            </w:pPr>
            <w:r>
              <w:rPr>
                <w:rFonts w:ascii="Arial" w:cs="Arial" w:eastAsia="Arial" w:hAnsi="Arial"/>
                <w:sz w:val="17"/>
                <w:szCs w:val="17"/>
                <w:color w:val="auto"/>
              </w:rPr>
              <w:t>Gross profit/(loss)</w:t>
            </w:r>
          </w:p>
        </w:tc>
        <w:tc>
          <w:tcPr>
            <w:tcW w:w="960" w:type="dxa"/>
            <w:vAlign w:val="bottom"/>
          </w:tcPr>
          <w:p>
            <w:pPr>
              <w:jc w:val="right"/>
              <w:ind w:right="778"/>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ind w:right="74"/>
              <w:spacing w:after="0"/>
              <w:rPr>
                <w:sz w:val="20"/>
                <w:szCs w:val="20"/>
                <w:color w:val="auto"/>
              </w:rPr>
            </w:pPr>
            <w:r>
              <w:rPr>
                <w:rFonts w:ascii="Arial" w:cs="Arial" w:eastAsia="Arial" w:hAnsi="Arial"/>
                <w:sz w:val="17"/>
                <w:szCs w:val="17"/>
                <w:color w:val="auto"/>
              </w:rPr>
              <w:t>(51.9)</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75"/>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(83.5)</w:t>
            </w:r>
          </w:p>
        </w:tc>
      </w:tr>
      <w:tr>
        <w:trPr>
          <w:trHeight w:val="246"/>
        </w:trPr>
        <w:tc>
          <w:tcPr>
            <w:tcW w:w="6120" w:type="dxa"/>
            <w:vAlign w:val="bottom"/>
            <w:shd w:val="clear" w:color="auto" w:fill="DBDBDB"/>
          </w:tcPr>
          <w:p>
            <w:pPr>
              <w:ind w:left="20"/>
              <w:spacing w:after="0"/>
              <w:rPr>
                <w:sz w:val="20"/>
                <w:szCs w:val="20"/>
                <w:color w:val="auto"/>
              </w:rPr>
            </w:pPr>
            <w:r>
              <w:rPr>
                <w:rFonts w:ascii="Arial" w:cs="Arial" w:eastAsia="Arial" w:hAnsi="Arial"/>
                <w:sz w:val="17"/>
                <w:szCs w:val="17"/>
                <w:color w:val="auto"/>
              </w:rPr>
              <w:t>Gross margin</w:t>
            </w:r>
          </w:p>
        </w:tc>
        <w:tc>
          <w:tcPr>
            <w:tcW w:w="960" w:type="dxa"/>
            <w:vAlign w:val="bottom"/>
            <w:shd w:val="clear" w:color="auto" w:fill="DBDBDB"/>
          </w:tcPr>
          <w:p>
            <w:pPr>
              <w:spacing w:after="0"/>
              <w:rPr>
                <w:sz w:val="21"/>
                <w:szCs w:val="21"/>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(28.8)%</w:t>
            </w: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Less:</w:t>
            </w: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6120" w:type="dxa"/>
            <w:vAlign w:val="bottom"/>
            <w:shd w:val="clear" w:color="auto" w:fill="DBDBDB"/>
          </w:tcPr>
          <w:p>
            <w:pPr>
              <w:ind w:left="20"/>
              <w:spacing w:after="0"/>
              <w:rPr>
                <w:sz w:val="20"/>
                <w:szCs w:val="20"/>
                <w:color w:val="auto"/>
              </w:rPr>
            </w:pPr>
            <w:r>
              <w:rPr>
                <w:rFonts w:ascii="Arial" w:cs="Arial" w:eastAsia="Arial" w:hAnsi="Arial"/>
                <w:sz w:val="17"/>
                <w:szCs w:val="17"/>
                <w:color w:val="auto"/>
              </w:rPr>
              <w:t>Net investment income</w:t>
            </w:r>
          </w:p>
        </w:tc>
        <w:tc>
          <w:tcPr>
            <w:tcW w:w="960" w:type="dxa"/>
            <w:vAlign w:val="bottom"/>
            <w:shd w:val="clear" w:color="auto" w:fill="DBDBDB"/>
          </w:tcPr>
          <w:p>
            <w:pPr>
              <w:jc w:val="right"/>
              <w:ind w:right="778"/>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DBDBDB"/>
          </w:tcPr>
          <w:p>
            <w:pPr>
              <w:jc w:val="right"/>
              <w:ind w:right="74"/>
              <w:spacing w:after="0"/>
              <w:rPr>
                <w:sz w:val="20"/>
                <w:szCs w:val="20"/>
                <w:color w:val="auto"/>
              </w:rPr>
            </w:pPr>
            <w:r>
              <w:rPr>
                <w:rFonts w:ascii="Arial" w:cs="Arial" w:eastAsia="Arial" w:hAnsi="Arial"/>
                <w:sz w:val="17"/>
                <w:szCs w:val="17"/>
                <w:color w:val="auto"/>
              </w:rPr>
              <w:t>(5.0)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ind w:lef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DBDBDB"/>
          </w:tcPr>
          <w:p>
            <w:pPr>
              <w:jc w:val="right"/>
              <w:ind w:right="75"/>
              <w:spacing w:after="0"/>
              <w:rPr>
                <w:sz w:val="20"/>
                <w:szCs w:val="20"/>
                <w:color w:val="auto"/>
              </w:rPr>
            </w:pPr>
            <w:r>
              <w:rPr>
                <w:rFonts w:ascii="Arial" w:cs="Arial" w:eastAsia="Arial" w:hAnsi="Arial"/>
                <w:sz w:val="17"/>
                <w:szCs w:val="17"/>
                <w:color w:val="auto"/>
              </w:rPr>
              <w:t>(5.4)</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DBDBDB"/>
          </w:tcPr>
          <w:p>
            <w:pPr>
              <w:jc w:val="right"/>
              <w:ind w:right="75"/>
              <w:spacing w:after="0"/>
              <w:rPr>
                <w:sz w:val="20"/>
                <w:szCs w:val="20"/>
                <w:color w:val="auto"/>
              </w:rPr>
            </w:pPr>
            <w:r>
              <w:rPr>
                <w:rFonts w:ascii="Arial" w:cs="Arial" w:eastAsia="Arial" w:hAnsi="Arial"/>
                <w:sz w:val="17"/>
                <w:szCs w:val="17"/>
                <w:color w:val="auto"/>
              </w:rPr>
              <w:t>(5.2)</w:t>
            </w: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Net realized gains on investments</w:t>
            </w:r>
          </w:p>
        </w:tc>
        <w:tc>
          <w:tcPr>
            <w:tcW w:w="960" w:type="dxa"/>
            <w:vAlign w:val="bottom"/>
          </w:tcPr>
          <w:p>
            <w:pPr>
              <w:spacing w:after="0"/>
              <w:rPr>
                <w:sz w:val="18"/>
                <w:szCs w:val="18"/>
                <w:color w:val="auto"/>
              </w:rPr>
            </w:pPr>
          </w:p>
        </w:tc>
        <w:tc>
          <w:tcPr>
            <w:tcW w:w="680" w:type="dxa"/>
            <w:vAlign w:val="bottom"/>
          </w:tcPr>
          <w:p>
            <w:pPr>
              <w:jc w:val="right"/>
              <w:ind w:right="74"/>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220"/>
        </w:trPr>
        <w:tc>
          <w:tcPr>
            <w:tcW w:w="6120" w:type="dxa"/>
            <w:vAlign w:val="bottom"/>
            <w:shd w:val="clear" w:color="auto" w:fill="DBDBDB"/>
          </w:tcPr>
          <w:p>
            <w:pPr>
              <w:ind w:left="20"/>
              <w:spacing w:after="0" w:line="220" w:lineRule="exact"/>
              <w:rPr>
                <w:sz w:val="20"/>
                <w:szCs w:val="20"/>
                <w:color w:val="auto"/>
              </w:rPr>
            </w:pPr>
            <w:r>
              <w:rPr>
                <w:rFonts w:ascii="Arial" w:cs="Arial" w:eastAsia="Arial" w:hAnsi="Arial"/>
                <w:sz w:val="17"/>
                <w:szCs w:val="17"/>
                <w:color w:val="auto"/>
              </w:rPr>
              <w:t>Adjustments from other insurance (expense) benefit</w:t>
            </w:r>
            <w:r>
              <w:rPr>
                <w:rFonts w:ascii="Arial" w:cs="Arial" w:eastAsia="Arial" w:hAnsi="Arial"/>
                <w:sz w:val="22"/>
                <w:szCs w:val="22"/>
                <w:color w:val="auto"/>
                <w:vertAlign w:val="superscript"/>
              </w:rPr>
              <w:t>(1)</w:t>
            </w:r>
          </w:p>
        </w:tc>
        <w:tc>
          <w:tcPr>
            <w:tcW w:w="960" w:type="dxa"/>
            <w:vAlign w:val="bottom"/>
            <w:tcBorders>
              <w:bottom w:val="single" w:sz="8" w:color="auto"/>
            </w:tcBorders>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jc w:val="right"/>
              <w:ind w:right="114"/>
              <w:spacing w:after="0"/>
              <w:rPr>
                <w:sz w:val="20"/>
                <w:szCs w:val="20"/>
                <w:color w:val="auto"/>
              </w:rPr>
            </w:pPr>
            <w:r>
              <w:rPr>
                <w:rFonts w:ascii="Arial" w:cs="Arial" w:eastAsia="Arial" w:hAnsi="Arial"/>
                <w:sz w:val="17"/>
                <w:szCs w:val="17"/>
                <w:color w:val="auto"/>
              </w:rPr>
              <w:t>56.0</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ind w:right="115"/>
              <w:spacing w:after="0"/>
              <w:rPr>
                <w:sz w:val="20"/>
                <w:szCs w:val="20"/>
                <w:color w:val="auto"/>
              </w:rPr>
            </w:pPr>
            <w:r>
              <w:rPr>
                <w:rFonts w:ascii="Arial" w:cs="Arial" w:eastAsia="Arial" w:hAnsi="Arial"/>
                <w:sz w:val="17"/>
                <w:szCs w:val="17"/>
                <w:color w:val="auto"/>
              </w:rPr>
              <w:t>40.9</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ind w:right="115"/>
              <w:spacing w:after="0"/>
              <w:rPr>
                <w:sz w:val="20"/>
                <w:szCs w:val="20"/>
                <w:color w:val="auto"/>
              </w:rPr>
            </w:pPr>
            <w:r>
              <w:rPr>
                <w:rFonts w:ascii="Arial" w:cs="Arial" w:eastAsia="Arial" w:hAnsi="Arial"/>
                <w:sz w:val="17"/>
                <w:szCs w:val="17"/>
                <w:color w:val="auto"/>
              </w:rPr>
              <w:t>34.5</w:t>
            </w:r>
          </w:p>
        </w:tc>
      </w:tr>
      <w:tr>
        <w:trPr>
          <w:trHeight w:val="211"/>
        </w:trPr>
        <w:tc>
          <w:tcPr>
            <w:tcW w:w="6120" w:type="dxa"/>
            <w:vAlign w:val="bottom"/>
          </w:tcPr>
          <w:p>
            <w:pPr>
              <w:ind w:left="20"/>
              <w:spacing w:after="0"/>
              <w:rPr>
                <w:sz w:val="20"/>
                <w:szCs w:val="20"/>
                <w:color w:val="auto"/>
              </w:rPr>
            </w:pPr>
            <w:r>
              <w:rPr>
                <w:rFonts w:ascii="Arial" w:cs="Arial" w:eastAsia="Arial" w:hAnsi="Arial"/>
                <w:sz w:val="17"/>
                <w:szCs w:val="17"/>
                <w:color w:val="auto"/>
              </w:rPr>
              <w:t>Adjusted gross profit/(loss)</w:t>
            </w:r>
          </w:p>
        </w:tc>
        <w:tc>
          <w:tcPr>
            <w:tcW w:w="960" w:type="dxa"/>
            <w:vAlign w:val="bottom"/>
          </w:tcPr>
          <w:p>
            <w:pPr>
              <w:spacing w:after="0"/>
              <w:rPr>
                <w:sz w:val="18"/>
                <w:szCs w:val="18"/>
                <w:color w:val="auto"/>
              </w:rPr>
            </w:pPr>
          </w:p>
        </w:tc>
        <w:tc>
          <w:tcPr>
            <w:tcW w:w="680" w:type="dxa"/>
            <w:vAlign w:val="bottom"/>
          </w:tcPr>
          <w:p>
            <w:pPr>
              <w:jc w:val="right"/>
              <w:ind w:right="74"/>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(54.2)</w:t>
            </w:r>
          </w:p>
        </w:tc>
      </w:tr>
      <w:tr>
        <w:trPr>
          <w:trHeight w:val="220"/>
        </w:trPr>
        <w:tc>
          <w:tcPr>
            <w:tcW w:w="6120" w:type="dxa"/>
            <w:vAlign w:val="bottom"/>
            <w:shd w:val="clear" w:color="auto" w:fill="DBDBDB"/>
          </w:tcPr>
          <w:p>
            <w:pPr>
              <w:ind w:left="20"/>
              <w:spacing w:after="0"/>
              <w:rPr>
                <w:sz w:val="20"/>
                <w:szCs w:val="20"/>
                <w:color w:val="auto"/>
              </w:rPr>
            </w:pPr>
            <w:r>
              <w:rPr>
                <w:rFonts w:ascii="Arial" w:cs="Arial" w:eastAsia="Arial" w:hAnsi="Arial"/>
                <w:sz w:val="17"/>
                <w:szCs w:val="17"/>
                <w:color w:val="auto"/>
              </w:rPr>
              <w:t>Ceded earned premium</w:t>
            </w:r>
          </w:p>
        </w:tc>
        <w:tc>
          <w:tcPr>
            <w:tcW w:w="96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114"/>
              <w:spacing w:after="0"/>
              <w:rPr>
                <w:sz w:val="20"/>
                <w:szCs w:val="20"/>
                <w:color w:val="auto"/>
              </w:rPr>
            </w:pPr>
            <w:r>
              <w:rPr>
                <w:rFonts w:ascii="Arial" w:cs="Arial" w:eastAsia="Arial" w:hAnsi="Arial"/>
                <w:sz w:val="17"/>
                <w:szCs w:val="17"/>
                <w:color w:val="auto"/>
              </w:rPr>
              <w:t>409.3</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jc w:val="right"/>
              <w:ind w:right="115"/>
              <w:spacing w:after="0"/>
              <w:rPr>
                <w:sz w:val="20"/>
                <w:szCs w:val="20"/>
                <w:color w:val="auto"/>
              </w:rPr>
            </w:pPr>
            <w:r>
              <w:rPr>
                <w:rFonts w:ascii="Arial" w:cs="Arial" w:eastAsia="Arial" w:hAnsi="Arial"/>
                <w:sz w:val="17"/>
                <w:szCs w:val="17"/>
                <w:color w:val="auto"/>
              </w:rPr>
              <w:t>282.7</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40" w:type="dxa"/>
            <w:vAlign w:val="bottom"/>
            <w:shd w:val="clear" w:color="auto" w:fill="DBDBDB"/>
          </w:tcPr>
          <w:p>
            <w:pPr>
              <w:jc w:val="right"/>
              <w:ind w:right="115"/>
              <w:spacing w:after="0"/>
              <w:rPr>
                <w:sz w:val="20"/>
                <w:szCs w:val="20"/>
                <w:color w:val="auto"/>
              </w:rPr>
            </w:pPr>
            <w:r>
              <w:rPr>
                <w:rFonts w:ascii="Arial" w:cs="Arial" w:eastAsia="Arial" w:hAnsi="Arial"/>
                <w:sz w:val="17"/>
                <w:szCs w:val="17"/>
                <w:color w:val="auto"/>
              </w:rPr>
              <w:t>77.6</w:t>
            </w: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Ceded loss and loss adjustment expenses</w:t>
            </w:r>
          </w:p>
        </w:tc>
        <w:tc>
          <w:tcPr>
            <w:tcW w:w="960" w:type="dxa"/>
            <w:vAlign w:val="bottom"/>
          </w:tcPr>
          <w:p>
            <w:pPr>
              <w:spacing w:after="0"/>
              <w:rPr>
                <w:sz w:val="18"/>
                <w:szCs w:val="18"/>
                <w:color w:val="auto"/>
              </w:rPr>
            </w:pPr>
          </w:p>
        </w:tc>
        <w:tc>
          <w:tcPr>
            <w:tcW w:w="680" w:type="dxa"/>
            <w:vAlign w:val="bottom"/>
          </w:tcPr>
          <w:p>
            <w:pPr>
              <w:jc w:val="right"/>
              <w:ind w:right="74"/>
              <w:spacing w:after="0"/>
              <w:rPr>
                <w:sz w:val="20"/>
                <w:szCs w:val="20"/>
                <w:color w:val="auto"/>
              </w:rPr>
            </w:pPr>
            <w:r>
              <w:rPr>
                <w:rFonts w:ascii="Arial" w:cs="Arial" w:eastAsia="Arial" w:hAnsi="Arial"/>
                <w:sz w:val="17"/>
                <w:szCs w:val="17"/>
                <w:color w:val="auto"/>
                <w:w w:val="92"/>
              </w:rPr>
              <w:t>(302.5)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7"/>
                <w:szCs w:val="17"/>
                <w:color w:val="auto"/>
              </w:rPr>
              <w:t>(194.8)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(73.6)</w:t>
            </w:r>
          </w:p>
        </w:tc>
      </w:tr>
      <w:tr>
        <w:trPr>
          <w:trHeight w:val="220"/>
        </w:trPr>
        <w:tc>
          <w:tcPr>
            <w:tcW w:w="6120" w:type="dxa"/>
            <w:vAlign w:val="bottom"/>
            <w:shd w:val="clear" w:color="auto" w:fill="DBDBDB"/>
          </w:tcPr>
          <w:p>
            <w:pPr>
              <w:ind w:left="20"/>
              <w:spacing w:after="0" w:line="220" w:lineRule="exact"/>
              <w:rPr>
                <w:sz w:val="20"/>
                <w:szCs w:val="20"/>
                <w:color w:val="auto"/>
              </w:rPr>
            </w:pPr>
            <w:r>
              <w:rPr>
                <w:rFonts w:ascii="Arial" w:cs="Arial" w:eastAsia="Arial" w:hAnsi="Arial"/>
                <w:sz w:val="17"/>
                <w:szCs w:val="17"/>
                <w:color w:val="auto"/>
              </w:rPr>
              <w:t>Net ceding commission and other</w:t>
            </w:r>
            <w:r>
              <w:rPr>
                <w:rFonts w:ascii="Arial" w:cs="Arial" w:eastAsia="Arial" w:hAnsi="Arial"/>
                <w:sz w:val="22"/>
                <w:szCs w:val="22"/>
                <w:color w:val="auto"/>
                <w:vertAlign w:val="superscript"/>
              </w:rPr>
              <w:t>(2)</w:t>
            </w:r>
          </w:p>
        </w:tc>
        <w:tc>
          <w:tcPr>
            <w:tcW w:w="960" w:type="dxa"/>
            <w:vAlign w:val="bottom"/>
            <w:tcBorders>
              <w:bottom w:val="single" w:sz="8" w:color="auto"/>
            </w:tcBorders>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jc w:val="right"/>
              <w:ind w:right="74"/>
              <w:spacing w:after="0"/>
              <w:rPr>
                <w:sz w:val="20"/>
                <w:szCs w:val="20"/>
                <w:color w:val="auto"/>
              </w:rPr>
            </w:pPr>
            <w:r>
              <w:rPr>
                <w:rFonts w:ascii="Arial" w:cs="Arial" w:eastAsia="Arial" w:hAnsi="Arial"/>
                <w:sz w:val="17"/>
                <w:szCs w:val="17"/>
                <w:color w:val="auto"/>
              </w:rPr>
              <w:t>(95.4)</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ind w:right="75"/>
              <w:spacing w:after="0"/>
              <w:rPr>
                <w:sz w:val="20"/>
                <w:szCs w:val="20"/>
                <w:color w:val="auto"/>
              </w:rPr>
            </w:pPr>
            <w:r>
              <w:rPr>
                <w:rFonts w:ascii="Arial" w:cs="Arial" w:eastAsia="Arial" w:hAnsi="Arial"/>
                <w:sz w:val="17"/>
                <w:szCs w:val="17"/>
                <w:color w:val="auto"/>
              </w:rPr>
              <w:t>(90.0)</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ind w:right="75"/>
              <w:spacing w:after="0"/>
              <w:rPr>
                <w:sz w:val="20"/>
                <w:szCs w:val="20"/>
                <w:color w:val="auto"/>
              </w:rPr>
            </w:pPr>
            <w:r>
              <w:rPr>
                <w:rFonts w:ascii="Arial" w:cs="Arial" w:eastAsia="Arial" w:hAnsi="Arial"/>
                <w:sz w:val="17"/>
                <w:szCs w:val="17"/>
                <w:color w:val="auto"/>
              </w:rPr>
              <w:t>(7.2)</w:t>
            </w:r>
          </w:p>
        </w:tc>
      </w:tr>
      <w:tr>
        <w:trPr>
          <w:trHeight w:val="211"/>
        </w:trPr>
        <w:tc>
          <w:tcPr>
            <w:tcW w:w="6120" w:type="dxa"/>
            <w:vAlign w:val="bottom"/>
          </w:tcPr>
          <w:p>
            <w:pPr>
              <w:ind w:left="20"/>
              <w:spacing w:after="0"/>
              <w:rPr>
                <w:sz w:val="20"/>
                <w:szCs w:val="20"/>
                <w:color w:val="auto"/>
              </w:rPr>
            </w:pPr>
            <w:r>
              <w:rPr>
                <w:rFonts w:ascii="Arial" w:cs="Arial" w:eastAsia="Arial" w:hAnsi="Arial"/>
                <w:sz w:val="17"/>
                <w:szCs w:val="17"/>
                <w:color w:val="auto"/>
              </w:rPr>
              <w:t>Direct contribution</w:t>
            </w:r>
          </w:p>
        </w:tc>
        <w:tc>
          <w:tcPr>
            <w:tcW w:w="96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18.9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(57.4)</w:t>
            </w:r>
          </w:p>
        </w:tc>
      </w:tr>
      <w:tr>
        <w:trPr>
          <w:trHeight w:val="246"/>
        </w:trPr>
        <w:tc>
          <w:tcPr>
            <w:tcW w:w="6120" w:type="dxa"/>
            <w:vAlign w:val="bottom"/>
            <w:shd w:val="clear" w:color="auto" w:fill="DBDBDB"/>
          </w:tcPr>
          <w:p>
            <w:pPr>
              <w:ind w:left="20"/>
              <w:spacing w:after="0"/>
              <w:rPr>
                <w:sz w:val="20"/>
                <w:szCs w:val="20"/>
                <w:color w:val="auto"/>
              </w:rPr>
            </w:pPr>
            <w:r>
              <w:rPr>
                <w:rFonts w:ascii="Arial" w:cs="Arial" w:eastAsia="Arial" w:hAnsi="Arial"/>
                <w:sz w:val="17"/>
                <w:szCs w:val="17"/>
                <w:color w:val="auto"/>
              </w:rPr>
              <w:t>Gross earned premium</w:t>
            </w:r>
          </w:p>
        </w:tc>
        <w:tc>
          <w:tcPr>
            <w:tcW w:w="960" w:type="dxa"/>
            <w:vAlign w:val="bottom"/>
            <w:shd w:val="clear" w:color="auto" w:fill="DBDBDB"/>
          </w:tcPr>
          <w:p>
            <w:pPr>
              <w:jc w:val="right"/>
              <w:ind w:right="778"/>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DBDBDB"/>
          </w:tcPr>
          <w:p>
            <w:pPr>
              <w:jc w:val="right"/>
              <w:ind w:right="114"/>
              <w:spacing w:after="0"/>
              <w:rPr>
                <w:sz w:val="20"/>
                <w:szCs w:val="20"/>
                <w:color w:val="auto"/>
              </w:rPr>
            </w:pPr>
            <w:r>
              <w:rPr>
                <w:rFonts w:ascii="Arial" w:cs="Arial" w:eastAsia="Arial" w:hAnsi="Arial"/>
                <w:sz w:val="17"/>
                <w:szCs w:val="17"/>
                <w:color w:val="auto"/>
              </w:rPr>
              <w:t>719.6</w:t>
            </w:r>
          </w:p>
        </w:tc>
        <w:tc>
          <w:tcPr>
            <w:tcW w:w="100" w:type="dxa"/>
            <w:vAlign w:val="bottom"/>
            <w:shd w:val="clear" w:color="auto" w:fill="DBDBDB"/>
          </w:tcPr>
          <w:p>
            <w:pPr>
              <w:spacing w:after="0"/>
              <w:rPr>
                <w:sz w:val="21"/>
                <w:szCs w:val="21"/>
                <w:color w:val="auto"/>
              </w:rPr>
            </w:pPr>
          </w:p>
        </w:tc>
        <w:tc>
          <w:tcPr>
            <w:tcW w:w="380" w:type="dxa"/>
            <w:vAlign w:val="bottom"/>
            <w:shd w:val="clear" w:color="auto" w:fill="DBDBDB"/>
          </w:tcPr>
          <w:p>
            <w:pPr>
              <w:ind w:lef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DBDBDB"/>
          </w:tcPr>
          <w:p>
            <w:pPr>
              <w:jc w:val="right"/>
              <w:ind w:right="115"/>
              <w:spacing w:after="0"/>
              <w:rPr>
                <w:sz w:val="20"/>
                <w:szCs w:val="20"/>
                <w:color w:val="auto"/>
              </w:rPr>
            </w:pPr>
            <w:r>
              <w:rPr>
                <w:rFonts w:ascii="Arial" w:cs="Arial" w:eastAsia="Arial" w:hAnsi="Arial"/>
                <w:sz w:val="17"/>
                <w:szCs w:val="17"/>
                <w:color w:val="auto"/>
              </w:rPr>
              <w:t>605.2</w:t>
            </w:r>
          </w:p>
        </w:tc>
        <w:tc>
          <w:tcPr>
            <w:tcW w:w="100" w:type="dxa"/>
            <w:vAlign w:val="bottom"/>
            <w:shd w:val="clear" w:color="auto" w:fill="DBDBDB"/>
          </w:tcPr>
          <w:p>
            <w:pPr>
              <w:spacing w:after="0"/>
              <w:rPr>
                <w:sz w:val="21"/>
                <w:szCs w:val="21"/>
                <w:color w:val="auto"/>
              </w:rPr>
            </w:pPr>
          </w:p>
        </w:tc>
        <w:tc>
          <w:tcPr>
            <w:tcW w:w="400" w:type="dxa"/>
            <w:vAlign w:val="bottom"/>
            <w:shd w:val="clear" w:color="auto" w:fill="DBDBDB"/>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DBDBDB"/>
          </w:tcPr>
          <w:p>
            <w:pPr>
              <w:jc w:val="right"/>
              <w:ind w:right="115"/>
              <w:spacing w:after="0"/>
              <w:rPr>
                <w:sz w:val="20"/>
                <w:szCs w:val="20"/>
                <w:color w:val="auto"/>
              </w:rPr>
            </w:pPr>
            <w:r>
              <w:rPr>
                <w:rFonts w:ascii="Arial" w:cs="Arial" w:eastAsia="Arial" w:hAnsi="Arial"/>
                <w:sz w:val="17"/>
                <w:szCs w:val="17"/>
                <w:color w:val="auto"/>
              </w:rPr>
              <w:t>352.9</w:t>
            </w: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Ratio of adjusted gross profit/(loss) to total revenue</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6.1 %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(18.7)%</w:t>
            </w:r>
          </w:p>
        </w:tc>
      </w:tr>
      <w:tr>
        <w:trPr>
          <w:trHeight w:val="220"/>
        </w:trPr>
        <w:tc>
          <w:tcPr>
            <w:tcW w:w="6120" w:type="dxa"/>
            <w:vAlign w:val="bottom"/>
            <w:shd w:val="clear" w:color="auto" w:fill="DBDBDB"/>
          </w:tcPr>
          <w:p>
            <w:pPr>
              <w:ind w:left="20"/>
              <w:spacing w:after="0"/>
              <w:rPr>
                <w:sz w:val="20"/>
                <w:szCs w:val="20"/>
                <w:color w:val="auto"/>
              </w:rPr>
            </w:pPr>
            <w:r>
              <w:rPr>
                <w:rFonts w:ascii="Arial" w:cs="Arial" w:eastAsia="Arial" w:hAnsi="Arial"/>
                <w:sz w:val="17"/>
                <w:szCs w:val="17"/>
                <w:color w:val="auto"/>
              </w:rPr>
              <w:t>Ratio of adjusted gross profit/(loss) to gross earned premium</w:t>
            </w:r>
          </w:p>
        </w:tc>
        <w:tc>
          <w:tcPr>
            <w:tcW w:w="9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3.5 %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(15.4)%</w:t>
            </w: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Ratio of direct contribution to total revenue</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5.4 %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(19.8)%</w:t>
            </w:r>
          </w:p>
        </w:tc>
      </w:tr>
      <w:tr>
        <w:trPr>
          <w:trHeight w:val="220"/>
        </w:trPr>
        <w:tc>
          <w:tcPr>
            <w:tcW w:w="6120" w:type="dxa"/>
            <w:vAlign w:val="bottom"/>
            <w:shd w:val="clear" w:color="auto" w:fill="DBDBDB"/>
          </w:tcPr>
          <w:p>
            <w:pPr>
              <w:ind w:left="20"/>
              <w:spacing w:after="0"/>
              <w:rPr>
                <w:sz w:val="20"/>
                <w:szCs w:val="20"/>
                <w:color w:val="auto"/>
              </w:rPr>
            </w:pPr>
            <w:r>
              <w:rPr>
                <w:rFonts w:ascii="Arial" w:cs="Arial" w:eastAsia="Arial" w:hAnsi="Arial"/>
                <w:sz w:val="17"/>
                <w:szCs w:val="17"/>
                <w:color w:val="auto"/>
              </w:rPr>
              <w:t>Ratio of direct contribution to gross earned premium</w:t>
            </w:r>
          </w:p>
        </w:tc>
        <w:tc>
          <w:tcPr>
            <w:tcW w:w="9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1.1 %</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3.1 %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(16.3)%</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21"/>
          <w:szCs w:val="21"/>
          <w:color w:val="auto"/>
        </w:rPr>
        <w:t>______________</w:t>
      </w:r>
    </w:p>
    <w:p>
      <w:pPr>
        <w:spacing w:after="0" w:line="45" w:lineRule="exact"/>
        <w:rPr>
          <w:sz w:val="20"/>
          <w:szCs w:val="20"/>
          <w:color w:val="auto"/>
        </w:rPr>
      </w:pPr>
    </w:p>
    <w:p>
      <w:pPr>
        <w:ind w:left="200" w:hanging="197"/>
        <w:spacing w:after="0"/>
        <w:tabs>
          <w:tab w:leader="none" w:pos="2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Adjustments from other insurance expense includes report costs, personnel costs, allocated overhead, licenses, professional fees and other.</w:t>
      </w:r>
    </w:p>
    <w:p>
      <w:pPr>
        <w:spacing w:after="0" w:line="148" w:lineRule="exact"/>
        <w:rPr>
          <w:rFonts w:ascii="Arial" w:cs="Arial" w:eastAsia="Arial" w:hAnsi="Arial"/>
          <w:sz w:val="14"/>
          <w:szCs w:val="14"/>
          <w:color w:val="auto"/>
        </w:rPr>
      </w:pPr>
    </w:p>
    <w:p>
      <w:pPr>
        <w:ind w:left="320" w:right="420" w:hanging="317"/>
        <w:spacing w:after="0" w:line="250" w:lineRule="auto"/>
        <w:tabs>
          <w:tab w:leader="none" w:pos="205"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Net ceding commission and other is comprised of ceding commissions received in connection with reinsurance ceded, partially offset by sliding scale commission adjustments and amortization of excess ceding commission, and other impacts of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502920</wp:posOffset>
            </wp:positionV>
            <wp:extent cx="671195" cy="2127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1195" cy="21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40"/>
        <w:spacing w:after="0"/>
        <w:rPr>
          <w:sz w:val="20"/>
          <w:szCs w:val="20"/>
          <w:color w:val="auto"/>
        </w:rPr>
      </w:pPr>
      <w:r>
        <w:rPr>
          <w:rFonts w:ascii="Arial" w:cs="Arial" w:eastAsia="Arial" w:hAnsi="Arial"/>
          <w:sz w:val="17"/>
          <w:szCs w:val="17"/>
          <w:color w:val="929292"/>
        </w:rPr>
        <w:t>19</w:t>
      </w:r>
    </w:p>
    <w:p>
      <w:pPr>
        <w:sectPr>
          <w:pgSz w:w="11900" w:h="16838" w:orient="portrait"/>
          <w:cols w:equalWidth="0" w:num="1">
            <w:col w:w="11340"/>
          </w:cols>
          <w:pgMar w:left="320" w:top="344" w:right="239" w:bottom="1440" w:gutter="0" w:footer="0" w:header="0"/>
        </w:sectPr>
      </w:pPr>
    </w:p>
    <w:bookmarkStart w:id="22" w:name="page23"/>
    <w:bookmarkEnd w:id="22"/>
    <w:p>
      <w:pPr>
        <w:spacing w:after="0"/>
        <w:rPr>
          <w:sz w:val="20"/>
          <w:szCs w:val="20"/>
          <w:color w:val="auto"/>
        </w:rPr>
      </w:pPr>
      <w:r>
        <w:rPr>
          <w:rFonts w:ascii="Arial" w:cs="Arial" w:eastAsia="Arial" w:hAnsi="Arial"/>
          <w:sz w:val="19"/>
          <w:szCs w:val="19"/>
          <w:b w:val="1"/>
          <w:bCs w:val="1"/>
          <w:color w:val="242424"/>
        </w:rPr>
        <w:t>Letter to Shareholders: FY 2021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B6B6B6"/>
        </w:rPr>
        <w:t>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ROOT, INC. AND SUBSIDIARIES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WRITTEN AND EARNED PREMIUM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340"/>
          </w:cols>
          <w:pgMar w:left="320" w:top="3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Gross written premium</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5"/>
          <w:szCs w:val="15"/>
          <w:color w:val="auto"/>
        </w:rPr>
        <w:t>Ceded written premium</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written premium</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Gross earned premium</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5"/>
          <w:szCs w:val="15"/>
          <w:color w:val="auto"/>
        </w:rPr>
        <w:t>Ceded earned premium</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earned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727075</wp:posOffset>
            </wp:positionV>
            <wp:extent cx="671195" cy="2127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1195" cy="212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 December 31,</w:t>
            </w:r>
          </w:p>
        </w:tc>
        <w:tc>
          <w:tcPr>
            <w:tcW w:w="5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w w:val="96"/>
              </w:rPr>
              <w:t>Years Ended December 31,</w:t>
            </w:r>
          </w:p>
        </w:tc>
      </w:tr>
      <w:tr>
        <w:trPr>
          <w:trHeight w:val="178"/>
        </w:trPr>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r>
      <w:tr>
        <w:trPr>
          <w:trHeight w:val="172"/>
        </w:trPr>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0"/>
        </w:trPr>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158.4</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145.7</w:t>
            </w:r>
          </w:p>
        </w:tc>
        <w:tc>
          <w:tcPr>
            <w:tcW w:w="10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Arial" w:cs="Arial" w:eastAsia="Arial" w:hAnsi="Arial"/>
                <w:sz w:val="17"/>
                <w:szCs w:val="17"/>
                <w:color w:val="auto"/>
                <w:w w:val="84"/>
              </w:rPr>
              <w:t>$</w:t>
            </w:r>
          </w:p>
        </w:tc>
        <w:tc>
          <w:tcPr>
            <w:tcW w:w="920" w:type="dxa"/>
            <w:vAlign w:val="bottom"/>
          </w:tcPr>
          <w:p>
            <w:pPr>
              <w:jc w:val="center"/>
              <w:ind w:left="338"/>
              <w:spacing w:after="0"/>
              <w:rPr>
                <w:sz w:val="20"/>
                <w:szCs w:val="20"/>
                <w:color w:val="auto"/>
              </w:rPr>
            </w:pPr>
            <w:r>
              <w:rPr>
                <w:rFonts w:ascii="Arial" w:cs="Arial" w:eastAsia="Arial" w:hAnsi="Arial"/>
                <w:sz w:val="17"/>
                <w:szCs w:val="17"/>
                <w:color w:val="auto"/>
                <w:w w:val="89"/>
              </w:rPr>
              <w:t>742.6</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center"/>
              <w:ind w:left="537"/>
              <w:spacing w:after="0"/>
              <w:rPr>
                <w:sz w:val="20"/>
                <w:szCs w:val="20"/>
                <w:color w:val="auto"/>
              </w:rPr>
            </w:pPr>
            <w:r>
              <w:rPr>
                <w:rFonts w:ascii="Arial" w:cs="Arial" w:eastAsia="Arial" w:hAnsi="Arial"/>
                <w:sz w:val="17"/>
                <w:szCs w:val="17"/>
                <w:color w:val="auto"/>
                <w:w w:val="93"/>
              </w:rPr>
              <w:t>616.8</w:t>
            </w:r>
          </w:p>
        </w:tc>
      </w:tr>
      <w:tr>
        <w:trPr>
          <w:trHeight w:val="220"/>
        </w:trPr>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(103.3)</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298"/>
              <w:spacing w:after="0"/>
              <w:rPr>
                <w:sz w:val="20"/>
                <w:szCs w:val="20"/>
                <w:color w:val="auto"/>
              </w:rPr>
            </w:pPr>
            <w:r>
              <w:rPr>
                <w:rFonts w:ascii="Arial" w:cs="Arial" w:eastAsia="Arial" w:hAnsi="Arial"/>
                <w:sz w:val="17"/>
                <w:szCs w:val="17"/>
                <w:color w:val="auto"/>
                <w:w w:val="92"/>
              </w:rPr>
              <w:t>(397.3)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517"/>
              <w:spacing w:after="0"/>
              <w:rPr>
                <w:sz w:val="20"/>
                <w:szCs w:val="20"/>
                <w:color w:val="auto"/>
              </w:rPr>
            </w:pPr>
            <w:r>
              <w:rPr>
                <w:rFonts w:ascii="Arial" w:cs="Arial" w:eastAsia="Arial" w:hAnsi="Arial"/>
                <w:sz w:val="17"/>
                <w:szCs w:val="17"/>
                <w:color w:val="auto"/>
                <w:w w:val="92"/>
              </w:rPr>
              <w:t>(378.0)</w:t>
            </w:r>
          </w:p>
        </w:tc>
      </w:tr>
      <w:tr>
        <w:trPr>
          <w:trHeight w:val="211"/>
        </w:trPr>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42.4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center"/>
              <w:ind w:left="338"/>
              <w:spacing w:after="0"/>
              <w:rPr>
                <w:sz w:val="20"/>
                <w:szCs w:val="20"/>
                <w:color w:val="auto"/>
              </w:rPr>
            </w:pPr>
            <w:r>
              <w:rPr>
                <w:rFonts w:ascii="Arial" w:cs="Arial" w:eastAsia="Arial" w:hAnsi="Arial"/>
                <w:sz w:val="17"/>
                <w:szCs w:val="17"/>
                <w:color w:val="auto"/>
                <w:w w:val="89"/>
              </w:rPr>
              <w:t>345.3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center"/>
              <w:ind w:left="537"/>
              <w:spacing w:after="0"/>
              <w:rPr>
                <w:sz w:val="20"/>
                <w:szCs w:val="20"/>
                <w:color w:val="auto"/>
              </w:rPr>
            </w:pPr>
            <w:r>
              <w:rPr>
                <w:rFonts w:ascii="Arial" w:cs="Arial" w:eastAsia="Arial" w:hAnsi="Arial"/>
                <w:sz w:val="17"/>
                <w:szCs w:val="17"/>
                <w:color w:val="auto"/>
                <w:w w:val="93"/>
              </w:rPr>
              <w:t>238.8</w:t>
            </w:r>
          </w:p>
        </w:tc>
      </w:tr>
      <w:tr>
        <w:trPr>
          <w:trHeight w:val="477"/>
        </w:trPr>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189.3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155.0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jc w:val="center"/>
              <w:ind w:left="338"/>
              <w:spacing w:after="0"/>
              <w:rPr>
                <w:sz w:val="20"/>
                <w:szCs w:val="20"/>
                <w:color w:val="auto"/>
              </w:rPr>
            </w:pPr>
            <w:r>
              <w:rPr>
                <w:rFonts w:ascii="Arial" w:cs="Arial" w:eastAsia="Arial" w:hAnsi="Arial"/>
                <w:sz w:val="17"/>
                <w:szCs w:val="17"/>
                <w:color w:val="auto"/>
                <w:w w:val="89"/>
              </w:rPr>
              <w:t>719.6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center"/>
              <w:ind w:left="537"/>
              <w:spacing w:after="0"/>
              <w:rPr>
                <w:sz w:val="20"/>
                <w:szCs w:val="20"/>
                <w:color w:val="auto"/>
              </w:rPr>
            </w:pPr>
            <w:r>
              <w:rPr>
                <w:rFonts w:ascii="Arial" w:cs="Arial" w:eastAsia="Arial" w:hAnsi="Arial"/>
                <w:sz w:val="17"/>
                <w:szCs w:val="17"/>
                <w:color w:val="auto"/>
                <w:w w:val="93"/>
              </w:rPr>
              <w:t>605.2</w:t>
            </w:r>
          </w:p>
        </w:tc>
      </w:tr>
      <w:tr>
        <w:trPr>
          <w:trHeight w:val="220"/>
        </w:trPr>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(110.9)</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298"/>
              <w:spacing w:after="0"/>
              <w:rPr>
                <w:sz w:val="20"/>
                <w:szCs w:val="20"/>
                <w:color w:val="auto"/>
              </w:rPr>
            </w:pPr>
            <w:r>
              <w:rPr>
                <w:rFonts w:ascii="Arial" w:cs="Arial" w:eastAsia="Arial" w:hAnsi="Arial"/>
                <w:sz w:val="17"/>
                <w:szCs w:val="17"/>
                <w:color w:val="auto"/>
                <w:w w:val="92"/>
              </w:rPr>
              <w:t>(409.3)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517"/>
              <w:spacing w:after="0"/>
              <w:rPr>
                <w:sz w:val="20"/>
                <w:szCs w:val="20"/>
                <w:color w:val="auto"/>
              </w:rPr>
            </w:pPr>
            <w:r>
              <w:rPr>
                <w:rFonts w:ascii="Arial" w:cs="Arial" w:eastAsia="Arial" w:hAnsi="Arial"/>
                <w:sz w:val="17"/>
                <w:szCs w:val="17"/>
                <w:color w:val="auto"/>
                <w:w w:val="92"/>
              </w:rPr>
              <w:t>(282.7)</w:t>
            </w:r>
          </w:p>
        </w:tc>
      </w:tr>
      <w:tr>
        <w:trPr>
          <w:trHeight w:val="211"/>
        </w:trPr>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84.9</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44.1</w:t>
            </w:r>
          </w:p>
        </w:tc>
        <w:tc>
          <w:tcPr>
            <w:tcW w:w="100" w:type="dxa"/>
            <w:vAlign w:val="bottom"/>
          </w:tcPr>
          <w:p>
            <w:pPr>
              <w:spacing w:after="0"/>
              <w:rPr>
                <w:sz w:val="18"/>
                <w:szCs w:val="18"/>
                <w:color w:val="auto"/>
              </w:rPr>
            </w:pPr>
          </w:p>
        </w:tc>
        <w:tc>
          <w:tcPr>
            <w:tcW w:w="580" w:type="dxa"/>
            <w:vAlign w:val="bottom"/>
          </w:tcPr>
          <w:p>
            <w:pPr>
              <w:jc w:val="right"/>
              <w:ind w:right="394"/>
              <w:spacing w:after="0"/>
              <w:rPr>
                <w:sz w:val="20"/>
                <w:szCs w:val="20"/>
                <w:color w:val="auto"/>
              </w:rPr>
            </w:pPr>
            <w:r>
              <w:rPr>
                <w:rFonts w:ascii="Arial" w:cs="Arial" w:eastAsia="Arial" w:hAnsi="Arial"/>
                <w:sz w:val="17"/>
                <w:szCs w:val="17"/>
                <w:color w:val="auto"/>
                <w:w w:val="84"/>
              </w:rPr>
              <w:t>$</w:t>
            </w:r>
          </w:p>
        </w:tc>
        <w:tc>
          <w:tcPr>
            <w:tcW w:w="920" w:type="dxa"/>
            <w:vAlign w:val="bottom"/>
          </w:tcPr>
          <w:p>
            <w:pPr>
              <w:jc w:val="center"/>
              <w:ind w:left="338"/>
              <w:spacing w:after="0"/>
              <w:rPr>
                <w:sz w:val="20"/>
                <w:szCs w:val="20"/>
                <w:color w:val="auto"/>
              </w:rPr>
            </w:pPr>
            <w:r>
              <w:rPr>
                <w:rFonts w:ascii="Arial" w:cs="Arial" w:eastAsia="Arial" w:hAnsi="Arial"/>
                <w:sz w:val="17"/>
                <w:szCs w:val="17"/>
                <w:color w:val="auto"/>
                <w:w w:val="89"/>
              </w:rPr>
              <w:t>310.3</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center"/>
              <w:ind w:left="537"/>
              <w:spacing w:after="0"/>
              <w:rPr>
                <w:sz w:val="20"/>
                <w:szCs w:val="20"/>
                <w:color w:val="auto"/>
              </w:rPr>
            </w:pPr>
            <w:r>
              <w:rPr>
                <w:rFonts w:ascii="Arial" w:cs="Arial" w:eastAsia="Arial" w:hAnsi="Arial"/>
                <w:sz w:val="17"/>
                <w:szCs w:val="17"/>
                <w:color w:val="auto"/>
                <w:w w:val="93"/>
              </w:rPr>
              <w:t>322.5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-1013460</wp:posOffset>
            </wp:positionV>
            <wp:extent cx="7138670" cy="139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-735330</wp:posOffset>
            </wp:positionV>
            <wp:extent cx="7138670" cy="147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-424180</wp:posOffset>
            </wp:positionV>
            <wp:extent cx="7138670" cy="139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-145415</wp:posOffset>
            </wp:positionV>
            <wp:extent cx="7138670" cy="147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400"/>
          </w:cols>
          <w:pgMar w:left="320" w:top="34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640"/>
        <w:spacing w:after="0"/>
        <w:rPr>
          <w:sz w:val="20"/>
          <w:szCs w:val="20"/>
          <w:color w:val="auto"/>
        </w:rPr>
      </w:pPr>
      <w:r>
        <w:rPr>
          <w:rFonts w:ascii="Arial" w:cs="Arial" w:eastAsia="Arial" w:hAnsi="Arial"/>
          <w:sz w:val="17"/>
          <w:szCs w:val="17"/>
          <w:color w:val="929292"/>
        </w:rPr>
        <w:t>20</w:t>
      </w:r>
    </w:p>
    <w:sectPr>
      <w:pgSz w:w="11900" w:h="16838" w:orient="portrait"/>
      <w:cols w:equalWidth="0" w:num="1">
        <w:col w:w="11340"/>
      </w:cols>
      <w:pgMar w:left="320" w:top="34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2022-02-23T15:15:09Z</dcterms:created>
  <dcterms:modified xsi:type="dcterms:W3CDTF">2022-02-23T15:15:09Z</dcterms:modified>
</cp:coreProperties>
</file>