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Root,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992,316.00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1,011,125.00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1,011,125.00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4"/>
        <w:gridCol w:w="9071"/>
      </w:tblGrid>
      <w:tr>
        <w:trPr/>
        <w:tc>
          <w:tcPr>
            <w:tcW w:w="1134"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Root, Inc</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E RICH STREET SUITE 500 COLUMBUS OH 43215</w:t>
            </w:r>
          </w:p>
        </w:tc>
      </w:tr>
      <w:tr>
        <w:trPr/>
        <w:tc>
          <w:tcPr>
            <w:tcW w:w="1134"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4"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34"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r>
      <w:tr>
        <w:trPr/>
        <w:tc>
          <w:tcPr>
            <w:tcW w:w="1134"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1011125</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992316</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1011125</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4"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Root, Inc. No one person's interest in the common stock of Root, Inc is more than five percent of the total outstanding common shares.</w:t>
            </w:r>
          </w:p>
        </w:tc>
      </w:tr>
      <w:tr>
        <w:trPr/>
        <w:tc>
          <w:tcPr>
            <w:tcW w:w="1134"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4"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r>
      <w:tr>
        <w:trPr/>
        <w:tc>
          <w:tcPr>
            <w:tcW w:w="1134"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1300</Words>
  <Characters>6797</Characters>
  <CharactersWithSpaces>8011</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