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Root, Inc.</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Class A common stock, par value $0.0001 per share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77664L108</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October 6, 2021</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ind w:left="4960" w:hanging="233"/>
        <w:spacing w:after="0"/>
        <w:tabs>
          <w:tab w:leader="none" w:pos="496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13d-1(b)</w:t>
      </w:r>
    </w:p>
    <w:p>
      <w:pPr>
        <w:spacing w:after="0" w:line="8" w:lineRule="exact"/>
        <w:rPr>
          <w:rFonts w:ascii="Arial" w:cs="Arial" w:eastAsia="Arial" w:hAnsi="Arial"/>
          <w:sz w:val="22"/>
          <w:szCs w:val="22"/>
          <w:color w:val="auto"/>
        </w:rPr>
      </w:pPr>
    </w:p>
    <w:p>
      <w:pPr>
        <w:ind w:left="5300" w:hanging="564"/>
        <w:spacing w:after="0" w:line="230" w:lineRule="auto"/>
        <w:tabs>
          <w:tab w:leader="none" w:pos="5300" w:val="left"/>
        </w:tabs>
        <w:numPr>
          <w:ilvl w:val="1"/>
          <w:numId w:val="1"/>
        </w:numPr>
        <w:rPr>
          <w:rFonts w:ascii="Arial" w:cs="Arial" w:eastAsia="Arial" w:hAnsi="Arial"/>
          <w:sz w:val="22"/>
          <w:szCs w:val="22"/>
          <w:color w:val="auto"/>
        </w:rPr>
      </w:pPr>
      <w:r>
        <w:rPr>
          <w:rFonts w:ascii="Arial" w:cs="Arial" w:eastAsia="Arial" w:hAnsi="Arial"/>
          <w:sz w:val="22"/>
          <w:szCs w:val="22"/>
          <w:color w:val="auto"/>
        </w:rPr>
        <w:t>Rule 13d-1(c)</w:t>
      </w:r>
    </w:p>
    <w:p>
      <w:pPr>
        <w:ind w:left="4960" w:hanging="233"/>
        <w:spacing w:after="0"/>
        <w:tabs>
          <w:tab w:leader="none" w:pos="496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9" w:lineRule="exact"/>
        <w:rPr>
          <w:sz w:val="24"/>
          <w:szCs w:val="24"/>
          <w:color w:val="auto"/>
        </w:rPr>
      </w:pPr>
    </w:p>
    <w:p>
      <w:pPr>
        <w:ind w:right="100"/>
        <w:spacing w:after="0" w:line="243"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The remainder of this cover page shall be filled out for a reporting person's initial filing on this form with respect to the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class of securities, and for any subsequent amendment containing information which would alter the disclosures provided in a prior cover page.</w:t>
      </w:r>
    </w:p>
    <w:p>
      <w:pPr>
        <w:spacing w:after="0" w:line="210"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03"/>
        </w:trPr>
        <w:tc>
          <w:tcPr>
            <w:tcW w:w="2660" w:type="dxa"/>
            <w:vAlign w:val="bottom"/>
            <w:tcBorders>
              <w:top w:val="single" w:sz="8" w:color="auto"/>
              <w:left w:val="single" w:sz="8" w:color="auto"/>
            </w:tcBorders>
            <w:gridSpan w:val="4"/>
          </w:tcPr>
          <w:p>
            <w:pPr>
              <w:ind w:left="540"/>
              <w:spacing w:after="0" w:line="202" w:lineRule="exact"/>
              <w:rPr>
                <w:sz w:val="20"/>
                <w:szCs w:val="20"/>
                <w:color w:val="auto"/>
              </w:rPr>
            </w:pPr>
            <w:r>
              <w:rPr>
                <w:rFonts w:ascii="Arial" w:cs="Arial" w:eastAsia="Arial" w:hAnsi="Arial"/>
                <w:sz w:val="18"/>
                <w:szCs w:val="18"/>
                <w:color w:val="auto"/>
              </w:rPr>
              <w:t>CUSIP No. 77664L108</w:t>
            </w:r>
          </w:p>
        </w:tc>
        <w:tc>
          <w:tcPr>
            <w:tcW w:w="740" w:type="dxa"/>
            <w:vAlign w:val="bottom"/>
            <w:tcBorders>
              <w:top w:val="single" w:sz="8" w:color="auto"/>
              <w:right w:val="single" w:sz="8" w:color="auto"/>
            </w:tcBorders>
          </w:tcPr>
          <w:p>
            <w:pPr>
              <w:spacing w:after="0"/>
              <w:rPr>
                <w:sz w:val="17"/>
                <w:szCs w:val="17"/>
                <w:color w:val="auto"/>
              </w:rPr>
            </w:pPr>
          </w:p>
        </w:tc>
        <w:tc>
          <w:tcPr>
            <w:tcW w:w="3920" w:type="dxa"/>
            <w:vAlign w:val="bottom"/>
            <w:tcBorders>
              <w:top w:val="single" w:sz="8" w:color="auto"/>
              <w:right w:val="single" w:sz="8" w:color="auto"/>
            </w:tcBorders>
          </w:tcPr>
          <w:p>
            <w:pPr>
              <w:jc w:val="right"/>
              <w:ind w:right="1732"/>
              <w:spacing w:after="0" w:line="202" w:lineRule="exact"/>
              <w:rPr>
                <w:sz w:val="20"/>
                <w:szCs w:val="20"/>
                <w:color w:val="auto"/>
              </w:rPr>
            </w:pPr>
            <w:r>
              <w:rPr>
                <w:rFonts w:ascii="Arial" w:cs="Arial" w:eastAsia="Arial" w:hAnsi="Arial"/>
                <w:sz w:val="18"/>
                <w:szCs w:val="18"/>
                <w:color w:val="auto"/>
              </w:rPr>
              <w:t>13G</w:t>
            </w:r>
          </w:p>
        </w:tc>
        <w:tc>
          <w:tcPr>
            <w:tcW w:w="1060" w:type="dxa"/>
            <w:vAlign w:val="bottom"/>
            <w:tcBorders>
              <w:top w:val="single" w:sz="8" w:color="auto"/>
            </w:tcBorders>
            <w:gridSpan w:val="4"/>
          </w:tcPr>
          <w:p>
            <w:pPr>
              <w:spacing w:after="0" w:line="202" w:lineRule="exact"/>
              <w:rPr>
                <w:sz w:val="20"/>
                <w:szCs w:val="20"/>
                <w:color w:val="auto"/>
              </w:rPr>
            </w:pPr>
            <w:r>
              <w:rPr>
                <w:rFonts w:ascii="Arial" w:cs="Arial" w:eastAsia="Arial" w:hAnsi="Arial"/>
                <w:sz w:val="18"/>
                <w:szCs w:val="18"/>
                <w:color w:val="auto"/>
              </w:rPr>
              <w:t>Page 2  of 6</w:t>
            </w:r>
          </w:p>
        </w:tc>
        <w:tc>
          <w:tcPr>
            <w:tcW w:w="2860" w:type="dxa"/>
            <w:vAlign w:val="bottom"/>
            <w:tcBorders>
              <w:top w:val="single" w:sz="8" w:color="auto"/>
              <w:right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Pages</w:t>
            </w:r>
          </w:p>
        </w:tc>
        <w:tc>
          <w:tcPr>
            <w:tcW w:w="0" w:type="dxa"/>
            <w:vAlign w:val="bottom"/>
          </w:tcPr>
          <w:p>
            <w:pPr>
              <w:spacing w:after="0"/>
              <w:rPr>
                <w:sz w:val="1"/>
                <w:szCs w:val="1"/>
                <w:color w:val="auto"/>
              </w:rPr>
            </w:pPr>
          </w:p>
        </w:tc>
      </w:tr>
      <w:tr>
        <w:trPr>
          <w:trHeight w:val="28"/>
        </w:trPr>
        <w:tc>
          <w:tcPr>
            <w:tcW w:w="780" w:type="dxa"/>
            <w:vAlign w:val="bottom"/>
            <w:tcBorders>
              <w:left w:val="single" w:sz="8" w:color="auto"/>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9"/>
              </w:rPr>
              <w:t>1</w:t>
            </w:r>
          </w:p>
        </w:tc>
        <w:tc>
          <w:tcPr>
            <w:tcW w:w="520" w:type="dxa"/>
            <w:vAlign w:val="bottom"/>
            <w:tcBorders>
              <w:right w:val="single" w:sz="8" w:color="auto"/>
            </w:tcBorders>
          </w:tcPr>
          <w:p>
            <w:pPr>
              <w:spacing w:after="0"/>
              <w:rPr>
                <w:sz w:val="20"/>
                <w:szCs w:val="20"/>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NAME OF REPORTING PERSON</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8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60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SCHUSTERMAN INTERESTS, LLC</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80" w:type="dxa"/>
            <w:vAlign w:val="bottom"/>
            <w:tcBorders>
              <w:left w:val="single" w:sz="8" w:color="auto"/>
            </w:tcBorders>
          </w:tcPr>
          <w:p>
            <w:pPr>
              <w:jc w:val="center"/>
              <w:ind w:left="430"/>
              <w:spacing w:after="0" w:line="169" w:lineRule="exact"/>
              <w:rPr>
                <w:sz w:val="20"/>
                <w:szCs w:val="20"/>
                <w:color w:val="auto"/>
              </w:rPr>
            </w:pPr>
            <w:r>
              <w:rPr>
                <w:rFonts w:ascii="Arial" w:cs="Arial" w:eastAsia="Arial" w:hAnsi="Arial"/>
                <w:sz w:val="18"/>
                <w:szCs w:val="18"/>
                <w:b w:val="1"/>
                <w:bCs w:val="1"/>
                <w:color w:val="auto"/>
                <w:w w:val="99"/>
              </w:rPr>
              <w:t>2</w:t>
            </w:r>
          </w:p>
        </w:tc>
        <w:tc>
          <w:tcPr>
            <w:tcW w:w="520" w:type="dxa"/>
            <w:vAlign w:val="bottom"/>
            <w:tcBorders>
              <w:right w:val="single" w:sz="8" w:color="auto"/>
            </w:tcBorders>
          </w:tcPr>
          <w:p>
            <w:pPr>
              <w:spacing w:after="0"/>
              <w:rPr>
                <w:sz w:val="14"/>
                <w:szCs w:val="14"/>
                <w:color w:val="auto"/>
              </w:rPr>
            </w:pPr>
          </w:p>
        </w:tc>
        <w:tc>
          <w:tcPr>
            <w:tcW w:w="6020" w:type="dxa"/>
            <w:vAlign w:val="bottom"/>
            <w:gridSpan w:val="4"/>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right w:val="single" w:sz="8" w:color="auto"/>
            </w:tcBorders>
          </w:tcPr>
          <w:p>
            <w:pPr>
              <w:ind w:left="7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780" w:type="dxa"/>
            <w:vAlign w:val="bottom"/>
            <w:tcBorders>
              <w:left w:val="single" w:sz="8" w:color="auto"/>
              <w:bottom w:val="single" w:sz="8" w:color="auto"/>
            </w:tcBorders>
          </w:tcPr>
          <w:p>
            <w:pPr>
              <w:spacing w:after="0"/>
              <w:rPr>
                <w:sz w:val="23"/>
                <w:szCs w:val="23"/>
                <w:color w:val="auto"/>
              </w:rPr>
            </w:pPr>
          </w:p>
        </w:tc>
        <w:tc>
          <w:tcPr>
            <w:tcW w:w="520" w:type="dxa"/>
            <w:vAlign w:val="bottom"/>
            <w:tcBorders>
              <w:bottom w:val="single" w:sz="8" w:color="auto"/>
              <w:right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40" w:type="dxa"/>
            <w:vAlign w:val="bottom"/>
            <w:tcBorders>
              <w:bottom w:val="single" w:sz="8" w:color="auto"/>
              <w:right w:val="single" w:sz="8" w:color="auto"/>
            </w:tcBorders>
          </w:tcPr>
          <w:p>
            <w:pPr>
              <w:ind w:left="7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9"/>
              </w:rPr>
              <w:t>3</w:t>
            </w:r>
          </w:p>
        </w:tc>
        <w:tc>
          <w:tcPr>
            <w:tcW w:w="520" w:type="dxa"/>
            <w:vAlign w:val="bottom"/>
            <w:tcBorders>
              <w:right w:val="single" w:sz="8" w:color="auto"/>
            </w:tcBorders>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8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gridSpan w:val="3"/>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9"/>
              </w:rPr>
              <w:t>4</w:t>
            </w:r>
          </w:p>
        </w:tc>
        <w:tc>
          <w:tcPr>
            <w:tcW w:w="520" w:type="dxa"/>
            <w:vAlign w:val="bottom"/>
            <w:tcBorders>
              <w:right w:val="single" w:sz="8" w:color="auto"/>
            </w:tcBorders>
          </w:tcPr>
          <w:p>
            <w:pPr>
              <w:spacing w:after="0"/>
              <w:rPr>
                <w:sz w:val="20"/>
                <w:szCs w:val="20"/>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 w:type="dxa"/>
            <w:vAlign w:val="bottom"/>
            <w:tcBorders>
              <w:left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Borders>
              <w:left w:val="single" w:sz="8" w:color="auto"/>
              <w:bottom w:val="single" w:sz="8" w:color="auto"/>
              <w:right w:val="single" w:sz="8" w:color="auto"/>
            </w:tcBorders>
            <w:gridSpan w:val="2"/>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320" w:type="dxa"/>
            <w:vAlign w:val="bottom"/>
            <w:tcBorders>
              <w:left w:val="single" w:sz="8" w:color="auto"/>
              <w:right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8"/>
              </w:rPr>
              <w:t>NUMBER OF</w:t>
            </w:r>
          </w:p>
        </w:tc>
        <w:tc>
          <w:tcPr>
            <w:tcW w:w="340" w:type="dxa"/>
            <w:vAlign w:val="bottom"/>
          </w:tcPr>
          <w:p>
            <w:pPr>
              <w:spacing w:after="0"/>
              <w:rPr>
                <w:sz w:val="17"/>
                <w:szCs w:val="17"/>
                <w:color w:val="auto"/>
              </w:rPr>
            </w:pPr>
          </w:p>
        </w:tc>
        <w:tc>
          <w:tcPr>
            <w:tcW w:w="740" w:type="dxa"/>
            <w:vAlign w:val="bottom"/>
            <w:tcBorders>
              <w:right w:val="single" w:sz="8" w:color="auto"/>
            </w:tcBorders>
          </w:tcPr>
          <w:p>
            <w:pPr>
              <w:jc w:val="right"/>
              <w:ind w:right="430"/>
              <w:spacing w:after="0" w:line="201" w:lineRule="exact"/>
              <w:rPr>
                <w:sz w:val="20"/>
                <w:szCs w:val="20"/>
                <w:color w:val="auto"/>
              </w:rPr>
            </w:pPr>
            <w:r>
              <w:rPr>
                <w:rFonts w:ascii="Arial" w:cs="Arial" w:eastAsia="Arial" w:hAnsi="Arial"/>
                <w:sz w:val="18"/>
                <w:szCs w:val="18"/>
                <w:b w:val="1"/>
                <w:bCs w:val="1"/>
                <w:color w:val="auto"/>
              </w:rPr>
              <w:t>5</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SOLE VOTING POWER</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ind w:right="670"/>
              <w:spacing w:after="0"/>
              <w:rPr>
                <w:sz w:val="20"/>
                <w:szCs w:val="20"/>
                <w:color w:val="auto"/>
              </w:rPr>
            </w:pPr>
            <w:r>
              <w:rPr>
                <w:rFonts w:ascii="Arial" w:cs="Arial" w:eastAsia="Arial" w:hAnsi="Arial"/>
                <w:sz w:val="18"/>
                <w:szCs w:val="18"/>
                <w:color w:val="auto"/>
                <w:w w:val="94"/>
              </w:rPr>
              <w:t>SHARES</w:t>
            </w:r>
          </w:p>
        </w:tc>
        <w:tc>
          <w:tcPr>
            <w:tcW w:w="3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8,750,000</w:t>
            </w: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tcBorders>
              <w:left w:val="single" w:sz="8" w:color="auto"/>
            </w:tcBorders>
          </w:tcPr>
          <w:p>
            <w:pPr>
              <w:spacing w:after="0"/>
              <w:rPr>
                <w:sz w:val="15"/>
                <w:szCs w:val="15"/>
                <w:color w:val="auto"/>
              </w:rPr>
            </w:pPr>
          </w:p>
        </w:tc>
        <w:tc>
          <w:tcPr>
            <w:tcW w:w="1540" w:type="dxa"/>
            <w:vAlign w:val="bottom"/>
            <w:tcBorders>
              <w:right w:val="single" w:sz="8" w:color="auto"/>
            </w:tcBorders>
            <w:gridSpan w:val="2"/>
          </w:tcPr>
          <w:p>
            <w:pPr>
              <w:jc w:val="center"/>
              <w:ind w:right="670"/>
              <w:spacing w:after="0" w:line="175" w:lineRule="exact"/>
              <w:rPr>
                <w:sz w:val="20"/>
                <w:szCs w:val="20"/>
                <w:color w:val="auto"/>
              </w:rPr>
            </w:pPr>
            <w:r>
              <w:rPr>
                <w:rFonts w:ascii="Arial" w:cs="Arial" w:eastAsia="Arial" w:hAnsi="Arial"/>
                <w:sz w:val="18"/>
                <w:szCs w:val="18"/>
                <w:color w:val="auto"/>
                <w:w w:val="95"/>
              </w:rPr>
              <w:t>OWNED</w:t>
            </w:r>
          </w:p>
        </w:tc>
        <w:tc>
          <w:tcPr>
            <w:tcW w:w="340" w:type="dxa"/>
            <w:vAlign w:val="bottom"/>
          </w:tcPr>
          <w:p>
            <w:pPr>
              <w:spacing w:after="0"/>
              <w:rPr>
                <w:sz w:val="15"/>
                <w:szCs w:val="15"/>
                <w:color w:val="auto"/>
              </w:rPr>
            </w:pPr>
          </w:p>
        </w:tc>
        <w:tc>
          <w:tcPr>
            <w:tcW w:w="740" w:type="dxa"/>
            <w:vAlign w:val="bottom"/>
            <w:tcBorders>
              <w:right w:val="single" w:sz="8" w:color="auto"/>
            </w:tcBorders>
          </w:tcPr>
          <w:p>
            <w:pPr>
              <w:jc w:val="right"/>
              <w:ind w:right="430"/>
              <w:spacing w:after="0" w:line="175" w:lineRule="exact"/>
              <w:rPr>
                <w:sz w:val="20"/>
                <w:szCs w:val="20"/>
                <w:color w:val="auto"/>
              </w:rPr>
            </w:pPr>
            <w:r>
              <w:rPr>
                <w:rFonts w:ascii="Arial" w:cs="Arial" w:eastAsia="Arial" w:hAnsi="Arial"/>
                <w:sz w:val="18"/>
                <w:szCs w:val="18"/>
                <w:b w:val="1"/>
                <w:bCs w:val="1"/>
                <w:color w:val="auto"/>
              </w:rPr>
              <w:t>6</w:t>
            </w:r>
          </w:p>
        </w:tc>
        <w:tc>
          <w:tcPr>
            <w:tcW w:w="3920" w:type="dxa"/>
            <w:vAlign w:val="bottom"/>
          </w:tcPr>
          <w:p>
            <w:pPr>
              <w:spacing w:after="0" w:line="175" w:lineRule="exact"/>
              <w:rPr>
                <w:sz w:val="20"/>
                <w:szCs w:val="20"/>
                <w:color w:val="auto"/>
              </w:rPr>
            </w:pPr>
            <w:r>
              <w:rPr>
                <w:rFonts w:ascii="Arial" w:cs="Arial" w:eastAsia="Arial" w:hAnsi="Arial"/>
                <w:sz w:val="18"/>
                <w:szCs w:val="18"/>
                <w:color w:val="auto"/>
              </w:rPr>
              <w:t>SHARED VOTING POWER</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ind w:right="670"/>
              <w:spacing w:after="0"/>
              <w:rPr>
                <w:sz w:val="20"/>
                <w:szCs w:val="20"/>
                <w:color w:val="auto"/>
              </w:rPr>
            </w:pPr>
            <w:r>
              <w:rPr>
                <w:rFonts w:ascii="Arial" w:cs="Arial" w:eastAsia="Arial" w:hAnsi="Arial"/>
                <w:sz w:val="18"/>
                <w:szCs w:val="18"/>
                <w:color w:val="auto"/>
              </w:rPr>
              <w:t>BY</w:t>
            </w:r>
          </w:p>
        </w:tc>
        <w:tc>
          <w:tcPr>
            <w:tcW w:w="3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jc w:val="center"/>
              <w:ind w:right="670"/>
              <w:spacing w:after="0"/>
              <w:rPr>
                <w:sz w:val="20"/>
                <w:szCs w:val="20"/>
                <w:color w:val="auto"/>
              </w:rPr>
            </w:pPr>
            <w:r>
              <w:rPr>
                <w:rFonts w:ascii="Arial" w:cs="Arial" w:eastAsia="Arial" w:hAnsi="Arial"/>
                <w:sz w:val="18"/>
                <w:szCs w:val="18"/>
                <w:color w:val="auto"/>
                <w:w w:val="99"/>
              </w:rPr>
              <w:t>EACH</w:t>
            </w:r>
          </w:p>
        </w:tc>
        <w:tc>
          <w:tcPr>
            <w:tcW w:w="34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0</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3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320" w:type="dxa"/>
            <w:vAlign w:val="bottom"/>
            <w:tcBorders>
              <w:left w:val="single" w:sz="8" w:color="auto"/>
              <w:right w:val="single" w:sz="8" w:color="auto"/>
            </w:tcBorders>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right w:val="single" w:sz="8" w:color="auto"/>
            </w:tcBorders>
          </w:tcPr>
          <w:p>
            <w:pPr>
              <w:jc w:val="right"/>
              <w:ind w:right="430"/>
              <w:spacing w:after="0" w:line="162" w:lineRule="exact"/>
              <w:rPr>
                <w:sz w:val="20"/>
                <w:szCs w:val="20"/>
                <w:color w:val="auto"/>
              </w:rPr>
            </w:pPr>
            <w:r>
              <w:rPr>
                <w:rFonts w:ascii="Arial" w:cs="Arial" w:eastAsia="Arial" w:hAnsi="Arial"/>
                <w:sz w:val="18"/>
                <w:szCs w:val="18"/>
                <w:b w:val="1"/>
                <w:bCs w:val="1"/>
                <w:color w:val="auto"/>
              </w:rPr>
              <w:t>7</w:t>
            </w:r>
          </w:p>
        </w:tc>
        <w:tc>
          <w:tcPr>
            <w:tcW w:w="3920" w:type="dxa"/>
            <w:vAlign w:val="bottom"/>
          </w:tcPr>
          <w:p>
            <w:pPr>
              <w:spacing w:after="0" w:line="162" w:lineRule="exact"/>
              <w:rPr>
                <w:sz w:val="20"/>
                <w:szCs w:val="20"/>
                <w:color w:val="auto"/>
              </w:rPr>
            </w:pPr>
            <w:r>
              <w:rPr>
                <w:rFonts w:ascii="Arial" w:cs="Arial" w:eastAsia="Arial" w:hAnsi="Arial"/>
                <w:sz w:val="18"/>
                <w:szCs w:val="18"/>
                <w:color w:val="auto"/>
              </w:rPr>
              <w:t>SOLE DISPOSITIVE POWER</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80" w:type="dxa"/>
            <w:vAlign w:val="bottom"/>
            <w:tcBorders>
              <w:left w:val="single" w:sz="8" w:color="auto"/>
            </w:tcBorders>
          </w:tcPr>
          <w:p>
            <w:pPr>
              <w:spacing w:after="0"/>
              <w:rPr>
                <w:sz w:val="17"/>
                <w:szCs w:val="17"/>
                <w:color w:val="auto"/>
              </w:rPr>
            </w:pPr>
          </w:p>
        </w:tc>
        <w:tc>
          <w:tcPr>
            <w:tcW w:w="1540" w:type="dxa"/>
            <w:vAlign w:val="bottom"/>
            <w:tcBorders>
              <w:right w:val="single" w:sz="8" w:color="auto"/>
            </w:tcBorders>
            <w:gridSpan w:val="2"/>
          </w:tcPr>
          <w:p>
            <w:pPr>
              <w:jc w:val="center"/>
              <w:ind w:right="670"/>
              <w:spacing w:after="0" w:line="201" w:lineRule="exact"/>
              <w:rPr>
                <w:sz w:val="20"/>
                <w:szCs w:val="20"/>
                <w:color w:val="auto"/>
              </w:rPr>
            </w:pPr>
            <w:r>
              <w:rPr>
                <w:rFonts w:ascii="Arial" w:cs="Arial" w:eastAsia="Arial" w:hAnsi="Arial"/>
                <w:sz w:val="18"/>
                <w:szCs w:val="18"/>
                <w:color w:val="auto"/>
                <w:w w:val="92"/>
              </w:rPr>
              <w:t>PERSON</w:t>
            </w:r>
          </w:p>
        </w:tc>
        <w:tc>
          <w:tcPr>
            <w:tcW w:w="34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78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gridSpan w:val="2"/>
          </w:tcPr>
          <w:p>
            <w:pPr>
              <w:jc w:val="center"/>
              <w:ind w:right="670"/>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8,750,000</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right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8</w:t>
            </w:r>
          </w:p>
        </w:tc>
        <w:tc>
          <w:tcPr>
            <w:tcW w:w="3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8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99"/>
              </w:rPr>
              <w:t>9</w:t>
            </w:r>
          </w:p>
        </w:tc>
        <w:tc>
          <w:tcPr>
            <w:tcW w:w="520" w:type="dxa"/>
            <w:vAlign w:val="bottom"/>
            <w:tcBorders>
              <w:right w:val="single" w:sz="8" w:color="auto"/>
            </w:tcBorders>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8"/>
                <w:szCs w:val="18"/>
                <w:color w:val="auto"/>
              </w:rPr>
              <w:t>AGGREGATE AMOUNT</w:t>
            </w:r>
          </w:p>
        </w:tc>
        <w:tc>
          <w:tcPr>
            <w:tcW w:w="4980" w:type="dxa"/>
            <w:vAlign w:val="bottom"/>
            <w:gridSpan w:val="5"/>
          </w:tcPr>
          <w:p>
            <w:pPr>
              <w:spacing w:after="0"/>
              <w:rPr>
                <w:sz w:val="20"/>
                <w:szCs w:val="20"/>
                <w:color w:val="auto"/>
              </w:rPr>
            </w:pPr>
            <w:r>
              <w:rPr>
                <w:rFonts w:ascii="Arial" w:cs="Arial" w:eastAsia="Arial" w:hAnsi="Arial"/>
                <w:sz w:val="18"/>
                <w:szCs w:val="18"/>
                <w:color w:val="auto"/>
              </w:rPr>
              <w:t>BENEFICIALLY OWNED BY EACH REPORTING PERSON</w:t>
            </w:r>
          </w:p>
        </w:tc>
        <w:tc>
          <w:tcPr>
            <w:tcW w:w="2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8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8,750,000</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80" w:type="dxa"/>
            <w:vAlign w:val="bottom"/>
            <w:tcBorders>
              <w:left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10</w:t>
            </w:r>
          </w:p>
        </w:tc>
        <w:tc>
          <w:tcPr>
            <w:tcW w:w="520" w:type="dxa"/>
            <w:vAlign w:val="bottom"/>
            <w:tcBorders>
              <w:right w:val="single" w:sz="8" w:color="auto"/>
            </w:tcBorders>
          </w:tcPr>
          <w:p>
            <w:pPr>
              <w:spacing w:after="0"/>
              <w:rPr>
                <w:sz w:val="24"/>
                <w:szCs w:val="24"/>
                <w:color w:val="auto"/>
              </w:rPr>
            </w:pPr>
          </w:p>
        </w:tc>
        <w:tc>
          <w:tcPr>
            <w:tcW w:w="7080" w:type="dxa"/>
            <w:vAlign w:val="bottom"/>
            <w:gridSpan w:val="8"/>
          </w:tcPr>
          <w:p>
            <w:pPr>
              <w:spacing w:after="0"/>
              <w:rPr>
                <w:sz w:val="20"/>
                <w:szCs w:val="20"/>
                <w:color w:val="auto"/>
              </w:rPr>
            </w:pPr>
            <w:r>
              <w:rPr>
                <w:rFonts w:ascii="Arial" w:cs="Arial" w:eastAsia="Arial" w:hAnsi="Arial"/>
                <w:sz w:val="18"/>
                <w:szCs w:val="18"/>
                <w:color w:val="auto"/>
                <w:w w:val="96"/>
              </w:rPr>
              <w:t>CHECK BOX IF THE AGGREGATE AMOUNT IN ROW (9) EXCLUDES CERTAIN SHARES</w:t>
            </w:r>
          </w:p>
        </w:tc>
        <w:tc>
          <w:tcPr>
            <w:tcW w:w="20" w:type="dxa"/>
            <w:vAlign w:val="bottom"/>
          </w:tcPr>
          <w:p>
            <w:pPr>
              <w:spacing w:after="0"/>
              <w:rPr>
                <w:sz w:val="24"/>
                <w:szCs w:val="24"/>
                <w:color w:val="auto"/>
              </w:rPr>
            </w:pPr>
          </w:p>
        </w:tc>
        <w:tc>
          <w:tcPr>
            <w:tcW w:w="2840" w:type="dxa"/>
            <w:vAlign w:val="bottom"/>
            <w:tcBorders>
              <w:right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78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11</w:t>
            </w:r>
          </w:p>
        </w:tc>
        <w:tc>
          <w:tcPr>
            <w:tcW w:w="520" w:type="dxa"/>
            <w:vAlign w:val="bottom"/>
            <w:tcBorders>
              <w:right w:val="single" w:sz="8" w:color="auto"/>
            </w:tcBorders>
          </w:tcPr>
          <w:p>
            <w:pPr>
              <w:spacing w:after="0"/>
              <w:rPr>
                <w:sz w:val="20"/>
                <w:szCs w:val="20"/>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8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7.7%</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Borders>
              <w:left w:val="single" w:sz="8" w:color="auto"/>
            </w:tcBorders>
          </w:tcPr>
          <w:p>
            <w:pPr>
              <w:jc w:val="center"/>
              <w:ind w:left="430"/>
              <w:spacing w:after="0"/>
              <w:rPr>
                <w:sz w:val="20"/>
                <w:szCs w:val="20"/>
                <w:color w:val="auto"/>
              </w:rPr>
            </w:pPr>
            <w:r>
              <w:rPr>
                <w:rFonts w:ascii="Arial" w:cs="Arial" w:eastAsia="Arial" w:hAnsi="Arial"/>
                <w:sz w:val="18"/>
                <w:szCs w:val="18"/>
                <w:b w:val="1"/>
                <w:bCs w:val="1"/>
                <w:color w:val="auto"/>
                <w:w w:val="89"/>
              </w:rPr>
              <w:t>12</w:t>
            </w:r>
          </w:p>
        </w:tc>
        <w:tc>
          <w:tcPr>
            <w:tcW w:w="520" w:type="dxa"/>
            <w:vAlign w:val="bottom"/>
            <w:tcBorders>
              <w:right w:val="single" w:sz="8" w:color="auto"/>
            </w:tcBorders>
          </w:tcPr>
          <w:p>
            <w:pPr>
              <w:spacing w:after="0"/>
              <w:rPr>
                <w:sz w:val="20"/>
                <w:szCs w:val="20"/>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780" w:type="dxa"/>
            <w:vAlign w:val="bottom"/>
            <w:tcBorders>
              <w:left w:val="single" w:sz="8" w:color="auto"/>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OO</w:t>
            </w:r>
          </w:p>
        </w:tc>
        <w:tc>
          <w:tcPr>
            <w:tcW w:w="7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920" w:type="dxa"/>
            <w:vAlign w:val="bottom"/>
          </w:tcPr>
          <w:p>
            <w:pPr>
              <w:jc w:val="right"/>
              <w:ind w:right="1572"/>
              <w:spacing w:after="0"/>
              <w:rPr>
                <w:sz w:val="20"/>
                <w:szCs w:val="20"/>
                <w:color w:val="auto"/>
              </w:rPr>
            </w:pPr>
            <w:r>
              <w:rPr>
                <w:rFonts w:ascii="Arial" w:cs="Arial" w:eastAsia="Arial" w:hAnsi="Arial"/>
                <w:sz w:val="14"/>
                <w:szCs w:val="14"/>
                <w:color w:val="auto"/>
              </w:rPr>
              <w:t>2</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tcPr>
          <w:p>
            <w:pPr>
              <w:spacing w:after="0"/>
              <w:rPr>
                <w:sz w:val="20"/>
                <w:szCs w:val="20"/>
                <w:color w:val="auto"/>
              </w:rPr>
            </w:pPr>
            <w:r>
              <w:rPr>
                <w:rFonts w:ascii="Arial" w:cs="Arial" w:eastAsia="Arial" w:hAnsi="Arial"/>
                <w:sz w:val="22"/>
                <w:szCs w:val="22"/>
                <w:b w:val="1"/>
                <w:bCs w:val="1"/>
                <w:color w:val="auto"/>
              </w:rPr>
              <w:t>Item 1(a)</w:t>
            </w:r>
          </w:p>
        </w:tc>
        <w:tc>
          <w:tcPr>
            <w:tcW w:w="8780" w:type="dxa"/>
            <w:vAlign w:val="bottom"/>
            <w:gridSpan w:val="4"/>
          </w:tcPr>
          <w:p>
            <w:pPr>
              <w:spacing w:after="0"/>
              <w:rPr>
                <w:sz w:val="20"/>
                <w:szCs w:val="20"/>
                <w:color w:val="auto"/>
              </w:rPr>
            </w:pPr>
            <w:r>
              <w:rPr>
                <w:rFonts w:ascii="Arial" w:cs="Arial" w:eastAsia="Arial" w:hAnsi="Arial"/>
                <w:sz w:val="22"/>
                <w:szCs w:val="22"/>
                <w:b w:val="1"/>
                <w:bCs w:val="1"/>
                <w:color w:val="auto"/>
              </w:rPr>
              <w:t>Name of Issuer:</w:t>
            </w:r>
          </w:p>
        </w:tc>
      </w:tr>
      <w:tr>
        <w:trPr>
          <w:trHeight w:val="20"/>
        </w:trPr>
        <w:tc>
          <w:tcPr>
            <w:tcW w:w="2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489"/>
        </w:trPr>
        <w:tc>
          <w:tcPr>
            <w:tcW w:w="246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rPr>
              <w:t>The name of the issuer is Root, Inc. (the “Company”).</w:t>
            </w:r>
          </w:p>
        </w:tc>
      </w:tr>
      <w:tr>
        <w:trPr>
          <w:trHeight w:val="408"/>
        </w:trPr>
        <w:tc>
          <w:tcPr>
            <w:tcW w:w="2460" w:type="dxa"/>
            <w:vAlign w:val="bottom"/>
          </w:tcPr>
          <w:p>
            <w:pPr>
              <w:spacing w:after="0"/>
              <w:rPr>
                <w:sz w:val="20"/>
                <w:szCs w:val="20"/>
                <w:color w:val="auto"/>
              </w:rPr>
            </w:pPr>
            <w:r>
              <w:rPr>
                <w:rFonts w:ascii="Arial" w:cs="Arial" w:eastAsia="Arial" w:hAnsi="Arial"/>
                <w:sz w:val="22"/>
                <w:szCs w:val="22"/>
                <w:b w:val="1"/>
                <w:bCs w:val="1"/>
                <w:color w:val="auto"/>
              </w:rPr>
              <w:t>Item 1(b)</w:t>
            </w:r>
          </w:p>
        </w:tc>
        <w:tc>
          <w:tcPr>
            <w:tcW w:w="8780" w:type="dxa"/>
            <w:vAlign w:val="bottom"/>
            <w:gridSpan w:val="4"/>
          </w:tcPr>
          <w:p>
            <w:pPr>
              <w:spacing w:after="0"/>
              <w:rPr>
                <w:sz w:val="20"/>
                <w:szCs w:val="20"/>
                <w:color w:val="auto"/>
              </w:rPr>
            </w:pPr>
            <w:r>
              <w:rPr>
                <w:rFonts w:ascii="Arial" w:cs="Arial" w:eastAsia="Arial" w:hAnsi="Arial"/>
                <w:sz w:val="22"/>
                <w:szCs w:val="22"/>
                <w:b w:val="1"/>
                <w:bCs w:val="1"/>
                <w:color w:val="auto"/>
              </w:rPr>
              <w:t>Address of Issuer's Principal Executive Offices:</w:t>
            </w:r>
          </w:p>
        </w:tc>
      </w:tr>
      <w:tr>
        <w:trPr>
          <w:trHeight w:val="20"/>
        </w:trPr>
        <w:tc>
          <w:tcPr>
            <w:tcW w:w="246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458"/>
        </w:trPr>
        <w:tc>
          <w:tcPr>
            <w:tcW w:w="246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w w:val="92"/>
              </w:rPr>
              <w:t>The Company’s principal executive offices are located at 80 E. Rich Street, Suite 500, Columbus,</w:t>
            </w:r>
          </w:p>
        </w:tc>
      </w:tr>
      <w:tr>
        <w:trPr>
          <w:trHeight w:val="274"/>
        </w:trPr>
        <w:tc>
          <w:tcPr>
            <w:tcW w:w="2460" w:type="dxa"/>
            <w:vAlign w:val="bottom"/>
          </w:tcPr>
          <w:p>
            <w:pPr>
              <w:spacing w:after="0"/>
              <w:rPr>
                <w:sz w:val="23"/>
                <w:szCs w:val="23"/>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rPr>
              <w:t>Ohio 43215.</w:t>
            </w:r>
          </w:p>
        </w:tc>
      </w:tr>
      <w:tr>
        <w:trPr>
          <w:trHeight w:val="408"/>
        </w:trPr>
        <w:tc>
          <w:tcPr>
            <w:tcW w:w="2460" w:type="dxa"/>
            <w:vAlign w:val="bottom"/>
          </w:tcPr>
          <w:p>
            <w:pPr>
              <w:spacing w:after="0"/>
              <w:rPr>
                <w:sz w:val="20"/>
                <w:szCs w:val="20"/>
                <w:color w:val="auto"/>
              </w:rPr>
            </w:pPr>
            <w:r>
              <w:rPr>
                <w:rFonts w:ascii="Arial" w:cs="Arial" w:eastAsia="Arial" w:hAnsi="Arial"/>
                <w:sz w:val="22"/>
                <w:szCs w:val="22"/>
                <w:b w:val="1"/>
                <w:bCs w:val="1"/>
                <w:color w:val="auto"/>
              </w:rPr>
              <w:t>Item 2(a)</w:t>
            </w:r>
          </w:p>
        </w:tc>
        <w:tc>
          <w:tcPr>
            <w:tcW w:w="8780" w:type="dxa"/>
            <w:vAlign w:val="bottom"/>
            <w:gridSpan w:val="4"/>
          </w:tcPr>
          <w:p>
            <w:pPr>
              <w:spacing w:after="0"/>
              <w:rPr>
                <w:sz w:val="20"/>
                <w:szCs w:val="20"/>
                <w:color w:val="auto"/>
              </w:rPr>
            </w:pPr>
            <w:r>
              <w:rPr>
                <w:rFonts w:ascii="Arial" w:cs="Arial" w:eastAsia="Arial" w:hAnsi="Arial"/>
                <w:sz w:val="22"/>
                <w:szCs w:val="22"/>
                <w:b w:val="1"/>
                <w:bCs w:val="1"/>
                <w:color w:val="auto"/>
              </w:rPr>
              <w:t>Name of Person Filing:</w:t>
            </w:r>
          </w:p>
        </w:tc>
      </w:tr>
      <w:tr>
        <w:trPr>
          <w:trHeight w:val="20"/>
        </w:trPr>
        <w:tc>
          <w:tcPr>
            <w:tcW w:w="246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r>
      <w:tr>
        <w:trPr>
          <w:trHeight w:val="458"/>
        </w:trPr>
        <w:tc>
          <w:tcPr>
            <w:tcW w:w="246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w w:val="94"/>
              </w:rPr>
              <w:t>This statement is filed by Schusterman Interests, LLC, a Delaware limited liability company (the</w:t>
            </w:r>
          </w:p>
        </w:tc>
      </w:tr>
      <w:tr>
        <w:trPr>
          <w:trHeight w:val="274"/>
        </w:trPr>
        <w:tc>
          <w:tcPr>
            <w:tcW w:w="2460" w:type="dxa"/>
            <w:vAlign w:val="bottom"/>
          </w:tcPr>
          <w:p>
            <w:pPr>
              <w:spacing w:after="0"/>
              <w:rPr>
                <w:sz w:val="23"/>
                <w:szCs w:val="23"/>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w w:val="98"/>
              </w:rPr>
              <w:t>“Manager”), which serves as the manager of certain accounts (collectively, the “Accounts”).</w:t>
            </w:r>
          </w:p>
        </w:tc>
      </w:tr>
      <w:tr>
        <w:trPr>
          <w:trHeight w:val="428"/>
        </w:trPr>
        <w:tc>
          <w:tcPr>
            <w:tcW w:w="246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w w:val="94"/>
              </w:rPr>
              <w:t>The foregoing person may be referred to hereinafter as the “Reporting Person.” Any disclosures</w:t>
            </w:r>
          </w:p>
        </w:tc>
      </w:tr>
      <w:tr>
        <w:trPr>
          <w:trHeight w:val="243"/>
        </w:trPr>
        <w:tc>
          <w:tcPr>
            <w:tcW w:w="2460" w:type="dxa"/>
            <w:vAlign w:val="bottom"/>
          </w:tcPr>
          <w:p>
            <w:pPr>
              <w:spacing w:after="0"/>
              <w:rPr>
                <w:sz w:val="21"/>
                <w:szCs w:val="21"/>
                <w:color w:val="auto"/>
              </w:rPr>
            </w:pPr>
          </w:p>
        </w:tc>
        <w:tc>
          <w:tcPr>
            <w:tcW w:w="8780" w:type="dxa"/>
            <w:vAlign w:val="bottom"/>
            <w:gridSpan w:val="4"/>
          </w:tcPr>
          <w:p>
            <w:pPr>
              <w:spacing w:after="0" w:line="243" w:lineRule="exact"/>
              <w:rPr>
                <w:sz w:val="20"/>
                <w:szCs w:val="20"/>
                <w:color w:val="auto"/>
              </w:rPr>
            </w:pPr>
            <w:r>
              <w:rPr>
                <w:rFonts w:ascii="Arial" w:cs="Arial" w:eastAsia="Arial" w:hAnsi="Arial"/>
                <w:sz w:val="22"/>
                <w:szCs w:val="22"/>
                <w:color w:val="auto"/>
                <w:w w:val="91"/>
              </w:rPr>
              <w:t>herein with respect to persons other than the Reporting Person are made on information and belief</w:t>
            </w:r>
          </w:p>
        </w:tc>
      </w:tr>
      <w:tr>
        <w:trPr>
          <w:trHeight w:val="274"/>
        </w:trPr>
        <w:tc>
          <w:tcPr>
            <w:tcW w:w="2460" w:type="dxa"/>
            <w:vAlign w:val="bottom"/>
          </w:tcPr>
          <w:p>
            <w:pPr>
              <w:spacing w:after="0"/>
              <w:rPr>
                <w:sz w:val="23"/>
                <w:szCs w:val="23"/>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rPr>
              <w:t>after making inquiry to the appropriate party.</w:t>
            </w:r>
          </w:p>
        </w:tc>
      </w:tr>
      <w:tr>
        <w:trPr>
          <w:trHeight w:val="428"/>
        </w:trPr>
        <w:tc>
          <w:tcPr>
            <w:tcW w:w="246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w w:val="89"/>
              </w:rPr>
              <w:t>The filing of this statement should not be construed as an admission that the Reporting Person is, for</w:t>
            </w:r>
          </w:p>
        </w:tc>
      </w:tr>
      <w:tr>
        <w:trPr>
          <w:trHeight w:val="243"/>
        </w:trPr>
        <w:tc>
          <w:tcPr>
            <w:tcW w:w="2460" w:type="dxa"/>
            <w:vAlign w:val="bottom"/>
          </w:tcPr>
          <w:p>
            <w:pPr>
              <w:spacing w:after="0"/>
              <w:rPr>
                <w:sz w:val="21"/>
                <w:szCs w:val="21"/>
                <w:color w:val="auto"/>
              </w:rPr>
            </w:pPr>
          </w:p>
        </w:tc>
        <w:tc>
          <w:tcPr>
            <w:tcW w:w="8780" w:type="dxa"/>
            <w:vAlign w:val="bottom"/>
            <w:gridSpan w:val="4"/>
          </w:tcPr>
          <w:p>
            <w:pPr>
              <w:spacing w:after="0" w:line="243" w:lineRule="exact"/>
              <w:rPr>
                <w:sz w:val="20"/>
                <w:szCs w:val="20"/>
                <w:color w:val="auto"/>
              </w:rPr>
            </w:pPr>
            <w:r>
              <w:rPr>
                <w:rFonts w:ascii="Arial" w:cs="Arial" w:eastAsia="Arial" w:hAnsi="Arial"/>
                <w:sz w:val="22"/>
                <w:szCs w:val="22"/>
                <w:color w:val="auto"/>
                <w:w w:val="90"/>
              </w:rPr>
              <w:t>the purposes of Section 13 of the Act, the beneficial owner of the Common Stock (as defined below)</w:t>
            </w:r>
          </w:p>
        </w:tc>
      </w:tr>
      <w:tr>
        <w:trPr>
          <w:trHeight w:val="274"/>
        </w:trPr>
        <w:tc>
          <w:tcPr>
            <w:tcW w:w="2460" w:type="dxa"/>
            <w:vAlign w:val="bottom"/>
          </w:tcPr>
          <w:p>
            <w:pPr>
              <w:spacing w:after="0"/>
              <w:rPr>
                <w:sz w:val="23"/>
                <w:szCs w:val="23"/>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rPr>
              <w:t>reported herein.</w:t>
            </w:r>
          </w:p>
        </w:tc>
      </w:tr>
      <w:tr>
        <w:trPr>
          <w:trHeight w:val="459"/>
        </w:trPr>
        <w:tc>
          <w:tcPr>
            <w:tcW w:w="2460" w:type="dxa"/>
            <w:vAlign w:val="bottom"/>
          </w:tcPr>
          <w:p>
            <w:pPr>
              <w:spacing w:after="0"/>
              <w:rPr>
                <w:sz w:val="20"/>
                <w:szCs w:val="20"/>
                <w:color w:val="auto"/>
              </w:rPr>
            </w:pPr>
            <w:r>
              <w:rPr>
                <w:rFonts w:ascii="Arial" w:cs="Arial" w:eastAsia="Arial" w:hAnsi="Arial"/>
                <w:sz w:val="22"/>
                <w:szCs w:val="22"/>
                <w:b w:val="1"/>
                <w:bCs w:val="1"/>
                <w:color w:val="auto"/>
              </w:rPr>
              <w:t>Item 2(b)</w:t>
            </w:r>
          </w:p>
        </w:tc>
        <w:tc>
          <w:tcPr>
            <w:tcW w:w="8780" w:type="dxa"/>
            <w:vAlign w:val="bottom"/>
            <w:gridSpan w:val="4"/>
          </w:tcPr>
          <w:p>
            <w:pPr>
              <w:spacing w:after="0"/>
              <w:rPr>
                <w:sz w:val="20"/>
                <w:szCs w:val="20"/>
                <w:color w:val="auto"/>
              </w:rPr>
            </w:pPr>
            <w:r>
              <w:rPr>
                <w:rFonts w:ascii="Arial" w:cs="Arial" w:eastAsia="Arial" w:hAnsi="Arial"/>
                <w:sz w:val="22"/>
                <w:szCs w:val="22"/>
                <w:b w:val="1"/>
                <w:bCs w:val="1"/>
                <w:color w:val="auto"/>
              </w:rPr>
              <w:t>ADDRESS OF PRINCIPAL BUSINESS OFFICE OR, IF NONE, RESIDENCE</w:t>
            </w:r>
          </w:p>
        </w:tc>
      </w:tr>
      <w:tr>
        <w:trPr>
          <w:trHeight w:val="428"/>
        </w:trPr>
        <w:tc>
          <w:tcPr>
            <w:tcW w:w="246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w w:val="90"/>
              </w:rPr>
              <w:t>The address of the business office of the Reporting Person is 110 West Seventh Street, Suite 2000,</w:t>
            </w:r>
          </w:p>
        </w:tc>
      </w:tr>
      <w:tr>
        <w:trPr>
          <w:trHeight w:val="274"/>
        </w:trPr>
        <w:tc>
          <w:tcPr>
            <w:tcW w:w="2460" w:type="dxa"/>
            <w:vAlign w:val="bottom"/>
          </w:tcPr>
          <w:p>
            <w:pPr>
              <w:spacing w:after="0"/>
              <w:rPr>
                <w:sz w:val="23"/>
                <w:szCs w:val="23"/>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rPr>
              <w:t>Tulsa, Oklahoma 74119</w:t>
            </w:r>
          </w:p>
        </w:tc>
      </w:tr>
      <w:tr>
        <w:trPr>
          <w:trHeight w:val="459"/>
        </w:trPr>
        <w:tc>
          <w:tcPr>
            <w:tcW w:w="2460" w:type="dxa"/>
            <w:vAlign w:val="bottom"/>
          </w:tcPr>
          <w:p>
            <w:pPr>
              <w:spacing w:after="0"/>
              <w:rPr>
                <w:sz w:val="20"/>
                <w:szCs w:val="20"/>
                <w:color w:val="auto"/>
              </w:rPr>
            </w:pPr>
            <w:r>
              <w:rPr>
                <w:rFonts w:ascii="Arial" w:cs="Arial" w:eastAsia="Arial" w:hAnsi="Arial"/>
                <w:sz w:val="22"/>
                <w:szCs w:val="22"/>
                <w:b w:val="1"/>
                <w:bCs w:val="1"/>
                <w:color w:val="auto"/>
              </w:rPr>
              <w:t>Item 2(c)</w:t>
            </w:r>
          </w:p>
        </w:tc>
        <w:tc>
          <w:tcPr>
            <w:tcW w:w="8780" w:type="dxa"/>
            <w:vAlign w:val="bottom"/>
            <w:gridSpan w:val="4"/>
          </w:tcPr>
          <w:p>
            <w:pPr>
              <w:spacing w:after="0"/>
              <w:rPr>
                <w:sz w:val="20"/>
                <w:szCs w:val="20"/>
                <w:color w:val="auto"/>
              </w:rPr>
            </w:pPr>
            <w:r>
              <w:rPr>
                <w:rFonts w:ascii="Arial" w:cs="Arial" w:eastAsia="Arial" w:hAnsi="Arial"/>
                <w:sz w:val="22"/>
                <w:szCs w:val="22"/>
                <w:b w:val="1"/>
                <w:bCs w:val="1"/>
                <w:color w:val="auto"/>
              </w:rPr>
              <w:t>CITIZENSHIP</w:t>
            </w:r>
          </w:p>
        </w:tc>
      </w:tr>
      <w:tr>
        <w:trPr>
          <w:trHeight w:val="459"/>
        </w:trPr>
        <w:tc>
          <w:tcPr>
            <w:tcW w:w="246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rPr>
              <w:t>The Manager and is organized under the laws of the State of Delaware.</w:t>
            </w:r>
          </w:p>
        </w:tc>
      </w:tr>
      <w:tr>
        <w:trPr>
          <w:trHeight w:val="459"/>
        </w:trPr>
        <w:tc>
          <w:tcPr>
            <w:tcW w:w="2460" w:type="dxa"/>
            <w:vAlign w:val="bottom"/>
          </w:tcPr>
          <w:p>
            <w:pPr>
              <w:spacing w:after="0"/>
              <w:rPr>
                <w:sz w:val="20"/>
                <w:szCs w:val="20"/>
                <w:color w:val="auto"/>
              </w:rPr>
            </w:pPr>
            <w:r>
              <w:rPr>
                <w:rFonts w:ascii="Arial" w:cs="Arial" w:eastAsia="Arial" w:hAnsi="Arial"/>
                <w:sz w:val="22"/>
                <w:szCs w:val="22"/>
                <w:b w:val="1"/>
                <w:bCs w:val="1"/>
                <w:color w:val="auto"/>
              </w:rPr>
              <w:t>Item 2(d)</w:t>
            </w:r>
          </w:p>
        </w:tc>
        <w:tc>
          <w:tcPr>
            <w:tcW w:w="8780" w:type="dxa"/>
            <w:vAlign w:val="bottom"/>
            <w:gridSpan w:val="4"/>
          </w:tcPr>
          <w:p>
            <w:pPr>
              <w:spacing w:after="0"/>
              <w:rPr>
                <w:sz w:val="20"/>
                <w:szCs w:val="20"/>
                <w:color w:val="auto"/>
              </w:rPr>
            </w:pPr>
            <w:r>
              <w:rPr>
                <w:rFonts w:ascii="Arial" w:cs="Arial" w:eastAsia="Arial" w:hAnsi="Arial"/>
                <w:sz w:val="22"/>
                <w:szCs w:val="22"/>
                <w:b w:val="1"/>
                <w:bCs w:val="1"/>
                <w:color w:val="auto"/>
              </w:rPr>
              <w:t>TITLE OF CLASS OF SECURITIES</w:t>
            </w:r>
          </w:p>
        </w:tc>
      </w:tr>
      <w:tr>
        <w:trPr>
          <w:trHeight w:val="459"/>
        </w:trPr>
        <w:tc>
          <w:tcPr>
            <w:tcW w:w="2460" w:type="dxa"/>
            <w:vAlign w:val="bottom"/>
          </w:tcPr>
          <w:p>
            <w:pPr>
              <w:spacing w:after="0"/>
              <w:rPr>
                <w:sz w:val="24"/>
                <w:szCs w:val="24"/>
                <w:color w:val="auto"/>
              </w:rPr>
            </w:pPr>
          </w:p>
        </w:tc>
        <w:tc>
          <w:tcPr>
            <w:tcW w:w="8780" w:type="dxa"/>
            <w:vAlign w:val="bottom"/>
            <w:gridSpan w:val="4"/>
          </w:tcPr>
          <w:p>
            <w:pPr>
              <w:spacing w:after="0"/>
              <w:rPr>
                <w:sz w:val="20"/>
                <w:szCs w:val="20"/>
                <w:color w:val="auto"/>
              </w:rPr>
            </w:pPr>
            <w:r>
              <w:rPr>
                <w:rFonts w:ascii="Arial" w:cs="Arial" w:eastAsia="Arial" w:hAnsi="Arial"/>
                <w:sz w:val="22"/>
                <w:szCs w:val="22"/>
                <w:color w:val="auto"/>
              </w:rPr>
              <w:t>Class A common stock, par value $0.0001 per share (“Common Stock”)</w:t>
            </w:r>
          </w:p>
        </w:tc>
      </w:tr>
      <w:tr>
        <w:trPr>
          <w:trHeight w:val="329"/>
        </w:trPr>
        <w:tc>
          <w:tcPr>
            <w:tcW w:w="2460" w:type="dxa"/>
            <w:vAlign w:val="bottom"/>
          </w:tcPr>
          <w:p>
            <w:pPr>
              <w:spacing w:after="0"/>
              <w:rPr>
                <w:sz w:val="24"/>
                <w:szCs w:val="24"/>
                <w:color w:val="auto"/>
              </w:rPr>
            </w:pPr>
          </w:p>
        </w:tc>
        <w:tc>
          <w:tcPr>
            <w:tcW w:w="4300" w:type="dxa"/>
            <w:vAlign w:val="bottom"/>
            <w:gridSpan w:val="3"/>
          </w:tcPr>
          <w:p>
            <w:pPr>
              <w:ind w:left="3120"/>
              <w:spacing w:after="0"/>
              <w:rPr>
                <w:sz w:val="20"/>
                <w:szCs w:val="20"/>
                <w:color w:val="auto"/>
              </w:rPr>
            </w:pPr>
            <w:r>
              <w:rPr>
                <w:rFonts w:ascii="Arial" w:cs="Arial" w:eastAsia="Arial" w:hAnsi="Arial"/>
                <w:sz w:val="14"/>
                <w:szCs w:val="14"/>
                <w:color w:val="auto"/>
              </w:rPr>
              <w:t>3</w:t>
            </w:r>
          </w:p>
        </w:tc>
        <w:tc>
          <w:tcPr>
            <w:tcW w:w="4480" w:type="dxa"/>
            <w:vAlign w:val="bottom"/>
          </w:tcPr>
          <w:p>
            <w:pPr>
              <w:spacing w:after="0"/>
              <w:rPr>
                <w:sz w:val="24"/>
                <w:szCs w:val="24"/>
                <w:color w:val="auto"/>
              </w:rPr>
            </w:pPr>
          </w:p>
        </w:tc>
      </w:tr>
      <w:tr>
        <w:trPr>
          <w:trHeight w:val="46"/>
        </w:trPr>
        <w:tc>
          <w:tcPr>
            <w:tcW w:w="24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57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640" w:type="dxa"/>
            <w:vAlign w:val="bottom"/>
          </w:tcPr>
          <w:p>
            <w:pPr>
              <w:spacing w:after="0"/>
              <w:rPr>
                <w:sz w:val="20"/>
                <w:szCs w:val="20"/>
                <w:color w:val="auto"/>
              </w:rPr>
            </w:pPr>
            <w:r>
              <w:rPr>
                <w:rFonts w:ascii="Arial" w:cs="Arial" w:eastAsia="Arial" w:hAnsi="Arial"/>
                <w:sz w:val="22"/>
                <w:szCs w:val="22"/>
                <w:b w:val="1"/>
                <w:bCs w:val="1"/>
                <w:color w:val="auto"/>
              </w:rPr>
              <w:t>Item 2(e)</w:t>
            </w:r>
          </w:p>
        </w:tc>
        <w:tc>
          <w:tcPr>
            <w:tcW w:w="9600" w:type="dxa"/>
            <w:vAlign w:val="bottom"/>
          </w:tcPr>
          <w:p>
            <w:pPr>
              <w:ind w:left="820"/>
              <w:spacing w:after="0"/>
              <w:rPr>
                <w:sz w:val="20"/>
                <w:szCs w:val="20"/>
                <w:color w:val="auto"/>
              </w:rPr>
            </w:pPr>
            <w:r>
              <w:rPr>
                <w:rFonts w:ascii="Arial" w:cs="Arial" w:eastAsia="Arial" w:hAnsi="Arial"/>
                <w:sz w:val="22"/>
                <w:szCs w:val="22"/>
                <w:b w:val="1"/>
                <w:bCs w:val="1"/>
                <w:color w:val="auto"/>
              </w:rPr>
              <w:t>CUSIP NUMBER</w:t>
            </w:r>
          </w:p>
        </w:tc>
      </w:tr>
      <w:tr>
        <w:trPr>
          <w:trHeight w:val="459"/>
        </w:trPr>
        <w:tc>
          <w:tcPr>
            <w:tcW w:w="1640" w:type="dxa"/>
            <w:vAlign w:val="bottom"/>
          </w:tcPr>
          <w:p>
            <w:pPr>
              <w:spacing w:after="0"/>
              <w:rPr>
                <w:sz w:val="24"/>
                <w:szCs w:val="24"/>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rPr>
              <w:t>77664L108</w:t>
            </w:r>
          </w:p>
        </w:tc>
      </w:tr>
      <w:tr>
        <w:trPr>
          <w:trHeight w:val="422"/>
        </w:trPr>
        <w:tc>
          <w:tcPr>
            <w:tcW w:w="1640" w:type="dxa"/>
            <w:vAlign w:val="bottom"/>
          </w:tcPr>
          <w:p>
            <w:pPr>
              <w:spacing w:after="0"/>
              <w:rPr>
                <w:sz w:val="20"/>
                <w:szCs w:val="20"/>
                <w:color w:val="auto"/>
              </w:rPr>
            </w:pPr>
            <w:r>
              <w:rPr>
                <w:rFonts w:ascii="Arial" w:cs="Arial" w:eastAsia="Arial" w:hAnsi="Arial"/>
                <w:sz w:val="22"/>
                <w:szCs w:val="22"/>
                <w:b w:val="1"/>
                <w:bCs w:val="1"/>
                <w:color w:val="auto"/>
              </w:rPr>
              <w:t>Item 3</w:t>
            </w:r>
          </w:p>
        </w:tc>
        <w:tc>
          <w:tcPr>
            <w:tcW w:w="9600" w:type="dxa"/>
            <w:vAlign w:val="bottom"/>
          </w:tcPr>
          <w:p>
            <w:pPr>
              <w:ind w:left="820"/>
              <w:spacing w:after="0"/>
              <w:rPr>
                <w:sz w:val="20"/>
                <w:szCs w:val="20"/>
                <w:color w:val="auto"/>
              </w:rPr>
            </w:pPr>
            <w:r>
              <w:rPr>
                <w:rFonts w:ascii="Arial" w:cs="Arial" w:eastAsia="Arial" w:hAnsi="Arial"/>
                <w:sz w:val="22"/>
                <w:szCs w:val="22"/>
                <w:b w:val="1"/>
                <w:bCs w:val="1"/>
                <w:color w:val="auto"/>
              </w:rPr>
              <w:t>IF THIS STATEMENT IS FILED PURSUANT TO Rules 13d-1(b), OR 13d-2(b) OR (c),</w:t>
            </w:r>
          </w:p>
        </w:tc>
      </w:tr>
      <w:tr>
        <w:trPr>
          <w:trHeight w:val="280"/>
        </w:trPr>
        <w:tc>
          <w:tcPr>
            <w:tcW w:w="1640" w:type="dxa"/>
            <w:vAlign w:val="bottom"/>
          </w:tcPr>
          <w:p>
            <w:pPr>
              <w:spacing w:after="0"/>
              <w:rPr>
                <w:sz w:val="24"/>
                <w:szCs w:val="24"/>
                <w:color w:val="auto"/>
              </w:rPr>
            </w:pPr>
          </w:p>
        </w:tc>
        <w:tc>
          <w:tcPr>
            <w:tcW w:w="9600" w:type="dxa"/>
            <w:vAlign w:val="bottom"/>
          </w:tcPr>
          <w:p>
            <w:pPr>
              <w:ind w:left="820"/>
              <w:spacing w:after="0"/>
              <w:rPr>
                <w:sz w:val="20"/>
                <w:szCs w:val="20"/>
                <w:color w:val="auto"/>
              </w:rPr>
            </w:pPr>
            <w:r>
              <w:rPr>
                <w:rFonts w:ascii="Arial" w:cs="Arial" w:eastAsia="Arial" w:hAnsi="Arial"/>
                <w:sz w:val="22"/>
                <w:szCs w:val="22"/>
                <w:b w:val="1"/>
                <w:bCs w:val="1"/>
                <w:color w:val="auto"/>
              </w:rPr>
              <w:t>CHECK WHETHER THE PERSON FILING IS A:</w:t>
            </w:r>
          </w:p>
        </w:tc>
      </w:tr>
      <w:tr>
        <w:trPr>
          <w:trHeight w:val="459"/>
        </w:trPr>
        <w:tc>
          <w:tcPr>
            <w:tcW w:w="1640" w:type="dxa"/>
            <w:vAlign w:val="bottom"/>
          </w:tcPr>
          <w:p>
            <w:pPr>
              <w:spacing w:after="0"/>
              <w:rPr>
                <w:sz w:val="24"/>
                <w:szCs w:val="24"/>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rPr>
              <w:t>None</w:t>
            </w:r>
          </w:p>
        </w:tc>
      </w:tr>
      <w:tr>
        <w:trPr>
          <w:trHeight w:val="459"/>
        </w:trPr>
        <w:tc>
          <w:tcPr>
            <w:tcW w:w="164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9600" w:type="dxa"/>
            <w:vAlign w:val="bottom"/>
          </w:tcPr>
          <w:p>
            <w:pPr>
              <w:ind w:left="820"/>
              <w:spacing w:after="0"/>
              <w:rPr>
                <w:sz w:val="20"/>
                <w:szCs w:val="20"/>
                <w:color w:val="auto"/>
              </w:rPr>
            </w:pPr>
            <w:r>
              <w:rPr>
                <w:rFonts w:ascii="Arial" w:cs="Arial" w:eastAsia="Arial" w:hAnsi="Arial"/>
                <w:sz w:val="22"/>
                <w:szCs w:val="22"/>
                <w:b w:val="1"/>
                <w:bCs w:val="1"/>
                <w:color w:val="auto"/>
              </w:rPr>
              <w:t>OWNERSHIP:</w:t>
            </w:r>
          </w:p>
        </w:tc>
      </w:tr>
      <w:tr>
        <w:trPr>
          <w:trHeight w:val="428"/>
        </w:trPr>
        <w:tc>
          <w:tcPr>
            <w:tcW w:w="1640" w:type="dxa"/>
            <w:vAlign w:val="bottom"/>
          </w:tcPr>
          <w:p>
            <w:pPr>
              <w:spacing w:after="0"/>
              <w:rPr>
                <w:sz w:val="24"/>
                <w:szCs w:val="24"/>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w w:val="92"/>
              </w:rPr>
              <w:t>The percentages used herein and in the rest of this Schedule 13G are calculated based upon the</w:t>
            </w:r>
          </w:p>
        </w:tc>
      </w:tr>
      <w:tr>
        <w:trPr>
          <w:trHeight w:val="243"/>
        </w:trPr>
        <w:tc>
          <w:tcPr>
            <w:tcW w:w="1640" w:type="dxa"/>
            <w:vAlign w:val="bottom"/>
          </w:tcPr>
          <w:p>
            <w:pPr>
              <w:spacing w:after="0"/>
              <w:rPr>
                <w:sz w:val="21"/>
                <w:szCs w:val="21"/>
                <w:color w:val="auto"/>
              </w:rPr>
            </w:pPr>
          </w:p>
        </w:tc>
        <w:tc>
          <w:tcPr>
            <w:tcW w:w="9600" w:type="dxa"/>
            <w:vAlign w:val="bottom"/>
          </w:tcPr>
          <w:p>
            <w:pPr>
              <w:ind w:left="820"/>
              <w:spacing w:after="0" w:line="243" w:lineRule="exact"/>
              <w:rPr>
                <w:sz w:val="20"/>
                <w:szCs w:val="20"/>
                <w:color w:val="auto"/>
              </w:rPr>
            </w:pPr>
            <w:r>
              <w:rPr>
                <w:rFonts w:ascii="Arial" w:cs="Arial" w:eastAsia="Arial" w:hAnsi="Arial"/>
                <w:sz w:val="22"/>
                <w:szCs w:val="22"/>
                <w:color w:val="auto"/>
                <w:w w:val="87"/>
              </w:rPr>
              <w:t>114,186,275 shares of Common Stock issued and outstanding as of August 9, 2021 as reflected in the</w:t>
            </w:r>
          </w:p>
        </w:tc>
      </w:tr>
      <w:tr>
        <w:trPr>
          <w:trHeight w:val="243"/>
        </w:trPr>
        <w:tc>
          <w:tcPr>
            <w:tcW w:w="1640" w:type="dxa"/>
            <w:vAlign w:val="bottom"/>
          </w:tcPr>
          <w:p>
            <w:pPr>
              <w:spacing w:after="0"/>
              <w:rPr>
                <w:sz w:val="21"/>
                <w:szCs w:val="21"/>
                <w:color w:val="auto"/>
              </w:rPr>
            </w:pPr>
          </w:p>
        </w:tc>
        <w:tc>
          <w:tcPr>
            <w:tcW w:w="9600" w:type="dxa"/>
            <w:vAlign w:val="bottom"/>
          </w:tcPr>
          <w:p>
            <w:pPr>
              <w:ind w:left="820"/>
              <w:spacing w:after="0" w:line="243" w:lineRule="exact"/>
              <w:rPr>
                <w:sz w:val="20"/>
                <w:szCs w:val="20"/>
                <w:color w:val="auto"/>
              </w:rPr>
            </w:pPr>
            <w:r>
              <w:rPr>
                <w:rFonts w:ascii="Arial" w:cs="Arial" w:eastAsia="Arial" w:hAnsi="Arial"/>
                <w:sz w:val="22"/>
                <w:szCs w:val="22"/>
                <w:color w:val="auto"/>
                <w:w w:val="92"/>
              </w:rPr>
              <w:t>Company’s Form 10-Q for the quarterly period ended June 30, 2021 filed with the U.S. Securities</w:t>
            </w:r>
          </w:p>
        </w:tc>
      </w:tr>
      <w:tr>
        <w:trPr>
          <w:trHeight w:val="274"/>
        </w:trPr>
        <w:tc>
          <w:tcPr>
            <w:tcW w:w="1640" w:type="dxa"/>
            <w:vAlign w:val="bottom"/>
          </w:tcPr>
          <w:p>
            <w:pPr>
              <w:spacing w:after="0"/>
              <w:rPr>
                <w:sz w:val="23"/>
                <w:szCs w:val="23"/>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rPr>
              <w:t>and Exchange Commission on August 12, 2021.</w:t>
            </w:r>
          </w:p>
        </w:tc>
      </w:tr>
      <w:tr>
        <w:trPr>
          <w:trHeight w:val="428"/>
        </w:trPr>
        <w:tc>
          <w:tcPr>
            <w:tcW w:w="1640" w:type="dxa"/>
            <w:vAlign w:val="bottom"/>
          </w:tcPr>
          <w:p>
            <w:pPr>
              <w:spacing w:after="0"/>
              <w:rPr>
                <w:sz w:val="24"/>
                <w:szCs w:val="24"/>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w w:val="96"/>
              </w:rPr>
              <w:t>The information required by Items 4(a) – (c) is set forth in Rows 5-11 of the cover page for the</w:t>
            </w:r>
          </w:p>
        </w:tc>
      </w:tr>
      <w:tr>
        <w:trPr>
          <w:trHeight w:val="274"/>
        </w:trPr>
        <w:tc>
          <w:tcPr>
            <w:tcW w:w="1640" w:type="dxa"/>
            <w:vAlign w:val="bottom"/>
          </w:tcPr>
          <w:p>
            <w:pPr>
              <w:spacing w:after="0"/>
              <w:rPr>
                <w:sz w:val="23"/>
                <w:szCs w:val="23"/>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rPr>
              <w:t>Reporting Person and is incorporated herein by reference.</w:t>
            </w:r>
          </w:p>
        </w:tc>
      </w:tr>
      <w:tr>
        <w:trPr>
          <w:trHeight w:val="428"/>
        </w:trPr>
        <w:tc>
          <w:tcPr>
            <w:tcW w:w="1640" w:type="dxa"/>
            <w:vAlign w:val="bottom"/>
          </w:tcPr>
          <w:p>
            <w:pPr>
              <w:spacing w:after="0"/>
              <w:rPr>
                <w:sz w:val="24"/>
                <w:szCs w:val="24"/>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w w:val="91"/>
              </w:rPr>
              <w:t>The Reporting Person does not directly own any Common Stock.  Pursuant to agency agreements</w:t>
            </w:r>
          </w:p>
        </w:tc>
      </w:tr>
      <w:tr>
        <w:trPr>
          <w:trHeight w:val="243"/>
        </w:trPr>
        <w:tc>
          <w:tcPr>
            <w:tcW w:w="1640" w:type="dxa"/>
            <w:vAlign w:val="bottom"/>
          </w:tcPr>
          <w:p>
            <w:pPr>
              <w:spacing w:after="0"/>
              <w:rPr>
                <w:sz w:val="21"/>
                <w:szCs w:val="21"/>
                <w:color w:val="auto"/>
              </w:rPr>
            </w:pPr>
          </w:p>
        </w:tc>
        <w:tc>
          <w:tcPr>
            <w:tcW w:w="9600" w:type="dxa"/>
            <w:vAlign w:val="bottom"/>
          </w:tcPr>
          <w:p>
            <w:pPr>
              <w:ind w:left="820"/>
              <w:spacing w:after="0" w:line="243" w:lineRule="exact"/>
              <w:rPr>
                <w:sz w:val="20"/>
                <w:szCs w:val="20"/>
                <w:color w:val="auto"/>
              </w:rPr>
            </w:pPr>
            <w:r>
              <w:rPr>
                <w:rFonts w:ascii="Arial" w:cs="Arial" w:eastAsia="Arial" w:hAnsi="Arial"/>
                <w:sz w:val="22"/>
                <w:szCs w:val="22"/>
                <w:color w:val="auto"/>
                <w:w w:val="94"/>
              </w:rPr>
              <w:t>regarding the Accounts, the Manager maintains voting and dispositive power with respect to the</w:t>
            </w:r>
          </w:p>
        </w:tc>
      </w:tr>
      <w:tr>
        <w:trPr>
          <w:trHeight w:val="243"/>
        </w:trPr>
        <w:tc>
          <w:tcPr>
            <w:tcW w:w="1640" w:type="dxa"/>
            <w:vAlign w:val="bottom"/>
          </w:tcPr>
          <w:p>
            <w:pPr>
              <w:spacing w:after="0"/>
              <w:rPr>
                <w:sz w:val="21"/>
                <w:szCs w:val="21"/>
                <w:color w:val="auto"/>
              </w:rPr>
            </w:pPr>
          </w:p>
        </w:tc>
        <w:tc>
          <w:tcPr>
            <w:tcW w:w="9600" w:type="dxa"/>
            <w:vAlign w:val="bottom"/>
          </w:tcPr>
          <w:p>
            <w:pPr>
              <w:ind w:left="820"/>
              <w:spacing w:after="0" w:line="243" w:lineRule="exact"/>
              <w:rPr>
                <w:sz w:val="20"/>
                <w:szCs w:val="20"/>
                <w:color w:val="auto"/>
              </w:rPr>
            </w:pPr>
            <w:r>
              <w:rPr>
                <w:rFonts w:ascii="Arial" w:cs="Arial" w:eastAsia="Arial" w:hAnsi="Arial"/>
                <w:sz w:val="22"/>
                <w:szCs w:val="22"/>
                <w:color w:val="auto"/>
                <w:w w:val="95"/>
              </w:rPr>
              <w:t>securities held by the Accounts.  Under the rules promulgated by the Securities and Exchange</w:t>
            </w:r>
          </w:p>
        </w:tc>
      </w:tr>
      <w:tr>
        <w:trPr>
          <w:trHeight w:val="243"/>
        </w:trPr>
        <w:tc>
          <w:tcPr>
            <w:tcW w:w="1640" w:type="dxa"/>
            <w:vAlign w:val="bottom"/>
          </w:tcPr>
          <w:p>
            <w:pPr>
              <w:spacing w:after="0"/>
              <w:rPr>
                <w:sz w:val="21"/>
                <w:szCs w:val="21"/>
                <w:color w:val="auto"/>
              </w:rPr>
            </w:pPr>
          </w:p>
        </w:tc>
        <w:tc>
          <w:tcPr>
            <w:tcW w:w="9600" w:type="dxa"/>
            <w:vAlign w:val="bottom"/>
          </w:tcPr>
          <w:p>
            <w:pPr>
              <w:ind w:left="820"/>
              <w:spacing w:after="0" w:line="243" w:lineRule="exact"/>
              <w:rPr>
                <w:sz w:val="20"/>
                <w:szCs w:val="20"/>
                <w:color w:val="auto"/>
              </w:rPr>
            </w:pPr>
            <w:r>
              <w:rPr>
                <w:rFonts w:ascii="Arial" w:cs="Arial" w:eastAsia="Arial" w:hAnsi="Arial"/>
                <w:sz w:val="22"/>
                <w:szCs w:val="22"/>
                <w:color w:val="auto"/>
                <w:w w:val="93"/>
              </w:rPr>
              <w:t>Commission, the Reporting Person may be deemed to beneficially own the Common Stock.  The</w:t>
            </w:r>
          </w:p>
        </w:tc>
      </w:tr>
      <w:tr>
        <w:trPr>
          <w:trHeight w:val="274"/>
        </w:trPr>
        <w:tc>
          <w:tcPr>
            <w:tcW w:w="1640" w:type="dxa"/>
            <w:vAlign w:val="bottom"/>
          </w:tcPr>
          <w:p>
            <w:pPr>
              <w:spacing w:after="0"/>
              <w:rPr>
                <w:sz w:val="23"/>
                <w:szCs w:val="23"/>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w w:val="90"/>
              </w:rPr>
              <w:t>Reporting Person hereby disclaims beneficial ownership of the securities covered by this statement.</w:t>
            </w:r>
          </w:p>
        </w:tc>
      </w:tr>
      <w:tr>
        <w:trPr>
          <w:trHeight w:val="459"/>
        </w:trPr>
        <w:tc>
          <w:tcPr>
            <w:tcW w:w="16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9600" w:type="dxa"/>
            <w:vAlign w:val="bottom"/>
          </w:tcPr>
          <w:p>
            <w:pPr>
              <w:ind w:left="820"/>
              <w:spacing w:after="0"/>
              <w:rPr>
                <w:sz w:val="20"/>
                <w:szCs w:val="20"/>
                <w:color w:val="auto"/>
              </w:rPr>
            </w:pPr>
            <w:r>
              <w:rPr>
                <w:rFonts w:ascii="Arial" w:cs="Arial" w:eastAsia="Arial" w:hAnsi="Arial"/>
                <w:sz w:val="22"/>
                <w:szCs w:val="22"/>
                <w:b w:val="1"/>
                <w:bCs w:val="1"/>
                <w:color w:val="auto"/>
              </w:rPr>
              <w:t>OWNERSHIP OF FIVE PERCENT OR LESS OF A CLASS:</w:t>
            </w:r>
          </w:p>
        </w:tc>
      </w:tr>
      <w:tr>
        <w:trPr>
          <w:trHeight w:val="459"/>
        </w:trPr>
        <w:tc>
          <w:tcPr>
            <w:tcW w:w="1640" w:type="dxa"/>
            <w:vAlign w:val="bottom"/>
          </w:tcPr>
          <w:p>
            <w:pPr>
              <w:spacing w:after="0"/>
              <w:rPr>
                <w:sz w:val="24"/>
                <w:szCs w:val="24"/>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rPr>
              <w:t>Not applicable.</w:t>
            </w:r>
          </w:p>
        </w:tc>
      </w:tr>
      <w:tr>
        <w:trPr>
          <w:trHeight w:val="459"/>
        </w:trPr>
        <w:tc>
          <w:tcPr>
            <w:tcW w:w="16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9600" w:type="dxa"/>
            <w:vAlign w:val="bottom"/>
          </w:tcPr>
          <w:p>
            <w:pPr>
              <w:ind w:left="8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428"/>
        </w:trPr>
        <w:tc>
          <w:tcPr>
            <w:tcW w:w="1640" w:type="dxa"/>
            <w:vAlign w:val="bottom"/>
          </w:tcPr>
          <w:p>
            <w:pPr>
              <w:spacing w:after="0"/>
              <w:rPr>
                <w:sz w:val="24"/>
                <w:szCs w:val="24"/>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w w:val="93"/>
              </w:rPr>
              <w:t>See Item 2. The Accounts have the right to receive or the power to direct the receipt of dividends</w:t>
            </w:r>
          </w:p>
        </w:tc>
      </w:tr>
      <w:tr>
        <w:trPr>
          <w:trHeight w:val="274"/>
        </w:trPr>
        <w:tc>
          <w:tcPr>
            <w:tcW w:w="1640" w:type="dxa"/>
            <w:vAlign w:val="bottom"/>
          </w:tcPr>
          <w:p>
            <w:pPr>
              <w:spacing w:after="0"/>
              <w:rPr>
                <w:sz w:val="23"/>
                <w:szCs w:val="23"/>
                <w:color w:val="auto"/>
              </w:rPr>
            </w:pPr>
          </w:p>
        </w:tc>
        <w:tc>
          <w:tcPr>
            <w:tcW w:w="9600" w:type="dxa"/>
            <w:vAlign w:val="bottom"/>
          </w:tcPr>
          <w:p>
            <w:pPr>
              <w:ind w:left="820"/>
              <w:spacing w:after="0"/>
              <w:rPr>
                <w:sz w:val="20"/>
                <w:szCs w:val="20"/>
                <w:color w:val="auto"/>
              </w:rPr>
            </w:pPr>
            <w:r>
              <w:rPr>
                <w:rFonts w:ascii="Arial" w:cs="Arial" w:eastAsia="Arial" w:hAnsi="Arial"/>
                <w:sz w:val="22"/>
                <w:szCs w:val="22"/>
                <w:color w:val="auto"/>
              </w:rPr>
              <w:t>from, or the proceeds from the sale of, the Common Stock reported herein.</w:t>
            </w:r>
          </w:p>
        </w:tc>
      </w:tr>
      <w:tr>
        <w:trPr>
          <w:trHeight w:val="329"/>
        </w:trPr>
        <w:tc>
          <w:tcPr>
            <w:tcW w:w="1640" w:type="dxa"/>
            <w:vAlign w:val="bottom"/>
          </w:tcPr>
          <w:p>
            <w:pPr>
              <w:spacing w:after="0"/>
              <w:rPr>
                <w:sz w:val="24"/>
                <w:szCs w:val="24"/>
                <w:color w:val="auto"/>
              </w:rPr>
            </w:pPr>
          </w:p>
        </w:tc>
        <w:tc>
          <w:tcPr>
            <w:tcW w:w="9600" w:type="dxa"/>
            <w:vAlign w:val="bottom"/>
          </w:tcPr>
          <w:p>
            <w:pPr>
              <w:ind w:left="3940"/>
              <w:spacing w:after="0"/>
              <w:rPr>
                <w:sz w:val="20"/>
                <w:szCs w:val="20"/>
                <w:color w:val="auto"/>
              </w:rPr>
            </w:pPr>
            <w:r>
              <w:rPr>
                <w:rFonts w:ascii="Arial" w:cs="Arial" w:eastAsia="Arial" w:hAnsi="Arial"/>
                <w:sz w:val="14"/>
                <w:szCs w:val="14"/>
                <w:color w:val="auto"/>
              </w:rPr>
              <w:t>4</w:t>
            </w:r>
          </w:p>
        </w:tc>
      </w:tr>
      <w:tr>
        <w:trPr>
          <w:trHeight w:val="46"/>
        </w:trPr>
        <w:tc>
          <w:tcPr>
            <w:tcW w:w="1640" w:type="dxa"/>
            <w:vAlign w:val="bottom"/>
            <w:tcBorders>
              <w:bottom w:val="single" w:sz="8" w:color="auto"/>
            </w:tcBorders>
          </w:tcPr>
          <w:p>
            <w:pPr>
              <w:spacing w:after="0"/>
              <w:rPr>
                <w:sz w:val="4"/>
                <w:szCs w:val="4"/>
                <w:color w:val="auto"/>
              </w:rPr>
            </w:pPr>
          </w:p>
        </w:tc>
        <w:tc>
          <w:tcPr>
            <w:tcW w:w="96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5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9660" w:type="dxa"/>
            <w:vAlign w:val="bottom"/>
          </w:tcPr>
          <w:p>
            <w:pPr>
              <w:ind w:left="880"/>
              <w:spacing w:after="0"/>
              <w:rPr>
                <w:sz w:val="20"/>
                <w:szCs w:val="20"/>
                <w:color w:val="auto"/>
              </w:rPr>
            </w:pPr>
            <w:r>
              <w:rPr>
                <w:rFonts w:ascii="Arial" w:cs="Arial" w:eastAsia="Arial" w:hAnsi="Arial"/>
                <w:sz w:val="22"/>
                <w:szCs w:val="22"/>
                <w:b w:val="1"/>
                <w:bCs w:val="1"/>
                <w:color w:val="auto"/>
              </w:rPr>
              <w:t>IDENTIFICATION AND CLASSIFICATION OF THE SUBSIDIARY WHICH ACQUIRED</w:t>
            </w:r>
          </w:p>
        </w:tc>
      </w:tr>
      <w:tr>
        <w:trPr>
          <w:trHeight w:val="243"/>
        </w:trPr>
        <w:tc>
          <w:tcPr>
            <w:tcW w:w="1580" w:type="dxa"/>
            <w:vAlign w:val="bottom"/>
          </w:tcPr>
          <w:p>
            <w:pPr>
              <w:spacing w:after="0"/>
              <w:rPr>
                <w:sz w:val="21"/>
                <w:szCs w:val="21"/>
                <w:color w:val="auto"/>
              </w:rPr>
            </w:pPr>
          </w:p>
        </w:tc>
        <w:tc>
          <w:tcPr>
            <w:tcW w:w="9660" w:type="dxa"/>
            <w:vAlign w:val="bottom"/>
          </w:tcPr>
          <w:p>
            <w:pPr>
              <w:ind w:left="880"/>
              <w:spacing w:after="0" w:line="243" w:lineRule="exact"/>
              <w:rPr>
                <w:sz w:val="20"/>
                <w:szCs w:val="20"/>
                <w:color w:val="auto"/>
              </w:rPr>
            </w:pPr>
            <w:r>
              <w:rPr>
                <w:rFonts w:ascii="Arial" w:cs="Arial" w:eastAsia="Arial" w:hAnsi="Arial"/>
                <w:sz w:val="22"/>
                <w:szCs w:val="22"/>
                <w:b w:val="1"/>
                <w:bCs w:val="1"/>
                <w:color w:val="auto"/>
              </w:rPr>
              <w:t>THE SECURITY BEING REPORTED ON BY THE PARENT HOLDING COMPANY OR</w:t>
            </w:r>
          </w:p>
        </w:tc>
      </w:tr>
      <w:tr>
        <w:trPr>
          <w:trHeight w:val="280"/>
        </w:trPr>
        <w:tc>
          <w:tcPr>
            <w:tcW w:w="1580" w:type="dxa"/>
            <w:vAlign w:val="bottom"/>
          </w:tcPr>
          <w:p>
            <w:pPr>
              <w:spacing w:after="0"/>
              <w:rPr>
                <w:sz w:val="24"/>
                <w:szCs w:val="24"/>
                <w:color w:val="auto"/>
              </w:rPr>
            </w:pPr>
          </w:p>
        </w:tc>
        <w:tc>
          <w:tcPr>
            <w:tcW w:w="9660" w:type="dxa"/>
            <w:vAlign w:val="bottom"/>
          </w:tcPr>
          <w:p>
            <w:pPr>
              <w:ind w:left="880"/>
              <w:spacing w:after="0"/>
              <w:rPr>
                <w:sz w:val="20"/>
                <w:szCs w:val="20"/>
                <w:color w:val="auto"/>
              </w:rPr>
            </w:pPr>
            <w:r>
              <w:rPr>
                <w:rFonts w:ascii="Arial" w:cs="Arial" w:eastAsia="Arial" w:hAnsi="Arial"/>
                <w:sz w:val="22"/>
                <w:szCs w:val="22"/>
                <w:b w:val="1"/>
                <w:bCs w:val="1"/>
                <w:color w:val="auto"/>
              </w:rPr>
              <w:t>CONTROL PERSON:</w:t>
            </w:r>
          </w:p>
        </w:tc>
      </w:tr>
      <w:tr>
        <w:trPr>
          <w:trHeight w:val="459"/>
        </w:trPr>
        <w:tc>
          <w:tcPr>
            <w:tcW w:w="1580" w:type="dxa"/>
            <w:vAlign w:val="bottom"/>
          </w:tcPr>
          <w:p>
            <w:pPr>
              <w:spacing w:after="0"/>
              <w:rPr>
                <w:sz w:val="24"/>
                <w:szCs w:val="24"/>
                <w:color w:val="auto"/>
              </w:rPr>
            </w:pPr>
          </w:p>
        </w:tc>
        <w:tc>
          <w:tcPr>
            <w:tcW w:w="9660" w:type="dxa"/>
            <w:vAlign w:val="bottom"/>
          </w:tcPr>
          <w:p>
            <w:pPr>
              <w:ind w:left="880"/>
              <w:spacing w:after="0"/>
              <w:rPr>
                <w:sz w:val="20"/>
                <w:szCs w:val="20"/>
                <w:color w:val="auto"/>
              </w:rPr>
            </w:pPr>
            <w:r>
              <w:rPr>
                <w:rFonts w:ascii="Arial" w:cs="Arial" w:eastAsia="Arial" w:hAnsi="Arial"/>
                <w:sz w:val="22"/>
                <w:szCs w:val="22"/>
                <w:color w:val="auto"/>
              </w:rPr>
              <w:t>Not applicable.</w:t>
            </w: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9660" w:type="dxa"/>
            <w:vAlign w:val="bottom"/>
          </w:tcPr>
          <w:p>
            <w:pPr>
              <w:ind w:left="88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59"/>
        </w:trPr>
        <w:tc>
          <w:tcPr>
            <w:tcW w:w="1580" w:type="dxa"/>
            <w:vAlign w:val="bottom"/>
          </w:tcPr>
          <w:p>
            <w:pPr>
              <w:spacing w:after="0"/>
              <w:rPr>
                <w:sz w:val="24"/>
                <w:szCs w:val="24"/>
                <w:color w:val="auto"/>
              </w:rPr>
            </w:pPr>
          </w:p>
        </w:tc>
        <w:tc>
          <w:tcPr>
            <w:tcW w:w="9660" w:type="dxa"/>
            <w:vAlign w:val="bottom"/>
          </w:tcPr>
          <w:p>
            <w:pPr>
              <w:ind w:left="880"/>
              <w:spacing w:after="0"/>
              <w:rPr>
                <w:sz w:val="20"/>
                <w:szCs w:val="20"/>
                <w:color w:val="auto"/>
              </w:rPr>
            </w:pPr>
            <w:r>
              <w:rPr>
                <w:rFonts w:ascii="Arial" w:cs="Arial" w:eastAsia="Arial" w:hAnsi="Arial"/>
                <w:sz w:val="22"/>
                <w:szCs w:val="22"/>
                <w:color w:val="auto"/>
              </w:rPr>
              <w:t>Not applicable.</w:t>
            </w: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9660" w:type="dxa"/>
            <w:vAlign w:val="bottom"/>
          </w:tcPr>
          <w:p>
            <w:pPr>
              <w:ind w:left="880"/>
              <w:spacing w:after="0"/>
              <w:rPr>
                <w:sz w:val="20"/>
                <w:szCs w:val="20"/>
                <w:color w:val="auto"/>
              </w:rPr>
            </w:pPr>
            <w:r>
              <w:rPr>
                <w:rFonts w:ascii="Arial" w:cs="Arial" w:eastAsia="Arial" w:hAnsi="Arial"/>
                <w:sz w:val="22"/>
                <w:szCs w:val="22"/>
                <w:b w:val="1"/>
                <w:bCs w:val="1"/>
                <w:color w:val="auto"/>
              </w:rPr>
              <w:t>NOTICE OF DISSOLUTION OF GROUP:</w:t>
            </w:r>
          </w:p>
        </w:tc>
      </w:tr>
      <w:tr>
        <w:trPr>
          <w:trHeight w:val="459"/>
        </w:trPr>
        <w:tc>
          <w:tcPr>
            <w:tcW w:w="1580" w:type="dxa"/>
            <w:vAlign w:val="bottom"/>
          </w:tcPr>
          <w:p>
            <w:pPr>
              <w:spacing w:after="0"/>
              <w:rPr>
                <w:sz w:val="24"/>
                <w:szCs w:val="24"/>
                <w:color w:val="auto"/>
              </w:rPr>
            </w:pPr>
          </w:p>
        </w:tc>
        <w:tc>
          <w:tcPr>
            <w:tcW w:w="9660" w:type="dxa"/>
            <w:vAlign w:val="bottom"/>
          </w:tcPr>
          <w:p>
            <w:pPr>
              <w:ind w:left="880"/>
              <w:spacing w:after="0"/>
              <w:rPr>
                <w:sz w:val="20"/>
                <w:szCs w:val="20"/>
                <w:color w:val="auto"/>
              </w:rPr>
            </w:pPr>
            <w:r>
              <w:rPr>
                <w:rFonts w:ascii="Arial" w:cs="Arial" w:eastAsia="Arial" w:hAnsi="Arial"/>
                <w:sz w:val="22"/>
                <w:szCs w:val="22"/>
                <w:color w:val="auto"/>
              </w:rPr>
              <w:t>Not applicable.</w:t>
            </w:r>
          </w:p>
        </w:tc>
      </w:tr>
      <w:tr>
        <w:trPr>
          <w:trHeight w:val="459"/>
        </w:trPr>
        <w:tc>
          <w:tcPr>
            <w:tcW w:w="158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9660" w:type="dxa"/>
            <w:vAlign w:val="bottom"/>
          </w:tcPr>
          <w:p>
            <w:pPr>
              <w:ind w:left="880"/>
              <w:spacing w:after="0"/>
              <w:rPr>
                <w:sz w:val="20"/>
                <w:szCs w:val="20"/>
                <w:color w:val="auto"/>
              </w:rPr>
            </w:pPr>
            <w:r>
              <w:rPr>
                <w:rFonts w:ascii="Arial" w:cs="Arial" w:eastAsia="Arial" w:hAnsi="Arial"/>
                <w:sz w:val="22"/>
                <w:szCs w:val="22"/>
                <w:b w:val="1"/>
                <w:bCs w:val="1"/>
                <w:color w:val="auto"/>
              </w:rPr>
              <w:t>CERTIFICATION:</w:t>
            </w:r>
          </w:p>
        </w:tc>
      </w:tr>
      <w:tr>
        <w:trPr>
          <w:trHeight w:val="428"/>
        </w:trPr>
        <w:tc>
          <w:tcPr>
            <w:tcW w:w="1580" w:type="dxa"/>
            <w:vAlign w:val="bottom"/>
          </w:tcPr>
          <w:p>
            <w:pPr>
              <w:spacing w:after="0"/>
              <w:rPr>
                <w:sz w:val="24"/>
                <w:szCs w:val="24"/>
                <w:color w:val="auto"/>
              </w:rPr>
            </w:pPr>
          </w:p>
        </w:tc>
        <w:tc>
          <w:tcPr>
            <w:tcW w:w="9660" w:type="dxa"/>
            <w:vAlign w:val="bottom"/>
          </w:tcPr>
          <w:p>
            <w:pPr>
              <w:ind w:left="880"/>
              <w:spacing w:after="0"/>
              <w:rPr>
                <w:sz w:val="20"/>
                <w:szCs w:val="20"/>
                <w:color w:val="auto"/>
              </w:rPr>
            </w:pPr>
            <w:r>
              <w:rPr>
                <w:rFonts w:ascii="Arial" w:cs="Arial" w:eastAsia="Arial" w:hAnsi="Arial"/>
                <w:sz w:val="22"/>
                <w:szCs w:val="22"/>
                <w:color w:val="auto"/>
                <w:w w:val="94"/>
              </w:rPr>
              <w:t>By signing below the Reporting Person certifies that, to the best of its knowledge and belief, the</w:t>
            </w:r>
          </w:p>
        </w:tc>
      </w:tr>
      <w:tr>
        <w:trPr>
          <w:trHeight w:val="243"/>
        </w:trPr>
        <w:tc>
          <w:tcPr>
            <w:tcW w:w="1580" w:type="dxa"/>
            <w:vAlign w:val="bottom"/>
          </w:tcPr>
          <w:p>
            <w:pPr>
              <w:spacing w:after="0"/>
              <w:rPr>
                <w:sz w:val="21"/>
                <w:szCs w:val="21"/>
                <w:color w:val="auto"/>
              </w:rPr>
            </w:pPr>
          </w:p>
        </w:tc>
        <w:tc>
          <w:tcPr>
            <w:tcW w:w="9660" w:type="dxa"/>
            <w:vAlign w:val="bottom"/>
          </w:tcPr>
          <w:p>
            <w:pPr>
              <w:ind w:left="880"/>
              <w:spacing w:after="0" w:line="243" w:lineRule="exact"/>
              <w:rPr>
                <w:sz w:val="20"/>
                <w:szCs w:val="20"/>
                <w:color w:val="auto"/>
              </w:rPr>
            </w:pPr>
            <w:r>
              <w:rPr>
                <w:rFonts w:ascii="Arial" w:cs="Arial" w:eastAsia="Arial" w:hAnsi="Arial"/>
                <w:sz w:val="22"/>
                <w:szCs w:val="22"/>
                <w:color w:val="auto"/>
                <w:w w:val="89"/>
              </w:rPr>
              <w:t>securities referred to above were not acquired and are not held for the purpose of or with the effect of</w:t>
            </w:r>
          </w:p>
        </w:tc>
      </w:tr>
      <w:tr>
        <w:trPr>
          <w:trHeight w:val="243"/>
        </w:trPr>
        <w:tc>
          <w:tcPr>
            <w:tcW w:w="1580" w:type="dxa"/>
            <w:vAlign w:val="bottom"/>
          </w:tcPr>
          <w:p>
            <w:pPr>
              <w:spacing w:after="0"/>
              <w:rPr>
                <w:sz w:val="21"/>
                <w:szCs w:val="21"/>
                <w:color w:val="auto"/>
              </w:rPr>
            </w:pPr>
          </w:p>
        </w:tc>
        <w:tc>
          <w:tcPr>
            <w:tcW w:w="9660" w:type="dxa"/>
            <w:vAlign w:val="bottom"/>
          </w:tcPr>
          <w:p>
            <w:pPr>
              <w:ind w:left="880"/>
              <w:spacing w:after="0" w:line="243" w:lineRule="exact"/>
              <w:rPr>
                <w:sz w:val="20"/>
                <w:szCs w:val="20"/>
                <w:color w:val="auto"/>
              </w:rPr>
            </w:pPr>
            <w:r>
              <w:rPr>
                <w:rFonts w:ascii="Arial" w:cs="Arial" w:eastAsia="Arial" w:hAnsi="Arial"/>
                <w:sz w:val="22"/>
                <w:szCs w:val="22"/>
                <w:color w:val="auto"/>
                <w:w w:val="91"/>
              </w:rPr>
              <w:t>changing or influencing the control of the issuer of the securities and were not acquired and are not</w:t>
            </w:r>
          </w:p>
        </w:tc>
      </w:tr>
      <w:tr>
        <w:trPr>
          <w:trHeight w:val="243"/>
        </w:trPr>
        <w:tc>
          <w:tcPr>
            <w:tcW w:w="1580" w:type="dxa"/>
            <w:vAlign w:val="bottom"/>
          </w:tcPr>
          <w:p>
            <w:pPr>
              <w:spacing w:after="0"/>
              <w:rPr>
                <w:sz w:val="21"/>
                <w:szCs w:val="21"/>
                <w:color w:val="auto"/>
              </w:rPr>
            </w:pPr>
          </w:p>
        </w:tc>
        <w:tc>
          <w:tcPr>
            <w:tcW w:w="9660" w:type="dxa"/>
            <w:vAlign w:val="bottom"/>
          </w:tcPr>
          <w:p>
            <w:pPr>
              <w:ind w:left="880"/>
              <w:spacing w:after="0" w:line="243" w:lineRule="exact"/>
              <w:rPr>
                <w:sz w:val="20"/>
                <w:szCs w:val="20"/>
                <w:color w:val="auto"/>
              </w:rPr>
            </w:pPr>
            <w:r>
              <w:rPr>
                <w:rFonts w:ascii="Arial" w:cs="Arial" w:eastAsia="Arial" w:hAnsi="Arial"/>
                <w:sz w:val="22"/>
                <w:szCs w:val="22"/>
                <w:color w:val="auto"/>
                <w:w w:val="89"/>
              </w:rPr>
              <w:t>held in connection with or as a participant in any transaction having that purpose or effect, other than</w:t>
            </w:r>
          </w:p>
        </w:tc>
      </w:tr>
      <w:tr>
        <w:trPr>
          <w:trHeight w:val="274"/>
        </w:trPr>
        <w:tc>
          <w:tcPr>
            <w:tcW w:w="1580" w:type="dxa"/>
            <w:vAlign w:val="bottom"/>
          </w:tcPr>
          <w:p>
            <w:pPr>
              <w:spacing w:after="0"/>
              <w:rPr>
                <w:sz w:val="23"/>
                <w:szCs w:val="23"/>
                <w:color w:val="auto"/>
              </w:rPr>
            </w:pPr>
          </w:p>
        </w:tc>
        <w:tc>
          <w:tcPr>
            <w:tcW w:w="9660" w:type="dxa"/>
            <w:vAlign w:val="bottom"/>
          </w:tcPr>
          <w:p>
            <w:pPr>
              <w:ind w:left="880"/>
              <w:spacing w:after="0"/>
              <w:rPr>
                <w:sz w:val="20"/>
                <w:szCs w:val="20"/>
                <w:color w:val="auto"/>
              </w:rPr>
            </w:pPr>
            <w:r>
              <w:rPr>
                <w:rFonts w:ascii="Arial" w:cs="Arial" w:eastAsia="Arial" w:hAnsi="Arial"/>
                <w:sz w:val="22"/>
                <w:szCs w:val="22"/>
                <w:color w:val="auto"/>
              </w:rPr>
              <w:t>activities solely in connection with a nomination under Section 240.14a-11.</w:t>
            </w:r>
          </w:p>
        </w:tc>
      </w:tr>
      <w:tr>
        <w:trPr>
          <w:trHeight w:val="815"/>
        </w:trPr>
        <w:tc>
          <w:tcPr>
            <w:tcW w:w="1580" w:type="dxa"/>
            <w:vAlign w:val="bottom"/>
          </w:tcPr>
          <w:p>
            <w:pPr>
              <w:spacing w:after="0"/>
              <w:rPr>
                <w:sz w:val="24"/>
                <w:szCs w:val="24"/>
                <w:color w:val="auto"/>
              </w:rPr>
            </w:pPr>
          </w:p>
        </w:tc>
        <w:tc>
          <w:tcPr>
            <w:tcW w:w="9660" w:type="dxa"/>
            <w:vAlign w:val="bottom"/>
          </w:tcPr>
          <w:p>
            <w:pPr>
              <w:ind w:left="4000"/>
              <w:spacing w:after="0"/>
              <w:rPr>
                <w:sz w:val="20"/>
                <w:szCs w:val="20"/>
                <w:color w:val="auto"/>
              </w:rPr>
            </w:pPr>
            <w:r>
              <w:rPr>
                <w:rFonts w:ascii="Arial" w:cs="Arial" w:eastAsia="Arial" w:hAnsi="Arial"/>
                <w:sz w:val="14"/>
                <w:szCs w:val="14"/>
                <w:color w:val="auto"/>
              </w:rPr>
              <w:t>5</w:t>
            </w:r>
          </w:p>
        </w:tc>
      </w:tr>
      <w:tr>
        <w:trPr>
          <w:trHeight w:val="46"/>
        </w:trPr>
        <w:tc>
          <w:tcPr>
            <w:tcW w:w="1580" w:type="dxa"/>
            <w:vAlign w:val="bottom"/>
            <w:tcBorders>
              <w:bottom w:val="single" w:sz="8" w:color="auto"/>
            </w:tcBorders>
          </w:tcPr>
          <w:p>
            <w:pPr>
              <w:spacing w:after="0"/>
              <w:rPr>
                <w:sz w:val="4"/>
                <w:szCs w:val="4"/>
                <w:color w:val="auto"/>
              </w:rPr>
            </w:pPr>
          </w:p>
        </w:tc>
        <w:tc>
          <w:tcPr>
            <w:tcW w:w="96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4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his or its knowledge and belief, each of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October 12, 2021</w:t>
      </w:r>
    </w:p>
    <w:p>
      <w:pPr>
        <w:spacing w:after="0" w:line="233"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SCHUSTERMAN INTERESTS, LLC</w:t>
      </w:r>
    </w:p>
    <w:p>
      <w:pPr>
        <w:spacing w:after="0" w:line="200" w:lineRule="exact"/>
        <w:rPr>
          <w:sz w:val="20"/>
          <w:szCs w:val="20"/>
          <w:color w:val="auto"/>
        </w:rPr>
      </w:pPr>
    </w:p>
    <w:p>
      <w:pPr>
        <w:spacing w:after="0" w:line="222" w:lineRule="exact"/>
        <w:rPr>
          <w:sz w:val="20"/>
          <w:szCs w:val="20"/>
          <w:color w:val="auto"/>
        </w:rPr>
      </w:pPr>
    </w:p>
    <w:p>
      <w:pPr>
        <w:ind w:left="5780"/>
        <w:spacing w:after="0"/>
        <w:rPr>
          <w:sz w:val="20"/>
          <w:szCs w:val="20"/>
          <w:color w:val="auto"/>
        </w:rPr>
      </w:pPr>
      <w:r>
        <w:rPr>
          <w:rFonts w:ascii="Arial" w:cs="Arial" w:eastAsia="Arial" w:hAnsi="Arial"/>
          <w:sz w:val="22"/>
          <w:szCs w:val="22"/>
          <w:color w:val="auto"/>
        </w:rPr>
        <w:t>By:  /s/ Raquel Gozzi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-17780</wp:posOffset>
            </wp:positionV>
            <wp:extent cx="2560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0320" cy="8890"/>
                    </a:xfrm>
                    <a:prstGeom prst="rect">
                      <a:avLst/>
                    </a:prstGeom>
                    <a:noFill/>
                  </pic:spPr>
                </pic:pic>
              </a:graphicData>
            </a:graphic>
          </wp:anchor>
        </w:drawing>
      </w:r>
    </w:p>
    <w:p>
      <w:pPr>
        <w:ind w:left="6240"/>
        <w:spacing w:after="0" w:line="238" w:lineRule="auto"/>
        <w:rPr>
          <w:sz w:val="20"/>
          <w:szCs w:val="20"/>
          <w:color w:val="auto"/>
        </w:rPr>
      </w:pPr>
      <w:r>
        <w:rPr>
          <w:rFonts w:ascii="Arial" w:cs="Arial" w:eastAsia="Arial" w:hAnsi="Arial"/>
          <w:sz w:val="22"/>
          <w:szCs w:val="22"/>
          <w:color w:val="auto"/>
        </w:rPr>
        <w:t>Name: Raquel Gozzi</w:t>
      </w:r>
    </w:p>
    <w:p>
      <w:pPr>
        <w:ind w:left="6240"/>
        <w:spacing w:after="0"/>
        <w:rPr>
          <w:sz w:val="20"/>
          <w:szCs w:val="20"/>
          <w:color w:val="auto"/>
        </w:rPr>
      </w:pPr>
      <w:r>
        <w:rPr>
          <w:rFonts w:ascii="Arial" w:cs="Arial" w:eastAsia="Arial" w:hAnsi="Arial"/>
          <w:sz w:val="22"/>
          <w:szCs w:val="22"/>
          <w:color w:val="auto"/>
        </w:rPr>
        <w:t>Title: Treasurer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upperLetter"/>
      <w:start w:val="2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2021-10-12T13:40:08Z</dcterms:created>
  <dcterms:modified xsi:type="dcterms:W3CDTF">2021-10-12T13:40:08Z</dcterms:modified>
</cp:coreProperties>
</file>