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before="0" w:after="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from____________to____________</w:t>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 001-39658</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ROOT,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 E. Rich Street, Suite 500</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(866) 980-9431</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23, 2024, the number of outstanding shares of the registrant’s Class A common stock, par value $0.0001 per share, was 9.9 million and the number of outstanding shares of the registrant’s Class B common stock, par value $0.0001 per share, was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3"/>
        <w:gridCol w:w="608"/>
        <w:gridCol w:w="608"/>
        <w:gridCol w:w="2659"/>
        <w:gridCol w:w="2507"/>
        <w:gridCol w:w="2557"/>
        <w:gridCol w:w="167"/>
        <w:gridCol w:w="167"/>
        <w:gridCol w:w="239"/>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9d7485c5c7c45d18d6db2ccecb9f996_13">
              <w:r>
                <w:rPr>
                  <w:rStyle w:val="InternetLink"/>
                  <w:rFonts w:ascii="Times New Roman;sans-serif" w:hAnsi="Times New Roman;sans-serif"/>
                  <w:b w:val="false"/>
                  <w:color w:val="0000FF"/>
                  <w:sz w:val="20"/>
                  <w:u w:val="single"/>
                </w:rPr>
                <w:t>ii</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6">
              <w:r>
                <w:rPr>
                  <w:rStyle w:val="InternetLink"/>
                  <w:rFonts w:ascii="Times New Roman;sans-serif" w:hAnsi="Times New Roman;sans-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6">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9">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9">
              <w:r>
                <w:rPr>
                  <w:rStyle w:val="InternetLink"/>
                  <w:rFonts w:ascii="Times New Roman;sans-serif" w:hAnsi="Times New Roman;sans-serif"/>
                  <w:b w:val="false"/>
                  <w:color w:val="0000FF"/>
                  <w:sz w:val="20"/>
                  <w:u w:val="single"/>
                </w:rPr>
                <w:t>Financial Statements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9">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22">
              <w:r>
                <w:rPr>
                  <w:rStyle w:val="InternetLink"/>
                  <w:rFonts w:ascii="Times New Roman;sans-serif" w:hAnsi="Times New Roman;sans-serif"/>
                  <w:b w:val="false"/>
                  <w:color w:val="0000FF"/>
                  <w:sz w:val="20"/>
                  <w:u w:val="single"/>
                </w:rPr>
                <w:t>Condensed Consolidated Balance Sheets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22">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25">
              <w:r>
                <w:rPr>
                  <w:rStyle w:val="InternetLink"/>
                  <w:rFonts w:ascii="Times New Roman;sans-serif" w:hAnsi="Times New Roman;sans-serif"/>
                  <w:b w:val="false"/>
                  <w:color w:val="0000FF"/>
                  <w:sz w:val="20"/>
                  <w:u w:val="single"/>
                </w:rPr>
                <w:t>Condensed Consolidated Statements of Operations and Comprehensive Loss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25">
              <w:r>
                <w:rPr>
                  <w:rStyle w:val="InternetLink"/>
                  <w:rFonts w:ascii="Times New Roman;sans-serif" w:hAnsi="Times New Roman;sans-serif"/>
                  <w:b w:val="false"/>
                  <w:color w:val="0000FF"/>
                  <w:sz w:val="20"/>
                  <w:u w:val="single"/>
                </w:rPr>
                <w:t>2</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9d7485c5c7c45d18d6db2ccecb9f996_31">
              <w:r>
                <w:rPr>
                  <w:rStyle w:val="InternetLink"/>
                  <w:rFonts w:ascii="Times New Roman;sans-serif" w:hAnsi="Times New Roman;sans-serif"/>
                  <w:b w:val="false"/>
                  <w:color w:val="0000FF"/>
                  <w:sz w:val="20"/>
                  <w:u w:val="single"/>
                </w:rPr>
                <w:t>Condensed Consolidated Statements of Redeemable Convertible Preferred Stock and Stockholders’ Equity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31">
              <w:r>
                <w:rPr>
                  <w:rStyle w:val="InternetLink"/>
                  <w:rFonts w:ascii="Times New Roman;sans-serif" w:hAnsi="Times New Roman;sans-serif"/>
                  <w:b w:val="false"/>
                  <w:color w:val="0000FF"/>
                  <w:sz w:val="20"/>
                  <w:u w:val="single"/>
                </w:rPr>
                <w:t>3</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37">
              <w:r>
                <w:rPr>
                  <w:rStyle w:val="InternetLink"/>
                  <w:rFonts w:ascii="Times New Roman;sans-serif" w:hAnsi="Times New Roman;sans-serif"/>
                  <w:b w:val="false"/>
                  <w:color w:val="0000FF"/>
                  <w:sz w:val="20"/>
                  <w:u w:val="single"/>
                </w:rPr>
                <w:t>Condensed Consolidated Statements of Cash Flows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37">
              <w:r>
                <w:rPr>
                  <w:rStyle w:val="InternetLink"/>
                  <w:rFonts w:ascii="Times New Roman;sans-serif" w:hAnsi="Times New Roman;sans-serif"/>
                  <w:b w:val="false"/>
                  <w:color w:val="0000FF"/>
                  <w:sz w:val="20"/>
                  <w:u w:val="single"/>
                </w:rPr>
                <w:t>4</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40">
              <w:r>
                <w:rPr>
                  <w:rStyle w:val="InternetLink"/>
                  <w:rFonts w:ascii="Times New Roman;sans-serif" w:hAnsi="Times New Roman;sans-serif"/>
                  <w:b w:val="false"/>
                  <w:color w:val="0000FF"/>
                  <w:sz w:val="20"/>
                  <w:u w:val="single"/>
                </w:rPr>
                <w:t>Notes to Condensed Consolidated Financial Statements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40">
              <w:r>
                <w:rPr>
                  <w:rStyle w:val="InternetLink"/>
                  <w:rFonts w:ascii="Times New Roman;sans-serif" w:hAnsi="Times New Roman;sans-serif"/>
                  <w:b w:val="false"/>
                  <w:color w:val="0000FF"/>
                  <w:sz w:val="20"/>
                  <w:u w:val="single"/>
                </w:rPr>
                <w:t>5</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97">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97">
              <w:r>
                <w:rPr>
                  <w:rStyle w:val="InternetLink"/>
                  <w:rFonts w:ascii="Times New Roman;sans-serif" w:hAnsi="Times New Roman;sans-serif"/>
                  <w:b w:val="false"/>
                  <w:color w:val="0000FF"/>
                  <w:sz w:val="20"/>
                  <w:u w:val="single"/>
                </w:rPr>
                <w:t>19</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24">
              <w:r>
                <w:rPr>
                  <w:rStyle w:val="InternetLink"/>
                  <w:rFonts w:ascii="Times New Roman;sans-serif" w:hAnsi="Times New Roman;sans-serif"/>
                  <w:b w:val="false"/>
                  <w:color w:val="0000FF"/>
                  <w:sz w:val="20"/>
                  <w:u w:val="single"/>
                </w:rPr>
                <w:t>Item 3.</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24">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24">
              <w:r>
                <w:rPr>
                  <w:rStyle w:val="InternetLink"/>
                  <w:rFonts w:ascii="Times New Roman;sans-serif" w:hAnsi="Times New Roman;sans-serif"/>
                  <w:b w:val="false"/>
                  <w:color w:val="0000FF"/>
                  <w:sz w:val="20"/>
                  <w:u w:val="single"/>
                </w:rPr>
                <w:t>35</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27">
              <w:r>
                <w:rPr>
                  <w:rStyle w:val="InternetLink"/>
                  <w:rFonts w:ascii="Times New Roman;sans-serif" w:hAnsi="Times New Roman;sans-serif"/>
                  <w:b w:val="false"/>
                  <w:color w:val="0000FF"/>
                  <w:sz w:val="20"/>
                  <w:u w:val="single"/>
                </w:rPr>
                <w:t xml:space="preserve">Item 4.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27">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27">
              <w:r>
                <w:rPr>
                  <w:rStyle w:val="InternetLink"/>
                  <w:rFonts w:ascii="Times New Roman;sans-serif" w:hAnsi="Times New Roman;sans-serif"/>
                  <w:b w:val="false"/>
                  <w:color w:val="0000FF"/>
                  <w:sz w:val="20"/>
                  <w:u w:val="single"/>
                </w:rPr>
                <w:t>36</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30">
              <w:r>
                <w:rPr>
                  <w:rStyle w:val="InternetLink"/>
                  <w:rFonts w:ascii="Times New Roman;sans-serif" w:hAnsi="Times New Roman;sans-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30">
              <w:r>
                <w:rPr>
                  <w:rStyle w:val="InternetLink"/>
                  <w:rFonts w:ascii="Times New Roman;sans-serif" w:hAnsi="Times New Roman;sans-serif"/>
                  <w:b w:val="false"/>
                  <w:color w:val="0000FF"/>
                  <w:sz w:val="20"/>
                  <w:u w:val="single"/>
                </w:rPr>
                <w:t>37</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3">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3">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33">
              <w:r>
                <w:rPr>
                  <w:rStyle w:val="InternetLink"/>
                  <w:rFonts w:ascii="Times New Roman;sans-serif" w:hAnsi="Times New Roman;sans-serif"/>
                  <w:b w:val="false"/>
                  <w:color w:val="0000FF"/>
                  <w:sz w:val="20"/>
                  <w:u w:val="single"/>
                </w:rPr>
                <w:t>37</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6">
              <w:r>
                <w:rPr>
                  <w:rStyle w:val="InternetLink"/>
                  <w:rFonts w:ascii="Times New Roman;sans-serif" w:hAnsi="Times New Roman;sans-serif"/>
                  <w:b w:val="false"/>
                  <w:color w:val="0000FF"/>
                  <w:sz w:val="20"/>
                  <w:u w:val="single"/>
                </w:rPr>
                <w:t>Item 1A.</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6">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36">
              <w:r>
                <w:rPr>
                  <w:rStyle w:val="InternetLink"/>
                  <w:rFonts w:ascii="Times New Roman;sans-serif" w:hAnsi="Times New Roman;sans-serif"/>
                  <w:b w:val="false"/>
                  <w:color w:val="0000FF"/>
                  <w:sz w:val="20"/>
                  <w:u w:val="single"/>
                </w:rPr>
                <w:t>38</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39">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9d7485c5c7c45d18d6db2ccecb9f996_139">
              <w:r>
                <w:rPr>
                  <w:rStyle w:val="InternetLink"/>
                  <w:rFonts w:ascii="Times New Roman;sans-serif" w:hAnsi="Times New Roman;sans-serif"/>
                  <w:b w:val="false"/>
                  <w:color w:val="000080"/>
                  <w:sz w:val="20"/>
                  <w:u w:val="single"/>
                </w:rPr>
                <w:t>Unregistered Sales of Equity Securities</w:t>
              </w:r>
            </w:hyperlink>
            <w:hyperlink w:anchor="i49d7485c5c7c45d18d6db2ccecb9f996_139">
              <w:r>
                <w:rPr>
                  <w:rStyle w:val="InternetLink"/>
                  <w:rFonts w:ascii="Times New Roman;sans-serif" w:hAnsi="Times New Roman;sans-serif"/>
                  <w:b w:val="false"/>
                  <w:color w:val="000080"/>
                  <w:sz w:val="20"/>
                  <w:u w:val="single"/>
                </w:rPr>
                <w:t xml:space="preserve"> and</w:t>
              </w:r>
            </w:hyperlink>
            <w:hyperlink w:anchor="i49d7485c5c7c45d18d6db2ccecb9f996_139">
              <w:r>
                <w:rPr>
                  <w:rStyle w:val="InternetLink"/>
                  <w:rFonts w:ascii="Times New Roman;sans-serif" w:hAnsi="Times New Roman;sans-serif"/>
                  <w:b w:val="false"/>
                  <w:color w:val="000080"/>
                  <w:sz w:val="20"/>
                  <w:u w:val="single"/>
                </w:rPr>
                <w:t xml:space="preserve">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39">
              <w:r>
                <w:rPr>
                  <w:rStyle w:val="InternetLink"/>
                  <w:rFonts w:ascii="Times New Roman;sans-serif" w:hAnsi="Times New Roman;sans-serif"/>
                  <w:b w:val="false"/>
                  <w:color w:val="0000FF"/>
                  <w:sz w:val="20"/>
                  <w:u w:val="single"/>
                </w:rPr>
                <w:t>39</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2">
              <w:r>
                <w:rPr>
                  <w:rStyle w:val="InternetLink"/>
                  <w:rFonts w:ascii="Times New Roman;sans-serif" w:hAnsi="Times New Roman;sans-serif"/>
                  <w:b w:val="false"/>
                  <w:color w:val="0000FF"/>
                  <w:sz w:val="20"/>
                  <w:u w:val="single"/>
                </w:rPr>
                <w:t xml:space="preserve">Item 3.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2">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42">
              <w:r>
                <w:rPr>
                  <w:rStyle w:val="InternetLink"/>
                  <w:rFonts w:ascii="Times New Roman;sans-serif" w:hAnsi="Times New Roman;sans-serif"/>
                  <w:b w:val="false"/>
                  <w:color w:val="0000FF"/>
                  <w:sz w:val="20"/>
                  <w:u w:val="single"/>
                </w:rPr>
                <w:t>40</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5">
              <w:r>
                <w:rPr>
                  <w:rStyle w:val="InternetLink"/>
                  <w:rFonts w:ascii="Times New Roman;sans-serif" w:hAnsi="Times New Roman;sans-serif"/>
                  <w:b w:val="false"/>
                  <w:color w:val="0000FF"/>
                  <w:sz w:val="20"/>
                  <w:u w:val="single"/>
                </w:rPr>
                <w:t>Item 4.</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5">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45">
              <w:r>
                <w:rPr>
                  <w:rStyle w:val="InternetLink"/>
                  <w:rFonts w:ascii="Times New Roman;sans-serif" w:hAnsi="Times New Roman;sans-serif"/>
                  <w:b w:val="false"/>
                  <w:color w:val="0000FF"/>
                  <w:sz w:val="20"/>
                  <w:u w:val="single"/>
                </w:rPr>
                <w:t>41</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8">
              <w:r>
                <w:rPr>
                  <w:rStyle w:val="InternetLink"/>
                  <w:rFonts w:ascii="Times New Roman;sans-serif" w:hAnsi="Times New Roman;sans-serif"/>
                  <w:b w:val="false"/>
                  <w:color w:val="0000FF"/>
                  <w:sz w:val="20"/>
                  <w:u w:val="single"/>
                </w:rPr>
                <w:t xml:space="preserve">Item 5.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48">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48">
              <w:r>
                <w:rPr>
                  <w:rStyle w:val="InternetLink"/>
                  <w:rFonts w:ascii="Times New Roman;sans-serif" w:hAnsi="Times New Roman;sans-serif"/>
                  <w:b w:val="false"/>
                  <w:color w:val="0000FF"/>
                  <w:sz w:val="20"/>
                  <w:u w:val="single"/>
                </w:rPr>
                <w:t>42</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51">
              <w:r>
                <w:rPr>
                  <w:rStyle w:val="InternetLink"/>
                  <w:rFonts w:ascii="Times New Roman;sans-serif" w:hAnsi="Times New Roman;sans-serif"/>
                  <w:b w:val="false"/>
                  <w:color w:val="0000FF"/>
                  <w:sz w:val="20"/>
                  <w:u w:val="single"/>
                </w:rPr>
                <w:t>Item 6.</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51">
              <w:r>
                <w:rPr>
                  <w:rStyle w:val="InternetLink"/>
                  <w:rFonts w:ascii="Times New Roman;sans-serif" w:hAnsi="Times New Roman;sans-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51">
              <w:r>
                <w:rPr>
                  <w:rStyle w:val="InternetLink"/>
                  <w:rFonts w:ascii="Times New Roman;sans-serif" w:hAnsi="Times New Roman;sans-serif"/>
                  <w:b w:val="false"/>
                  <w:color w:val="0000FF"/>
                  <w:sz w:val="20"/>
                  <w:u w:val="single"/>
                </w:rPr>
                <w:t>43</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7485c5c7c45d18d6db2ccecb9f996_154">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9d7485c5c7c45d18d6db2ccecb9f996_154">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a significant long-term competitive advantage through our partnership with Carvana Group, LLC, or Carvana and other partnerships;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supply chain disruptions, increasing inflation,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reduce operating losses and extend our capital runway;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accuracy and efficiency of our telematics and behavioral data, and our ability to gather and leverage additional data;</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manage the growth of our business;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lack of operating history and ability to attain profitability;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deliver a vertically integrated customer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protect our intellectual property and any costs associated therewith;</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an autonomous claims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meet risk-based capital requirements;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the benefits anticipated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stay in compliance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laws or regulations, or changes in the interpretation of laws or regulations by a regulatory authority, specific to the use of artificial intelligence;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defend against cybersecurity threats and prevent, or recover from, a security breach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interest rates on our available cash and our ability to maintain compliance with our Term Loan (as defined herein);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proper and effective internal control over financial reporting and remediate existing deficiencies;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continue to meet The Nasdaq Stock Market listing standards;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growth rates of the markets in which we compete.</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“Root,” “the Company,” “we,” “our” and “us” refer to Root, Inc. and its subsidiaries.</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729"/>
        <w:gridCol w:w="2396"/>
        <w:gridCol w:w="1511"/>
        <w:gridCol w:w="295"/>
        <w:gridCol w:w="1075"/>
        <w:gridCol w:w="152"/>
        <w:gridCol w:w="152"/>
        <w:gridCol w:w="152"/>
        <w:gridCol w:w="152"/>
        <w:gridCol w:w="295"/>
        <w:gridCol w:w="1075"/>
        <w:gridCol w:w="221"/>
      </w:tblGrid>
      <w:tr>
        <w:trPr/>
        <w:tc>
          <w:tcPr>
            <w:tcW w:w="272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tc>
      </w:tr>
      <w:tr>
        <w:trPr/>
        <w:tc>
          <w:tcPr>
            <w:tcW w:w="6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w:t>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 (amortized cost: $210.6 and $168.4 at March 31, 2024 and December 31, 2023, respectively)</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(amortized cost: $8.7 and $0.9 at March 31, 2024 and December 31, 2023, respectively)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 of $5.2 and $4.0 at March 31, 2024 and December 31, 2023, respectively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 net of allowance of $1.8 at March 31, 2024 and December 31, 2023</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w:t>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warrants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convertible preferred stock, $0.0001 par value, 100.0 shares authorized, 14.1 shares issued and outstanding at March 31, 2024 and December 31, 2023 (redemption value of $126.5) </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1,000.0 shares authorized, 9.6 and 9.5 shares issued and outstanding at March 31, 2024 and December 31, 2023, respectively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convertible common stock, $0.0001 par value, 269.0 shares authorized, 5.0 shares issued and outstanding at March 31, 2024 and December 31, 2023</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889"/>
        <w:gridCol w:w="1399"/>
        <w:gridCol w:w="1359"/>
        <w:gridCol w:w="1001"/>
        <w:gridCol w:w="1001"/>
        <w:gridCol w:w="1017"/>
        <w:gridCol w:w="109"/>
        <w:gridCol w:w="234"/>
        <w:gridCol w:w="683"/>
        <w:gridCol w:w="120"/>
        <w:gridCol w:w="120"/>
        <w:gridCol w:w="120"/>
        <w:gridCol w:w="120"/>
        <w:gridCol w:w="234"/>
        <w:gridCol w:w="622"/>
        <w:gridCol w:w="177"/>
      </w:tblGrid>
      <w:tr>
        <w:trPr/>
        <w:tc>
          <w:tcPr>
            <w:tcW w:w="18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539" w:type="dxa"/>
            <w:gridSpan w:val="10"/>
            <w:tcBorders/>
          </w:tcPr>
          <w:p>
            <w:pPr>
              <w:pStyle w:val="TableContents"/>
              <w:bidi w:val="0"/>
              <w:spacing w:before="0" w:after="283"/>
              <w:jc w:val="left"/>
              <w:rPr>
                <w:sz w:val="4"/>
                <w:szCs w:val="4"/>
              </w:rPr>
            </w:pPr>
            <w:r>
              <w:rPr>
                <w:sz w:val="4"/>
                <w:szCs w:val="4"/>
              </w:rPr>
            </w:r>
          </w:p>
        </w:tc>
      </w:tr>
      <w:tr>
        <w:trPr/>
        <w:tc>
          <w:tcPr>
            <w:tcW w:w="76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 UNAUDITED</w:t>
            </w:r>
          </w:p>
        </w:tc>
        <w:tc>
          <w:tcPr>
            <w:tcW w:w="2539" w:type="dxa"/>
            <w:gridSpan w:val="10"/>
            <w:tcBorders/>
          </w:tcPr>
          <w:p>
            <w:pPr>
              <w:pStyle w:val="TableContents"/>
              <w:bidi w:val="0"/>
              <w:spacing w:before="0" w:after="283"/>
              <w:jc w:val="left"/>
              <w:rPr>
                <w:sz w:val="4"/>
                <w:szCs w:val="4"/>
              </w:rPr>
            </w:pPr>
            <w:r>
              <w:rPr>
                <w:sz w:val="4"/>
                <w:szCs w:val="4"/>
              </w:rPr>
            </w:r>
          </w:p>
        </w:tc>
      </w:tr>
      <w:tr>
        <w:trPr/>
        <w:tc>
          <w:tcPr>
            <w:tcW w:w="4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93" w:type="dxa"/>
            <w:gridSpan w:val="6"/>
            <w:tcBorders/>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gains on investments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left"/>
        <w:rPr/>
      </w:pPr>
      <w:r>
        <w:rPr/>
      </w:r>
    </w:p>
    <w:tbl>
      <w:tblPr>
        <w:tblW w:w="1274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209"/>
        <w:gridCol w:w="197"/>
        <w:gridCol w:w="117"/>
        <w:gridCol w:w="109"/>
        <w:gridCol w:w="109"/>
        <w:gridCol w:w="109"/>
        <w:gridCol w:w="209"/>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2024</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2023</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1967"/>
        <w:gridCol w:w="1635"/>
        <w:gridCol w:w="1630"/>
        <w:gridCol w:w="466"/>
        <w:gridCol w:w="1366"/>
        <w:gridCol w:w="241"/>
        <w:gridCol w:w="241"/>
        <w:gridCol w:w="241"/>
        <w:gridCol w:w="241"/>
        <w:gridCol w:w="466"/>
        <w:gridCol w:w="1366"/>
        <w:gridCol w:w="345"/>
      </w:tblGrid>
      <w:tr>
        <w:trPr/>
        <w:tc>
          <w:tcPr>
            <w:tcW w:w="196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tc>
      </w:tr>
      <w:tr>
        <w:trPr/>
        <w:tc>
          <w:tcPr>
            <w:tcW w:w="5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reserves</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call and pay downs of investments</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internally developed software</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cash equivalents and restricted cash </w:t>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r>
        <w:trPr/>
        <w:tc>
          <w:tcPr>
            <w:tcW w:w="5232"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NATURE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Root, Inc. is a holding company which, directly or indirectly, maintains 100% ownership of each of its subsidiaries, including, among others, Root Insurance Company and Root Property &amp; Casualty Insurance Company, both Ohio-domiciled insurance companies, and Root Reinsurance Company, Ltd., a Cayman Islands-domiciled reinsurance company, together with Root, Inc., “we,” “us” or “our.”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We offer auto and renters insurance products underwritten by Root Insurance Company and Root Property &amp; Casualty Insurance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BASIS OF PRESENTATION AND SUMMARY OF SIGNIFICANT ACCOUNTING POLICIES</w:t>
      </w:r>
    </w:p>
    <w:p>
      <w:pPr>
        <w:pStyle w:val="TextBody"/>
        <w:bidi w:val="0"/>
        <w:spacing w:lineRule="auto" w:line="288" w:before="0" w:after="180"/>
        <w:jc w:val="left"/>
        <w:rPr/>
      </w:pPr>
      <w:r>
        <w:rPr>
          <w:rFonts w:ascii="Times New Roman;sans-serif" w:hAnsi="Times New Roman;sans-serif"/>
          <w:b/>
          <w:color w:val="000000"/>
          <w:sz w:val="20"/>
        </w:rPr>
        <w:t>Basis of Presentation</w:t>
      </w:r>
      <w:r>
        <w:rPr>
          <w:color w:val="000000"/>
        </w:rPr>
        <w:t>—</w:t>
      </w:r>
      <w:r>
        <w:rPr>
          <w:rFonts w:ascii="Times New Roman;sans-serif" w:hAnsi="Times New Roman;sans-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2023 filed with the Securities and Exchange Commission, or SEC, on February 21, 2024.</w:t>
      </w:r>
    </w:p>
    <w:p>
      <w:pPr>
        <w:pStyle w:val="TextBody"/>
        <w:bidi w:val="0"/>
        <w:spacing w:lineRule="auto" w:line="288" w:before="0" w:after="180"/>
        <w:jc w:val="left"/>
        <w:rPr/>
      </w:pPr>
      <w:r>
        <w:rPr>
          <w:rFonts w:ascii="Times New Roman;sans-serif" w:hAnsi="Times New Roman;sans-serif"/>
          <w:b/>
          <w:color w:val="000000"/>
          <w:sz w:val="20"/>
        </w:rPr>
        <w:t>Basis of Consolidation</w:t>
      </w:r>
      <w:r>
        <w:rPr>
          <w:color w:val="000000"/>
        </w:rPr>
        <w:t>—</w:t>
      </w:r>
      <w:r>
        <w:rPr>
          <w:rFonts w:ascii="Times New Roman;sans-serif" w:hAnsi="Times New Roman;sans-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bidi w:val="0"/>
        <w:spacing w:lineRule="auto" w:line="288" w:before="0" w:after="180"/>
        <w:jc w:val="left"/>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for income taxes and allowance for expected credit losses on premium receivables and reinsurance recoverables.</w:t>
      </w:r>
    </w:p>
    <w:p>
      <w:pPr>
        <w:pStyle w:val="TextBody"/>
        <w:bidi w:val="0"/>
        <w:spacing w:lineRule="auto" w:line="288" w:before="0" w:after="180"/>
        <w:jc w:val="left"/>
        <w:rPr/>
      </w:pPr>
      <w:r>
        <w:rPr>
          <w:rFonts w:ascii="Times New Roman;sans-serif" w:hAnsi="Times New Roman;sans-serif"/>
          <w:b/>
          <w:color w:val="000000"/>
          <w:sz w:val="20"/>
        </w:rPr>
        <w:t>Cash, Cash Equivalents and Restricted Cash</w:t>
      </w:r>
      <w:r>
        <w:rPr>
          <w:color w:val="000000"/>
        </w:rPr>
        <w:t>—</w:t>
      </w: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831"/>
        <w:gridCol w:w="2472"/>
        <w:gridCol w:w="2485"/>
        <w:gridCol w:w="211"/>
        <w:gridCol w:w="616"/>
        <w:gridCol w:w="109"/>
        <w:gridCol w:w="109"/>
        <w:gridCol w:w="109"/>
        <w:gridCol w:w="109"/>
        <w:gridCol w:w="248"/>
        <w:gridCol w:w="723"/>
        <w:gridCol w:w="183"/>
      </w:tblGrid>
      <w:tr>
        <w:trPr/>
        <w:tc>
          <w:tcPr>
            <w:tcW w:w="283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Deferred Policy Acquisition Costs</w:t>
      </w:r>
      <w:r>
        <w:rPr>
          <w:color w:val="000000"/>
        </w:rPr>
        <w:t>—</w:t>
      </w:r>
      <w:r>
        <w:rPr>
          <w:rFonts w:ascii="Times New Roman;sans-serif" w:hAnsi="Times New Roman;sans-serif"/>
          <w:b w:val="false"/>
          <w:color w:val="000000"/>
          <w:sz w:val="20"/>
        </w:rPr>
        <w:t>The following tables provides a reconciliation of the beginning and ending deferred policy acquisition costs, net of accumulated amortization, reported in other assets within the condensed consolidated balance sheets as of March 31, 2024 and 2023:</w:t>
      </w:r>
    </w:p>
    <w:tbl>
      <w:tblPr>
        <w:tblW w:w="4163" w:type="dxa"/>
        <w:jc w:val="left"/>
        <w:tblInd w:w="0" w:type="dxa"/>
        <w:tblLayout w:type="fixed"/>
        <w:tblCellMar>
          <w:top w:w="28" w:type="dxa"/>
          <w:left w:w="28" w:type="dxa"/>
          <w:bottom w:w="28" w:type="dxa"/>
          <w:right w:w="28" w:type="dxa"/>
        </w:tblCellMar>
      </w:tblPr>
      <w:tblGrid>
        <w:gridCol w:w="809"/>
        <w:gridCol w:w="711"/>
        <w:gridCol w:w="714"/>
        <w:gridCol w:w="211"/>
        <w:gridCol w:w="511"/>
        <w:gridCol w:w="109"/>
        <w:gridCol w:w="109"/>
        <w:gridCol w:w="109"/>
        <w:gridCol w:w="109"/>
        <w:gridCol w:w="211"/>
        <w:gridCol w:w="40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deferred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color w:val="000000"/>
          <w:sz w:val="20"/>
        </w:rPr>
        <w:t>Upcoming Accounting Pronouncements—</w:t>
      </w:r>
      <w:r>
        <w:rPr>
          <w:rFonts w:ascii="Times New Roman;sans-serif" w:hAnsi="Times New Roman;sans-serif"/>
          <w:b w:val="false"/>
          <w:color w:val="000000"/>
          <w:sz w:val="20"/>
        </w:rPr>
        <w:t xml:space="preserve">In November 2023, the Financial Accounting Standards Board, or FASB, issued Accounting Standards Update, or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This ASU looks to provide improvements to the segment 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and a description of its composition. It also requires all annual disclosures about a reportable segments’ profit or loss and assets to be reported on an interim basis. Although we operate in only one reporting segment, we are still required to provide all the disclosures required by this ASU and all existing segment disclosures in Topic 280.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ASU is to be applied retrospectively to all prior periods presented in the financial statements with an effective date for all public entities for fiscal years beginning after December 15, 2023, and interim periods within fiscal years beginning after December 15, 2024. Early adoption is permitted. We are currently evaluating the impact of this ASU.</w:t>
      </w:r>
    </w:p>
    <w:p>
      <w:pPr>
        <w:pStyle w:val="TextBody"/>
        <w:bidi w:val="0"/>
        <w:spacing w:lineRule="auto" w:line="288" w:before="0" w:after="18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ASU is to be applied on a prospective basis with an effective date for all public entities for annual periods beginning after December 15, 2024. Early adoption is permitted. We are currently evaluating the impact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short-term investments and available-for-sale fixed maturity securities at March 31, 2024 and December 31, 2023 are as follows:</w:t>
      </w:r>
    </w:p>
    <w:tbl>
      <w:tblPr>
        <w:tblW w:w="10205" w:type="dxa"/>
        <w:jc w:val="left"/>
        <w:tblInd w:w="0" w:type="dxa"/>
        <w:tblLayout w:type="fixed"/>
        <w:tblCellMar>
          <w:top w:w="28" w:type="dxa"/>
          <w:left w:w="28" w:type="dxa"/>
          <w:bottom w:w="28" w:type="dxa"/>
          <w:right w:w="28" w:type="dxa"/>
        </w:tblCellMar>
      </w:tblPr>
      <w:tblGrid>
        <w:gridCol w:w="1070"/>
        <w:gridCol w:w="660"/>
        <w:gridCol w:w="664"/>
        <w:gridCol w:w="243"/>
        <w:gridCol w:w="711"/>
        <w:gridCol w:w="125"/>
        <w:gridCol w:w="109"/>
        <w:gridCol w:w="109"/>
        <w:gridCol w:w="109"/>
        <w:gridCol w:w="516"/>
        <w:gridCol w:w="996"/>
        <w:gridCol w:w="270"/>
        <w:gridCol w:w="109"/>
        <w:gridCol w:w="109"/>
        <w:gridCol w:w="109"/>
        <w:gridCol w:w="383"/>
        <w:gridCol w:w="738"/>
        <w:gridCol w:w="199"/>
        <w:gridCol w:w="109"/>
        <w:gridCol w:w="109"/>
        <w:gridCol w:w="109"/>
        <w:gridCol w:w="379"/>
        <w:gridCol w:w="758"/>
        <w:gridCol w:w="197"/>
        <w:gridCol w:w="109"/>
        <w:gridCol w:w="109"/>
        <w:gridCol w:w="109"/>
        <w:gridCol w:w="211"/>
        <w:gridCol w:w="616"/>
        <w:gridCol w:w="161"/>
      </w:tblGrid>
      <w:tr>
        <w:trPr/>
        <w:tc>
          <w:tcPr>
            <w:tcW w:w="10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reviewed the available-for-sale securities at each balance sheet date to consider whether it was necessary to recognize a credit loss as of March 31, 2024 and December 31, 2023. We do not intend to sell the securities and it is not more likely than not that we will be required to sell the securities before recovery. Management concluded that the available-for-sale securities’ unrealized losses were due to non-credit related factors and, therefore, there was no allowance for credit loss as of March 31,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March 31, 2024 and December 31, 2023:</w:t>
      </w:r>
    </w:p>
    <w:tbl>
      <w:tblPr>
        <w:tblW w:w="10205" w:type="dxa"/>
        <w:jc w:val="left"/>
        <w:tblInd w:w="0" w:type="dxa"/>
        <w:tblLayout w:type="fixed"/>
        <w:tblCellMar>
          <w:top w:w="28" w:type="dxa"/>
          <w:left w:w="28" w:type="dxa"/>
          <w:bottom w:w="28" w:type="dxa"/>
          <w:right w:w="28" w:type="dxa"/>
        </w:tblCellMar>
      </w:tblPr>
      <w:tblGrid>
        <w:gridCol w:w="1182"/>
        <w:gridCol w:w="964"/>
        <w:gridCol w:w="970"/>
        <w:gridCol w:w="211"/>
        <w:gridCol w:w="616"/>
        <w:gridCol w:w="109"/>
        <w:gridCol w:w="109"/>
        <w:gridCol w:w="109"/>
        <w:gridCol w:w="109"/>
        <w:gridCol w:w="252"/>
        <w:gridCol w:w="503"/>
        <w:gridCol w:w="131"/>
        <w:gridCol w:w="109"/>
        <w:gridCol w:w="109"/>
        <w:gridCol w:w="109"/>
        <w:gridCol w:w="222"/>
        <w:gridCol w:w="540"/>
        <w:gridCol w:w="115"/>
        <w:gridCol w:w="109"/>
        <w:gridCol w:w="109"/>
        <w:gridCol w:w="109"/>
        <w:gridCol w:w="252"/>
        <w:gridCol w:w="503"/>
        <w:gridCol w:w="131"/>
        <w:gridCol w:w="109"/>
        <w:gridCol w:w="109"/>
        <w:gridCol w:w="109"/>
        <w:gridCol w:w="211"/>
        <w:gridCol w:w="616"/>
        <w:gridCol w:w="109"/>
        <w:gridCol w:w="109"/>
        <w:gridCol w:w="109"/>
        <w:gridCol w:w="109"/>
        <w:gridCol w:w="249"/>
        <w:gridCol w:w="498"/>
        <w:gridCol w:w="186"/>
      </w:tblGrid>
      <w:tr>
        <w:trPr/>
        <w:tc>
          <w:tcPr>
            <w:tcW w:w="1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other investments related to our private equity investments were $4.4 million. There were no realized or unrealized gains and losses or impairment losses recognized on private equity investments for the three months ended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realized gains or losses on short-term investments, available-for-sale fixed maturities and other investments for the three months ended March 31, 2024 and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amortized cost and fair value of short-term investments and available-for-sale fixed maturity securities by contractual maturity at March 31, 2024:</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for the three months ended March 31, 2024 and 2023:</w:t>
      </w:r>
    </w:p>
    <w:tbl>
      <w:tblPr>
        <w:tblW w:w="7149" w:type="dxa"/>
        <w:jc w:val="left"/>
        <w:tblInd w:w="0" w:type="dxa"/>
        <w:tblLayout w:type="fixed"/>
        <w:tblCellMar>
          <w:top w:w="28" w:type="dxa"/>
          <w:left w:w="28" w:type="dxa"/>
          <w:bottom w:w="28" w:type="dxa"/>
          <w:right w:w="28" w:type="dxa"/>
        </w:tblCellMar>
      </w:tblPr>
      <w:tblGrid>
        <w:gridCol w:w="1243"/>
        <w:gridCol w:w="1091"/>
        <w:gridCol w:w="1100"/>
        <w:gridCol w:w="109"/>
        <w:gridCol w:w="109"/>
        <w:gridCol w:w="277"/>
        <w:gridCol w:w="277"/>
        <w:gridCol w:w="536"/>
        <w:gridCol w:w="1032"/>
        <w:gridCol w:w="277"/>
        <w:gridCol w:w="109"/>
        <w:gridCol w:w="109"/>
        <w:gridCol w:w="109"/>
        <w:gridCol w:w="211"/>
        <w:gridCol w:w="40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short-term investments and available-for-sale fixed maturity securities at March 31, 2024 and December 31, 2023:</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assets measured and reported at fair value as of March 31, 2024 and December 31, 2023:</w:t>
      </w:r>
    </w:p>
    <w:tbl>
      <w:tblPr>
        <w:tblW w:w="7935" w:type="dxa"/>
        <w:jc w:val="left"/>
        <w:tblInd w:w="0" w:type="dxa"/>
        <w:tblLayout w:type="fixed"/>
        <w:tblCellMar>
          <w:top w:w="28" w:type="dxa"/>
          <w:left w:w="28" w:type="dxa"/>
          <w:bottom w:w="28" w:type="dxa"/>
          <w:right w:w="28" w:type="dxa"/>
        </w:tblCellMar>
      </w:tblPr>
      <w:tblGrid>
        <w:gridCol w:w="1218"/>
        <w:gridCol w:w="1073"/>
        <w:gridCol w:w="1084"/>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March 31, 2024 and December 31, 2023,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53"/>
        <w:gridCol w:w="399"/>
        <w:gridCol w:w="400"/>
        <w:gridCol w:w="291"/>
        <w:gridCol w:w="851"/>
        <w:gridCol w:w="150"/>
        <w:gridCol w:w="109"/>
        <w:gridCol w:w="109"/>
        <w:gridCol w:w="109"/>
        <w:gridCol w:w="568"/>
        <w:gridCol w:w="1659"/>
        <w:gridCol w:w="293"/>
        <w:gridCol w:w="109"/>
        <w:gridCol w:w="109"/>
        <w:gridCol w:w="109"/>
        <w:gridCol w:w="309"/>
        <w:gridCol w:w="904"/>
        <w:gridCol w:w="160"/>
        <w:gridCol w:w="109"/>
        <w:gridCol w:w="109"/>
        <w:gridCol w:w="109"/>
        <w:gridCol w:w="597"/>
        <w:gridCol w:w="1745"/>
        <w:gridCol w:w="445"/>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2023</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LOSS AND LOSS ADJUSTMENT EXPENSE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beginning and ending reserve balances for loss and LAE, net of reinsurance:</w:t>
      </w:r>
    </w:p>
    <w:tbl>
      <w:tblPr>
        <w:tblW w:w="6263" w:type="dxa"/>
        <w:jc w:val="left"/>
        <w:tblInd w:w="0" w:type="dxa"/>
        <w:tblLayout w:type="fixed"/>
        <w:tblCellMar>
          <w:top w:w="28" w:type="dxa"/>
          <w:left w:w="28" w:type="dxa"/>
          <w:bottom w:w="28" w:type="dxa"/>
          <w:right w:w="28" w:type="dxa"/>
        </w:tblCellMar>
      </w:tblPr>
      <w:tblGrid>
        <w:gridCol w:w="1387"/>
        <w:gridCol w:w="1216"/>
        <w:gridCol w:w="1221"/>
        <w:gridCol w:w="229"/>
        <w:gridCol w:w="671"/>
        <w:gridCol w:w="118"/>
        <w:gridCol w:w="118"/>
        <w:gridCol w:w="118"/>
        <w:gridCol w:w="118"/>
        <w:gridCol w:w="229"/>
        <w:gridCol w:w="671"/>
        <w:gridCol w:w="167"/>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March 31</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March 31</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Incurred losses and LAE attributable to prior accident years was a decrease of $3.0 million and an increase of $1.4 million for the three months ended March 31, 2024 and 2023, respectively. For the three months ended March 31, 2024, the development of incurred losses and LAE related to prior periods was primarily driven by lower-than-expected reported losses from accident year 2023. For the three months ended March 31, 2023, the development of incurred losses and LAE related to prior periods was primarily driven by higher-than-expected reported losses on material damage claims due to higher vehicle repair costs and higher-than-expected LAE on prior accident period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amounts affecting the condensed consolidated statements of operations and comprehensive loss for reinsurance for the three months ended March 31, 2024 and 2023:</w:t>
      </w:r>
    </w:p>
    <w:tbl>
      <w:tblPr>
        <w:tblW w:w="6338" w:type="dxa"/>
        <w:jc w:val="left"/>
        <w:tblInd w:w="0" w:type="dxa"/>
        <w:tblLayout w:type="fixed"/>
        <w:tblCellMar>
          <w:top w:w="28" w:type="dxa"/>
          <w:left w:w="28" w:type="dxa"/>
          <w:bottom w:w="28" w:type="dxa"/>
          <w:right w:w="28" w:type="dxa"/>
        </w:tblCellMar>
      </w:tblPr>
      <w:tblGrid>
        <w:gridCol w:w="875"/>
        <w:gridCol w:w="768"/>
        <w:gridCol w:w="771"/>
        <w:gridCol w:w="109"/>
        <w:gridCol w:w="109"/>
        <w:gridCol w:w="226"/>
        <w:gridCol w:w="226"/>
        <w:gridCol w:w="439"/>
        <w:gridCol w:w="1281"/>
        <w:gridCol w:w="226"/>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and LAE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to the policyholder for such defaulted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or SOFR, with a 1.0% floor, plus 9.0%.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value of long-term debt and warrants as of March 31, 2024 and December 31, 2023:</w:t>
      </w:r>
    </w:p>
    <w:tbl>
      <w:tblPr>
        <w:tblW w:w="8050" w:type="dxa"/>
        <w:jc w:val="left"/>
        <w:tblInd w:w="0" w:type="dxa"/>
        <w:tblLayout w:type="fixed"/>
        <w:tblCellMar>
          <w:top w:w="28" w:type="dxa"/>
          <w:left w:w="28" w:type="dxa"/>
          <w:bottom w:w="28" w:type="dxa"/>
          <w:right w:w="28" w:type="dxa"/>
        </w:tblCellMar>
      </w:tblPr>
      <w:tblGrid>
        <w:gridCol w:w="1783"/>
        <w:gridCol w:w="1564"/>
        <w:gridCol w:w="1573"/>
        <w:gridCol w:w="284"/>
        <w:gridCol w:w="829"/>
        <w:gridCol w:w="146"/>
        <w:gridCol w:w="109"/>
        <w:gridCol w:w="109"/>
        <w:gridCol w:w="109"/>
        <w:gridCol w:w="332"/>
        <w:gridCol w:w="970"/>
        <w:gridCol w:w="242"/>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and warrants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8.</w:t>
      </w:r>
      <w:r>
        <w:rPr>
          <w:rFonts w:ascii="Times New Roman;sans-serif" w:hAnsi="Times New Roman;sans-serif"/>
          <w:b/>
          <w:color w:val="000000"/>
          <w:sz w:val="20"/>
        </w:rPr>
        <w:t>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effective tax rate was zero for the three months ended March 31, 2024 and 2023. The difference between these rates and the U.S. federal income tax rate of 21% was primarily due to a full valuation allowance on our U.S. deferred tax assets.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we did not have any unrecognized tax benefits for uncertain tax positions and had no interest or penalties related to uncertain tax positions.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9.</w:t>
      </w:r>
      <w:r>
        <w:rPr>
          <w:rFonts w:ascii="Times New Roman;sans-serif" w:hAnsi="Times New Roman;sans-serif"/>
          <w:b/>
          <w:color w:val="000000"/>
          <w:sz w:val="20"/>
        </w:rPr>
        <w:t>RESTRUCTURING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bidi w:val="0"/>
        <w:spacing w:lineRule="auto" w:line="288" w:before="0" w:after="180"/>
        <w:jc w:val="left"/>
        <w:rPr/>
      </w:pPr>
      <w:r>
        <w:rPr>
          <w:rFonts w:ascii="Times New Roman;sans-serif" w:hAnsi="Times New Roman;sans-serif"/>
          <w:b/>
          <w:color w:val="000000"/>
          <w:sz w:val="20"/>
        </w:rPr>
        <w:t>Employee costs</w:t>
      </w:r>
      <w:r>
        <w:rPr>
          <w:color w:val="000000"/>
        </w:rPr>
        <w:t>—</w:t>
      </w:r>
      <w:r>
        <w:rPr>
          <w:rFonts w:ascii="Times New Roman;sans-serif" w:hAnsi="Times New Roman;sans-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bidi w:val="0"/>
        <w:spacing w:lineRule="auto" w:line="288" w:before="0" w:after="180"/>
        <w:jc w:val="left"/>
        <w:rPr/>
      </w:pPr>
      <w:r>
        <w:rPr>
          <w:rFonts w:ascii="Times New Roman;sans-serif" w:hAnsi="Times New Roman;sans-serif"/>
          <w:b/>
          <w:color w:val="000000"/>
          <w:sz w:val="20"/>
        </w:rPr>
        <w:t>Real estate exit costs</w:t>
      </w:r>
      <w:r>
        <w:rPr>
          <w:color w:val="000000"/>
        </w:rPr>
        <w:t>—</w:t>
      </w:r>
      <w:r>
        <w:rPr>
          <w:rFonts w:ascii="Times New Roman;sans-serif" w:hAnsi="Times New Roman;sans-serif"/>
          <w:b w:val="false"/>
          <w:color w:val="000000"/>
          <w:sz w:val="20"/>
        </w:rPr>
        <w:t>consist of real estate exit costs primarily related to accelerated amortization of right-of-use assets, leasehold improvements and furniture and fixtures.</w:t>
      </w:r>
    </w:p>
    <w:p>
      <w:pPr>
        <w:pStyle w:val="TextBody"/>
        <w:bidi w:val="0"/>
        <w:spacing w:lineRule="auto" w:line="288" w:before="0" w:after="180"/>
        <w:jc w:val="left"/>
        <w:rPr/>
      </w:pPr>
      <w:r>
        <w:rPr>
          <w:rFonts w:ascii="Times New Roman;sans-serif" w:hAnsi="Times New Roman;sans-serif"/>
          <w:b/>
          <w:color w:val="000000"/>
          <w:sz w:val="20"/>
        </w:rPr>
        <w:t>Other costs</w:t>
      </w:r>
      <w:r>
        <w:rPr>
          <w:color w:val="000000"/>
        </w:rPr>
        <w:t>—</w:t>
      </w:r>
      <w:r>
        <w:rPr>
          <w:rFonts w:ascii="Times New Roman;sans-serif" w:hAnsi="Times New Roman;sans-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do not expect to incur any additional material expenditures in future periods related to restructuring actions that have occurred.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restructuring costs recorded in general and administrative expenses on the condensed consolidated statements of operations and comprehensive loss:</w:t>
      </w:r>
    </w:p>
    <w:tbl>
      <w:tblPr>
        <w:tblW w:w="9973" w:type="dxa"/>
        <w:jc w:val="left"/>
        <w:tblInd w:w="0" w:type="dxa"/>
        <w:tblLayout w:type="fixed"/>
        <w:tblCellMar>
          <w:top w:w="28" w:type="dxa"/>
          <w:left w:w="28" w:type="dxa"/>
          <w:bottom w:w="28" w:type="dxa"/>
          <w:right w:w="28" w:type="dxa"/>
        </w:tblCellMar>
      </w:tblPr>
      <w:tblGrid>
        <w:gridCol w:w="755"/>
        <w:gridCol w:w="664"/>
        <w:gridCol w:w="665"/>
        <w:gridCol w:w="109"/>
        <w:gridCol w:w="109"/>
        <w:gridCol w:w="277"/>
        <w:gridCol w:w="277"/>
        <w:gridCol w:w="536"/>
        <w:gridCol w:w="1032"/>
        <w:gridCol w:w="277"/>
        <w:gridCol w:w="109"/>
        <w:gridCol w:w="109"/>
        <w:gridCol w:w="109"/>
        <w:gridCol w:w="1012"/>
        <w:gridCol w:w="1954"/>
        <w:gridCol w:w="528"/>
        <w:gridCol w:w="155"/>
        <w:gridCol w:w="155"/>
        <w:gridCol w:w="156"/>
        <w:gridCol w:w="211"/>
        <w:gridCol w:w="511"/>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Cumulative Incurred Through March 31, 2024</w:t>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85" w:type="dxa"/>
            <w:gridSpan w:val="4"/>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a rollforward of the accrual for restructuring costs recorded in accounts payable and accrued expenses on the condensed consolidated balance sheets:</w:t>
      </w:r>
    </w:p>
    <w:tbl>
      <w:tblPr>
        <w:tblW w:w="6106" w:type="dxa"/>
        <w:jc w:val="left"/>
        <w:tblInd w:w="0" w:type="dxa"/>
        <w:tblLayout w:type="fixed"/>
        <w:tblCellMar>
          <w:top w:w="28" w:type="dxa"/>
          <w:left w:w="28" w:type="dxa"/>
          <w:bottom w:w="28" w:type="dxa"/>
          <w:right w:w="28" w:type="dxa"/>
        </w:tblCellMar>
      </w:tblPr>
      <w:tblGrid>
        <w:gridCol w:w="1337"/>
        <w:gridCol w:w="1175"/>
        <w:gridCol w:w="1177"/>
        <w:gridCol w:w="435"/>
        <w:gridCol w:w="838"/>
        <w:gridCol w:w="227"/>
        <w:gridCol w:w="109"/>
        <w:gridCol w:w="109"/>
        <w:gridCol w:w="109"/>
        <w:gridCol w:w="109"/>
        <w:gridCol w:w="109"/>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Employee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activity:</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January 1, 2024</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March 31, 2024</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10.</w:t>
      </w:r>
      <w:r>
        <w:rPr>
          <w:rFonts w:ascii="Times New Roman;sans-serif" w:hAnsi="Times New Roman;sans-serif"/>
          <w:b/>
          <w:color w:val="000000"/>
          <w:sz w:val="20"/>
        </w:rPr>
        <w:t>SHARE-BASED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0" w:after="180"/>
        <w:jc w:val="left"/>
        <w:rPr/>
      </w:pPr>
      <w:r>
        <w:rPr>
          <w:rFonts w:ascii="Times New Roman;sans-serif" w:hAnsi="Times New Roman;sans-serif"/>
          <w:b w:val="false"/>
          <w:color w:val="000000"/>
          <w:sz w:val="20"/>
        </w:rPr>
        <w:t xml:space="preserve">In October 2021, we issued Carvana </w:t>
      </w:r>
      <w:r>
        <w:rPr>
          <w:rFonts w:ascii="Times New Roman;sans-serif" w:hAnsi="Times New Roman;sans-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ans-serif" w:hAnsi="Times New Roman;sans-serif"/>
          <w:b w:val="false"/>
          <w:color w:val="000000"/>
          <w:sz w:val="20"/>
        </w:rPr>
        <w:t>shares of Class A common stock.</w:t>
      </w:r>
      <w:r>
        <w:rPr>
          <w:color w:val="000000"/>
          <w:shd w:fill="FFFFFF" w:val="clear"/>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policies originating through the integrated automobile insurance solution for Carvana’s online buying platform. All of these warrants are out-of-the-money and therefore have no intrinsic value as of March 31,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warrant compensation expense of $2.8 million and $4.4 million for the three months ended March 31, 2024 and 2023, respectively. Warrant compensation expense is recorded in other insurance expense in the condensed consolidated statements of operations and comprehensive 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$1.0 million of unrecognized compensation cost related to warrants. The remaining costs are expected to be recognized in the second quarter of 2024.</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Share-Based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equity incentive plan, or the Plan, for the issuance and grant of equity awards (restricted stock, restricted stock units, or RSUs, PSUs, and incentive and nonqualified stock options) to our officers, directors, employees and certain advisors. As of March 31, 2024, we had 1.9 million common shares available for issuance under the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these RSU and PSU awards vest, we fund the related payroll tax withholding and remittance obligations by either (i) withholding shares of our Class A common stock that have otherwise been issued with respect to such awards and pay the relevant tax authorities in cash to satisfy such tax obligations, or (ii) allow holders of such awards to pay us an amount in cash, via a broker, sufficient to cover the applicable tax withholding obligations. We recognize the related tax withholding liability for employee taxes on the date of the event triggering the measurement and payment of the tax to the taxing authority, which is the vesting date.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share-based compensation expense recorded in the condensed consolidated statements of operations and comprehensive loss:</w:t>
      </w:r>
    </w:p>
    <w:tbl>
      <w:tblPr>
        <w:tblW w:w="7368" w:type="dxa"/>
        <w:jc w:val="left"/>
        <w:tblInd w:w="0" w:type="dxa"/>
        <w:tblLayout w:type="fixed"/>
        <w:tblCellMar>
          <w:top w:w="28" w:type="dxa"/>
          <w:left w:w="28" w:type="dxa"/>
          <w:bottom w:w="28" w:type="dxa"/>
          <w:right w:w="28" w:type="dxa"/>
        </w:tblCellMar>
      </w:tblPr>
      <w:tblGrid>
        <w:gridCol w:w="1245"/>
        <w:gridCol w:w="1092"/>
        <w:gridCol w:w="1098"/>
        <w:gridCol w:w="109"/>
        <w:gridCol w:w="109"/>
        <w:gridCol w:w="277"/>
        <w:gridCol w:w="277"/>
        <w:gridCol w:w="536"/>
        <w:gridCol w:w="1032"/>
        <w:gridCol w:w="277"/>
        <w:gridCol w:w="109"/>
        <w:gridCol w:w="109"/>
        <w:gridCol w:w="109"/>
        <w:gridCol w:w="211"/>
        <w:gridCol w:w="406"/>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share-based compensation expense by type of award: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719" w:type="dxa"/>
        <w:jc w:val="left"/>
        <w:tblInd w:w="0" w:type="dxa"/>
        <w:tblLayout w:type="fixed"/>
        <w:tblCellMar>
          <w:top w:w="28" w:type="dxa"/>
          <w:left w:w="28" w:type="dxa"/>
          <w:bottom w:w="28" w:type="dxa"/>
          <w:right w:w="28" w:type="dxa"/>
        </w:tblCellMar>
      </w:tblPr>
      <w:tblGrid>
        <w:gridCol w:w="1451"/>
        <w:gridCol w:w="1273"/>
        <w:gridCol w:w="1280"/>
        <w:gridCol w:w="109"/>
        <w:gridCol w:w="109"/>
        <w:gridCol w:w="277"/>
        <w:gridCol w:w="277"/>
        <w:gridCol w:w="536"/>
        <w:gridCol w:w="1032"/>
        <w:gridCol w:w="277"/>
        <w:gridCol w:w="109"/>
        <w:gridCol w:w="109"/>
        <w:gridCol w:w="109"/>
        <w:gridCol w:w="211"/>
        <w:gridCol w:w="40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$0.8 million, $15.8 million, and $1.7 million of unrecognized compensation cost related to unvested stock options, RSUs, and PSUs, respectively. The remaining costs are expected to be recognized over a period of approximately two years for unvested stock options, four years for RSUs and three years for PSUs.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and Performance-Based 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and PSU activity for the three months ended March 31, 2024 is as follows:</w:t>
      </w:r>
    </w:p>
    <w:tbl>
      <w:tblPr>
        <w:tblW w:w="10205" w:type="dxa"/>
        <w:jc w:val="left"/>
        <w:tblInd w:w="0" w:type="dxa"/>
        <w:tblLayout w:type="fixed"/>
        <w:tblCellMar>
          <w:top w:w="28" w:type="dxa"/>
          <w:left w:w="28" w:type="dxa"/>
          <w:bottom w:w="28" w:type="dxa"/>
          <w:right w:w="28" w:type="dxa"/>
        </w:tblCellMar>
      </w:tblPr>
      <w:tblGrid>
        <w:gridCol w:w="1664"/>
        <w:gridCol w:w="1462"/>
        <w:gridCol w:w="1468"/>
        <w:gridCol w:w="109"/>
        <w:gridCol w:w="109"/>
        <w:gridCol w:w="109"/>
        <w:gridCol w:w="431"/>
        <w:gridCol w:w="431"/>
        <w:gridCol w:w="433"/>
        <w:gridCol w:w="109"/>
        <w:gridCol w:w="109"/>
        <w:gridCol w:w="109"/>
        <w:gridCol w:w="331"/>
        <w:gridCol w:w="968"/>
        <w:gridCol w:w="172"/>
        <w:gridCol w:w="109"/>
        <w:gridCol w:w="109"/>
        <w:gridCol w:w="109"/>
        <w:gridCol w:w="399"/>
        <w:gridCol w:w="1169"/>
        <w:gridCol w:w="296"/>
      </w:tblGrid>
      <w:tr>
        <w:trPr/>
        <w:tc>
          <w:tcPr>
            <w:tcW w:w="16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Restricted Stock Units and 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4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for the three months ended March 31, 2024 is as follows:</w:t>
      </w:r>
    </w:p>
    <w:tbl>
      <w:tblPr>
        <w:tblW w:w="10205" w:type="dxa"/>
        <w:jc w:val="left"/>
        <w:tblInd w:w="0" w:type="dxa"/>
        <w:tblLayout w:type="fixed"/>
        <w:tblCellMar>
          <w:top w:w="28" w:type="dxa"/>
          <w:left w:w="28" w:type="dxa"/>
          <w:bottom w:w="28" w:type="dxa"/>
          <w:right w:w="28" w:type="dxa"/>
        </w:tblCellMar>
      </w:tblPr>
      <w:tblGrid>
        <w:gridCol w:w="787"/>
        <w:gridCol w:w="692"/>
        <w:gridCol w:w="698"/>
        <w:gridCol w:w="109"/>
        <w:gridCol w:w="109"/>
        <w:gridCol w:w="109"/>
        <w:gridCol w:w="318"/>
        <w:gridCol w:w="318"/>
        <w:gridCol w:w="320"/>
        <w:gridCol w:w="109"/>
        <w:gridCol w:w="109"/>
        <w:gridCol w:w="109"/>
        <w:gridCol w:w="419"/>
        <w:gridCol w:w="1227"/>
        <w:gridCol w:w="218"/>
        <w:gridCol w:w="109"/>
        <w:gridCol w:w="109"/>
        <w:gridCol w:w="109"/>
        <w:gridCol w:w="855"/>
        <w:gridCol w:w="855"/>
        <w:gridCol w:w="857"/>
        <w:gridCol w:w="109"/>
        <w:gridCol w:w="109"/>
        <w:gridCol w:w="109"/>
        <w:gridCol w:w="362"/>
        <w:gridCol w:w="698"/>
        <w:gridCol w:w="27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11.</w:t>
      </w:r>
      <w:r>
        <w:rPr>
          <w:rFonts w:ascii="Times New Roman;sans-serif" w:hAnsi="Times New Roman;sans-serif"/>
          <w:b/>
          <w:color w:val="000000"/>
          <w:sz w:val="20"/>
        </w:rPr>
        <w:t xml:space="preserve">COMMITMENTS AND CONTINGENCIES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While the outcome of all legal actions is not presently determinable, except as disclosed below,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Root Insurance Company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Root Insurance Company’s motion to dismiss the claims set forth in the complaint was granted and the lawsuit was dismissed with prejudice on August 22, 2023, which dismissal has been appealed.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are liable under Section 11(f)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final resolution of the below matter and,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alleged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sought unspecified damages. The defendants’ motion to dismiss the claims set forth in the complaint was granted and the lawsuit was dismissed with prejudice on March 31, 2023, which dismissal was affirmed on April 29, 2024, by the United States Court of Appeals for the Sixth Circuit. Should plaintiffs further appeal, the Company intends to continue to vigorously defend against the allegations.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12.</w:t>
      </w:r>
      <w:r>
        <w:rPr>
          <w:rFonts w:ascii="Times New Roman;sans-serif" w:hAnsi="Times New Roman;sans-serif"/>
          <w:b/>
          <w:color w:val="000000"/>
          <w:sz w:val="20"/>
        </w:rPr>
        <w:t>LOSS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computation of basic and diluted loss per share for both Class A and Class B common stock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2343"/>
        <w:gridCol w:w="2049"/>
        <w:gridCol w:w="2085"/>
        <w:gridCol w:w="109"/>
        <w:gridCol w:w="109"/>
        <w:gridCol w:w="217"/>
        <w:gridCol w:w="217"/>
        <w:gridCol w:w="421"/>
        <w:gridCol w:w="1164"/>
        <w:gridCol w:w="217"/>
        <w:gridCol w:w="109"/>
        <w:gridCol w:w="109"/>
        <w:gridCol w:w="109"/>
        <w:gridCol w:w="211"/>
        <w:gridCol w:w="578"/>
        <w:gridCol w:w="158"/>
      </w:tblGrid>
      <w:tr>
        <w:trPr/>
        <w:tc>
          <w:tcPr>
            <w:tcW w:w="23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74" w:type="dxa"/>
            <w:gridSpan w:val="6"/>
            <w:tcBorders/>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676" w:type="dxa"/>
        <w:jc w:val="left"/>
        <w:tblInd w:w="0" w:type="dxa"/>
        <w:tblLayout w:type="fixed"/>
        <w:tblCellMar>
          <w:top w:w="28" w:type="dxa"/>
          <w:left w:w="28" w:type="dxa"/>
          <w:bottom w:w="28" w:type="dxa"/>
          <w:right w:w="28" w:type="dxa"/>
        </w:tblCellMar>
      </w:tblPr>
      <w:tblGrid>
        <w:gridCol w:w="2157"/>
        <w:gridCol w:w="1903"/>
        <w:gridCol w:w="1910"/>
        <w:gridCol w:w="255"/>
        <w:gridCol w:w="256"/>
        <w:gridCol w:w="156"/>
        <w:gridCol w:w="140"/>
        <w:gridCol w:w="140"/>
        <w:gridCol w:w="140"/>
        <w:gridCol w:w="203"/>
        <w:gridCol w:w="203"/>
        <w:gridCol w:w="213"/>
      </w:tblGrid>
      <w:tr>
        <w:trPr/>
        <w:tc>
          <w:tcPr>
            <w:tcW w:w="215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subject to repurchase</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converted to common stock)</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13.</w:t>
      </w:r>
      <w:r>
        <w:rPr>
          <w:rFonts w:ascii="Times New Roman;sans-serif" w:hAnsi="Times New Roman;sans-serif"/>
          <w:b/>
          <w:color w:val="000000"/>
          <w:sz w:val="20"/>
        </w:rPr>
        <w:t>GEOGRAPHICAL BREAKDOWN OF 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 by state is as follows for the three months ended March 31, 2024 and 2023:</w:t>
      </w:r>
    </w:p>
    <w:tbl>
      <w:tblPr>
        <w:tblW w:w="8235" w:type="dxa"/>
        <w:jc w:val="left"/>
        <w:tblInd w:w="0" w:type="dxa"/>
        <w:tblLayout w:type="fixed"/>
        <w:tblCellMar>
          <w:top w:w="28" w:type="dxa"/>
          <w:left w:w="28" w:type="dxa"/>
          <w:bottom w:w="28" w:type="dxa"/>
          <w:right w:w="28" w:type="dxa"/>
        </w:tblCellMar>
      </w:tblPr>
      <w:tblGrid>
        <w:gridCol w:w="507"/>
        <w:gridCol w:w="444"/>
        <w:gridCol w:w="459"/>
        <w:gridCol w:w="109"/>
        <w:gridCol w:w="109"/>
        <w:gridCol w:w="164"/>
        <w:gridCol w:w="164"/>
        <w:gridCol w:w="164"/>
        <w:gridCol w:w="164"/>
        <w:gridCol w:w="164"/>
        <w:gridCol w:w="164"/>
        <w:gridCol w:w="318"/>
        <w:gridCol w:w="930"/>
        <w:gridCol w:w="164"/>
        <w:gridCol w:w="109"/>
        <w:gridCol w:w="109"/>
        <w:gridCol w:w="109"/>
        <w:gridCol w:w="307"/>
        <w:gridCol w:w="309"/>
        <w:gridCol w:w="501"/>
        <w:gridCol w:w="109"/>
        <w:gridCol w:w="109"/>
        <w:gridCol w:w="109"/>
        <w:gridCol w:w="211"/>
        <w:gridCol w:w="616"/>
        <w:gridCol w:w="109"/>
        <w:gridCol w:w="109"/>
        <w:gridCol w:w="109"/>
        <w:gridCol w:w="109"/>
        <w:gridCol w:w="307"/>
        <w:gridCol w:w="309"/>
        <w:gridCol w:w="561"/>
      </w:tblGrid>
      <w:tr>
        <w:trPr/>
        <w:tc>
          <w:tcPr>
            <w:tcW w:w="5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211" w:type="dxa"/>
            <w:gridSpan w:val="18"/>
            <w:tcBorders/>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767" w:type="dxa"/>
            <w:gridSpan w:val="12"/>
            <w:tcBorders/>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6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2023 filed with the Securities and Exchange Commission, or SEC, on February 21, 2024, or the 2023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2023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is a technology insurance company revolutionizing personal insurance with a pricing model based upon fairness and a modern customer experience. We operate primarily a direct-to-consumer model in which currently we acquire the majority of our customers through mobile apps. We are also focused on expanding our partnership channel, where we acquire customers using various means, including through embedded integrations.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Root advantage is derived from our unique ability to efficiently and effectively bind auto insurance policies quickly, through direct and partnership channels, aided by segmenting individual risk based on complex behavioral data and proprietary telematics models.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scale the business, we aim to drive new customer growth by capitalizing on our two distribution channels: direct and partnerships. In both channels we seek to optimize unit economics. Loss ratios for customers in their initial term are generally higher than in subsequent terms. As a young insurance company, compared to our peers, our results are disproportionately weighted toward new customers. We believe our data- and technology-driven approach allows for rapid response to macroeconomic trends through quick, appropriate rate actions. Our ability to continually enhance our underwriting and segmentation capabilities has contributed to improvement in our gross loss ratios. Our marketing spend is grounded in a disciplined data-science approach, targeting customers that align with our lifetime expected returns. Over time we expect to build a base of recurring customers with more favorable loss ratios, resulting in the following financial impacts: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Improved loss ratio</w:t>
      </w:r>
      <w:r>
        <w:rPr>
          <w:rFonts w:ascii="Times New Roman;sans-serif" w:hAnsi="Times New Roman;sans-serif"/>
          <w:b w:val="false"/>
          <w:color w:val="000000"/>
          <w:sz w:val="20"/>
        </w:rPr>
        <w:t xml:space="preserve">. Through improvements in our pricing, underwriting and segmentation we have seen improvement to our gross loss ratios. Renewal premiums, referring to premiums from a customer’s second term and beyond,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Reduced marketing as a percentage of premium. </w:t>
      </w:r>
      <w:r>
        <w:rPr>
          <w:rFonts w:ascii="Times New Roman;sans-serif" w:hAnsi="Times New Roman;sans-serif"/>
          <w:b w:val="false"/>
          <w:color w:val="000000"/>
          <w:sz w:val="20"/>
        </w:rPr>
        <w:t>Certain recurring customer premiums have no associated customer acquisition costs and minimal underwriting costs, driving profitability. As we grow our business, we anticipate, consistent with industry norms, that a greater proportion of our premiums will be from customer renewals with lower associated acquisition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Increased revenue per customer.</w:t>
      </w:r>
      <w:r>
        <w:rPr>
          <w:color w:val="000000"/>
        </w:rPr>
        <w:t xml:space="preserve"> </w:t>
      </w:r>
      <w:r>
        <w:rPr>
          <w:rFonts w:ascii="Times New Roman;sans-serif" w:hAnsi="Times New Roman;sans-serif"/>
          <w:b w:val="false"/>
          <w:color w:val="000000"/>
          <w:sz w:val="20"/>
        </w:rPr>
        <w:t xml:space="preserve">Over time we expect to refine our fee schedules to be more consistent with industry norms. This, paired with targeted marketing, strengthened underwriting and pricing segmentation, will facilitate the opportunity to generate additional fee revenue per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technology to drive efficiency across all functions, including distribution, underwriting, policy administration and claims in particular. We continue to develop machine learning loss models, which allow us to respond more quickly to changes in the market, improve pricing segmentation and take appropriate and timely rate actions. We believe this allows us to operate with a cost to acquire and cost to serve advantage. We efficiently acquire customers through multiple channels, including direct digital (performance), channel media, referrals, and partnership, including embedded and agency and affinity. Our evolving acquisition strategy includes utilizing our embedded insurance offering with current and future strategic partners. Our marketing costs have historically been well below industry averages, although in any given period, these costs can vary by acquisition strategy, channel mix, by state, or due to seasonality or due to the competitive environment. Today, we acquire the vast majority of our customers through mobile apps. We believe that through prudent investment in and diversification of our marketing channels, including leveraging proprietary data science and technology and a focus on partnerships with our current and future strategic partners, will position us for more sustainable, long-term and profitable growth.</w:t>
      </w:r>
    </w:p>
    <w:p>
      <w:pPr>
        <w:pStyle w:val="TextBody"/>
        <w:bidi w:val="0"/>
        <w:spacing w:lineRule="auto" w:line="288" w:before="0" w:after="180"/>
        <w:jc w:val="left"/>
        <w:rPr/>
      </w:pPr>
      <w:r>
        <w:rPr>
          <w:rFonts w:ascii="Times New Roman;sans-serif" w:hAnsi="Times New Roman;sans-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prioritize revenue and targeted profitable customer growth while maintaining regulatory capital requirements: (2) source efficient capital to support customer acquisition costs; and (3) mitigate impact of large losses or tail events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expect to continuously evaluate our utilization of third-party reinsurance while scaling our business in order to operate a capital-efficient business model. As our gross loss ratios continue to improve and stabilize over the long-term, we expect to maintain the flexibility to modify our reinsurance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Given the impact reinsurance has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may not be achievable under our regulatory landscape given our historical top-line growth and resulting capital requirements, which are relieved, in part, by obtaining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“—Key Performance Indicators” and for reconciliations of Direct Contribution and adjusted EBITDA to the most directly comparable generally accepted accounting principles in the United States, or GAAP, metric,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 Affecting Comparability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Macroeconomic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Economic instability has led to acute inflationary pressures, supply chain disruptions, changes in interest rates and changes in equity markets. There is a risk of inflation remaining elevated for an extended period, which could cause claims and claim expenses to increase, impact the performance of our investment portfolio or have other adverse effects, including variability in the competitive environment. We have seen an increase in vehicle repair and medical costs.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Comprehensive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reduced the utilization of reinsurance through a strategic reduction of external quota share. The changes to the reinsurance program aim to deliver improved economics and capital efficiency.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059" w:type="dxa"/>
        <w:jc w:val="left"/>
        <w:tblInd w:w="0" w:type="dxa"/>
        <w:tblLayout w:type="fixed"/>
        <w:tblCellMar>
          <w:top w:w="28" w:type="dxa"/>
          <w:left w:w="28" w:type="dxa"/>
          <w:bottom w:w="28" w:type="dxa"/>
          <w:right w:w="28" w:type="dxa"/>
        </w:tblCellMar>
      </w:tblPr>
      <w:tblGrid>
        <w:gridCol w:w="960"/>
        <w:gridCol w:w="845"/>
        <w:gridCol w:w="849"/>
        <w:gridCol w:w="109"/>
        <w:gridCol w:w="109"/>
        <w:gridCol w:w="178"/>
        <w:gridCol w:w="178"/>
        <w:gridCol w:w="355"/>
        <w:gridCol w:w="1291"/>
        <w:gridCol w:w="456"/>
        <w:gridCol w:w="112"/>
        <w:gridCol w:w="112"/>
        <w:gridCol w:w="112"/>
        <w:gridCol w:w="217"/>
        <w:gridCol w:w="634"/>
        <w:gridCol w:w="27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Policies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401,255 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199,685 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7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45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LAE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5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45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27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45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2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Policies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per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direct contribution, a non-GAAP financial measure, as gross profit excluding net investment income, net realized gains on investments, report costs, commission expenses related to our partnership channel,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“—Non-GAAP Financial Measures” for a reconciliation of total revenue to direct contribution.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 non-GAAP financial measure, as net loss excluding interest expense, income tax expense, depreciation and amortization, share-based compensation, warrant compensation expense, restructuring charges, write-off of prepaid marketing expenses,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“—Non-GAAP Financial Measures” for a reconciliation of net loss to adjusted EBITDA.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Loss and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Accident Period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net premiums earned, net investment income, fee income and other income.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represents interest earned from our cash and cash equivalents and fixed maturity and short-term investments and unrealized gains and losses from our private equity investments less investment expenses. Net investment income also includes impairments related to Low Income Housing Tax Credits investments in limited liability entities to offset certain state premium taxes. These tax credits are recognized when utilized. Net investment income is directly correlated with the overall size of our investment portfolio, market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Fee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includes expenses related to direct performance marketing, channel media, advertising, sponsorship, referral fees and the partnership channel. These expenses also include related Personnel Costs and Overhead related to our brand strategy, creative and business development activities, and certain data science activities. We incur sales and marketing expenses for all product offerings. Sales and marketing are expensed as incurred.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investing in and diversifying our marketing channels to attract and acquire new customers, increase our brand awareness, and expand our product offerings within certain markets. We expect that in the long-term, our sales and marketing will decrease as a percentage of revenue as the proportion of renewals to our total business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insurance expense includes underwriting expenses, commission expenses related to our partnership channel, premium taxes, credit card and policy processing expenses, premium write-offs, insurance license expenses, certain warrant compensation expense related to policies originating through the integrated automobile insurance solution for Carvana’s online buying platform,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Other insurance expense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9703" w:type="dxa"/>
        <w:jc w:val="left"/>
        <w:tblInd w:w="0" w:type="dxa"/>
        <w:tblLayout w:type="fixed"/>
        <w:tblCellMar>
          <w:top w:w="28" w:type="dxa"/>
          <w:left w:w="28" w:type="dxa"/>
          <w:bottom w:w="28" w:type="dxa"/>
          <w:right w:w="28" w:type="dxa"/>
        </w:tblCellMar>
      </w:tblPr>
      <w:tblGrid>
        <w:gridCol w:w="1676"/>
        <w:gridCol w:w="1476"/>
        <w:gridCol w:w="1482"/>
        <w:gridCol w:w="211"/>
        <w:gridCol w:w="616"/>
        <w:gridCol w:w="109"/>
        <w:gridCol w:w="109"/>
        <w:gridCol w:w="109"/>
        <w:gridCol w:w="109"/>
        <w:gridCol w:w="211"/>
        <w:gridCol w:w="586"/>
        <w:gridCol w:w="109"/>
        <w:gridCol w:w="109"/>
        <w:gridCol w:w="109"/>
        <w:gridCol w:w="109"/>
        <w:gridCol w:w="211"/>
        <w:gridCol w:w="616"/>
        <w:gridCol w:w="109"/>
        <w:gridCol w:w="109"/>
        <w:gridCol w:w="109"/>
        <w:gridCol w:w="109"/>
        <w:gridCol w:w="383"/>
        <w:gridCol w:w="383"/>
        <w:gridCol w:w="544"/>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increased $170.3 million, or 283.8%, to $230.3 million, for the three months ended March 31, 2024 compared to the same period in 2023. The increase was primarily due to reduced cessions of gross premiums earned to reinsurers between periods. The increase was also due to an increase in policies in force as a result of increased direct performance marketing spend, and greater premium per policy resulting from rate 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we ceded approximately 16.3% and 53.9% of our gross premiums earned, respectively. The change in cessions between periods was primarily driven by a strategic reduction of quota share reinsurance and commutations of certain reinsurance agreements as previously discussed in the second half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three months ended March 31, 2024 and 2023:</w:t>
      </w:r>
    </w:p>
    <w:tbl>
      <w:tblPr>
        <w:tblW w:w="7251"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8"/>
        <w:gridCol w:w="308"/>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 increased for the three months ended March 31, 2024 primarily due to growth in new writings as a result of increased direct performance marketing spend compared to the same period in 2023. The increase in gross premiums earned was primarily due to greater policies in force and a 14.7% increase in premium per policy primarily attributable to rate 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Fee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Fee income increased $11.5 million, or 359.4%, to $14.7 million for the three months ended March 31, 2024 compared to the same period in 2023. The increase was primarily driven by a $4.9 million increase in policy fees due to implementation of new fees as a result of refining our fee schedules to policyholders. We also experienced a $4.8 million increase in installment fees and a $1.2 million increase in late fees attributable to an increase in collected fees, as a result of increased policies in force.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LAE increased $103.1 million, or 162.9%, to $166.4 million for the three months ended March 31, 2024 compared to the same period in 2023. The increase was primarily due to additional losses incurred on increased gross premiums earned volume and reduced cessions of losses to reinsurers for the three months ended March 31, 2024 compared to the same period in 2023.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61.2% for the three months ended March 31, 2024, from 65.6% for the same period in 2023.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estimated an 11% increase in severity per claim and a 3% decrease in claim frequency for the three months ended March 31, 2024 compared to the same period in 2023. The claim severity and frequency estimates are based on bodily injury, collision, and property damage coverages, the claim frequency estimates are tenure mix adjusted.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increased $26.8 million, or 744.4%, to $30.4 million for the three months ended March 31, 2024 compared to the same period in 2023. The increase was due to a $26.1 million increase in direct performance marketing spend to drive accretive growth and deeper market penetration in the states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Other Insurance Expense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insurance expense increased $23.3 million, or 1,792.3%, to $24.6 million for the three months ended March 31, 2024 compared to the same period in 2023. The increase was primarily driven by a $6.9 million decrease in net ceding commission contra-expense as a result of a decline in ceded premiums written, primarily attributable to a strategic reduction of quota share reinsurance in the second half of 2023. We also experienced a $6.2 million increase in report costs due to an increase in customer applications and new writings. In addition, we experienced a $3.9 million increase in commission expenses related to the continued growth in our partnership channel including amortization of deferred policy acquisition costs. We also experienced a $3.2 million increase in premium write-offs and a $2.8 million increase in premium taxes primarily attributable to an increase in gross premiums earned.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$4.4 million, or 20.5%, to $17.1 million for the three months ended March 31, 2024 compared to the same period in 2023. The decrease was primarily driven by a $5.7 million decrease in legal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revenue to direct contribution for the three months ended March 31, 2024 and 2023:</w:t>
      </w:r>
    </w:p>
    <w:tbl>
      <w:tblPr>
        <w:tblW w:w="7538" w:type="dxa"/>
        <w:jc w:val="left"/>
        <w:tblInd w:w="0" w:type="dxa"/>
        <w:tblLayout w:type="fixed"/>
        <w:tblCellMar>
          <w:top w:w="28" w:type="dxa"/>
          <w:left w:w="28" w:type="dxa"/>
          <w:bottom w:w="28" w:type="dxa"/>
          <w:right w:w="28" w:type="dxa"/>
        </w:tblCellMar>
      </w:tblPr>
      <w:tblGrid>
        <w:gridCol w:w="1347"/>
        <w:gridCol w:w="1184"/>
        <w:gridCol w:w="1188"/>
        <w:gridCol w:w="109"/>
        <w:gridCol w:w="109"/>
        <w:gridCol w:w="226"/>
        <w:gridCol w:w="226"/>
        <w:gridCol w:w="439"/>
        <w:gridCol w:w="1281"/>
        <w:gridCol w:w="226"/>
        <w:gridCol w:w="109"/>
        <w:gridCol w:w="109"/>
        <w:gridCol w:w="109"/>
        <w:gridCol w:w="211"/>
        <w:gridCol w:w="51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Adjustments from other insurance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ceding commission and other</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00"/>
        <w:ind w:left="0" w:right="0" w:hanging="360"/>
        <w:jc w:val="left"/>
        <w:rPr/>
      </w:pPr>
      <w:r>
        <w:rPr>
          <w:rFonts w:ascii="Times New Roman;sans-serif" w:hAnsi="Times New Roman;sans-serif"/>
          <w:b w:val="false"/>
          <w:color w:val="000000"/>
          <w:sz w:val="16"/>
        </w:rPr>
        <w:t>(1) Adjustments from other insurance expense includes report costs, commission expenses related to our partnership channel, certain warrant compensation expense related to policies originating through the integrated automobile insurance solution for Carvana’s online buying platform, Personnel Costs, Overhead, licenses, professional fees and other</w:t>
      </w:r>
      <w:r>
        <w:rPr>
          <w:rFonts w:ascii="Times New Roman;sans-serif" w:hAnsi="Times New Roman;sans-serif"/>
          <w:b w:val="false"/>
          <w:color w:val="000000"/>
          <w:sz w:val="20"/>
        </w:rPr>
        <w:t xml:space="preserve">. </w:t>
      </w:r>
    </w:p>
    <w:p>
      <w:pPr>
        <w:pStyle w:val="TextBody"/>
        <w:bidi w:val="0"/>
        <w:spacing w:lineRule="auto" w:line="288" w:before="0" w:after="100"/>
        <w:ind w:left="0" w:right="0" w:hanging="360"/>
        <w:jc w:val="left"/>
        <w:rPr/>
      </w:pPr>
      <w:r>
        <w:rPr>
          <w:rFonts w:ascii="Times New Roman;sans-serif" w:hAnsi="Times New Roman;sans-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adjusted EBITDA and why management believes this measure provides useful information to investors, see “—Key Performance Indicators.”</w:t>
      </w:r>
    </w:p>
    <w:p>
      <w:pPr>
        <w:pStyle w:val="TextBody"/>
        <w:bidi w:val="0"/>
        <w:spacing w:lineRule="auto" w:line="288" w:before="0" w:after="180"/>
        <w:jc w:val="left"/>
        <w:rPr/>
      </w:pPr>
      <w:r>
        <w:rPr>
          <w:rFonts w:ascii="Times New Roman;sans-serif" w:hAnsi="Times New Roman;sans-serif"/>
          <w:b w:val="false"/>
          <w:color w:val="000000"/>
          <w:sz w:val="20"/>
        </w:rPr>
        <w:t>The following table provides a reconciliation of net loss to adjusted EBITDA for the three months ended March 31, 2024 and 2023:</w:t>
      </w:r>
      <w:r>
        <w:rPr>
          <w:color w:val="000000"/>
        </w:rPr>
        <w:t xml:space="preserve"> </w:t>
      </w:r>
    </w:p>
    <w:tbl>
      <w:tblPr>
        <w:tblW w:w="6548" w:type="dxa"/>
        <w:jc w:val="left"/>
        <w:tblInd w:w="0" w:type="dxa"/>
        <w:tblLayout w:type="fixed"/>
        <w:tblCellMar>
          <w:top w:w="28" w:type="dxa"/>
          <w:left w:w="28" w:type="dxa"/>
          <w:bottom w:w="28" w:type="dxa"/>
          <w:right w:w="28" w:type="dxa"/>
        </w:tblCellMar>
      </w:tblPr>
      <w:tblGrid>
        <w:gridCol w:w="961"/>
        <w:gridCol w:w="839"/>
        <w:gridCol w:w="854"/>
        <w:gridCol w:w="109"/>
        <w:gridCol w:w="109"/>
        <w:gridCol w:w="249"/>
        <w:gridCol w:w="249"/>
        <w:gridCol w:w="482"/>
        <w:gridCol w:w="1169"/>
        <w:gridCol w:w="249"/>
        <w:gridCol w:w="109"/>
        <w:gridCol w:w="109"/>
        <w:gridCol w:w="109"/>
        <w:gridCol w:w="211"/>
        <w:gridCol w:w="58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Write-offs and other</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Restructuring costs consist of employee costs, real estate exit costs, and other. This includes share-based compensation of zero and $0.4 million for the three months ended March 31, 2024 and March 31, 2023, respectively. This also includes depreciation and amortization of $0.1 million for the three months ended March 31, 2024 and March 31, 2023. For further information on restructuring costs, see Note 9, “Restructuring Costs,” in the Notes to Condensed Consolidated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Write-offs and other primarily reflects legal costs, write-off of prepaid marketing expense and other items that do not reflect our ongoing operating performance. Legal and other fees related to the 2022 purported misappropriation of funds by a former senior marketing employee of $0.1 million and $2.0 million for the three months ended March 31, 2024 and March 31,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stock and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may impact our liquidity such as the economic instability resulting in acute inflationary pressures, supply chain disruptions, changes in interest rates, changes in equity markets and our utilization of reinsurance. There is a risk of inflation remaining elevated for an extended period, which could cause claims and claim expenses to increase, impact the performance of our investment portfolio or have other adverse effects.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as a holding company, but our primary operations are conducted by two of our wholly-owned insurance subsidiaries, Root Insurance Company and Root Property &amp; Casualty Insurance Company, both Ohio-domiciled insurance companies. The payment of dividends by our insurance subsidiaries is subject to restrictions set forth in the insurance laws and regulations of the State of Ohio. To date, our insurance subsidiaries have not paid any dividends and, as of March 31, 2024, they were not permitted to pay any dividends without approval of the applicable superintendent, commissioner and/or director.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2024, our insurance subsidiaries maintained a risk-based capital level that is in excess of an amount that would require any corrective actions on our part.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wholly-owned, Cayman Islands-based reinsurance subsidiary, Root Reinsurance Company, Ltd., or Root Re, maintains a Class B(iii) insurer license under Cayman Islands Monetary Authority, or CIMA. At March 31, 2024, Root Re was subject to compliance with certain capital levels and a net premiums earned to capital ratio of 15:1, which we maintained as of March 31, 2024.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9.0%.</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$640.5 million in cash and cash equivalents, of which $482.6 million was held outside of regulated insurance entities. We also had $216.0 million in marketable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withholding obligations arise upon vesting of shares of RSUs and PSUs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expense and net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illustrative purposes, assuming a stock price of $60.52 per share (the closing price of our shares of Class A common stock on the NASDAQ on April 1, 2024), we estimate that our tax withholding obligations on account of remaining vesting events for the second quarter of 2024 of $10.6 million, and for each of the subsequent three quarters through March 31, 2025 of approximately $2.4 million.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tax withholding obligations will vary based upon, among other things: the price of our Class A common stock at the time of vesting; the applicable tax withholding rates then in effect; the number of employees electing to pay us an amount in cash, via a broker, sufficient to cover their applicable tax withholding obligations; whether we continue to arrange for RSU withholding in respect of vestings; the number of RSUs and PSUs that may be forfeited prior to vesting; and the timing and amounts of future equity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covenants required cash and cash equivalents held in entities other than our insurance subsidiaries to be at least $200.0 million at all times. As of March 31, 2024, we have met the conditions to reduce this to $150.0 million as a result of issuing more than 62,500 insurance policies through our Carvana embedded product and achieving a direct contribution to gross premiums earned ratio of greater than 12%. We must continue to satisfy the direct contribution to gross premiums earned ratio requirement at the end of each fiscal quarter in order to maintain the reduced threshold of $150.0 million.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data for the periods presented:</w:t>
      </w:r>
    </w:p>
    <w:tbl>
      <w:tblPr>
        <w:tblW w:w="6655" w:type="dxa"/>
        <w:jc w:val="left"/>
        <w:tblInd w:w="0" w:type="dxa"/>
        <w:tblLayout w:type="fixed"/>
        <w:tblCellMar>
          <w:top w:w="28" w:type="dxa"/>
          <w:left w:w="28" w:type="dxa"/>
          <w:bottom w:w="28" w:type="dxa"/>
          <w:right w:w="28" w:type="dxa"/>
        </w:tblCellMar>
      </w:tblPr>
      <w:tblGrid>
        <w:gridCol w:w="1524"/>
        <w:gridCol w:w="1340"/>
        <w:gridCol w:w="1350"/>
        <w:gridCol w:w="244"/>
        <w:gridCol w:w="592"/>
        <w:gridCol w:w="126"/>
        <w:gridCol w:w="126"/>
        <w:gridCol w:w="126"/>
        <w:gridCol w:w="126"/>
        <w:gridCol w:w="244"/>
        <w:gridCol w:w="679"/>
        <w:gridCol w:w="178"/>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2024 was $14.5 million compared to $83.7 million of net cash used in operating activities for the three months ended March 31, 2023. The increase in cash provided by operating activities was due to a material reduction in net loss between the periods, increase in the loss and LAE reserves for the three months ended March 31, 2024 reflecting the growth in policies in force versus a decrease in loss and LAE reserves during the three months ended March 31, 2023, and increase in net reinsurance recoverables during the three months ended March 31, 2024 compared to the same period in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2024 was $52.3 million compared to $0.9 million of net cash provided by investing activities for the three months ended March 31, 2023. The increase in cash used in investing activities was primarily due to purchases of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2024 was $0.4 million, compared to no financing activity for the three months ended March 31, 2023. The change in net cash used in financing activities was due to taxes paid related to net share settlement of vested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from Contractual and Other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and other obligations from those described in our 2023 10-K.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premium write-offs and allowance for expected credit losses on premium receivables and reinsurance recoverables.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 — Critical Accounting Estimates,” in our 2023 10-K and the Notes to Condensed Consolidated Financial Statements appearing elsewhere in this Quarterly Report on Form 10-Q. During the three months ended March 31, 2024, there were no material changes to our critical accounting estimates from those discussed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quantitative and qualitative market risk disclosures included in the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March 31, 2024.</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March 31, 2024 that have materially affected, or are reasonably likely to materially affect, our internal control over financial reporting.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flows. </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risk factors from those disclosed in the 2023 10-K. In addition to the other information set forth in this Quarterly Report on Form 10-Q, you should carefully consider the risk factors discussed in Part I, Item 1A. “Risk Factors” in the 2023 10-K. You should not interpret the disclosure of any risk factor to imply the risk has not already materialized.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Repurchase and Working Capital Restrictions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of any extraordinary dividend by one of our regulated insurance subsidiaries requires the prior approval of the superintendent of the supervisory Department of Insurance, or DOI. “Extraordinary dividend” is defined under the Ohio Revised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2023, neither Root Insurance Company nor Root Property &amp; Casualty Insurance Company were permitted to pay any dividends to us without approval of the superintendent of the supervisory DOI. See the section titled “Risk Factors — Risks Related to Our Business — Failure to maintain our risk-based capital at the required levels could adversely affect our ability to maintain regulatory authority to conduct our business,” included in the 2023 10-K.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789"/>
        <w:gridCol w:w="1561"/>
        <w:gridCol w:w="1567"/>
        <w:gridCol w:w="177"/>
        <w:gridCol w:w="177"/>
        <w:gridCol w:w="164"/>
        <w:gridCol w:w="291"/>
        <w:gridCol w:w="291"/>
        <w:gridCol w:w="293"/>
        <w:gridCol w:w="210"/>
        <w:gridCol w:w="210"/>
        <w:gridCol w:w="211"/>
        <w:gridCol w:w="406"/>
        <w:gridCol w:w="273"/>
        <w:gridCol w:w="257"/>
        <w:gridCol w:w="297"/>
        <w:gridCol w:w="297"/>
        <w:gridCol w:w="298"/>
        <w:gridCol w:w="109"/>
        <w:gridCol w:w="109"/>
        <w:gridCol w:w="163"/>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18"/>
                  <w:u w:val="single"/>
                </w:rPr>
                <w:t>Form of Class A common stock certificate</w:t>
              </w:r>
            </w:hyperlink>
            <w:hyperlink r:id="rId7">
              <w:r>
                <w:rPr>
                  <w:rStyle w:val="InternetLink"/>
                  <w:rFonts w:ascii="Times New Roman;sans-serif" w:hAnsi="Times New Roman;sans-serif"/>
                  <w:b w:val="false"/>
                  <w:color w:val="000080"/>
                  <w:sz w:val="18"/>
                  <w:u w:val="single"/>
                </w:rPr>
                <w:t xml:space="preserve"> of the Registrant</w:t>
              </w:r>
            </w:hyperlink>
            <w:hyperlink r:id="rId8">
              <w:r>
                <w:rPr>
                  <w:rStyle w:val="InternetLink"/>
                  <w:rFonts w:ascii="Times New Roman;sans-serif" w:hAnsi="Times New Roman;sans-serif"/>
                  <w:b w:val="false"/>
                  <w:color w:val="000080"/>
                  <w:sz w:val="18"/>
                  <w:u w:val="single"/>
                </w:rPr>
                <w: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Form of Common Stock Purchase Warrant (Tranche 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pPr>
      <w:r>
        <w:rPr>
          <w:rFonts w:ascii="Times New Roman;sans-serif" w:hAnsi="Times New Roman;sans-serif"/>
          <w:b w:val="false"/>
          <w:color w:val="000000"/>
          <w:sz w:val="20"/>
        </w:rPr>
        <w:t>Pursuant to the requirements of the Exchange Act of 1934, the registrant has duly caused this report to be signed on its behalf by the undersigned thereunto duly authorized</w:t>
      </w:r>
      <w:r>
        <w:rPr>
          <w:rFonts w:ascii="Times New Roman;sans-serif" w:hAnsi="Times New Roman;sans-serif"/>
          <w:b/>
          <w:color w:val="000000"/>
          <w:sz w:val="20"/>
        </w:rPr>
        <w:t>.</w:t>
      </w:r>
    </w:p>
    <w:p>
      <w:pPr>
        <w:pStyle w:val="TextBody"/>
        <w:bidi w:val="0"/>
        <w:spacing w:before="0" w:after="0"/>
        <w:jc w:val="right"/>
        <w:rPr/>
      </w:pPr>
      <w:r>
        <w:rPr/>
      </w:r>
    </w:p>
    <w:tbl>
      <w:tblPr>
        <w:tblW w:w="6865" w:type="dxa"/>
        <w:jc w:val="righ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910"/>
        <w:gridCol w:w="910"/>
        <w:gridCol w:w="129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Root,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Forish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Forish</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95095"/>
                <wp:effectExtent l="0" t="0" r="0" b="0"/>
                <wp:wrapNone/>
                <wp:docPr id="48" name="Frame48"/>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23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910"/>
        <w:gridCol w:w="910"/>
        <w:gridCol w:w="129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78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63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736"/>
        <w:gridCol w:w="736"/>
        <w:gridCol w:w="104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178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March 31, 2024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2024</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1788882/000162828020014581/exhibit41-sx1a1xformof.htm" TargetMode="External"/><Relationship Id="rId8" Type="http://schemas.openxmlformats.org/officeDocument/2006/relationships/hyperlink" Target="http://www.sec.gov/Archives/edgar/data/1788882/000162828020014581/exhibit41-sx1a1xformof.htm" TargetMode="External"/><Relationship Id="rId9" Type="http://schemas.openxmlformats.org/officeDocument/2006/relationships/hyperlink" Target="http://www.sec.gov/Archives/edgar/data/0001788882/000119312521289291/d236036dex41.htm" TargetMode="External"/><Relationship Id="rId10" Type="http://schemas.openxmlformats.org/officeDocument/2006/relationships/hyperlink" Target="http://www.sec.gov/Archives/edgar/data/1788882/000119312522018949/d295910dex41.htm" TargetMode="External"/><Relationship Id="rId11" Type="http://schemas.openxmlformats.org/officeDocument/2006/relationships/hyperlink" Target="https://www.sec.gov/Archives/edgar/data/1788882/000119312522018949/d295910dex4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18123</Words>
  <Characters>100270</Characters>
  <CharactersWithSpaces>116998</CharactersWithSpaces>
  <Paragraphs>2444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