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lineRule="auto" w:line="288" w:before="0" w:after="180"/>
        <w:jc w:val="center"/>
        <w:rPr>
          <w:rFonts w:ascii="Times New Roman;serif" w:hAnsi="Times New Roman;serif"/>
          <w:b w:val="false"/>
          <w:color w:val="000000"/>
          <w:sz w:val="24"/>
        </w:rPr>
      </w:pPr>
      <w:r>
        <w:rPr>
          <w:rFonts w:ascii="Times New Roman;serif" w:hAnsi="Times New Roman;serif"/>
          <w:b w:val="false"/>
          <w:color w:val="000000"/>
          <w:sz w:val="24"/>
        </w:rPr>
        <w:t>__________</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CURRENT REPORT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Pursuant to Section 13 or 15(d) of the Securities Exchange Act of 1934 </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August 31, 2026 </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__________</w:t>
      </w:r>
    </w:p>
    <w:p>
      <w:pPr>
        <w:pStyle w:val="TextBody"/>
        <w:bidi w:val="0"/>
        <w:spacing w:lineRule="auto" w:line="288" w:before="0" w:after="0"/>
        <w:jc w:val="center"/>
        <w:rPr>
          <w:rFonts w:ascii="Times New Roman;serif" w:hAnsi="Times New Roman;serif"/>
          <w:b/>
          <w:color w:val="000000"/>
          <w:sz w:val="44"/>
        </w:rPr>
      </w:pPr>
      <w:r>
        <w:rPr>
          <w:rFonts w:ascii="Times New Roman;serif" w:hAnsi="Times New Roman;serif"/>
          <w:b/>
          <w:color w:val="000000"/>
          <w:sz w:val="44"/>
        </w:rPr>
        <w:t>ROOT, INC.</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 xml:space="preserve">(Exact name of Registrant as Specified in Charter)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w:t>
      </w:r>
    </w:p>
    <w:tbl>
      <w:tblPr>
        <w:tblW w:w="6538" w:type="dxa"/>
        <w:jc w:val="center"/>
        <w:tblInd w:w="0" w:type="dxa"/>
        <w:tblLayout w:type="fixed"/>
        <w:tblCellMar>
          <w:top w:w="28" w:type="dxa"/>
          <w:left w:w="28" w:type="dxa"/>
          <w:bottom w:w="28" w:type="dxa"/>
          <w:right w:w="28" w:type="dxa"/>
        </w:tblCellMar>
      </w:tblPr>
      <w:tblGrid>
        <w:gridCol w:w="1092"/>
        <w:gridCol w:w="956"/>
        <w:gridCol w:w="967"/>
        <w:gridCol w:w="677"/>
        <w:gridCol w:w="677"/>
        <w:gridCol w:w="685"/>
        <w:gridCol w:w="433"/>
        <w:gridCol w:w="433"/>
        <w:gridCol w:w="618"/>
      </w:tblGrid>
      <w:tr>
        <w:trPr/>
        <w:tc>
          <w:tcPr>
            <w:tcW w:w="1092"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Delaware</w:t>
            </w:r>
          </w:p>
        </w:tc>
        <w:tc>
          <w:tcPr>
            <w:tcW w:w="2039"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001-39658</w:t>
            </w:r>
          </w:p>
        </w:tc>
        <w:tc>
          <w:tcPr>
            <w:tcW w:w="1484"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84-2717903</w:t>
            </w:r>
          </w:p>
        </w:tc>
      </w:tr>
      <w:tr>
        <w:trPr/>
        <w:tc>
          <w:tcPr>
            <w:tcW w:w="3015"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319" w:before="0" w:after="2"/>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2039"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1484"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319" w:before="0" w:after="2"/>
              <w:jc w:val="center"/>
              <w:rPr>
                <w:rFonts w:ascii="Times New Roman;serif" w:hAnsi="Times New Roman;serif"/>
                <w:b/>
                <w:color w:val="000000"/>
                <w:sz w:val="16"/>
              </w:rPr>
            </w:pPr>
            <w:r>
              <w:rPr>
                <w:rFonts w:ascii="Times New Roman;serif" w:hAnsi="Times New Roman;serif"/>
                <w:b/>
                <w:color w:val="000000"/>
                <w:sz w:val="16"/>
              </w:rPr>
              <w:t>Identification No.)</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80 E. Rich Street, Suite 500</w:t>
            </w:r>
          </w:p>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 xml:space="preserve">Columbus, Ohio </w:t>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43215</w:t>
            </w:r>
          </w:p>
        </w:tc>
      </w:tr>
      <w:tr>
        <w:trPr/>
        <w:tc>
          <w:tcPr>
            <w:tcW w:w="3015"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(866) 980-9431 </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 xml:space="preserve">(Registrant’s Telephone Number, Including Area Code)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 Applicable </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(Former Name or Former Address, if Changed Since Last Report) </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__________</w:t>
      </w:r>
    </w:p>
    <w:p>
      <w:pPr>
        <w:pStyle w:val="TextBody"/>
        <w:bidi w:val="0"/>
        <w:spacing w:lineRule="auto" w:line="288" w:before="0" w:after="120"/>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color w:val="000000"/>
          <w:sz w:val="20"/>
          <w:u w:val="single"/>
        </w:rPr>
        <w:t>see</w:t>
      </w:r>
      <w:r>
        <w:rPr>
          <w:color w:val="000000"/>
        </w:rPr>
        <w:t xml:space="preserve"> </w:t>
      </w:r>
      <w:r>
        <w:rPr>
          <w:rFonts w:ascii="Times New Roman;serif" w:hAnsi="Times New Roman;serif"/>
          <w:b w:val="false"/>
          <w:color w:val="000000"/>
          <w:sz w:val="20"/>
        </w:rPr>
        <w:t xml:space="preserve">General Instructions A.2. below): </w:t>
      </w:r>
    </w:p>
    <w:p>
      <w:pPr>
        <w:pStyle w:val="TextBody"/>
        <w:bidi w:val="0"/>
        <w:spacing w:lineRule="auto" w:line="288" w:before="0" w:after="120"/>
        <w:ind w:left="0" w:right="0" w:hanging="720"/>
        <w:jc w:val="left"/>
        <w:rPr>
          <w:color w:val="000000"/>
        </w:rPr>
      </w:pPr>
      <w:r>
        <w:rPr>
          <w:color w:val="000000"/>
        </w:rPr>
        <w:t>☐    </w:t>
      </w:r>
      <w:r>
        <w:rPr>
          <w:rFonts w:ascii="Times New Roman;serif" w:hAnsi="Times New Roman;serif"/>
          <w:b w:val="false"/>
          <w:color w:val="000000"/>
          <w:sz w:val="20"/>
        </w:rPr>
        <w:t xml:space="preserve">Written communications pursuant to Rule 425 under the Securities Act (17 CFR 230.425) </w:t>
      </w:r>
    </w:p>
    <w:p>
      <w:pPr>
        <w:pStyle w:val="TextBody"/>
        <w:bidi w:val="0"/>
        <w:spacing w:lineRule="auto" w:line="288" w:before="0" w:after="120"/>
        <w:ind w:left="0" w:right="0" w:hanging="720"/>
        <w:jc w:val="left"/>
        <w:rPr>
          <w:color w:val="000000"/>
        </w:rPr>
      </w:pPr>
      <w:r>
        <w:rPr>
          <w:color w:val="000000"/>
        </w:rPr>
        <w:t>☐    </w:t>
      </w:r>
      <w:r>
        <w:rPr>
          <w:rFonts w:ascii="Times New Roman;serif" w:hAnsi="Times New Roman;serif"/>
          <w:b w:val="false"/>
          <w:color w:val="000000"/>
          <w:sz w:val="20"/>
        </w:rPr>
        <w:t xml:space="preserve">Soliciting material pursuant to Rule 14a-12 under the Exchange Act (17 CFR 240.14a-12) </w:t>
      </w:r>
    </w:p>
    <w:p>
      <w:pPr>
        <w:pStyle w:val="TextBody"/>
        <w:bidi w:val="0"/>
        <w:spacing w:lineRule="auto" w:line="288" w:before="0" w:after="120"/>
        <w:ind w:left="0" w:right="0" w:hanging="720"/>
        <w:jc w:val="left"/>
        <w:rPr>
          <w:color w:val="000000"/>
        </w:rPr>
      </w:pPr>
      <w:r>
        <w:rPr>
          <w:color w:val="000000"/>
        </w:rPr>
        <w:t>☐    </w:t>
      </w:r>
      <w:r>
        <w:rPr>
          <w:rFonts w:ascii="Times New Roman;serif" w:hAnsi="Times New Roman;serif"/>
          <w:b w:val="false"/>
          <w:color w:val="000000"/>
          <w:sz w:val="20"/>
        </w:rPr>
        <w:t xml:space="preserve">Pre-commencement communications pursuant to Rule 14d-2(b) under the Exchange Act (17 CFR 240.14d-2(b)) </w:t>
      </w:r>
    </w:p>
    <w:p>
      <w:pPr>
        <w:pStyle w:val="TextBody"/>
        <w:bidi w:val="0"/>
        <w:spacing w:lineRule="auto" w:line="288" w:before="0" w:after="0"/>
        <w:ind w:left="0" w:right="0" w:hanging="720"/>
        <w:jc w:val="left"/>
        <w:rPr>
          <w:color w:val="000000"/>
        </w:rPr>
      </w:pPr>
      <w:r>
        <w:rPr>
          <w:color w:val="000000"/>
        </w:rPr>
        <w:t>☐    </w:t>
      </w:r>
      <w:r>
        <w:rPr>
          <w:rFonts w:ascii="Times New Roman;serif" w:hAnsi="Times New Roman;serif"/>
          <w:b w:val="false"/>
          <w:color w:val="000000"/>
          <w:sz w:val="20"/>
        </w:rPr>
        <w:t xml:space="preserve">Pre-commencement communications pursuant to Rule 13e-4(c) under the Exchange Act (17 CFR 240.13e-4(c))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843" w:type="dxa"/>
        <w:jc w:val="center"/>
        <w:tblInd w:w="0" w:type="dxa"/>
        <w:tblLayout w:type="fixed"/>
        <w:tblCellMar>
          <w:top w:w="28" w:type="dxa"/>
          <w:left w:w="28" w:type="dxa"/>
          <w:bottom w:w="28" w:type="dxa"/>
          <w:right w:w="28" w:type="dxa"/>
        </w:tblCellMar>
      </w:tblPr>
      <w:tblGrid>
        <w:gridCol w:w="1339"/>
        <w:gridCol w:w="1176"/>
        <w:gridCol w:w="1190"/>
        <w:gridCol w:w="109"/>
        <w:gridCol w:w="109"/>
        <w:gridCol w:w="109"/>
        <w:gridCol w:w="564"/>
        <w:gridCol w:w="564"/>
        <w:gridCol w:w="566"/>
        <w:gridCol w:w="109"/>
        <w:gridCol w:w="109"/>
        <w:gridCol w:w="109"/>
        <w:gridCol w:w="815"/>
        <w:gridCol w:w="815"/>
        <w:gridCol w:w="1160"/>
      </w:tblGrid>
      <w:tr>
        <w:trPr/>
        <w:tc>
          <w:tcPr>
            <w:tcW w:w="133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Name of each exchange on </w:t>
            </w:r>
          </w:p>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which registered</w:t>
            </w:r>
          </w:p>
        </w:tc>
      </w:tr>
      <w:tr>
        <w:trPr/>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Class A 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ROOT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20"/>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0" w:after="60"/>
        <w:ind w:left="0" w:right="0" w:hanging="1"/>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222222"/>
          <w:sz w:val="20"/>
          <w:shd w:fill="FFFFFF" w:val="clear"/>
        </w:rPr>
      </w:pPr>
      <w:r>
        <w:rPr>
          <w:rFonts w:ascii="Times New Roman;serif" w:hAnsi="Times New Roman;serif"/>
          <w:b/>
          <w:color w:val="222222"/>
          <w:sz w:val="20"/>
          <w:shd w:fill="FFFFFF" w:val="clear"/>
        </w:rPr>
        <w:t>Introductory Note    </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1, 2021, Root, Inc. (the “Company”) issued Carvana Group, LLC (“Carvana”) eight tranches of warrants (the “Warrants”) to purchase shares of the Company’s Class A Common Stock (the “Class A Common Stock”) in accordance with the Investment Agreement, dated as of August 11, 2021, by and between the Company and Carvana (the “Investment Agreement”). The Warrants were comprised of three tranches of “short-term warrants,” each of which has expired in accordance with its terms, and five tranches of “long-term warrants.” On August 31, 2026, the Company and Carvana entered into the Warrant Cancellation and Exchange Agreement (the “Warrant Cancellation and Exchange Agreement”), whereby the Company and Carvana agreed on the Warrant Cancellation and the issuance of the New Warrant (each defined and described in more detail below).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August 31, 2026, the Company and Carvana amended the Commercial Agreement, dated as of October 1, 2021, by and between the Company and Carvana (the “Commercial Agreement”). Pursuant to the Commercial Agreement, the Company and Carvana, among other things, developed an integrated automobile insurance solution for Carvana’s online car buying platform (the “Integrated Platform”). Also on August 31, 2026, the Company and Carvana amended the Investment Agreement and the Registration Rights Agreement, each dated as of August 11, 2021, by and between the Company and Carvana. The foregoing amendments are each described in more detail below.</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Warrant Cancellation and Exchange Agreement and the New Warrant</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31, 2026, the Company entered into the Warrant Cancellation and Exchange Agreement, whereby the Company and Carvana agreed on the following: (i) Carvana surrendered, and the Company thereby cancelled, all outstanding long-term warrants that were previously issued on October 1, 2021 (the “Warrant Cancellation”) and (ii) simultaneously with the Warrant Cancellation, the Company issued Carvana a new Common Stock Purchase Warrant (the “New Warrant”). The foregoing description of the Warrant Cancellation and Exchange Agreement does not purport to be complete and is qualified in its entirety by reference to the Warrant Cancellation and Exchange Agreement, a copy of which is attached as Exhibit 10.1 to this Current Report on Form 8-K and is incorporated herein by reference. </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the New Warrant is fully exercised by Carvana for cash, Carvana will have the opportunity to purchase up to 1,525,560 shares of Class A Common Stock.</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New Warrant consists of five independently exercisable tranches of 305,112 shares each (each, a “Tranche”). Each Tranche is subject to certain Conditions to Exercise (as defined in the New Warrant), including, among others, certain conditions dependent on the achievement of defined milestones tied to insurance sales through the Integrated Platform. </w:t>
      </w:r>
    </w:p>
    <w:p>
      <w:pPr>
        <w:pStyle w:val="TextBody"/>
        <w:bidi w:val="0"/>
        <w:spacing w:before="0" w:after="0"/>
        <w:jc w:val="left"/>
        <w:rPr/>
      </w:pPr>
      <w:r>
        <w:rPr/>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foregoing summary of the material terms of the New Warrant does not purport to be complete and is qualified in its entirety by reference to the full text of the New Warrant, which is attached hereto as Exhibit 4.1. </w:t>
      </w:r>
    </w:p>
    <w:p>
      <w:pPr>
        <w:pStyle w:val="TextBody"/>
        <w:bidi w:val="0"/>
        <w:spacing w:lineRule="auto" w:line="26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Second Amendment to the Commercial Agreement </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August 31, 2026, a subsidiary of the Company and Carvana and certain of Carvana’s affiliates entered into the Second Amendment to the Commercial Agreement, by and among the parties thereto (the “Second Amendment to the Commercial Agreement”), amending, among other things, (i) the term and notice of non-renewal provision in the Commercial Agreement, (ii) the definition of “Company Warrants” (as defined therein) to reflect the New Warrant, and (iii) certain commercial terms, including with respect to exclusivity obligations of the parties. The foregoing description of the Second Amendment to the Commercial Agreement does not purport to be complete and is qualified in its entirety by reference to the Second Amendment to the Commercial Agreement, a copy of which is attached as Exhibit 10.2 to this Current Report on Form 8-K and is incorporated herein by reference.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Second Amendment to the Investment Agreement </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31, 2026, the Company and Carvana entered into the Second Amendment to the Investment Agreement, by and between the Company and Carvana (the “Second Amendment to the Investment Agreement”), amending, among other things, the Investment Agreement for the warrant restructuring contemplated by the Warrant Cancellation and Exchange Agreement. The foregoing description of the Second Amendment to the Investment Agreement does not purport to be complete and is qualified in its entirety by reference to the Second Amendment to the Investment Agreement, a copy of which is attached as Exhibit 10.3 to this Current Report on Form 8-K and is incorporated herein by reference. </w:t>
      </w:r>
    </w:p>
    <w:p>
      <w:pPr>
        <w:pStyle w:val="TextBody"/>
        <w:bidi w:val="0"/>
        <w:spacing w:lineRule="auto" w:line="26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First Amendment to the Registration Rights Agreement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31, 2026, the Company and Carvana entered into the First Amendment to the Registration Rights Agreement, by and between the Company and Carvana (the “First Amendment”), amending, among other things, the Registration Rights Agreement for the warrant restructuring contemplated by the Warrant Cancellation and Exchange Agreement. The foregoing description of the First Amendment does not purport to be complete and is qualified in its entirety by reference to the First Amendment, a copy of which is attached as Exhibit 10.4 to this Current Report on Form 8-K and is incorporated herein by reference. </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Item 3.02    Unregistered Sales of Equity Securities.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Item 1.01 regarding the issuance of the New Warrant is incorporated herein by reference.</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issuance of the New Warrant is exempt from registration under the Securities Act of 1933, as amended (the “Securities Act”), pursuant to Section 4(a)(2) of the Securities Act. Carvana represented to the Company that it is an “accredited investor” as defined in Rule 501 of the Securities Act and the New Warrant is being acquired for investment purposes and not with a view to, or for sale in connection with, any distribution thereof, and appropriate legends will be affixed to the New Warrant.</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exhibits are being filed with this Form 8-K.</w:t>
      </w:r>
    </w:p>
    <w:tbl>
      <w:tblPr>
        <w:tblW w:w="10205" w:type="dxa"/>
        <w:jc w:val="left"/>
        <w:tblInd w:w="0" w:type="dxa"/>
        <w:tblLayout w:type="fixed"/>
        <w:tblCellMar>
          <w:top w:w="28" w:type="dxa"/>
          <w:left w:w="28" w:type="dxa"/>
          <w:bottom w:w="28" w:type="dxa"/>
          <w:right w:w="28" w:type="dxa"/>
        </w:tblCellMar>
      </w:tblPr>
      <w:tblGrid>
        <w:gridCol w:w="356"/>
        <w:gridCol w:w="313"/>
        <w:gridCol w:w="316"/>
        <w:gridCol w:w="109"/>
        <w:gridCol w:w="109"/>
        <w:gridCol w:w="109"/>
        <w:gridCol w:w="2621"/>
        <w:gridCol w:w="2596"/>
        <w:gridCol w:w="3676"/>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1"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c>
          <w:tcPr>
            <w:tcW w:w="3676" w:type="dxa"/>
            <w:tcBorders/>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3"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9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left"/>
              <w:rPr/>
            </w:pPr>
            <w:hyperlink w:anchor="a41commonstockpurchasewarr.htm">
              <w:r>
                <w:rPr>
                  <w:rStyle w:val="InternetLink"/>
                  <w:rFonts w:ascii="Times New Roman;serif" w:hAnsi="Times New Roman;serif"/>
                  <w:b w:val="false"/>
                  <w:color w:val="0000FF"/>
                  <w:sz w:val="20"/>
                  <w:u w:val="single"/>
                </w:rPr>
                <w:t>Common Stock Purchase Warrant, dated as of August 31, 2026, by and between Root, Inc. and Carvana Group, LLC</w:t>
              </w:r>
            </w:hyperlink>
          </w:p>
        </w:tc>
      </w:tr>
      <w:tr>
        <w:trPr/>
        <w:tc>
          <w:tcPr>
            <w:tcW w:w="985"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pPr>
            <w:hyperlink w:anchor="a101warrantcancellationand.htm">
              <w:r>
                <w:rPr>
                  <w:rStyle w:val="InternetLink"/>
                  <w:rFonts w:ascii="Times New Roman;serif" w:hAnsi="Times New Roman;serif"/>
                  <w:b w:val="false"/>
                  <w:color w:val="0000FF"/>
                  <w:sz w:val="20"/>
                  <w:u w:val="single"/>
                </w:rPr>
                <w:t>Warrant Cancellation and Exchange Agreement, dated as of August 31, 2026, by and between Root, Inc. and Carvana Group, LLC</w:t>
              </w:r>
            </w:hyperlink>
          </w:p>
        </w:tc>
      </w:tr>
      <w:tr>
        <w:trPr/>
        <w:tc>
          <w:tcPr>
            <w:tcW w:w="985"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pPr>
            <w:hyperlink w:anchor="a102secondamendmenttotheco.htm">
              <w:r>
                <w:rPr>
                  <w:rStyle w:val="InternetLink"/>
                  <w:rFonts w:ascii="Times New Roman;serif" w:hAnsi="Times New Roman;serif"/>
                  <w:b w:val="false"/>
                  <w:color w:val="0000FF"/>
                  <w:sz w:val="20"/>
                  <w:u w:val="single"/>
                </w:rPr>
                <w:t>Second Amendment to the Commercial Agreement, dated as of August 31, 2026, by and between Root, Inc. and Carvana Group, LLC</w:t>
              </w:r>
            </w:hyperlink>
          </w:p>
        </w:tc>
      </w:tr>
      <w:tr>
        <w:trPr/>
        <w:tc>
          <w:tcPr>
            <w:tcW w:w="985"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pPr>
            <w:hyperlink w:anchor="a103secondamendmenttoinves.htm">
              <w:r>
                <w:rPr>
                  <w:rStyle w:val="InternetLink"/>
                  <w:rFonts w:ascii="Times New Roman;serif" w:hAnsi="Times New Roman;serif"/>
                  <w:b w:val="false"/>
                  <w:color w:val="0000FF"/>
                  <w:sz w:val="20"/>
                  <w:u w:val="single"/>
                </w:rPr>
                <w:t xml:space="preserve">Second Amendment to Investment Agreement, dated as of August 31, 2026, by and between Root, Inc. and Carvana Group, LLC </w:t>
              </w:r>
            </w:hyperlink>
          </w:p>
        </w:tc>
      </w:tr>
      <w:tr>
        <w:trPr/>
        <w:tc>
          <w:tcPr>
            <w:tcW w:w="985"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pPr>
            <w:hyperlink w:anchor="a104firstamendmenttothereg.htm">
              <w:r>
                <w:rPr>
                  <w:rStyle w:val="InternetLink"/>
                  <w:rFonts w:ascii="Times New Roman;serif" w:hAnsi="Times New Roman;serif"/>
                  <w:b w:val="false"/>
                  <w:color w:val="0000FF"/>
                  <w:sz w:val="20"/>
                  <w:u w:val="single"/>
                </w:rPr>
                <w:t>First Amendment to the Registration Rights Agreement, dated as of August 31, 2026, by and between Root, Inc. and Carvana Group, LLC</w:t>
              </w:r>
            </w:hyperlink>
          </w:p>
        </w:tc>
      </w:tr>
      <w:tr>
        <w:trPr/>
        <w:tc>
          <w:tcPr>
            <w:tcW w:w="98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9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 xml:space="preserve">The cover page from this Current Report on Form 8-K, formatted in Inline XBRL. </w:t>
            </w:r>
          </w:p>
        </w:tc>
      </w:tr>
    </w:tbl>
    <w:p>
      <w:pPr>
        <w:pStyle w:val="TextBody"/>
        <w:bidi w:val="0"/>
        <w:spacing w:lineRule="auto" w:line="288" w:before="0" w:after="180"/>
        <w:jc w:val="both"/>
        <w:rPr>
          <w:rFonts w:ascii="Times New Roman;serif" w:hAnsi="Times New Roman;serif"/>
          <w:b w:val="false"/>
          <w:color w:val="000000"/>
          <w:sz w:val="16"/>
        </w:rPr>
      </w:pPr>
      <w:r>
        <w:rPr>
          <w:rFonts w:ascii="Times New Roman;serif" w:hAnsi="Times New Roman;serif"/>
          <w:b w:val="false"/>
          <w:color w:val="000000"/>
          <w:sz w:val="16"/>
        </w:rPr>
        <w:t>§ Exhibits and schedules have been omitted pursuant to Item 601(a)(5) of Regulation S-K and will be provided on a supplemental basis to the Securities and Exchange Commission upon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4787" w:type="dxa"/>
        <w:jc w:val="center"/>
        <w:tblInd w:w="0" w:type="dxa"/>
        <w:tblLayout w:type="fixed"/>
        <w:tblCellMar>
          <w:top w:w="28" w:type="dxa"/>
          <w:left w:w="28" w:type="dxa"/>
          <w:bottom w:w="28" w:type="dxa"/>
          <w:right w:w="28" w:type="dxa"/>
        </w:tblCellMar>
      </w:tblPr>
      <w:tblGrid>
        <w:gridCol w:w="803"/>
        <w:gridCol w:w="705"/>
        <w:gridCol w:w="712"/>
        <w:gridCol w:w="186"/>
        <w:gridCol w:w="186"/>
        <w:gridCol w:w="186"/>
        <w:gridCol w:w="582"/>
        <w:gridCol w:w="582"/>
        <w:gridCol w:w="845"/>
      </w:tblGrid>
      <w:tr>
        <w:trPr/>
        <w:tc>
          <w:tcPr>
            <w:tcW w:w="8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7" w:type="dxa"/>
            <w:gridSpan w:val="6"/>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ROOT, INC.</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Dated: September 1, 2026</w:t>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/s/ Megan Binkley</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Megan Binkley</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24" w:before="0" w:after="180"/>
        <w:jc w:val="right"/>
        <w:rPr>
          <w:rFonts w:ascii="Times New Roman;serif" w:hAnsi="Times New Roman;serif"/>
          <w:b/>
          <w:color w:val="000000"/>
          <w:sz w:val="22"/>
        </w:rPr>
      </w:pPr>
      <w:r>
        <w:rPr>
          <w:rFonts w:ascii="Times New Roman;serif" w:hAnsi="Times New Roman;serif"/>
          <w:b/>
          <w:color w:val="000000"/>
          <w:sz w:val="22"/>
        </w:rPr>
        <w:t>Exhibit 4.1</w:t>
      </w:r>
    </w:p>
    <w:p>
      <w:pPr>
        <w:pStyle w:val="TextBody"/>
        <w:bidi w:val="0"/>
        <w:spacing w:lineRule="auto" w:line="324" w:before="0" w:after="180"/>
        <w:jc w:val="both"/>
        <w:rPr>
          <w:rFonts w:ascii="Times New Roman;serif" w:hAnsi="Times New Roman;serif"/>
          <w:b/>
          <w:color w:val="000000"/>
          <w:sz w:val="20"/>
        </w:rPr>
      </w:pPr>
      <w:r>
        <w:rPr>
          <w:rFonts w:ascii="Times New Roman;serif" w:hAnsi="Times New Roman;serif"/>
          <w:b/>
          <w:color w:val="000000"/>
          <w:sz w:val="20"/>
        </w:rPr>
        <w:t>THIS WARRANT AND THE SECURITIES ISSUABLE UPON THE EXERCISE HEREOF HAVE NOT BEEN REGISTERED WITH THE SECURITIES AND EXCHANGE COMMISSION OR THE SECURITIES COMMISSION OF ANY STATE IN RELIANCE UPON AN EXEMPTION FROM REGISTRATION UNDER THE SECURITIES ACT OF 1933, AS AMENDED (THE “SECURITIES ACT”), AND APPLICABLE STATE SECURITIES LAWS,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24" w:before="0" w:after="180"/>
        <w:jc w:val="center"/>
        <w:rPr>
          <w:rFonts w:ascii="Times New Roman;serif" w:hAnsi="Times New Roman;serif"/>
          <w:b/>
          <w:color w:val="000000"/>
          <w:sz w:val="28"/>
        </w:rPr>
      </w:pPr>
      <w:r>
        <w:rPr>
          <w:rFonts w:ascii="Times New Roman;serif" w:hAnsi="Times New Roman;serif"/>
          <w:b/>
          <w:color w:val="000000"/>
          <w:sz w:val="28"/>
        </w:rPr>
        <w:t>COMMON STOCK PURCHASE WARRANT</w:t>
      </w:r>
    </w:p>
    <w:p>
      <w:pPr>
        <w:pStyle w:val="TextBody"/>
        <w:bidi w:val="0"/>
        <w:spacing w:before="0" w:after="0"/>
        <w:jc w:val="left"/>
        <w:rPr/>
      </w:pPr>
      <w:r>
        <w:rPr/>
      </w:r>
    </w:p>
    <w:p>
      <w:pPr>
        <w:pStyle w:val="TextBody"/>
        <w:bidi w:val="0"/>
        <w:spacing w:lineRule="auto" w:line="324" w:before="0" w:after="0"/>
        <w:jc w:val="center"/>
        <w:rPr>
          <w:rFonts w:ascii="Times New Roman;serif" w:hAnsi="Times New Roman;serif"/>
          <w:b/>
          <w:color w:val="000000"/>
          <w:sz w:val="24"/>
        </w:rPr>
      </w:pPr>
      <w:r>
        <w:rPr>
          <w:rFonts w:ascii="Times New Roman;serif" w:hAnsi="Times New Roman;serif"/>
          <w:b/>
          <w:color w:val="000000"/>
          <w:sz w:val="24"/>
        </w:rPr>
        <w:t>ROOT, INC.</w:t>
      </w:r>
    </w:p>
    <w:p>
      <w:pPr>
        <w:pStyle w:val="TextBody"/>
        <w:bidi w:val="0"/>
        <w:spacing w:before="0" w:after="0"/>
        <w:jc w:val="left"/>
        <w:rPr/>
      </w:pPr>
      <w:r>
        <w:rPr/>
      </w:r>
    </w:p>
    <w:p>
      <w:pPr>
        <w:pStyle w:val="TextBody"/>
        <w:bidi w:val="0"/>
        <w:spacing w:lineRule="auto" w:line="324" w:before="0" w:after="200"/>
        <w:jc w:val="left"/>
        <w:rPr>
          <w:rFonts w:ascii="Times New Roman;serif" w:hAnsi="Times New Roman;serif"/>
          <w:b w:val="false"/>
          <w:color w:val="000000"/>
          <w:sz w:val="24"/>
        </w:rPr>
      </w:pPr>
      <w:r>
        <w:rPr>
          <w:rFonts w:ascii="Times New Roman;serif" w:hAnsi="Times New Roman;serif"/>
          <w:b w:val="false"/>
          <w:color w:val="000000"/>
          <w:sz w:val="24"/>
        </w:rPr>
        <w:t>Warrant Shares: 1,525,560 (representing approximately 8.5% of the Company’s Class A Common Stock on a Fully Diluted basis as of the Issuance Date, determined immediately prior to and without giving effect to the issuance of this Warrant, comprised of five Tranches of 305,112 shares of Class A Common Stock, representing approximately 1.7% Fully Diluted each)</w:t>
      </w:r>
    </w:p>
    <w:p>
      <w:pPr>
        <w:pStyle w:val="TextBody"/>
        <w:bidi w:val="0"/>
        <w:spacing w:before="0" w:after="0"/>
        <w:jc w:val="left"/>
        <w:rPr/>
      </w:pPr>
      <w:r>
        <w:rPr/>
      </w:r>
    </w:p>
    <w:p>
      <w:pPr>
        <w:pStyle w:val="TextBody"/>
        <w:bidi w:val="0"/>
        <w:spacing w:lineRule="auto" w:line="324" w:before="0" w:after="0"/>
        <w:jc w:val="left"/>
        <w:rPr>
          <w:rFonts w:ascii="Times New Roman;serif" w:hAnsi="Times New Roman;serif"/>
          <w:b w:val="false"/>
          <w:color w:val="000000"/>
          <w:sz w:val="24"/>
        </w:rPr>
      </w:pPr>
      <w:r>
        <w:rPr>
          <w:rFonts w:ascii="Times New Roman;serif" w:hAnsi="Times New Roman;serif"/>
          <w:b w:val="false"/>
          <w:color w:val="000000"/>
          <w:sz w:val="24"/>
        </w:rPr>
        <w:t>Issuance Date: August 31, 2026</w:t>
      </w:r>
    </w:p>
    <w:p>
      <w:pPr>
        <w:pStyle w:val="TextBody"/>
        <w:bidi w:val="0"/>
        <w:spacing w:before="0" w:after="0"/>
        <w:jc w:val="left"/>
        <w:rPr/>
      </w:pPr>
      <w:r>
        <w:rPr/>
      </w:r>
    </w:p>
    <w:p>
      <w:pPr>
        <w:pStyle w:val="TextBody"/>
        <w:bidi w:val="0"/>
        <w:spacing w:lineRule="auto" w:line="324" w:before="0" w:after="200"/>
        <w:jc w:val="left"/>
        <w:rPr>
          <w:rFonts w:ascii="Times New Roman;serif" w:hAnsi="Times New Roman;serif"/>
          <w:b w:val="false"/>
          <w:color w:val="000000"/>
          <w:sz w:val="24"/>
        </w:rPr>
      </w:pPr>
      <w:r>
        <w:rPr>
          <w:rFonts w:ascii="Times New Roman;serif" w:hAnsi="Times New Roman;serif"/>
          <w:b w:val="false"/>
          <w:color w:val="000000"/>
          <w:sz w:val="24"/>
        </w:rPr>
        <w:t xml:space="preserve">Termination Date: The second (2nd) anniversary of the Issuance Date </w:t>
      </w:r>
    </w:p>
    <w:p>
      <w:pPr>
        <w:pStyle w:val="TextBody"/>
        <w:bidi w:val="0"/>
        <w:spacing w:before="0" w:after="0"/>
        <w:jc w:val="left"/>
        <w:rPr/>
      </w:pPr>
      <w:r>
        <w:rPr/>
      </w:r>
    </w:p>
    <w:p>
      <w:pPr>
        <w:pStyle w:val="TextBody"/>
        <w:bidi w:val="0"/>
        <w:spacing w:lineRule="auto" w:line="312"/>
        <w:jc w:val="both"/>
        <w:rPr>
          <w:rFonts w:ascii="Times New Roman;serif" w:hAnsi="Times New Roman;serif"/>
          <w:b w:val="false"/>
          <w:color w:val="000000"/>
          <w:sz w:val="24"/>
        </w:rPr>
      </w:pPr>
      <w:r>
        <w:rPr>
          <w:rFonts w:ascii="Times New Roman;serif" w:hAnsi="Times New Roman;serif"/>
          <w:b w:val="false"/>
          <w:color w:val="000000"/>
          <w:sz w:val="24"/>
        </w:rPr>
        <w:t xml:space="preserve">THIS COMMON STOCK PURCHASE WARRANT (the “Warrant”) certifies that, for value received, Carvana Group, LLC, a Delaware limited liability company, or its permitted successors or assigns (the “Holder”) is entitled, upon the terms and subject to the conditions hereinafter set forth, in whole or in part, at any time on or after the Initial Exercise Date through 5:00 p.m. (New York City time) on the Termination Date, unless earlier terminated as provided herein, but not thereafter, to subscribe for and purchase from Root, Inc., a Delaware corporation (the “Company”), subject to the satisfaction of the Conditions to Exercise, 1,525,560 shares (as subject to adjustment hereunder, the “Warrant Shares”) of Class A Common Stock. This Warrant is issued pursuant to the Warrant Cancellation and Exchange Agreement, dated August 31, 2026 (the “Warrant Cancellation Agreement”), by and between the Company and the Holder, in exchange for the cancellation of the Long-Term Warrants (as defined herein). The Warrant Shares represent the number of shares of Common Stock that would constitute approximately 8.5% of all issued and outstanding shares of Common Stock on a Fully Diluted basis as of the Issuance Date, assuming that the Holder has exercised this Warrant on a cash basis. The purchase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312" w:before="0" w:after="0"/>
        <w:jc w:val="both"/>
        <w:rPr>
          <w:rFonts w:ascii="Times New Roman;serif" w:hAnsi="Times New Roman;serif"/>
          <w:b w:val="false"/>
          <w:color w:val="000000"/>
          <w:sz w:val="24"/>
        </w:rPr>
      </w:pPr>
      <w:r>
        <w:rPr>
          <w:rFonts w:ascii="Times New Roman;serif" w:hAnsi="Times New Roman;serif"/>
          <w:b w:val="false"/>
          <w:color w:val="000000"/>
          <w:sz w:val="24"/>
        </w:rPr>
        <w:t>price of one share of Class A Common Stock under this Warrant shall be equal to the applicable Exercise Price, as defined in Section 2(b) below.</w:t>
      </w:r>
    </w:p>
    <w:p>
      <w:pPr>
        <w:pStyle w:val="TextBody"/>
        <w:bidi w:val="0"/>
        <w:spacing w:before="0" w:after="0"/>
        <w:jc w:val="both"/>
        <w:rPr/>
      </w:pPr>
      <w:r>
        <w:rPr/>
      </w:r>
    </w:p>
    <w:p>
      <w:pPr>
        <w:pStyle w:val="TextBody"/>
        <w:bidi w:val="0"/>
        <w:spacing w:lineRule="auto" w:line="300" w:before="0" w:after="0"/>
        <w:jc w:val="both"/>
        <w:rPr/>
      </w:pPr>
      <w:r>
        <w:rPr>
          <w:rFonts w:ascii="Times New Roman;serif" w:hAnsi="Times New Roman;serif"/>
          <w:b/>
          <w:color w:val="000000"/>
          <w:sz w:val="24"/>
        </w:rPr>
        <w:t>Section 1. Definitions.</w:t>
      </w:r>
      <w:r>
        <w:rPr>
          <w:color w:val="000000"/>
        </w:rPr>
        <w:t xml:space="preserve"> </w:t>
      </w:r>
      <w:r>
        <w:rPr>
          <w:rFonts w:ascii="Times New Roman;serif" w:hAnsi="Times New Roman;serif"/>
          <w:b w:val="false"/>
          <w:color w:val="000000"/>
          <w:sz w:val="24"/>
        </w:rPr>
        <w:t>In addition to the terms defined elsewhere in this Warrant, the following terms have the meanings indicated in this Section 1:</w:t>
      </w:r>
    </w:p>
    <w:p>
      <w:pPr>
        <w:pStyle w:val="TextBody"/>
        <w:bidi w:val="0"/>
        <w:spacing w:before="0" w:after="0"/>
        <w:jc w:val="both"/>
        <w:rPr/>
      </w:pPr>
      <w:r>
        <w:rPr/>
      </w:r>
    </w:p>
    <w:p>
      <w:pPr>
        <w:pStyle w:val="TextBody"/>
        <w:bidi w:val="0"/>
        <w:spacing w:lineRule="auto" w:line="300" w:before="0" w:after="0"/>
        <w:jc w:val="both"/>
        <w:rPr/>
      </w:pPr>
      <w:r>
        <w:rPr>
          <w:color w:val="000000"/>
        </w:rPr>
        <w:t>“</w:t>
      </w:r>
      <w:r>
        <w:rPr>
          <w:rFonts w:ascii="Times New Roman;serif" w:hAnsi="Times New Roman;serif"/>
          <w:b/>
          <w:color w:val="000000"/>
          <w:sz w:val="24"/>
        </w:rPr>
        <w:t>Affiliate”</w:t>
      </w:r>
      <w:r>
        <w:rPr>
          <w:color w:val="000000"/>
        </w:rPr>
        <w:t xml:space="preserve"> </w:t>
      </w:r>
      <w:r>
        <w:rPr>
          <w:rFonts w:ascii="Times New Roman;serif" w:hAnsi="Times New Roman;serif"/>
          <w:b w:val="false"/>
          <w:color w:val="000000"/>
          <w:sz w:val="24"/>
        </w:rPr>
        <w:t>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jc w:val="both"/>
        <w:rPr/>
      </w:pPr>
      <w:r>
        <w:rPr/>
      </w:r>
    </w:p>
    <w:p>
      <w:pPr>
        <w:pStyle w:val="TextBody"/>
        <w:bidi w:val="0"/>
        <w:spacing w:lineRule="auto" w:line="300" w:before="0" w:after="0"/>
        <w:jc w:val="both"/>
        <w:rPr/>
      </w:pPr>
      <w:r>
        <w:rPr>
          <w:color w:val="000000"/>
        </w:rPr>
        <w:t>“</w:t>
      </w:r>
      <w:r>
        <w:rPr>
          <w:rFonts w:ascii="Times New Roman;serif" w:hAnsi="Times New Roman;serif"/>
          <w:b/>
          <w:color w:val="000000"/>
          <w:sz w:val="24"/>
        </w:rPr>
        <w:t xml:space="preserve">Attributed Policies” </w:t>
      </w:r>
      <w:r>
        <w:rPr>
          <w:rFonts w:ascii="Times New Roman;serif" w:hAnsi="Times New Roman;serif"/>
          <w:b w:val="false"/>
          <w:color w:val="000000"/>
          <w:sz w:val="24"/>
        </w:rPr>
        <w:t>means Company Policies that are (i) issued after the Issuance Date and (ii) attributed to the Holder in accordance with Section 1(a) of Schedule 3 of the Commercial Agreement (or the corresponding provision of any agreement amending, restating, extending, renewing or replacing the Commercial Agreement). For the avoidance of doubt, no Company Policy issued on or prior to the Issuance Date, and no Company Policy that is not attributed to the Holder, shall be counted toward any Policy Milestone for any purpose hereunder.</w:t>
      </w:r>
    </w:p>
    <w:p>
      <w:pPr>
        <w:pStyle w:val="TextBody"/>
        <w:bidi w:val="0"/>
        <w:spacing w:before="0" w:after="0"/>
        <w:jc w:val="both"/>
        <w:rPr/>
      </w:pPr>
      <w:r>
        <w:rPr/>
      </w:r>
    </w:p>
    <w:p>
      <w:pPr>
        <w:pStyle w:val="TextBody"/>
        <w:bidi w:val="0"/>
        <w:spacing w:lineRule="auto" w:line="300" w:before="0" w:after="0"/>
        <w:jc w:val="both"/>
        <w:rPr/>
      </w:pPr>
      <w:r>
        <w:rPr>
          <w:color w:val="000000"/>
        </w:rPr>
        <w:t>“</w:t>
      </w:r>
      <w:r>
        <w:rPr>
          <w:rFonts w:ascii="Times New Roman;serif" w:hAnsi="Times New Roman;serif"/>
          <w:b/>
          <w:color w:val="000000"/>
          <w:sz w:val="24"/>
        </w:rPr>
        <w:t>Board of Directors”</w:t>
      </w:r>
      <w:r>
        <w:rPr>
          <w:color w:val="000000"/>
        </w:rPr>
        <w:t xml:space="preserve"> </w:t>
      </w:r>
      <w:r>
        <w:rPr>
          <w:rFonts w:ascii="Times New Roman;serif" w:hAnsi="Times New Roman;serif"/>
          <w:b w:val="false"/>
          <w:color w:val="000000"/>
          <w:sz w:val="24"/>
        </w:rPr>
        <w:t>means the board of directors of the Company.</w:t>
      </w:r>
    </w:p>
    <w:p>
      <w:pPr>
        <w:pStyle w:val="TextBody"/>
        <w:bidi w:val="0"/>
        <w:spacing w:before="0" w:after="0"/>
        <w:jc w:val="both"/>
        <w:rPr/>
      </w:pPr>
      <w:r>
        <w:rPr/>
      </w:r>
    </w:p>
    <w:p>
      <w:pPr>
        <w:pStyle w:val="TextBody"/>
        <w:bidi w:val="0"/>
        <w:spacing w:lineRule="auto" w:line="300" w:before="0" w:after="0"/>
        <w:jc w:val="both"/>
        <w:rPr/>
      </w:pPr>
      <w:r>
        <w:rPr>
          <w:color w:val="000000"/>
        </w:rPr>
        <w:t>“</w:t>
      </w:r>
      <w:r>
        <w:rPr>
          <w:rFonts w:ascii="Times New Roman;serif" w:hAnsi="Times New Roman;serif"/>
          <w:b/>
          <w:color w:val="000000"/>
          <w:sz w:val="24"/>
        </w:rPr>
        <w:t>Burdensome Condition”</w:t>
      </w:r>
      <w:r>
        <w:rPr>
          <w:color w:val="000000"/>
        </w:rPr>
        <w:t xml:space="preserve"> </w:t>
      </w:r>
      <w:r>
        <w:rPr>
          <w:rFonts w:ascii="Times New Roman;serif" w:hAnsi="Times New Roman;serif"/>
          <w:b w:val="false"/>
          <w:color w:val="000000"/>
          <w:sz w:val="24"/>
        </w:rPr>
        <w:t>means an obligation to take or refrain from taking or agreeing to its, its Affiliates or its or their Subsidiaries obligation to take or refrain from taking any action (including any amendment, waiver or termination of any agreement, exhibit or schedule, including this Warrant, the Investment Agreement, the Certificate of Designations, and the Commercial Agreement and the exhibits and schedules hereto or thereto) or to suffer to exist any limitation, action, restriction, condition or requirement which, individually or together with all other such limitations, actions, restrictions, conditions or requirements, that would, or would reasonably be expected to, have (i) a material adverse effect on the business, financial condition, assets and liabilities (considered together), operations or results of operations of Holder and its Affiliates or Subsidiaries, taken as a whole, or (ii) a material adverse effect on the aggregate economic benefits, taken as a whole, that, as of the date hereof, the Holder would reasonably be expected to obtain from the transactions contemplated by this Warrant.</w:t>
      </w:r>
    </w:p>
    <w:p>
      <w:pPr>
        <w:pStyle w:val="TextBody"/>
        <w:bidi w:val="0"/>
        <w:spacing w:before="0" w:after="0"/>
        <w:jc w:val="both"/>
        <w:rPr/>
      </w:pPr>
      <w:r>
        <w:rPr/>
      </w:r>
    </w:p>
    <w:p>
      <w:pPr>
        <w:pStyle w:val="TextBody"/>
        <w:bidi w:val="0"/>
        <w:spacing w:lineRule="auto" w:line="300" w:before="0" w:after="0"/>
        <w:jc w:val="both"/>
        <w:rPr/>
      </w:pPr>
      <w:r>
        <w:rPr>
          <w:color w:val="000000"/>
        </w:rPr>
        <w:t>“</w:t>
      </w:r>
      <w:r>
        <w:rPr>
          <w:rFonts w:ascii="Times New Roman;serif" w:hAnsi="Times New Roman;serif"/>
          <w:b/>
          <w:color w:val="000000"/>
          <w:sz w:val="24"/>
        </w:rPr>
        <w:t>Business Day”</w:t>
      </w:r>
      <w:r>
        <w:rPr>
          <w:color w:val="000000"/>
        </w:rPr>
        <w:t xml:space="preserve"> </w:t>
      </w:r>
      <w:r>
        <w:rPr>
          <w:rFonts w:ascii="Times New Roman;serif" w:hAnsi="Times New Roman;serif"/>
          <w:b w:val="false"/>
          <w:color w:val="000000"/>
          <w:sz w:val="24"/>
        </w:rPr>
        <w:t>means any day except any Saturday, any Sunday, any day which is a federal legal holiday in the United States or any day on which banking institutions in the State of New York are authorized or required by law or other governmental action to close.</w:t>
      </w:r>
    </w:p>
    <w:p>
      <w:pPr>
        <w:pStyle w:val="TextBody"/>
        <w:bidi w:val="0"/>
        <w:spacing w:before="0" w:after="0"/>
        <w:jc w:val="both"/>
        <w:rPr/>
      </w:pPr>
      <w:r>
        <w:rPr/>
      </w:r>
    </w:p>
    <w:p>
      <w:pPr>
        <w:pStyle w:val="TextBody"/>
        <w:bidi w:val="0"/>
        <w:spacing w:lineRule="auto" w:line="300" w:before="0" w:after="0"/>
        <w:jc w:val="both"/>
        <w:rPr/>
      </w:pPr>
      <w:r>
        <w:rPr>
          <w:color w:val="000000"/>
        </w:rPr>
        <w:t>“</w:t>
      </w:r>
      <w:r>
        <w:rPr>
          <w:rFonts w:ascii="Times New Roman;serif" w:hAnsi="Times New Roman;serif"/>
          <w:b/>
          <w:color w:val="000000"/>
          <w:sz w:val="24"/>
        </w:rPr>
        <w:t>Cap”</w:t>
      </w:r>
      <w:r>
        <w:rPr>
          <w:color w:val="000000"/>
        </w:rPr>
        <w:t xml:space="preserve"> </w:t>
      </w:r>
      <w:r>
        <w:rPr>
          <w:rFonts w:ascii="Times New Roman;serif" w:hAnsi="Times New Roman;serif"/>
          <w:b w:val="false"/>
          <w:color w:val="000000"/>
          <w:sz w:val="24"/>
        </w:rPr>
        <w:t>means 29.9% of all issued and outstanding shares of Class A Common Stock on a Fully Diluted basis as of the Issuance Date, assuming all Warrants owned by the Holder have been exercised on a cash basis.</w:t>
      </w:r>
    </w:p>
    <w:p>
      <w:pPr>
        <w:pStyle w:val="TextBody"/>
        <w:bidi w:val="0"/>
        <w:spacing w:before="0" w:after="0"/>
        <w:jc w:val="both"/>
        <w:rPr/>
      </w:pPr>
      <w:r>
        <w:rPr/>
      </w:r>
    </w:p>
    <w:p>
      <w:pPr>
        <w:pStyle w:val="TextBody"/>
        <w:bidi w:val="0"/>
        <w:spacing w:lineRule="auto" w:line="300"/>
        <w:jc w:val="both"/>
        <w:rPr/>
      </w:pPr>
      <w:r>
        <w:rPr>
          <w:color w:val="000000"/>
        </w:rPr>
        <w:t>“</w:t>
      </w:r>
      <w:r>
        <w:rPr>
          <w:rFonts w:ascii="Times New Roman;serif" w:hAnsi="Times New Roman;serif"/>
          <w:b/>
          <w:color w:val="000000"/>
          <w:sz w:val="24"/>
        </w:rPr>
        <w:t>Carvana Group, LLC Warrants”</w:t>
      </w:r>
      <w:r>
        <w:rPr>
          <w:color w:val="000000"/>
        </w:rPr>
        <w:t xml:space="preserve"> </w:t>
      </w:r>
      <w:r>
        <w:rPr>
          <w:rFonts w:ascii="Times New Roman;serif" w:hAnsi="Times New Roman;serif"/>
          <w:b w:val="false"/>
          <w:color w:val="000000"/>
          <w:sz w:val="24"/>
        </w:rPr>
        <w:t>means this Warrant.</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0"/>
        <w:jc w:val="both"/>
        <w:rPr/>
      </w:pPr>
      <w:r>
        <w:rPr>
          <w:color w:val="000000"/>
        </w:rPr>
        <w:t>“</w:t>
      </w:r>
      <w:r>
        <w:rPr>
          <w:rFonts w:ascii="Times New Roman;serif" w:hAnsi="Times New Roman;serif"/>
          <w:b/>
          <w:color w:val="000000"/>
          <w:sz w:val="24"/>
        </w:rPr>
        <w:t>Certificate of Incorporation”</w:t>
      </w:r>
      <w:r>
        <w:rPr>
          <w:color w:val="000000"/>
        </w:rPr>
        <w:t xml:space="preserve"> </w:t>
      </w:r>
      <w:r>
        <w:rPr>
          <w:rFonts w:ascii="Times New Roman;serif" w:hAnsi="Times New Roman;serif"/>
          <w:b w:val="false"/>
          <w:color w:val="000000"/>
          <w:sz w:val="24"/>
        </w:rPr>
        <w:t>means the Amended and Restated Certificate of Incorporation of the Company.</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color w:val="000000"/>
          <w:sz w:val="24"/>
        </w:rPr>
        <w:t>Class A Common Stock”</w:t>
      </w:r>
      <w:r>
        <w:rPr>
          <w:color w:val="000000"/>
        </w:rPr>
        <w:t xml:space="preserve"> </w:t>
      </w:r>
      <w:r>
        <w:rPr>
          <w:rFonts w:ascii="Times New Roman;serif" w:hAnsi="Times New Roman;serif"/>
          <w:b w:val="false"/>
          <w:color w:val="000000"/>
          <w:sz w:val="24"/>
        </w:rPr>
        <w:t>means the Class A common stock of the Company, par value $0.0001.</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color w:val="000000"/>
          <w:sz w:val="24"/>
        </w:rPr>
        <w:t>Class B Common Stock”</w:t>
      </w:r>
      <w:r>
        <w:rPr>
          <w:color w:val="000000"/>
        </w:rPr>
        <w:t xml:space="preserve"> </w:t>
      </w:r>
      <w:r>
        <w:rPr>
          <w:rFonts w:ascii="Times New Roman;serif" w:hAnsi="Times New Roman;serif"/>
          <w:b w:val="false"/>
          <w:color w:val="000000"/>
          <w:sz w:val="24"/>
        </w:rPr>
        <w:t>means the Class B common stock of the Company, par value $0.0001.</w:t>
      </w:r>
    </w:p>
    <w:p>
      <w:pPr>
        <w:pStyle w:val="TextBody"/>
        <w:bidi w:val="0"/>
        <w:spacing w:before="0" w:after="0"/>
        <w:ind w:left="0" w:right="0" w:firstLine="720"/>
        <w:jc w:val="both"/>
        <w:rPr/>
      </w:pPr>
      <w:r>
        <w:rPr/>
      </w:r>
    </w:p>
    <w:p>
      <w:pPr>
        <w:pStyle w:val="TextBody"/>
        <w:bidi w:val="0"/>
        <w:spacing w:lineRule="auto" w:line="288" w:before="0" w:after="0"/>
        <w:jc w:val="both"/>
        <w:rPr/>
      </w:pPr>
      <w:r>
        <w:rPr>
          <w:color w:val="000000"/>
        </w:rPr>
        <w:t>“</w:t>
      </w:r>
      <w:r>
        <w:rPr>
          <w:rFonts w:ascii="Times New Roman;serif" w:hAnsi="Times New Roman;serif"/>
          <w:b/>
          <w:color w:val="000000"/>
          <w:sz w:val="24"/>
        </w:rPr>
        <w:t>Commercial Agreement”</w:t>
      </w:r>
      <w:r>
        <w:rPr>
          <w:color w:val="000000"/>
        </w:rPr>
        <w:t xml:space="preserve"> </w:t>
      </w:r>
      <w:r>
        <w:rPr>
          <w:rFonts w:ascii="Times New Roman;serif" w:hAnsi="Times New Roman;serif"/>
          <w:b w:val="false"/>
          <w:color w:val="000000"/>
          <w:sz w:val="24"/>
        </w:rPr>
        <w:t>means the Commercial Agreement entered into on October 1, 2021 by the Company and the Holder, as amended.</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color w:val="000000"/>
          <w:sz w:val="24"/>
        </w:rPr>
        <w:t>Commission”</w:t>
      </w:r>
      <w:r>
        <w:rPr>
          <w:color w:val="000000"/>
        </w:rPr>
        <w:t xml:space="preserve"> </w:t>
      </w:r>
      <w:r>
        <w:rPr>
          <w:rFonts w:ascii="Times New Roman;serif" w:hAnsi="Times New Roman;serif"/>
          <w:b w:val="false"/>
          <w:color w:val="000000"/>
          <w:sz w:val="24"/>
        </w:rPr>
        <w:t>means the United States Securities and Exchange Commission.</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color w:val="000000"/>
          <w:sz w:val="24"/>
        </w:rPr>
        <w:t>Common Stock”</w:t>
      </w:r>
      <w:r>
        <w:rPr>
          <w:color w:val="000000"/>
        </w:rPr>
        <w:t xml:space="preserve"> </w:t>
      </w:r>
      <w:r>
        <w:rPr>
          <w:rFonts w:ascii="Times New Roman;serif" w:hAnsi="Times New Roman;serif"/>
          <w:b w:val="false"/>
          <w:color w:val="000000"/>
          <w:sz w:val="24"/>
        </w:rPr>
        <w:t>means the Class A Common Stock and the Class B Common Stock.</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color w:val="000000"/>
          <w:sz w:val="24"/>
        </w:rPr>
        <w:t>Company Policies”</w:t>
      </w:r>
      <w:r>
        <w:rPr>
          <w:color w:val="000000"/>
        </w:rPr>
        <w:t xml:space="preserve"> </w:t>
      </w:r>
      <w:r>
        <w:rPr>
          <w:rFonts w:ascii="Times New Roman;serif" w:hAnsi="Times New Roman;serif"/>
          <w:b w:val="false"/>
          <w:color w:val="000000"/>
          <w:sz w:val="24"/>
        </w:rPr>
        <w:t>has the meaning set forth in the Commercial Agreement.</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color w:val="000000"/>
          <w:sz w:val="24"/>
        </w:rPr>
        <w:t>Company Sale”</w:t>
      </w:r>
      <w:r>
        <w:rPr>
          <w:color w:val="000000"/>
        </w:rPr>
        <w:t xml:space="preserve"> </w:t>
      </w:r>
      <w:r>
        <w:rPr>
          <w:rFonts w:ascii="Times New Roman;serif" w:hAnsi="Times New Roman;serif"/>
          <w:b w:val="false"/>
          <w:color w:val="000000"/>
          <w:sz w:val="24"/>
        </w:rPr>
        <w:t>means any merger, consolidation, or other business combination of the Company with an entity that is not an Affiliate of the Company that results in the stockholders of the Company immediately prior to such transaction being the beneficial owners of less than 50% of the equity securities of the successor or surviving company.</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color w:val="000000"/>
          <w:sz w:val="24"/>
        </w:rPr>
        <w:t>Conditions to Exercise”</w:t>
      </w:r>
      <w:r>
        <w:rPr>
          <w:color w:val="000000"/>
        </w:rPr>
        <w:t xml:space="preserve"> </w:t>
      </w:r>
      <w:r>
        <w:rPr>
          <w:rFonts w:ascii="Times New Roman;serif" w:hAnsi="Times New Roman;serif"/>
          <w:b w:val="false"/>
          <w:color w:val="000000"/>
          <w:sz w:val="24"/>
        </w:rPr>
        <w:t>means that each of the following conditions have been met: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 (a) the receipt of approval from the Florida Office of Insurance Regulation of a Form A Filing and Pre-Acquisition Application pursuant to Fla. St. 628.461, or approval from the Florida Office of Insurance Regulation of a disclaimer of affiliation, (b) the receipt of approval from the Ohio Director of Insurance of a Form A Filing pursuant to Ohio Insurance Code section 3901.321, or approval from the Ohio Director of Insurance of a disclaimer of affiliation and (c) any other consent, waiver or approval of any governmental authority that regulates insurance that is required by applicable Law;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(ii) any required waiting period applicable to the exercise of this Warrant under the Hart-Scott-Rodino Antitrust Improvements Act of 1976 (and the rules and regulations promulgated thereunder) (the “HSR Act”), and any agreement between the parties, on the one hand, and the United States Department of Justice or the United States Federal Trade Commission, on the other hand, that prohibits such exercise, shall have been terminated or shall have expired; </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 xml:space="preserve">(iii) upon exercise of this Warrant, (A) the aggregate number of shares of Common Stock the Company shall have issued under all Carvana Group, LLC Warrants does not exceed the Cap; provided, that the Cap shall be adjusted proportionately downward to reflect the effect of one or more issuances based on Cashless Exercise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of any Warrant, and (B) after giving pro forma effect to such exercise, and subject to Section 2(c)(vii), the Holder and its controlled affiliates do not directly own more than 34.9% of the Company’s issued and outstanding Common Stock on Fully Diluted basis.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(iv) with respect to each Tranche, the cumulative number of Attributed Policies exceeds the applicable Policy Milestone for such Tranche, as set forth below: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Tranche 1 (305,112 Warrant Shares): 180,000 Company Policies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Tranche 2 (305,112 Warrant Shares): 210,000 Company Policies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Tranche 3 (305,112 Warrant Shares): 250,000 Company Policies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Tranche 4 (305,112 Warrant Shares): 290,000 Company Policies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Tranche 5 (305,112 Warrant Shares): 340,000 Company Policies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For the avoidance of doubt, each Tranche shall become exercisable independently upon satisfaction of its respective Policy Milestone, and vesting is cumulative (i.e., satisfaction of the Policy Milestone for Tranche 3 shall also constitute satisfaction of the Policy Milestones for Tranches 1 and 2). The number of Warrant Shares subject to each Tranche shall be a whole number, and the sum of the Warrant Shares subject to all five Tranches shall equal the aggregate number of Warrant Shares set forth on the face of this Warrant. The Holder may exercise vested Tranches independently without exercising all vested Tranches simultaneously.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Vesting of each Tranche is based solely on cumulative Attributed Policies. For the avoidance of doubt, the Policy Milestones are not required to be satisfied sequentially, and satisfaction of a higher-numbered Tranche’s Policy Milestone shall be deemed to satisfy all lower-numbered Tranche Policy Milestones.</w:t>
      </w:r>
    </w:p>
    <w:p>
      <w:pPr>
        <w:pStyle w:val="TextBody"/>
        <w:bidi w:val="0"/>
        <w:spacing w:before="0" w:after="0"/>
        <w:jc w:val="both"/>
        <w:rPr/>
      </w:pPr>
      <w:r>
        <w:rPr/>
      </w:r>
    </w:p>
    <w:p>
      <w:pPr>
        <w:pStyle w:val="TextBody"/>
        <w:bidi w:val="0"/>
        <w:spacing w:lineRule="auto" w:line="300" w:before="0" w:after="0"/>
        <w:jc w:val="both"/>
        <w:rPr/>
      </w:pPr>
      <w:r>
        <w:rPr>
          <w:color w:val="000000"/>
        </w:rPr>
        <w:t>“</w:t>
      </w:r>
      <w:r>
        <w:rPr>
          <w:rFonts w:ascii="Times New Roman;serif" w:hAnsi="Times New Roman;serif"/>
          <w:b/>
          <w:color w:val="000000"/>
          <w:sz w:val="24"/>
        </w:rPr>
        <w:t>Convertible Security”</w:t>
      </w:r>
      <w:r>
        <w:rPr>
          <w:color w:val="000000"/>
        </w:rPr>
        <w:t xml:space="preserve"> </w:t>
      </w:r>
      <w:r>
        <w:rPr>
          <w:rFonts w:ascii="Times New Roman;serif" w:hAnsi="Times New Roman;serif"/>
          <w:b w:val="false"/>
          <w:color w:val="000000"/>
          <w:sz w:val="24"/>
        </w:rPr>
        <w:t>means evidences of indebtedness, shares of stock, rights or other securities (including, but not limited to options, warrants, and other rights for the purchase or other acquisition of Common Stock) which are directly or indirectly convertible, exercisable or exchangeable, with or without payment of additional consideration in cash or property, for shares of Common Stock, either immediately or upon the onset of a specified date or the happening of a specified event.</w:t>
      </w:r>
    </w:p>
    <w:p>
      <w:pPr>
        <w:pStyle w:val="TextBody"/>
        <w:bidi w:val="0"/>
        <w:spacing w:before="0" w:after="0"/>
        <w:jc w:val="both"/>
        <w:rPr/>
      </w:pPr>
      <w:r>
        <w:rPr/>
      </w:r>
    </w:p>
    <w:p>
      <w:pPr>
        <w:pStyle w:val="TextBody"/>
        <w:bidi w:val="0"/>
        <w:spacing w:lineRule="auto" w:line="300"/>
        <w:jc w:val="both"/>
        <w:rPr/>
      </w:pPr>
      <w:r>
        <w:rPr>
          <w:color w:val="000000"/>
        </w:rPr>
        <w:t>“</w:t>
      </w:r>
      <w:r>
        <w:rPr>
          <w:rFonts w:ascii="Times New Roman;serif" w:hAnsi="Times New Roman;serif"/>
          <w:b/>
          <w:color w:val="000000"/>
          <w:sz w:val="24"/>
        </w:rPr>
        <w:t>Ex-Dividend Date”</w:t>
      </w:r>
      <w:r>
        <w:rPr>
          <w:color w:val="000000"/>
        </w:rPr>
        <w:t xml:space="preserve"> </w:t>
      </w:r>
      <w:r>
        <w:rPr>
          <w:rFonts w:ascii="Times New Roman;serif" w:hAnsi="Times New Roman;serif"/>
          <w:b w:val="false"/>
          <w:color w:val="000000"/>
          <w:sz w:val="24"/>
        </w:rPr>
        <w:t>means the first date on which shares of the Class A Common Stock trade on the applicable exchange or in the applicable market, regular way, without the right to receive the issuance, dividend or distribution in question, from the Company or, if applicable, from the seller of Class A Common Stock on such exchange or market (in the form of due bills or otherwise) as determined by such exchange or market.</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300" w:before="0" w:after="0"/>
        <w:jc w:val="both"/>
        <w:rPr/>
      </w:pPr>
      <w:r>
        <w:rPr>
          <w:color w:val="000000"/>
        </w:rPr>
        <w:t>“</w:t>
      </w:r>
      <w:r>
        <w:rPr>
          <w:rFonts w:ascii="Times New Roman;serif" w:hAnsi="Times New Roman;serif"/>
          <w:b/>
          <w:color w:val="000000"/>
          <w:sz w:val="24"/>
        </w:rPr>
        <w:t>Fair Market Value”</w:t>
      </w:r>
      <w:r>
        <w:rPr>
          <w:color w:val="000000"/>
        </w:rPr>
        <w:t xml:space="preserve"> </w:t>
      </w:r>
      <w:r>
        <w:rPr>
          <w:rFonts w:ascii="Times New Roman;serif" w:hAnsi="Times New Roman;serif"/>
          <w:b w:val="false"/>
          <w:color w:val="000000"/>
          <w:sz w:val="24"/>
        </w:rPr>
        <w:t>means, as of any particular date (i) the closing sales price of the Class A Common Stock for such date on the Trading Market on which the Class A Common Stock is at the time be listed, (ii) if there have been no sales of the Class A Common Stock on such Trading Market on any such date, the average of the highest bid and lowest asked prices for the Class A Common Stock on the Trading Market at the end of such date, (iii) if on any such day the Class A Common Stock is not listed on a national securities exchange, the closing sales price of the Common Stock as quoted on the OTC for such date, (iv) if there have been no sales of the Class A Common Stock on the OTC on such date, the average of the highest bid and lowest asked prices for the Class A Common Stock quoted on the OTC at the end of such date or (v) if at any time the Class A Common Stock is not listed on any domestic securities exchange or quoted on the OTC, the fair market value per share as determined in good faith by the Board of Directors; provided, with respect to clause (v) the Holder is entitled to object to the fair market value per share determined by the Board of Directors and require, at the Company’s sole expense, such determination to be made by a nationally recognized investment banking, accounting or valuation firm that is reasonably acceptable to the Board of Directors.</w:t>
      </w:r>
    </w:p>
    <w:p>
      <w:pPr>
        <w:pStyle w:val="TextBody"/>
        <w:bidi w:val="0"/>
        <w:spacing w:before="0" w:after="0"/>
        <w:jc w:val="both"/>
        <w:rPr/>
      </w:pPr>
      <w:r>
        <w:rPr/>
      </w:r>
    </w:p>
    <w:p>
      <w:pPr>
        <w:pStyle w:val="TextBody"/>
        <w:bidi w:val="0"/>
        <w:spacing w:lineRule="auto" w:line="300" w:before="0" w:after="0"/>
        <w:jc w:val="both"/>
        <w:rPr/>
      </w:pPr>
      <w:r>
        <w:rPr>
          <w:color w:val="000000"/>
        </w:rPr>
        <w:t>“</w:t>
      </w:r>
      <w:r>
        <w:rPr>
          <w:rFonts w:ascii="Times New Roman;serif" w:hAnsi="Times New Roman;serif"/>
          <w:b/>
          <w:color w:val="000000"/>
          <w:sz w:val="24"/>
        </w:rPr>
        <w:t>Fully Diluted”</w:t>
      </w:r>
      <w:r>
        <w:rPr>
          <w:color w:val="000000"/>
        </w:rPr>
        <w:t xml:space="preserve"> </w:t>
      </w:r>
      <w:r>
        <w:rPr>
          <w:rFonts w:ascii="Times New Roman;serif" w:hAnsi="Times New Roman;serif"/>
          <w:b w:val="false"/>
          <w:color w:val="000000"/>
          <w:sz w:val="24"/>
        </w:rPr>
        <w:t>means, with respect to the Common Stock, as of a particular time the total outstanding shares of Common Stock as of such time, determined by treating all outstanding Convertible Securities (regardless of whether such Convertible Securities are at such time exercisable, convertible or exchangeable) as having been exercised, converted or exchanged (including the exercise, conversion or exchange of Convertible Securities underlying any such Convertible Securities, giving effect to any applicable caps on conversion).</w:t>
      </w:r>
    </w:p>
    <w:p>
      <w:pPr>
        <w:pStyle w:val="TextBody"/>
        <w:bidi w:val="0"/>
        <w:spacing w:before="0" w:after="0"/>
        <w:jc w:val="both"/>
        <w:rPr/>
      </w:pPr>
      <w:r>
        <w:rPr/>
      </w:r>
    </w:p>
    <w:p>
      <w:pPr>
        <w:pStyle w:val="TextBody"/>
        <w:bidi w:val="0"/>
        <w:spacing w:lineRule="auto" w:line="300" w:before="0" w:after="0"/>
        <w:jc w:val="both"/>
        <w:rPr/>
      </w:pPr>
      <w:r>
        <w:rPr>
          <w:color w:val="000000"/>
        </w:rPr>
        <w:t>“</w:t>
      </w:r>
      <w:r>
        <w:rPr>
          <w:rFonts w:ascii="Times New Roman;serif" w:hAnsi="Times New Roman;serif"/>
          <w:b/>
          <w:color w:val="000000"/>
          <w:sz w:val="24"/>
        </w:rPr>
        <w:t xml:space="preserve">Initial Exercise Date” </w:t>
      </w:r>
      <w:r>
        <w:rPr>
          <w:rFonts w:ascii="Times New Roman;serif" w:hAnsi="Times New Roman;serif"/>
          <w:b w:val="false"/>
          <w:color w:val="000000"/>
          <w:sz w:val="24"/>
        </w:rPr>
        <w:t>means the Issuance Date.</w:t>
      </w:r>
    </w:p>
    <w:p>
      <w:pPr>
        <w:pStyle w:val="TextBody"/>
        <w:bidi w:val="0"/>
        <w:spacing w:before="0" w:after="0"/>
        <w:jc w:val="both"/>
        <w:rPr/>
      </w:pPr>
      <w:r>
        <w:rPr/>
      </w:r>
    </w:p>
    <w:p>
      <w:pPr>
        <w:pStyle w:val="TextBody"/>
        <w:bidi w:val="0"/>
        <w:spacing w:lineRule="auto" w:line="300" w:before="0" w:after="0"/>
        <w:jc w:val="both"/>
        <w:rPr/>
      </w:pPr>
      <w:r>
        <w:rPr>
          <w:color w:val="000000"/>
        </w:rPr>
        <w:t>“</w:t>
      </w:r>
      <w:r>
        <w:rPr>
          <w:rFonts w:ascii="Times New Roman;serif" w:hAnsi="Times New Roman;serif"/>
          <w:b/>
          <w:color w:val="000000"/>
          <w:sz w:val="24"/>
        </w:rPr>
        <w:t>Long-Term Warrants”</w:t>
      </w:r>
      <w:r>
        <w:rPr>
          <w:color w:val="000000"/>
        </w:rPr>
        <w:t xml:space="preserve"> </w:t>
      </w:r>
      <w:r>
        <w:rPr>
          <w:rFonts w:ascii="Times New Roman;serif" w:hAnsi="Times New Roman;serif"/>
          <w:b w:val="false"/>
          <w:color w:val="000000"/>
          <w:sz w:val="24"/>
        </w:rPr>
        <w:t>means the warrants designated as Long Term Tranche 1, Long Term Tranche 2, Long Term Tranche 3, Long Term Tranche 4 and Long Term Tranche 5 issued by the Company to the Holder on October 1, 2021, each of which has been cancelled pursuant to the Warrant Cancellation Agreement.</w:t>
      </w:r>
    </w:p>
    <w:p>
      <w:pPr>
        <w:pStyle w:val="TextBody"/>
        <w:bidi w:val="0"/>
        <w:spacing w:before="0" w:after="0"/>
        <w:jc w:val="both"/>
        <w:rPr/>
      </w:pPr>
      <w:r>
        <w:rPr/>
      </w:r>
    </w:p>
    <w:p>
      <w:pPr>
        <w:pStyle w:val="TextBody"/>
        <w:bidi w:val="0"/>
        <w:spacing w:lineRule="auto" w:line="300" w:before="0" w:after="0"/>
        <w:jc w:val="both"/>
        <w:rPr/>
      </w:pPr>
      <w:r>
        <w:rPr>
          <w:color w:val="000000"/>
        </w:rPr>
        <w:t>“</w:t>
      </w:r>
      <w:r>
        <w:rPr>
          <w:rFonts w:ascii="Times New Roman;serif" w:hAnsi="Times New Roman;serif"/>
          <w:b/>
          <w:color w:val="000000"/>
          <w:sz w:val="24"/>
        </w:rPr>
        <w:t>OTC”</w:t>
      </w:r>
      <w:r>
        <w:rPr>
          <w:color w:val="000000"/>
        </w:rPr>
        <w:t xml:space="preserve"> </w:t>
      </w:r>
      <w:r>
        <w:rPr>
          <w:rFonts w:ascii="Times New Roman;serif" w:hAnsi="Times New Roman;serif"/>
          <w:b w:val="false"/>
          <w:color w:val="000000"/>
          <w:sz w:val="24"/>
        </w:rPr>
        <w:t>means the Financial Industry Regulatory Authority OTC Bulletin Board electronic interdealer quotation system, the OTC Markets Group Inc. electronic interdealer quotation system, including OTCQX, OTCQB and OTC Pink, or any similar quotation system or association.</w:t>
      </w:r>
    </w:p>
    <w:p>
      <w:pPr>
        <w:pStyle w:val="TextBody"/>
        <w:bidi w:val="0"/>
        <w:spacing w:before="0" w:after="0"/>
        <w:jc w:val="both"/>
        <w:rPr/>
      </w:pPr>
      <w:r>
        <w:rPr/>
      </w:r>
    </w:p>
    <w:p>
      <w:pPr>
        <w:pStyle w:val="TextBody"/>
        <w:bidi w:val="0"/>
        <w:spacing w:lineRule="auto" w:line="300" w:before="0" w:after="0"/>
        <w:jc w:val="both"/>
        <w:rPr/>
      </w:pPr>
      <w:r>
        <w:rPr>
          <w:color w:val="000000"/>
        </w:rPr>
        <w:t>“</w:t>
      </w:r>
      <w:r>
        <w:rPr>
          <w:rFonts w:ascii="Times New Roman;serif" w:hAnsi="Times New Roman;serif"/>
          <w:b/>
          <w:color w:val="000000"/>
          <w:sz w:val="24"/>
        </w:rPr>
        <w:t>Party”</w:t>
      </w:r>
      <w:r>
        <w:rPr>
          <w:color w:val="000000"/>
        </w:rPr>
        <w:t xml:space="preserve"> </w:t>
      </w:r>
      <w:r>
        <w:rPr>
          <w:rFonts w:ascii="Times New Roman;serif" w:hAnsi="Times New Roman;serif"/>
          <w:b w:val="false"/>
          <w:color w:val="000000"/>
          <w:sz w:val="24"/>
        </w:rPr>
        <w:t>means either Company or Holder, as applicable.</w:t>
      </w:r>
    </w:p>
    <w:p>
      <w:pPr>
        <w:pStyle w:val="TextBody"/>
        <w:bidi w:val="0"/>
        <w:spacing w:before="0" w:after="0"/>
        <w:jc w:val="both"/>
        <w:rPr/>
      </w:pPr>
      <w:r>
        <w:rPr/>
      </w:r>
    </w:p>
    <w:p>
      <w:pPr>
        <w:pStyle w:val="TextBody"/>
        <w:bidi w:val="0"/>
        <w:spacing w:lineRule="auto" w:line="300"/>
        <w:jc w:val="both"/>
        <w:rPr/>
      </w:pPr>
      <w:r>
        <w:rPr>
          <w:color w:val="000000"/>
        </w:rPr>
        <w:t>“</w:t>
      </w:r>
      <w:r>
        <w:rPr>
          <w:rFonts w:ascii="Times New Roman;serif" w:hAnsi="Times New Roman;serif"/>
          <w:b/>
          <w:color w:val="000000"/>
          <w:sz w:val="24"/>
        </w:rPr>
        <w:t>Person”</w:t>
      </w:r>
      <w:r>
        <w:rPr>
          <w:color w:val="000000"/>
        </w:rPr>
        <w:t xml:space="preserve"> </w:t>
      </w:r>
      <w:r>
        <w:rPr>
          <w:rFonts w:ascii="Times New Roman;serif" w:hAnsi="Times New Roman;serif"/>
          <w:b w:val="false"/>
          <w:color w:val="000000"/>
          <w:sz w:val="24"/>
        </w:rPr>
        <w:t>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300" w:before="0" w:after="0"/>
        <w:jc w:val="both"/>
        <w:rPr/>
      </w:pPr>
      <w:r>
        <w:rPr>
          <w:color w:val="000000"/>
        </w:rPr>
        <w:t>“</w:t>
      </w:r>
      <w:r>
        <w:rPr>
          <w:rFonts w:ascii="Times New Roman;serif" w:hAnsi="Times New Roman;serif"/>
          <w:b/>
          <w:color w:val="000000"/>
          <w:sz w:val="24"/>
        </w:rPr>
        <w:t>Policy Milestone”</w:t>
      </w:r>
      <w:r>
        <w:rPr>
          <w:color w:val="000000"/>
        </w:rPr>
        <w:t xml:space="preserve"> </w:t>
      </w:r>
      <w:r>
        <w:rPr>
          <w:rFonts w:ascii="Times New Roman;serif" w:hAnsi="Times New Roman;serif"/>
          <w:b w:val="false"/>
          <w:color w:val="000000"/>
          <w:sz w:val="24"/>
        </w:rPr>
        <w:t>means, with respect to each Tranche, the cumulative number of Attributed Policies set forth opposite such Tranche in clause (iv) of the definition of Conditions to Exercise.</w:t>
      </w:r>
    </w:p>
    <w:p>
      <w:pPr>
        <w:pStyle w:val="TextBody"/>
        <w:bidi w:val="0"/>
        <w:spacing w:before="0" w:after="0"/>
        <w:jc w:val="both"/>
        <w:rPr/>
      </w:pPr>
      <w:r>
        <w:rPr/>
      </w:r>
    </w:p>
    <w:p>
      <w:pPr>
        <w:pStyle w:val="TextBody"/>
        <w:bidi w:val="0"/>
        <w:spacing w:lineRule="auto" w:line="300" w:before="0" w:after="0"/>
        <w:jc w:val="both"/>
        <w:rPr/>
      </w:pPr>
      <w:r>
        <w:rPr>
          <w:color w:val="000000"/>
        </w:rPr>
        <w:t>“</w:t>
      </w:r>
      <w:r>
        <w:rPr>
          <w:rFonts w:ascii="Times New Roman;serif" w:hAnsi="Times New Roman;serif"/>
          <w:b/>
          <w:color w:val="000000"/>
          <w:sz w:val="24"/>
        </w:rPr>
        <w:t>Product Integration”</w:t>
      </w:r>
      <w:r>
        <w:rPr>
          <w:color w:val="000000"/>
        </w:rPr>
        <w:t xml:space="preserve"> </w:t>
      </w:r>
      <w:r>
        <w:rPr>
          <w:rFonts w:ascii="Times New Roman;serif" w:hAnsi="Times New Roman;serif"/>
          <w:b w:val="false"/>
          <w:color w:val="000000"/>
          <w:sz w:val="24"/>
        </w:rPr>
        <w:t>has the meaning set forth in the Commercial Agreement. The Product Integration Date occurred on September 1, 2022.</w:t>
      </w:r>
    </w:p>
    <w:p>
      <w:pPr>
        <w:pStyle w:val="TextBody"/>
        <w:bidi w:val="0"/>
        <w:spacing w:before="0" w:after="0"/>
        <w:jc w:val="both"/>
        <w:rPr/>
      </w:pPr>
      <w:r>
        <w:rPr/>
      </w:r>
    </w:p>
    <w:p>
      <w:pPr>
        <w:pStyle w:val="TextBody"/>
        <w:bidi w:val="0"/>
        <w:spacing w:lineRule="auto" w:line="300" w:before="0" w:after="0"/>
        <w:jc w:val="both"/>
        <w:rPr/>
      </w:pPr>
      <w:r>
        <w:rPr>
          <w:color w:val="000000"/>
        </w:rPr>
        <w:t>“</w:t>
      </w:r>
      <w:r>
        <w:rPr>
          <w:rFonts w:ascii="Times New Roman;serif" w:hAnsi="Times New Roman;serif"/>
          <w:b/>
          <w:color w:val="000000"/>
          <w:sz w:val="24"/>
        </w:rPr>
        <w:t>Product Integration Date”</w:t>
      </w:r>
      <w:r>
        <w:rPr>
          <w:color w:val="000000"/>
        </w:rPr>
        <w:t xml:space="preserve"> </w:t>
      </w:r>
      <w:r>
        <w:rPr>
          <w:rFonts w:ascii="Times New Roman;serif" w:hAnsi="Times New Roman;serif"/>
          <w:b w:val="false"/>
          <w:color w:val="000000"/>
          <w:sz w:val="24"/>
        </w:rPr>
        <w:t>has the meaning set forth in the Commercial Agreement. The Product Integration Date occurred on September 1, 2022.</w:t>
      </w:r>
    </w:p>
    <w:p>
      <w:pPr>
        <w:pStyle w:val="TextBody"/>
        <w:bidi w:val="0"/>
        <w:spacing w:before="0" w:after="0"/>
        <w:jc w:val="both"/>
        <w:rPr/>
      </w:pPr>
      <w:r>
        <w:rPr/>
      </w:r>
    </w:p>
    <w:p>
      <w:pPr>
        <w:pStyle w:val="TextBody"/>
        <w:bidi w:val="0"/>
        <w:spacing w:lineRule="auto" w:line="300" w:before="0" w:after="0"/>
        <w:jc w:val="both"/>
        <w:rPr/>
      </w:pPr>
      <w:r>
        <w:rPr>
          <w:color w:val="000000"/>
        </w:rPr>
        <w:t>“</w:t>
      </w:r>
      <w:r>
        <w:rPr>
          <w:rFonts w:ascii="Times New Roman;serif" w:hAnsi="Times New Roman;serif"/>
          <w:b/>
          <w:color w:val="000000"/>
          <w:sz w:val="24"/>
        </w:rPr>
        <w:t>Reference Date”</w:t>
      </w:r>
      <w:r>
        <w:rPr>
          <w:color w:val="000000"/>
        </w:rPr>
        <w:t xml:space="preserve"> </w:t>
      </w:r>
      <w:r>
        <w:rPr>
          <w:rFonts w:ascii="Times New Roman;serif" w:hAnsi="Times New Roman;serif"/>
          <w:b w:val="false"/>
          <w:color w:val="000000"/>
          <w:sz w:val="24"/>
        </w:rPr>
        <w:t>means the Issuance Date.</w:t>
      </w:r>
    </w:p>
    <w:p>
      <w:pPr>
        <w:pStyle w:val="TextBody"/>
        <w:bidi w:val="0"/>
        <w:spacing w:before="0" w:after="0"/>
        <w:jc w:val="both"/>
        <w:rPr/>
      </w:pPr>
      <w:r>
        <w:rPr/>
      </w:r>
    </w:p>
    <w:p>
      <w:pPr>
        <w:pStyle w:val="TextBody"/>
        <w:bidi w:val="0"/>
        <w:spacing w:lineRule="auto" w:line="300" w:before="0" w:after="0"/>
        <w:jc w:val="both"/>
        <w:rPr/>
      </w:pPr>
      <w:r>
        <w:rPr>
          <w:color w:val="000000"/>
        </w:rPr>
        <w:t>“</w:t>
      </w:r>
      <w:r>
        <w:rPr>
          <w:rFonts w:ascii="Times New Roman;serif" w:hAnsi="Times New Roman;serif"/>
          <w:b/>
          <w:color w:val="000000"/>
          <w:sz w:val="24"/>
        </w:rPr>
        <w:t>Required Regulatory Approvals”</w:t>
      </w:r>
      <w:r>
        <w:rPr>
          <w:color w:val="000000"/>
        </w:rPr>
        <w:t xml:space="preserve"> </w:t>
      </w:r>
      <w:r>
        <w:rPr>
          <w:rFonts w:ascii="Times New Roman;serif" w:hAnsi="Times New Roman;serif"/>
          <w:b w:val="false"/>
          <w:color w:val="000000"/>
          <w:sz w:val="24"/>
        </w:rPr>
        <w:t>means the following governmental and regulatory approvals, consents, order and waivers: (i) a Form A Statement Regarding the Acquisition of Control of or Merger with a Domestic Insurer or a disclaimer of affiliation (the “ Florida Filing”) with the Florida Office of Insurance Regulation with respect to Root Florida Insurance Company, (ii) a Form A Statement Regarding the Acquisition of Control of a Domestic Insurer or a disclaimer of affiliation (the “Ohio Filing” and, together with the Florida Filing and including biographical affidavits, background information, questionnaires, financial statements and information, structure of Purchaser and its Affiliates and any amendments thereof or supplements thereto to the extent required under the Requirements of Laws, the “Insurance Filings”) with the Ohio Department of Insurance with respect to Root Insurance Company and (iii) if the Company becomes subject to regulation in any additional jurisdictions and the Holder agrees to prepare and file any regulatory filings in such jurisdictions as may be required to acquire control of an insurance company in such jurisdictions.</w:t>
      </w:r>
    </w:p>
    <w:p>
      <w:pPr>
        <w:pStyle w:val="TextBody"/>
        <w:bidi w:val="0"/>
        <w:spacing w:before="0" w:after="0"/>
        <w:jc w:val="both"/>
        <w:rPr/>
      </w:pPr>
      <w:r>
        <w:rPr/>
      </w:r>
    </w:p>
    <w:p>
      <w:pPr>
        <w:pStyle w:val="TextBody"/>
        <w:bidi w:val="0"/>
        <w:spacing w:lineRule="auto" w:line="300" w:before="0" w:after="0"/>
        <w:jc w:val="both"/>
        <w:rPr/>
      </w:pPr>
      <w:r>
        <w:rPr>
          <w:color w:val="000000"/>
        </w:rPr>
        <w:t>“</w:t>
      </w:r>
      <w:r>
        <w:rPr>
          <w:rFonts w:ascii="Times New Roman;serif" w:hAnsi="Times New Roman;serif"/>
          <w:b/>
          <w:color w:val="000000"/>
          <w:sz w:val="24"/>
        </w:rPr>
        <w:t>Second Amendment”</w:t>
      </w:r>
      <w:r>
        <w:rPr>
          <w:color w:val="000000"/>
        </w:rPr>
        <w:t xml:space="preserve"> </w:t>
      </w:r>
      <w:r>
        <w:rPr>
          <w:rFonts w:ascii="Times New Roman;serif" w:hAnsi="Times New Roman;serif"/>
          <w:b w:val="false"/>
          <w:color w:val="000000"/>
          <w:sz w:val="24"/>
        </w:rPr>
        <w:t>means the Second Amendment to the Investment Agreement, dated August 31, 2026.</w:t>
      </w:r>
    </w:p>
    <w:p>
      <w:pPr>
        <w:pStyle w:val="TextBody"/>
        <w:bidi w:val="0"/>
        <w:spacing w:before="0" w:after="0"/>
        <w:jc w:val="both"/>
        <w:rPr/>
      </w:pPr>
      <w:r>
        <w:rPr/>
      </w:r>
    </w:p>
    <w:p>
      <w:pPr>
        <w:pStyle w:val="TextBody"/>
        <w:bidi w:val="0"/>
        <w:spacing w:lineRule="auto" w:line="300" w:before="0" w:after="0"/>
        <w:jc w:val="both"/>
        <w:rPr/>
      </w:pPr>
      <w:r>
        <w:rPr>
          <w:color w:val="000000"/>
        </w:rPr>
        <w:t>“</w:t>
      </w:r>
      <w:r>
        <w:rPr>
          <w:rFonts w:ascii="Times New Roman;serif" w:hAnsi="Times New Roman;serif"/>
          <w:b/>
          <w:color w:val="000000"/>
          <w:sz w:val="24"/>
        </w:rPr>
        <w:t>Securities Act”</w:t>
      </w:r>
      <w:r>
        <w:rPr>
          <w:color w:val="000000"/>
        </w:rPr>
        <w:t xml:space="preserve"> </w:t>
      </w:r>
      <w:r>
        <w:rPr>
          <w:rFonts w:ascii="Times New Roman;serif" w:hAnsi="Times New Roman;serif"/>
          <w:b w:val="false"/>
          <w:color w:val="000000"/>
          <w:sz w:val="24"/>
        </w:rPr>
        <w:t>means the Securities Act of 1933, as amended, and the rules and regulations promulgated thereunder.</w:t>
      </w:r>
    </w:p>
    <w:p>
      <w:pPr>
        <w:pStyle w:val="TextBody"/>
        <w:bidi w:val="0"/>
        <w:spacing w:before="0" w:after="0"/>
        <w:jc w:val="both"/>
        <w:rPr/>
      </w:pPr>
      <w:r>
        <w:rPr/>
      </w:r>
    </w:p>
    <w:p>
      <w:pPr>
        <w:pStyle w:val="TextBody"/>
        <w:bidi w:val="0"/>
        <w:spacing w:lineRule="auto" w:line="300" w:before="0" w:after="0"/>
        <w:jc w:val="both"/>
        <w:rPr/>
      </w:pPr>
      <w:r>
        <w:rPr>
          <w:color w:val="000000"/>
        </w:rPr>
        <w:t>“</w:t>
      </w:r>
      <w:r>
        <w:rPr>
          <w:rFonts w:ascii="Times New Roman;serif" w:hAnsi="Times New Roman;serif"/>
          <w:b/>
          <w:color w:val="000000"/>
          <w:sz w:val="24"/>
        </w:rPr>
        <w:t>Short-Term Warrants”</w:t>
      </w:r>
      <w:r>
        <w:rPr>
          <w:color w:val="000000"/>
        </w:rPr>
        <w:t xml:space="preserve"> </w:t>
      </w:r>
      <w:r>
        <w:rPr>
          <w:rFonts w:ascii="Times New Roman;serif" w:hAnsi="Times New Roman;serif"/>
          <w:b w:val="false"/>
          <w:color w:val="000000"/>
          <w:sz w:val="24"/>
        </w:rPr>
        <w:t>means the three-year warrants designated as Tranche 1, Tranche 2 and Tranche 3 issued by the Company to the Holder on October 1, 2021, each of which has expired in accordance with its terms.</w:t>
      </w:r>
    </w:p>
    <w:p>
      <w:pPr>
        <w:pStyle w:val="TextBody"/>
        <w:bidi w:val="0"/>
        <w:spacing w:before="0" w:after="0"/>
        <w:jc w:val="both"/>
        <w:rPr/>
      </w:pPr>
      <w:r>
        <w:rPr/>
      </w:r>
    </w:p>
    <w:p>
      <w:pPr>
        <w:pStyle w:val="TextBody"/>
        <w:bidi w:val="0"/>
        <w:spacing w:lineRule="auto" w:line="300" w:before="0" w:after="0"/>
        <w:jc w:val="both"/>
        <w:rPr/>
      </w:pPr>
      <w:r>
        <w:rPr>
          <w:color w:val="000000"/>
        </w:rPr>
        <w:t>“</w:t>
      </w:r>
      <w:r>
        <w:rPr>
          <w:rFonts w:ascii="Times New Roman;serif" w:hAnsi="Times New Roman;serif"/>
          <w:b/>
          <w:color w:val="000000"/>
          <w:sz w:val="24"/>
        </w:rPr>
        <w:t>Signing VWAP”</w:t>
      </w:r>
      <w:r>
        <w:rPr>
          <w:color w:val="000000"/>
        </w:rPr>
        <w:t xml:space="preserve"> </w:t>
      </w:r>
      <w:r>
        <w:rPr>
          <w:rFonts w:ascii="Times New Roman;serif" w:hAnsi="Times New Roman;serif"/>
          <w:b w:val="false"/>
          <w:color w:val="000000"/>
          <w:sz w:val="24"/>
        </w:rPr>
        <w:t>means $55.72, the volume weighted average price per share of Class A Common Stock on the Trading Market for the ninety (90) consecutive Trading Day period ending on the Trading Day immediately prior to the Issuance Date.</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300" w:before="0" w:after="0"/>
        <w:jc w:val="both"/>
        <w:rPr/>
      </w:pPr>
      <w:r>
        <w:rPr>
          <w:color w:val="000000"/>
        </w:rPr>
        <w:t>“</w:t>
      </w:r>
      <w:r>
        <w:rPr>
          <w:rFonts w:ascii="Times New Roman;serif" w:hAnsi="Times New Roman;serif"/>
          <w:b/>
          <w:color w:val="000000"/>
          <w:sz w:val="24"/>
        </w:rPr>
        <w:t>Trading Day”</w:t>
      </w:r>
      <w:r>
        <w:rPr>
          <w:color w:val="000000"/>
        </w:rPr>
        <w:t xml:space="preserve"> </w:t>
      </w:r>
      <w:r>
        <w:rPr>
          <w:rFonts w:ascii="Times New Roman;serif" w:hAnsi="Times New Roman;serif"/>
          <w:b w:val="false"/>
          <w:color w:val="000000"/>
          <w:sz w:val="24"/>
        </w:rPr>
        <w:t>means a day on which the Trading Market is open for trading. If the Class A Common Stock is not listed on any Trading Market, then “Trading Day” means “Business Day.”</w:t>
      </w:r>
    </w:p>
    <w:p>
      <w:pPr>
        <w:pStyle w:val="TextBody"/>
        <w:bidi w:val="0"/>
        <w:spacing w:before="0" w:after="0"/>
        <w:jc w:val="both"/>
        <w:rPr/>
      </w:pPr>
      <w:r>
        <w:rPr/>
      </w:r>
    </w:p>
    <w:p>
      <w:pPr>
        <w:pStyle w:val="TextBody"/>
        <w:bidi w:val="0"/>
        <w:spacing w:lineRule="auto" w:line="300" w:before="0" w:after="0"/>
        <w:jc w:val="both"/>
        <w:rPr/>
      </w:pPr>
      <w:r>
        <w:rPr>
          <w:color w:val="000000"/>
        </w:rPr>
        <w:t>“</w:t>
      </w:r>
      <w:r>
        <w:rPr>
          <w:rFonts w:ascii="Times New Roman;serif" w:hAnsi="Times New Roman;serif"/>
          <w:b/>
          <w:color w:val="000000"/>
          <w:sz w:val="24"/>
        </w:rPr>
        <w:t>Trading Market”</w:t>
      </w:r>
      <w:r>
        <w:rPr>
          <w:color w:val="000000"/>
        </w:rPr>
        <w:t xml:space="preserve"> </w:t>
      </w:r>
      <w:r>
        <w:rPr>
          <w:rFonts w:ascii="Times New Roman;serif" w:hAnsi="Times New Roman;serif"/>
          <w:b w:val="false"/>
          <w:color w:val="000000"/>
          <w:sz w:val="24"/>
        </w:rPr>
        <w:t>means the Nasdaq Global Select Market or the market or exchange on which the Common Stock is listed or quoted for trading on the date in question.</w:t>
      </w:r>
    </w:p>
    <w:p>
      <w:pPr>
        <w:pStyle w:val="TextBody"/>
        <w:bidi w:val="0"/>
        <w:spacing w:before="0" w:after="0"/>
        <w:jc w:val="both"/>
        <w:rPr/>
      </w:pPr>
      <w:r>
        <w:rPr/>
      </w:r>
    </w:p>
    <w:p>
      <w:pPr>
        <w:pStyle w:val="TextBody"/>
        <w:bidi w:val="0"/>
        <w:spacing w:lineRule="auto" w:line="300" w:before="0" w:after="0"/>
        <w:jc w:val="both"/>
        <w:rPr/>
      </w:pPr>
      <w:r>
        <w:rPr>
          <w:color w:val="000000"/>
        </w:rPr>
        <w:t>“</w:t>
      </w:r>
      <w:r>
        <w:rPr>
          <w:rFonts w:ascii="Times New Roman;serif" w:hAnsi="Times New Roman;serif"/>
          <w:b/>
          <w:color w:val="000000"/>
          <w:sz w:val="24"/>
        </w:rPr>
        <w:t xml:space="preserve">Tranche” </w:t>
      </w:r>
      <w:r>
        <w:rPr>
          <w:rFonts w:ascii="Times New Roman;serif" w:hAnsi="Times New Roman;serif"/>
          <w:b w:val="false"/>
          <w:color w:val="000000"/>
          <w:sz w:val="24"/>
        </w:rPr>
        <w:t>means each of Tranche 1, Tranche 2, Tranche 3, Tranche 4 and Tranche 5, as described in the definition of Conditions to Exercise.</w:t>
      </w:r>
    </w:p>
    <w:p>
      <w:pPr>
        <w:pStyle w:val="TextBody"/>
        <w:bidi w:val="0"/>
        <w:spacing w:before="0" w:after="0"/>
        <w:jc w:val="both"/>
        <w:rPr/>
      </w:pPr>
      <w:r>
        <w:rPr/>
      </w:r>
    </w:p>
    <w:p>
      <w:pPr>
        <w:pStyle w:val="TextBody"/>
        <w:bidi w:val="0"/>
        <w:spacing w:lineRule="auto" w:line="300" w:before="0" w:after="0"/>
        <w:jc w:val="both"/>
        <w:rPr/>
      </w:pPr>
      <w:r>
        <w:rPr>
          <w:color w:val="000000"/>
        </w:rPr>
        <w:t>“</w:t>
      </w:r>
      <w:r>
        <w:rPr>
          <w:rFonts w:ascii="Times New Roman;serif" w:hAnsi="Times New Roman;serif"/>
          <w:b/>
          <w:color w:val="000000"/>
          <w:sz w:val="24"/>
        </w:rPr>
        <w:t>Transfer”</w:t>
      </w:r>
      <w:r>
        <w:rPr>
          <w:color w:val="000000"/>
        </w:rPr>
        <w:t xml:space="preserve"> </w:t>
      </w:r>
      <w:r>
        <w:rPr>
          <w:rFonts w:ascii="Times New Roman;serif" w:hAnsi="Times New Roman;serif"/>
          <w:b w:val="false"/>
          <w:color w:val="000000"/>
          <w:sz w:val="24"/>
        </w:rPr>
        <w:t>means to, directly or indirectly, (i) sell, offer to sell, contract to sell, sell or grant any option, right or warrant to purchase, purchase or acquire any option to sell, or otherwise dispose or transfer any security or (ii) enter into any total-return swap, derivative or any other similar agreement or any similar transaction that transfers, in whole or in part, directly or indirectly, the economic consequences of ownership of such securities, whether any such swap, derivative or other similar transaction is to be settled by delivery of reference securities, other securities, in cash or otherwise.</w:t>
      </w:r>
    </w:p>
    <w:p>
      <w:pPr>
        <w:pStyle w:val="TextBody"/>
        <w:bidi w:val="0"/>
        <w:spacing w:before="0" w:after="0"/>
        <w:jc w:val="both"/>
        <w:rPr/>
      </w:pPr>
      <w:r>
        <w:rPr/>
      </w:r>
    </w:p>
    <w:p>
      <w:pPr>
        <w:pStyle w:val="TextBody"/>
        <w:bidi w:val="0"/>
        <w:spacing w:lineRule="auto" w:line="300" w:before="0" w:after="0"/>
        <w:jc w:val="both"/>
        <w:rPr/>
      </w:pPr>
      <w:r>
        <w:rPr>
          <w:color w:val="000000"/>
        </w:rPr>
        <w:t>“</w:t>
      </w:r>
      <w:r>
        <w:rPr>
          <w:rFonts w:ascii="Times New Roman;serif" w:hAnsi="Times New Roman;serif"/>
          <w:b/>
          <w:color w:val="000000"/>
          <w:sz w:val="24"/>
        </w:rPr>
        <w:t>Transfer Agent”</w:t>
      </w:r>
      <w:r>
        <w:rPr>
          <w:color w:val="000000"/>
        </w:rPr>
        <w:t xml:space="preserve"> </w:t>
      </w:r>
      <w:r>
        <w:rPr>
          <w:rFonts w:ascii="Times New Roman;serif" w:hAnsi="Times New Roman;serif"/>
          <w:b w:val="false"/>
          <w:color w:val="000000"/>
          <w:sz w:val="24"/>
        </w:rPr>
        <w:t>means the Company and any successor transfer agent of the Company.</w:t>
      </w:r>
    </w:p>
    <w:p>
      <w:pPr>
        <w:pStyle w:val="TextBody"/>
        <w:bidi w:val="0"/>
        <w:spacing w:before="0" w:after="0"/>
        <w:jc w:val="both"/>
        <w:rPr/>
      </w:pPr>
      <w:r>
        <w:rPr/>
      </w:r>
    </w:p>
    <w:p>
      <w:pPr>
        <w:pStyle w:val="TextBody"/>
        <w:bidi w:val="0"/>
        <w:spacing w:lineRule="auto" w:line="300" w:before="0" w:after="0"/>
        <w:jc w:val="both"/>
        <w:rPr/>
      </w:pPr>
      <w:r>
        <w:rPr>
          <w:color w:val="000000"/>
        </w:rPr>
        <w:t>“</w:t>
      </w:r>
      <w:r>
        <w:rPr>
          <w:rFonts w:ascii="Times New Roman;serif" w:hAnsi="Times New Roman;serif"/>
          <w:b/>
          <w:color w:val="000000"/>
          <w:sz w:val="24"/>
        </w:rPr>
        <w:t>Warrant Cancellation Agreement”</w:t>
      </w:r>
      <w:r>
        <w:rPr>
          <w:color w:val="000000"/>
        </w:rPr>
        <w:t xml:space="preserve"> </w:t>
      </w:r>
      <w:r>
        <w:rPr>
          <w:rFonts w:ascii="Times New Roman;serif" w:hAnsi="Times New Roman;serif"/>
          <w:b w:val="false"/>
          <w:color w:val="000000"/>
          <w:sz w:val="24"/>
        </w:rPr>
        <w:t>means the Warrant Cancellation and Exchange Agreement, dated August 31, 2026, by and between the Company and the Holder.</w:t>
      </w:r>
    </w:p>
    <w:p>
      <w:pPr>
        <w:pStyle w:val="TextBody"/>
        <w:bidi w:val="0"/>
        <w:spacing w:before="0" w:after="0"/>
        <w:jc w:val="both"/>
        <w:rPr/>
      </w:pPr>
      <w:r>
        <w:rPr/>
      </w:r>
    </w:p>
    <w:p>
      <w:pPr>
        <w:pStyle w:val="TextBody"/>
        <w:bidi w:val="0"/>
        <w:spacing w:lineRule="auto" w:line="300" w:before="0" w:after="0"/>
        <w:jc w:val="both"/>
        <w:rPr>
          <w:rFonts w:ascii="Times New Roman;serif" w:hAnsi="Times New Roman;serif"/>
          <w:b/>
          <w:color w:val="000000"/>
          <w:sz w:val="24"/>
        </w:rPr>
      </w:pPr>
      <w:r>
        <w:rPr>
          <w:rFonts w:ascii="Times New Roman;serif" w:hAnsi="Times New Roman;serif"/>
          <w:b/>
          <w:color w:val="000000"/>
          <w:sz w:val="24"/>
        </w:rPr>
        <w:t>Section 2. Exercise.</w:t>
      </w:r>
    </w:p>
    <w:p>
      <w:pPr>
        <w:pStyle w:val="TextBody"/>
        <w:bidi w:val="0"/>
        <w:spacing w:before="0" w:after="0"/>
        <w:jc w:val="both"/>
        <w:rPr/>
      </w:pPr>
      <w:r>
        <w:rPr/>
      </w:r>
    </w:p>
    <w:p>
      <w:pPr>
        <w:pStyle w:val="TextBody"/>
        <w:bidi w:val="0"/>
        <w:spacing w:lineRule="auto" w:line="300"/>
        <w:jc w:val="both"/>
        <w:rPr/>
      </w:pPr>
      <w:r>
        <w:rPr>
          <w:rFonts w:ascii="Times New Roman;serif" w:hAnsi="Times New Roman;serif"/>
          <w:b/>
          <w:color w:val="000000"/>
          <w:sz w:val="24"/>
        </w:rPr>
        <w:t>(a) Exercise of Warrant.</w:t>
      </w:r>
      <w:r>
        <w:rPr>
          <w:color w:val="000000"/>
        </w:rPr>
        <w:t xml:space="preserve"> </w:t>
      </w:r>
      <w:r>
        <w:rPr>
          <w:rFonts w:ascii="Times New Roman;serif" w:hAnsi="Times New Roman;serif"/>
          <w:b w:val="false"/>
          <w:color w:val="000000"/>
          <w:sz w:val="24"/>
        </w:rPr>
        <w:t xml:space="preserve">Exercise of the purchase rights represented by this Warrant may be made, in whole or in part, at any time (i) on or after the Initial Exercise Date and on or before the Termination Date or (ii) any time following a Fundamental Transaction (as defined below) occurring before the Initial Exercise Date (but subject to Section 3(d)(ii)), in each case subject to the satisfaction of the Conditions to Exercise, by delivery to the Company of a duly executed PDF copy submitted by e-mail (or e-mail attachment) of the Notice of Exercise in the form annexed hereto (the "Notice of Exercise"). Within the earlier of (i) two (2) Trading Days and (ii) the number of Trading Days comprising the Standard Settlement Period (as defined in Section 2(c)(i) herein) following the date of exercise as aforesaid, the Holder shall deliver the aggregate applicable Exercise Price for the Warrant Shares specified in the applicable Notice of Exercise in the form determined by the Company pursuant to Section 2(b).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300" w:before="0" w:after="0"/>
        <w:jc w:val="both"/>
        <w:rPr>
          <w:rFonts w:ascii="Times New Roman;serif" w:hAnsi="Times New Roman;serif"/>
          <w:b w:val="false"/>
          <w:color w:val="000000"/>
          <w:sz w:val="24"/>
        </w:rPr>
      </w:pPr>
      <w:r>
        <w:rPr>
          <w:rFonts w:ascii="Times New Roman;serif" w:hAnsi="Times New Roman;serif"/>
          <w:b w:val="false"/>
          <w:color w:val="000000"/>
          <w:sz w:val="24"/>
        </w:rPr>
        <w:t>is delivered to the Company; provided, however, that the Holder may surrender this Warrant and receive a new Warrant pursuant to Section 2(c)(ii) hereof.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two Business Days of receipt of such notice. 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 Subject to applicable law or regulation, the exercisability of this Warrant shall not preclude the Holder from electing, in its sole discretion, to exercise or convert any other right, option, warrant, convertible stock or other security of the Company (and the exercisability of such other right, option, warrant, convertible stock or other security of the Company shall not preclude the Holder from exercising this Warrant).</w:t>
      </w:r>
    </w:p>
    <w:p>
      <w:pPr>
        <w:pStyle w:val="TextBody"/>
        <w:bidi w:val="0"/>
        <w:spacing w:before="0" w:after="0"/>
        <w:jc w:val="both"/>
        <w:rPr/>
      </w:pPr>
      <w:r>
        <w:rPr/>
      </w:r>
    </w:p>
    <w:p>
      <w:pPr>
        <w:pStyle w:val="TextBody"/>
        <w:bidi w:val="0"/>
        <w:spacing w:lineRule="auto" w:line="300" w:before="0" w:after="0"/>
        <w:jc w:val="both"/>
        <w:rPr/>
      </w:pPr>
      <w:r>
        <w:rPr>
          <w:rFonts w:ascii="Times New Roman;serif" w:hAnsi="Times New Roman;serif"/>
          <w:b/>
          <w:color w:val="000000"/>
          <w:sz w:val="24"/>
        </w:rPr>
        <w:t>(b) Exercise Price.</w:t>
      </w:r>
      <w:r>
        <w:rPr>
          <w:color w:val="000000"/>
        </w:rPr>
        <w:t xml:space="preserve"> </w:t>
      </w:r>
      <w:r>
        <w:rPr>
          <w:rFonts w:ascii="Times New Roman;serif" w:hAnsi="Times New Roman;serif"/>
          <w:b w:val="false"/>
          <w:color w:val="000000"/>
          <w:sz w:val="24"/>
        </w:rPr>
        <w:t>The applicable exercise price per share of the Common Stock under this Warrant shall be determined by reference to the applicable Tranche, as follows (each subject to adjustment hereunder (the "Applicable Exercise Price")):</w:t>
      </w:r>
    </w:p>
    <w:p>
      <w:pPr>
        <w:pStyle w:val="TextBody"/>
        <w:bidi w:val="0"/>
        <w:spacing w:before="0" w:after="0"/>
        <w:jc w:val="both"/>
        <w:rPr/>
      </w:pPr>
      <w:r>
        <w:rPr/>
      </w:r>
    </w:p>
    <w:p>
      <w:pPr>
        <w:pStyle w:val="TextBody"/>
        <w:bidi w:val="0"/>
        <w:spacing w:lineRule="auto" w:line="300"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Tranche 1: An amount per share equal to 130% of the Signing VWAP (representing a 30% premium to the Signing VWAP) </w:t>
      </w:r>
    </w:p>
    <w:p>
      <w:pPr>
        <w:pStyle w:val="TextBody"/>
        <w:bidi w:val="0"/>
        <w:spacing w:before="0" w:after="0"/>
        <w:jc w:val="both"/>
        <w:rPr/>
      </w:pPr>
      <w:r>
        <w:rPr/>
      </w:r>
    </w:p>
    <w:p>
      <w:pPr>
        <w:pStyle w:val="TextBody"/>
        <w:bidi w:val="0"/>
        <w:spacing w:lineRule="auto" w:line="300"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Tranche 2: An amount per share equal to 140% of the Signing VWAP (representing a 40% premium to the Signing VWAP) </w:t>
      </w:r>
    </w:p>
    <w:p>
      <w:pPr>
        <w:pStyle w:val="TextBody"/>
        <w:bidi w:val="0"/>
        <w:spacing w:before="0" w:after="0"/>
        <w:jc w:val="both"/>
        <w:rPr/>
      </w:pPr>
      <w:r>
        <w:rPr/>
      </w:r>
    </w:p>
    <w:p>
      <w:pPr>
        <w:pStyle w:val="TextBody"/>
        <w:bidi w:val="0"/>
        <w:spacing w:lineRule="auto" w:line="300"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Tranche 3: An amount per share equal to 150% of the Signing VWAP (representing a 50% premium to the Signing VWAP) </w:t>
      </w:r>
    </w:p>
    <w:p>
      <w:pPr>
        <w:pStyle w:val="TextBody"/>
        <w:bidi w:val="0"/>
        <w:spacing w:before="0" w:after="0"/>
        <w:jc w:val="both"/>
        <w:rPr/>
      </w:pPr>
      <w:r>
        <w:rPr/>
      </w:r>
    </w:p>
    <w:p>
      <w:pPr>
        <w:pStyle w:val="TextBody"/>
        <w:bidi w:val="0"/>
        <w:spacing w:lineRule="auto" w:line="300"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Tranche 4: An amount per share equal to 160% of the Signing VWAP (representing a 60% premium to the Signing VWAP) </w:t>
      </w:r>
    </w:p>
    <w:p>
      <w:pPr>
        <w:pStyle w:val="TextBody"/>
        <w:bidi w:val="0"/>
        <w:spacing w:before="0" w:after="0"/>
        <w:jc w:val="both"/>
        <w:rPr/>
      </w:pPr>
      <w:r>
        <w:rPr/>
      </w:r>
    </w:p>
    <w:p>
      <w:pPr>
        <w:pStyle w:val="TextBody"/>
        <w:bidi w:val="0"/>
        <w:spacing w:lineRule="auto" w:line="300"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Tranche 5: An amount per share equal to 170% of the Signing VWAP (representing a 70% premium to the Signing VWAP) </w:t>
      </w:r>
    </w:p>
    <w:p>
      <w:pPr>
        <w:pStyle w:val="TextBody"/>
        <w:bidi w:val="0"/>
        <w:spacing w:before="0" w:after="0"/>
        <w:jc w:val="both"/>
        <w:rPr/>
      </w:pPr>
      <w:r>
        <w:rPr/>
      </w:r>
    </w:p>
    <w:p>
      <w:pPr>
        <w:pStyle w:val="TextBody"/>
        <w:bidi w:val="0"/>
        <w:spacing w:lineRule="auto" w:line="300"/>
        <w:jc w:val="both"/>
        <w:rPr>
          <w:rFonts w:ascii="Times New Roman;serif" w:hAnsi="Times New Roman;serif"/>
          <w:b w:val="false"/>
          <w:color w:val="000000"/>
          <w:sz w:val="24"/>
        </w:rPr>
      </w:pPr>
      <w:r>
        <w:rPr>
          <w:rFonts w:ascii="Times New Roman;serif" w:hAnsi="Times New Roman;serif"/>
          <w:b w:val="false"/>
          <w:color w:val="000000"/>
          <w:sz w:val="24"/>
        </w:rPr>
        <w:t xml:space="preserve">The applicable Exercise Price shall be payable by a cash payment to the Company of the applicable Exercise Price by wire transfer of immediately available funds to an account designated in writing by the Company; provided, however, that the Company may cause the Holder to receive, or the Holder may elect to receive, upon such exercise the "net number" of shares of Common Stock, where the Company will withhold a number of Warrant Shares (subject to Section 2(c)(v) hereof) then issuable upon exercise of this </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300" w:before="0" w:after="0"/>
        <w:jc w:val="both"/>
        <w:rPr>
          <w:rFonts w:ascii="Times New Roman;serif" w:hAnsi="Times New Roman;serif"/>
          <w:b w:val="false"/>
          <w:color w:val="000000"/>
          <w:sz w:val="24"/>
        </w:rPr>
      </w:pPr>
      <w:r>
        <w:rPr>
          <w:rFonts w:ascii="Times New Roman;serif" w:hAnsi="Times New Roman;serif"/>
          <w:b w:val="false"/>
          <w:color w:val="000000"/>
          <w:sz w:val="24"/>
        </w:rPr>
        <w:t>Warrant with an aggregate Fair Market Value as of the date of the Notice of Exercise equal to the product of (x) the number of Warrant Shares as to which this Warrant is being exercised and (y) the applicable Exercise Price per share (a "Cashless Exercise"), or, if the Company and the Holder agree in writing, the Company may pay the Holder in cash the Fair Market Value of the shares of Common Stock that would otherwise be required to be transmitted to the Holder in connection with a Cashless Exercise.</w:t>
      </w:r>
    </w:p>
    <w:p>
      <w:pPr>
        <w:pStyle w:val="TextBody"/>
        <w:bidi w:val="0"/>
        <w:spacing w:before="0" w:after="0"/>
        <w:jc w:val="both"/>
        <w:rPr/>
      </w:pPr>
      <w:r>
        <w:rPr/>
      </w:r>
    </w:p>
    <w:p>
      <w:pPr>
        <w:pStyle w:val="TextBody"/>
        <w:bidi w:val="0"/>
        <w:spacing w:lineRule="auto" w:line="300" w:before="0" w:after="0"/>
        <w:jc w:val="both"/>
        <w:rPr>
          <w:rFonts w:ascii="Times New Roman;serif" w:hAnsi="Times New Roman;serif"/>
          <w:b/>
          <w:color w:val="000000"/>
          <w:sz w:val="24"/>
        </w:rPr>
      </w:pPr>
      <w:r>
        <w:rPr>
          <w:rFonts w:ascii="Times New Roman;serif" w:hAnsi="Times New Roman;serif"/>
          <w:b/>
          <w:color w:val="000000"/>
          <w:sz w:val="24"/>
        </w:rPr>
        <w:t>(c) Mechanics of Exercise.</w:t>
      </w:r>
    </w:p>
    <w:p>
      <w:pPr>
        <w:pStyle w:val="TextBody"/>
        <w:bidi w:val="0"/>
        <w:spacing w:before="0" w:after="0"/>
        <w:jc w:val="both"/>
        <w:rPr/>
      </w:pPr>
      <w:r>
        <w:rPr/>
      </w:r>
    </w:p>
    <w:p>
      <w:pPr>
        <w:pStyle w:val="TextBody"/>
        <w:bidi w:val="0"/>
        <w:spacing w:lineRule="auto" w:line="300" w:before="0" w:after="0"/>
        <w:jc w:val="both"/>
        <w:rPr/>
      </w:pPr>
      <w:r>
        <w:rPr>
          <w:rFonts w:ascii="Times New Roman;serif" w:hAnsi="Times New Roman;serif"/>
          <w:b/>
          <w:color w:val="000000"/>
          <w:sz w:val="24"/>
        </w:rPr>
        <w:t>(i) Delivery of Warrant Shares Upon Exercise.</w:t>
      </w:r>
      <w:r>
        <w:rPr>
          <w:color w:val="000000"/>
        </w:rPr>
        <w:t xml:space="preserve"> </w:t>
      </w:r>
      <w:r>
        <w:rPr>
          <w:rFonts w:ascii="Times New Roman;serif" w:hAnsi="Times New Roman;serif"/>
          <w:b w:val="false"/>
          <w:color w:val="000000"/>
          <w:sz w:val="24"/>
        </w:rPr>
        <w:t>The Company shall cause the Warrant Shares purchased hereunder to be transmitted by the Transfer Agent to the Holder by book entry position, registered in the Company’s share register in the name of the Holder or its designee, for the number of Warrant Shares to which the Holder is entitled pursuant to such exercise by the date that is the earlier of (i) two (2) Trading Days after the delivery to the Company of the Notice of Exercise, and (ii) the number of Trading Days comprising the Standard Settlement Period after the delivery to the Company of the Notice of Exercise (such date, the "Warrant Share Delivery Date"). If the Company and the Holder have agreed to cash settle pursuant to Section 2(b) in connection with any Cashless Exercise, the Company shall pay such cash at the Warrant Share Delivery Date.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applicable Exercise Price is received within the earlier of (i) two (2) Trading Days after delivery to the Company of the Notice of Exercise and (ii) the number of Trading Days comprising the Standard Settlement Period following delivery of the Notice of Exercise. As used herein, "Standard Settlement Period" means the standard settlement period, expressed in a number of Trading Days, on the Company’s primary Trading Market with respect to the Common Stock as in effect on the date of delivery of the Notice of Exercise.</w:t>
      </w:r>
    </w:p>
    <w:p>
      <w:pPr>
        <w:pStyle w:val="TextBody"/>
        <w:bidi w:val="0"/>
        <w:spacing w:before="0" w:after="0"/>
        <w:jc w:val="both"/>
        <w:rPr/>
      </w:pPr>
      <w:r>
        <w:rPr/>
      </w:r>
    </w:p>
    <w:p>
      <w:pPr>
        <w:pStyle w:val="TextBody"/>
        <w:bidi w:val="0"/>
        <w:spacing w:lineRule="auto" w:line="300" w:before="0" w:after="0"/>
        <w:jc w:val="both"/>
        <w:rPr/>
      </w:pPr>
      <w:r>
        <w:rPr>
          <w:rFonts w:ascii="Times New Roman;serif" w:hAnsi="Times New Roman;serif"/>
          <w:b/>
          <w:color w:val="000000"/>
          <w:sz w:val="24"/>
        </w:rPr>
        <w:t>(ii) Delivery of New Warrant Upon Exercise.</w:t>
      </w:r>
      <w:r>
        <w:rPr>
          <w:color w:val="000000"/>
        </w:rPr>
        <w:t xml:space="preserve"> </w:t>
      </w:r>
      <w:r>
        <w:rPr>
          <w:rFonts w:ascii="Times New Roman;serif" w:hAnsi="Times New Roman;serif"/>
          <w:b w:val="false"/>
          <w:color w:val="000000"/>
          <w:sz w:val="24"/>
        </w:rPr>
        <w:t>If this Warrant shall have been exercised in part, the Company shall, at the request of a Holder and upon surrender of this Warrant at any time prior to the expiration of the Warrant,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pStyle w:val="TextBody"/>
        <w:bidi w:val="0"/>
        <w:spacing w:before="0" w:after="0"/>
        <w:jc w:val="both"/>
        <w:rPr/>
      </w:pPr>
      <w:r>
        <w:rPr/>
      </w:r>
    </w:p>
    <w:p>
      <w:pPr>
        <w:pStyle w:val="TextBody"/>
        <w:bidi w:val="0"/>
        <w:spacing w:lineRule="auto" w:line="300"/>
        <w:jc w:val="both"/>
        <w:rPr/>
      </w:pPr>
      <w:r>
        <w:rPr>
          <w:rFonts w:ascii="Times New Roman;serif" w:hAnsi="Times New Roman;serif"/>
          <w:b/>
          <w:color w:val="000000"/>
          <w:sz w:val="24"/>
        </w:rPr>
        <w:t>(iii) Rescission Rights.</w:t>
      </w:r>
      <w:r>
        <w:rPr>
          <w:color w:val="000000"/>
        </w:rPr>
        <w:t xml:space="preserve"> </w:t>
      </w:r>
      <w:r>
        <w:rPr>
          <w:rFonts w:ascii="Times New Roman;serif" w:hAnsi="Times New Roman;serif"/>
          <w:b w:val="false"/>
          <w:color w:val="000000"/>
          <w:sz w:val="24"/>
        </w:rPr>
        <w:t xml:space="preserve">If the Company fails to deliver to the Holder the Warrant Shares pursuant to Section 2(c)(i) by the Warrant Share Delivery Date or pay the Holder cash if the Company and the Holder have agreed to cash settle pursuant to </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300" w:before="0" w:after="0"/>
        <w:jc w:val="both"/>
        <w:rPr>
          <w:rFonts w:ascii="Times New Roman;serif" w:hAnsi="Times New Roman;serif"/>
          <w:b w:val="false"/>
          <w:color w:val="000000"/>
          <w:sz w:val="24"/>
        </w:rPr>
      </w:pPr>
      <w:r>
        <w:rPr>
          <w:rFonts w:ascii="Times New Roman;serif" w:hAnsi="Times New Roman;serif"/>
          <w:b w:val="false"/>
          <w:color w:val="000000"/>
          <w:sz w:val="24"/>
        </w:rPr>
        <w:t>Section 2(b) in connection with any Cashless Exercise, then the Holder will have the right to rescind such exercise.</w:t>
      </w:r>
    </w:p>
    <w:p>
      <w:pPr>
        <w:pStyle w:val="TextBody"/>
        <w:bidi w:val="0"/>
        <w:spacing w:before="0" w:after="0"/>
        <w:jc w:val="both"/>
        <w:rPr/>
      </w:pPr>
      <w:r>
        <w:rPr/>
      </w:r>
    </w:p>
    <w:p>
      <w:pPr>
        <w:pStyle w:val="TextBody"/>
        <w:bidi w:val="0"/>
        <w:spacing w:lineRule="auto" w:line="300" w:before="0" w:after="0"/>
        <w:jc w:val="both"/>
        <w:rPr/>
      </w:pPr>
      <w:r>
        <w:rPr>
          <w:rFonts w:ascii="Times New Roman;serif" w:hAnsi="Times New Roman;serif"/>
          <w:b/>
          <w:color w:val="000000"/>
          <w:sz w:val="24"/>
        </w:rPr>
        <w:t>(iv) Conditional Exercise.</w:t>
      </w:r>
      <w:r>
        <w:rPr>
          <w:color w:val="000000"/>
        </w:rPr>
        <w:t xml:space="preserve"> </w:t>
      </w:r>
      <w:r>
        <w:rPr>
          <w:rFonts w:ascii="Times New Roman;serif" w:hAnsi="Times New Roman;serif"/>
          <w:b w:val="false"/>
          <w:color w:val="000000"/>
          <w:sz w:val="24"/>
        </w:rPr>
        <w:t>Notwithstanding the foregoing, if an exercise of all or any portion of this Warrant is to be made in connection with a Fundamental Transaction, such exercise may at the election of the Holder be conditioned upon the consummation of such Fundamental Transaction. If the exercise of this Warrant is conditioned upon the consummation of a Fundamental Transaction, the Warrant Share Delivery Date shall be the date of such consummation and such exercise shall be deemed to be effective immediately prior to such consummation.</w:t>
      </w:r>
    </w:p>
    <w:p>
      <w:pPr>
        <w:pStyle w:val="TextBody"/>
        <w:bidi w:val="0"/>
        <w:spacing w:before="0" w:after="0"/>
        <w:jc w:val="both"/>
        <w:rPr/>
      </w:pPr>
      <w:r>
        <w:rPr/>
      </w:r>
    </w:p>
    <w:p>
      <w:pPr>
        <w:pStyle w:val="TextBody"/>
        <w:bidi w:val="0"/>
        <w:spacing w:lineRule="auto" w:line="300" w:before="0" w:after="0"/>
        <w:jc w:val="both"/>
        <w:rPr/>
      </w:pPr>
      <w:r>
        <w:rPr>
          <w:rFonts w:ascii="Times New Roman;serif" w:hAnsi="Times New Roman;serif"/>
          <w:b/>
          <w:color w:val="000000"/>
          <w:sz w:val="24"/>
        </w:rPr>
        <w:t>(v) No Fractional Shares or Scrip.</w:t>
      </w:r>
      <w:r>
        <w:rPr>
          <w:color w:val="000000"/>
        </w:rPr>
        <w:t xml:space="preserve"> </w:t>
      </w:r>
      <w:r>
        <w:rPr>
          <w:rFonts w:ascii="Times New Roman;serif" w:hAnsi="Times New Roman;serif"/>
          <w:b w:val="false"/>
          <w:color w:val="000000"/>
          <w:sz w:val="24"/>
        </w:rPr>
        <w:t>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applicable Exercise Price or round up to the next whole share.</w:t>
      </w:r>
    </w:p>
    <w:p>
      <w:pPr>
        <w:pStyle w:val="TextBody"/>
        <w:bidi w:val="0"/>
        <w:spacing w:before="0" w:after="0"/>
        <w:jc w:val="both"/>
        <w:rPr/>
      </w:pPr>
      <w:r>
        <w:rPr/>
      </w:r>
    </w:p>
    <w:p>
      <w:pPr>
        <w:pStyle w:val="TextBody"/>
        <w:bidi w:val="0"/>
        <w:spacing w:lineRule="auto" w:line="300" w:before="0" w:after="0"/>
        <w:jc w:val="both"/>
        <w:rPr/>
      </w:pPr>
      <w:r>
        <w:rPr>
          <w:rFonts w:ascii="Times New Roman;serif" w:hAnsi="Times New Roman;serif"/>
          <w:b/>
          <w:color w:val="000000"/>
          <w:sz w:val="24"/>
        </w:rPr>
        <w:t>(vi) Charges, Taxes and Expenses.</w:t>
      </w:r>
      <w:r>
        <w:rPr>
          <w:color w:val="000000"/>
        </w:rPr>
        <w:t xml:space="preserve"> </w:t>
      </w:r>
      <w:r>
        <w:rPr>
          <w:rFonts w:ascii="Times New Roman;serif" w:hAnsi="Times New Roman;serif"/>
          <w:b w:val="false"/>
          <w:color w:val="000000"/>
          <w:sz w:val="24"/>
        </w:rPr>
        <w:t>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provided, however,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pStyle w:val="TextBody"/>
        <w:bidi w:val="0"/>
        <w:spacing w:before="0" w:after="0"/>
        <w:jc w:val="both"/>
        <w:rPr/>
      </w:pPr>
      <w:r>
        <w:rPr/>
      </w:r>
    </w:p>
    <w:p>
      <w:pPr>
        <w:pStyle w:val="TextBody"/>
        <w:bidi w:val="0"/>
        <w:spacing w:lineRule="auto" w:line="300" w:before="0" w:after="0"/>
        <w:jc w:val="both"/>
        <w:rPr/>
      </w:pPr>
      <w:r>
        <w:rPr>
          <w:rFonts w:ascii="Times New Roman;serif" w:hAnsi="Times New Roman;serif"/>
          <w:b/>
          <w:color w:val="000000"/>
          <w:sz w:val="24"/>
        </w:rPr>
        <w:t>(vii) Delayed Exercise.</w:t>
      </w:r>
      <w:r>
        <w:rPr>
          <w:color w:val="000000"/>
        </w:rPr>
        <w:t xml:space="preserve"> </w:t>
      </w:r>
      <w:r>
        <w:rPr>
          <w:rFonts w:ascii="Times New Roman;serif" w:hAnsi="Times New Roman;serif"/>
          <w:b w:val="false"/>
          <w:color w:val="000000"/>
          <w:sz w:val="24"/>
        </w:rPr>
        <w:t>If at any time an exercise of the purchase rights represented by this Warrant would result in Holder and its Affiliates owning more than 34.9% of the Company’s issued and outstanding Common Stock at the time of exercise, then the Company shall have the right to delay the Warrant Share Delivery Date in order to obtain any necessary consents from lenders or other creditors that, if not obtained, would result in a breach of, or event of default under, any credit agreement, note or similar agreement.</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300" w:before="0" w:after="0"/>
        <w:jc w:val="both"/>
        <w:rPr/>
      </w:pPr>
      <w:r>
        <w:rPr>
          <w:rFonts w:ascii="Times New Roman;serif" w:hAnsi="Times New Roman;serif"/>
          <w:b w:val="false"/>
          <w:color w:val="222222"/>
          <w:sz w:val="24"/>
        </w:rPr>
        <w:t>(</w:t>
      </w:r>
      <w:r>
        <w:rPr>
          <w:rFonts w:ascii="Times New Roman;serif" w:hAnsi="Times New Roman;serif"/>
          <w:b/>
          <w:color w:val="222222"/>
          <w:sz w:val="24"/>
        </w:rPr>
        <w:t>d) Extension for Regulatory Approvals.</w:t>
      </w:r>
    </w:p>
    <w:p>
      <w:pPr>
        <w:pStyle w:val="TextBody"/>
        <w:bidi w:val="0"/>
        <w:spacing w:before="0" w:after="0"/>
        <w:jc w:val="both"/>
        <w:rPr/>
      </w:pPr>
      <w:r>
        <w:rPr/>
      </w:r>
    </w:p>
    <w:p>
      <w:pPr>
        <w:pStyle w:val="TextBody"/>
        <w:bidi w:val="0"/>
        <w:spacing w:lineRule="auto" w:line="300" w:before="0" w:after="0"/>
        <w:jc w:val="both"/>
        <w:rPr/>
      </w:pPr>
      <w:r>
        <w:rPr>
          <w:rFonts w:ascii="Times New Roman;serif" w:hAnsi="Times New Roman;serif"/>
          <w:b/>
          <w:color w:val="222222"/>
          <w:sz w:val="24"/>
        </w:rPr>
        <w:t>(i)</w:t>
      </w:r>
      <w:r>
        <w:rPr>
          <w:color w:val="222222"/>
        </w:rPr>
        <w:t xml:space="preserve"> </w:t>
      </w:r>
      <w:r>
        <w:rPr>
          <w:rFonts w:ascii="Times New Roman;serif" w:hAnsi="Times New Roman;serif"/>
          <w:b w:val="false"/>
          <w:color w:val="222222"/>
          <w:sz w:val="24"/>
        </w:rPr>
        <w:t>If, with respect to any Tranche, (A) the Policy Milestone applicable to such Tranche has been satisfied on or prior to the Termination Date and (B) any of the Conditions to Exercise set forth in clauses (i) and (ii) of the definition thereof (the "Regulatory Conditions") has not been satisfied as of the Termination Date, the Holder may, by delivering irrevocable written notice to the Company no later than thirty (30) days prior to the Termination Date (an "Exercise Intent Notice"), elect to extend the Termination Date solely with respect to such Tranche. The Exercise Intent Notice shall (1) identify each Tranche as to which the extension is elected, (2) certify that the applicable Policy Milestone for each such Tranche has been satisfied (or, if the Policy Milestone has not yet been satisfied at the time of the Exercise Intent Notice, state that the Holder reasonably expects such Policy Milestone to be satisfied on or prior to the Termination Date), and (3) confirm that the Holder intends to exercise such Tranche promptly following satisfaction of the Regulatory Conditions.</w:t>
      </w:r>
    </w:p>
    <w:p>
      <w:pPr>
        <w:pStyle w:val="TextBody"/>
        <w:bidi w:val="0"/>
        <w:spacing w:before="0" w:after="0"/>
        <w:jc w:val="both"/>
        <w:rPr/>
      </w:pPr>
      <w:r>
        <w:rPr/>
      </w:r>
    </w:p>
    <w:p>
      <w:pPr>
        <w:pStyle w:val="TextBody"/>
        <w:bidi w:val="0"/>
        <w:spacing w:lineRule="auto" w:line="300" w:before="0" w:after="0"/>
        <w:jc w:val="both"/>
        <w:rPr/>
      </w:pPr>
      <w:r>
        <w:rPr>
          <w:rFonts w:ascii="Times New Roman;serif" w:hAnsi="Times New Roman;serif"/>
          <w:b/>
          <w:color w:val="222222"/>
          <w:sz w:val="24"/>
        </w:rPr>
        <w:t xml:space="preserve">(ii) </w:t>
      </w:r>
      <w:r>
        <w:rPr>
          <w:rFonts w:ascii="Times New Roman;serif" w:hAnsi="Times New Roman;serif"/>
          <w:b w:val="false"/>
          <w:color w:val="222222"/>
          <w:sz w:val="24"/>
        </w:rPr>
        <w:t>Upon timely delivery of an Exercise Intent Notice, the Termination Date shall be extended, solely with respect to each Tranche identified therein whose Policy Milestone has been satisfied on or prior to the original Termination Date, until the date that is thirty (30) days following the date on which the last of the Regulatory Conditions applicable to such Tranche is satisfied (such extended date, the "Extended Termination Date"); provided that:</w:t>
      </w:r>
    </w:p>
    <w:p>
      <w:pPr>
        <w:pStyle w:val="TextBody"/>
        <w:bidi w:val="0"/>
        <w:spacing w:before="0" w:after="0"/>
        <w:jc w:val="both"/>
        <w:rPr/>
      </w:pPr>
      <w:r>
        <w:rPr/>
      </w:r>
    </w:p>
    <w:p>
      <w:pPr>
        <w:pStyle w:val="TextBody"/>
        <w:bidi w:val="0"/>
        <w:spacing w:lineRule="auto" w:line="300" w:before="0" w:after="0"/>
        <w:jc w:val="both"/>
        <w:rPr>
          <w:rFonts w:ascii="Times New Roman;serif" w:hAnsi="Times New Roman;serif"/>
          <w:b w:val="false"/>
          <w:color w:val="222222"/>
          <w:sz w:val="24"/>
        </w:rPr>
      </w:pPr>
      <w:r>
        <w:rPr>
          <w:rFonts w:ascii="Times New Roman;serif" w:hAnsi="Times New Roman;serif"/>
          <w:b w:val="false"/>
          <w:color w:val="222222"/>
          <w:sz w:val="24"/>
        </w:rPr>
        <w:t>(A) the Holder shall have submitted each filing required to satisfy such Regulatory Conditions no later than the later of (x) sixty (60) days following the delivery of the Exercise Intent Notice and (y) thirty (30) days following the original Termination Date, and shall thereafter use commercially reasonable efforts to obtain the applicable approvals and to respond to any requests for additional information from any applicable governmental authority in a timely manner;</w:t>
      </w:r>
    </w:p>
    <w:p>
      <w:pPr>
        <w:pStyle w:val="TextBody"/>
        <w:bidi w:val="0"/>
        <w:spacing w:before="0" w:after="0"/>
        <w:jc w:val="both"/>
        <w:rPr/>
      </w:pPr>
      <w:r>
        <w:rPr/>
      </w:r>
    </w:p>
    <w:p>
      <w:pPr>
        <w:pStyle w:val="TextBody"/>
        <w:bidi w:val="0"/>
        <w:spacing w:lineRule="auto" w:line="300" w:before="0" w:after="0"/>
        <w:jc w:val="both"/>
        <w:rPr>
          <w:rFonts w:ascii="Times New Roman;serif" w:hAnsi="Times New Roman;serif"/>
          <w:b w:val="false"/>
          <w:color w:val="222222"/>
          <w:sz w:val="24"/>
        </w:rPr>
      </w:pPr>
      <w:r>
        <w:rPr>
          <w:rFonts w:ascii="Times New Roman;serif" w:hAnsi="Times New Roman;serif"/>
          <w:b w:val="false"/>
          <w:color w:val="222222"/>
          <w:sz w:val="24"/>
        </w:rPr>
        <w:t>(B) in no event shall the Extended Termination Date be later than the first (1st) anniversary of the original Termination Date;</w:t>
      </w:r>
    </w:p>
    <w:p>
      <w:pPr>
        <w:pStyle w:val="TextBody"/>
        <w:bidi w:val="0"/>
        <w:spacing w:before="0" w:after="0"/>
        <w:jc w:val="both"/>
        <w:rPr/>
      </w:pPr>
      <w:r>
        <w:rPr/>
      </w:r>
    </w:p>
    <w:p>
      <w:pPr>
        <w:pStyle w:val="TextBody"/>
        <w:bidi w:val="0"/>
        <w:spacing w:lineRule="auto" w:line="300" w:before="0" w:after="0"/>
        <w:jc w:val="both"/>
        <w:rPr>
          <w:rFonts w:ascii="Times New Roman;serif" w:hAnsi="Times New Roman;serif"/>
          <w:b w:val="false"/>
          <w:color w:val="222222"/>
          <w:sz w:val="24"/>
        </w:rPr>
      </w:pPr>
      <w:r>
        <w:rPr>
          <w:rFonts w:ascii="Times New Roman;serif" w:hAnsi="Times New Roman;serif"/>
          <w:b w:val="false"/>
          <w:color w:val="222222"/>
          <w:sz w:val="24"/>
        </w:rPr>
        <w:t>(C) if the applicable Policy Milestone for any Tranche identified in the Exercise Intent Notice has not been satisfied on or prior to the original Termination Date, the extension shall not apply to such Tranche and such Tranche shall expire on the original Termination Date; and</w:t>
      </w:r>
    </w:p>
    <w:p>
      <w:pPr>
        <w:pStyle w:val="TextBody"/>
        <w:bidi w:val="0"/>
        <w:spacing w:before="0" w:after="0"/>
        <w:jc w:val="both"/>
        <w:rPr/>
      </w:pPr>
      <w:r>
        <w:rPr/>
      </w:r>
    </w:p>
    <w:p>
      <w:pPr>
        <w:pStyle w:val="TextBody"/>
        <w:bidi w:val="0"/>
        <w:spacing w:lineRule="auto" w:line="300"/>
        <w:jc w:val="both"/>
        <w:rPr>
          <w:rFonts w:ascii="Times New Roman;serif" w:hAnsi="Times New Roman;serif"/>
          <w:b w:val="false"/>
          <w:color w:val="222222"/>
          <w:sz w:val="24"/>
        </w:rPr>
      </w:pPr>
      <w:r>
        <w:rPr>
          <w:rFonts w:ascii="Times New Roman;serif" w:hAnsi="Times New Roman;serif"/>
          <w:b w:val="false"/>
          <w:color w:val="222222"/>
          <w:sz w:val="24"/>
        </w:rPr>
        <w:t xml:space="preserve">(D) the extension provided by this Section 2(d) shall immediately terminate, and the applicable Tranche shall expire, upon the earliest of (w) the final, non-appealable denial of any Regulatory Condition applicable to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300" w:before="0" w:after="0"/>
        <w:jc w:val="both"/>
        <w:rPr>
          <w:rFonts w:ascii="Times New Roman;serif" w:hAnsi="Times New Roman;serif"/>
          <w:b w:val="false"/>
          <w:color w:val="222222"/>
          <w:sz w:val="24"/>
        </w:rPr>
      </w:pPr>
      <w:r>
        <w:rPr>
          <w:rFonts w:ascii="Times New Roman;serif" w:hAnsi="Times New Roman;serif"/>
          <w:b w:val="false"/>
          <w:color w:val="222222"/>
          <w:sz w:val="24"/>
        </w:rPr>
        <w:t>such Tranche, (x) the withdrawal or abandonment by the Holder of any filing required to satisfy such Regulatory Conditions, (y) written notice from the Holder to the Company that any approval required to satisfy such Regulatory Conditions would impose a Burdensome Condition, and (z) the failure of the Holder to deliver a Notice of Exercise with respect to such Tranche within thirty (30) days following satisfaction of all Regulatory Conditions applicable thereto.</w:t>
      </w:r>
    </w:p>
    <w:p>
      <w:pPr>
        <w:pStyle w:val="TextBody"/>
        <w:bidi w:val="0"/>
        <w:spacing w:before="0" w:after="0"/>
        <w:jc w:val="both"/>
        <w:rPr/>
      </w:pPr>
      <w:r>
        <w:rPr/>
      </w:r>
    </w:p>
    <w:p>
      <w:pPr>
        <w:pStyle w:val="TextBody"/>
        <w:bidi w:val="0"/>
        <w:spacing w:lineRule="auto" w:line="300" w:before="0" w:after="0"/>
        <w:jc w:val="both"/>
        <w:rPr/>
      </w:pPr>
      <w:r>
        <w:rPr>
          <w:rFonts w:ascii="Times New Roman;serif" w:hAnsi="Times New Roman;serif"/>
          <w:b/>
          <w:color w:val="222222"/>
          <w:sz w:val="24"/>
        </w:rPr>
        <w:t>(iii)</w:t>
      </w:r>
      <w:r>
        <w:rPr>
          <w:color w:val="222222"/>
        </w:rPr>
        <w:t xml:space="preserve"> </w:t>
      </w:r>
      <w:r>
        <w:rPr>
          <w:rFonts w:ascii="Times New Roman;serif" w:hAnsi="Times New Roman;serif"/>
          <w:b w:val="false"/>
          <w:color w:val="222222"/>
          <w:sz w:val="24"/>
        </w:rPr>
        <w:t>The Company shall use commercially reasonable efforts to cooperate with the Holder in obtaining the approvals necessary to satisfy the Regulatory Conditions, including by (A) furnishing to any governmental authority that regulates insurance, and to the United States Department of Justice and the Federal Trade Commission, such information as is reasonably requested by such authority in connection with the applicable filings, (B) promptly responding to any requests for additional information or documentary material issued by such authorities in connection with such filings, and (C) not taking any action that would reasonably be expected to materially delay or impair the ability of the Holder to obtain such approvals. In the event that the failure of any Regulatory Condition to be satisfied on or prior to the first anniversary of the original Termination Date is primarily attributable to the Company's failure to comply with its obligations under this Section 2(d)(iii), the date set forth in clause (ii)(B) above shall be extended by a period equal to the duration of such delay, not to exceed an additional ninety (90) days.</w:t>
      </w:r>
    </w:p>
    <w:p>
      <w:pPr>
        <w:pStyle w:val="TextBody"/>
        <w:bidi w:val="0"/>
        <w:spacing w:before="0" w:after="0"/>
        <w:jc w:val="both"/>
        <w:rPr/>
      </w:pPr>
      <w:r>
        <w:rPr/>
      </w:r>
    </w:p>
    <w:p>
      <w:pPr>
        <w:pStyle w:val="TextBody"/>
        <w:bidi w:val="0"/>
        <w:spacing w:lineRule="auto" w:line="300" w:before="0" w:after="0"/>
        <w:jc w:val="both"/>
        <w:rPr/>
      </w:pPr>
      <w:r>
        <w:rPr>
          <w:rFonts w:ascii="Times New Roman;serif" w:hAnsi="Times New Roman;serif"/>
          <w:b/>
          <w:color w:val="222222"/>
          <w:sz w:val="24"/>
        </w:rPr>
        <w:t>(iv)</w:t>
      </w:r>
      <w:r>
        <w:rPr>
          <w:color w:val="222222"/>
        </w:rPr>
        <w:t xml:space="preserve"> </w:t>
      </w:r>
      <w:r>
        <w:rPr>
          <w:rFonts w:ascii="Times New Roman;serif" w:hAnsi="Times New Roman;serif"/>
          <w:b w:val="false"/>
          <w:color w:val="222222"/>
          <w:sz w:val="24"/>
        </w:rPr>
        <w:t>For the avoidance of doubt, (A) this Section 2(d) shall not extend the Termination Date with respect to any Tranche whose Policy Milestone has not been satisfied on or prior to the original Termination Date, (B) the Holder may not deliver an Exercise Intent Notice with respect to any Tranche whose Policy Milestone has not been satisfied at the time of such notice unless the Holder certifies its reasonable expectation that such milestone will be satisfied on or prior to the Termination Date, (C) notwithstanding Section 3(d)(ii), in the event that the Company delivers a Sale Notice during any extension period under this Section 2(d), the provisions of Section 3(d)(ii) shall apply to each Tranche subject to such extension as if the Regulatory Conditions had been satisfied, and the automatic exercise and partial vesting mechanics of Section 3(d)(ii) shall apply accordingly, and (D) during any extension period, all other provisions of this Warrant (including the adjustment provisions of Section 3(a) and the Fundamental Transaction provisions of Section 3(b)) shall continue to apply in full.</w:t>
      </w:r>
    </w:p>
    <w:p>
      <w:pPr>
        <w:pStyle w:val="TextBody"/>
        <w:bidi w:val="0"/>
        <w:spacing w:before="0" w:after="0"/>
        <w:jc w:val="both"/>
        <w:rPr/>
      </w:pPr>
      <w:r>
        <w:rPr/>
      </w:r>
    </w:p>
    <w:p>
      <w:pPr>
        <w:pStyle w:val="TextBody"/>
        <w:bidi w:val="0"/>
        <w:spacing w:lineRule="auto" w:line="307" w:before="0" w:after="0"/>
        <w:jc w:val="both"/>
        <w:rPr>
          <w:rFonts w:ascii="Times New Roman;serif" w:hAnsi="Times New Roman;serif"/>
          <w:b/>
          <w:color w:val="000000"/>
          <w:sz w:val="24"/>
        </w:rPr>
      </w:pPr>
      <w:r>
        <w:rPr>
          <w:rFonts w:ascii="Times New Roman;serif" w:hAnsi="Times New Roman;serif"/>
          <w:b/>
          <w:color w:val="000000"/>
          <w:sz w:val="24"/>
        </w:rPr>
        <w:t>Section 3. Certain Adjustments.</w:t>
      </w:r>
    </w:p>
    <w:p>
      <w:pPr>
        <w:pStyle w:val="TextBody"/>
        <w:bidi w:val="0"/>
        <w:spacing w:before="0" w:after="0"/>
        <w:jc w:val="both"/>
        <w:rPr/>
      </w:pPr>
      <w:r>
        <w:rPr/>
      </w:r>
    </w:p>
    <w:p>
      <w:pPr>
        <w:pStyle w:val="TextBody"/>
        <w:bidi w:val="0"/>
        <w:spacing w:lineRule="auto" w:line="307" w:before="0" w:after="0"/>
        <w:jc w:val="both"/>
        <w:rPr>
          <w:rFonts w:ascii="Times New Roman;serif" w:hAnsi="Times New Roman;serif"/>
          <w:b/>
          <w:color w:val="000000"/>
          <w:sz w:val="24"/>
        </w:rPr>
      </w:pPr>
      <w:r>
        <w:rPr>
          <w:rFonts w:ascii="Times New Roman;serif" w:hAnsi="Times New Roman;serif"/>
          <w:b/>
          <w:color w:val="000000"/>
          <w:sz w:val="24"/>
        </w:rPr>
        <w:t>(a) Adjustments.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307" w:before="0" w:after="0"/>
        <w:jc w:val="both"/>
        <w:rPr/>
      </w:pPr>
      <w:r>
        <w:rPr>
          <w:rFonts w:ascii="Times New Roman;serif" w:hAnsi="Times New Roman;serif"/>
          <w:b/>
          <w:color w:val="000000"/>
          <w:sz w:val="24"/>
        </w:rPr>
        <w:t>(i) Stock Dividends and Splits.</w:t>
      </w:r>
      <w:r>
        <w:rPr>
          <w:color w:val="000000"/>
        </w:rPr>
        <w:t xml:space="preserve"> </w:t>
      </w:r>
      <w:r>
        <w:rPr>
          <w:rFonts w:ascii="Times New Roman;serif" w:hAnsi="Times New Roman;serif"/>
          <w:b w:val="false"/>
          <w:color w:val="000000"/>
          <w:sz w:val="24"/>
        </w:rPr>
        <w:t>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(including by way of stock split) outstanding shares of Common Stock into a larger number of shares, or (iii) combines (including by way of reverse stock split) outstanding shares of Common Stock into a smaller number of shares, then in each case the applicable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pStyle w:val="TextBody"/>
        <w:bidi w:val="0"/>
        <w:spacing w:before="0" w:after="0"/>
        <w:jc w:val="both"/>
        <w:rPr/>
      </w:pPr>
      <w:r>
        <w:rPr/>
      </w:r>
    </w:p>
    <w:p>
      <w:pPr>
        <w:pStyle w:val="TextBody"/>
        <w:bidi w:val="0"/>
        <w:spacing w:lineRule="auto" w:line="307" w:before="0" w:after="0"/>
        <w:jc w:val="both"/>
        <w:rPr/>
      </w:pPr>
      <w:r>
        <w:rPr>
          <w:rFonts w:ascii="Times New Roman;serif" w:hAnsi="Times New Roman;serif"/>
          <w:b/>
          <w:color w:val="000000"/>
          <w:sz w:val="24"/>
        </w:rPr>
        <w:t>(ii) Issuance of Rights, Options or Warrants.</w:t>
      </w:r>
      <w:r>
        <w:rPr>
          <w:color w:val="000000"/>
        </w:rPr>
        <w:t xml:space="preserve"> </w:t>
      </w:r>
      <w:r>
        <w:rPr>
          <w:rFonts w:ascii="Times New Roman;serif" w:hAnsi="Times New Roman;serif"/>
          <w:b w:val="false"/>
          <w:color w:val="000000"/>
          <w:sz w:val="24"/>
        </w:rPr>
        <w:t>If the Company issues to all of the record holders of its Class A Common Stock any rights, options or warrants entitling them, to subscribe for or purchase shares of the Common Stock (the "Purchase Rights") at a price per share that is less than the average of the Fair Market Value of the Common Stock for the 10 consecutive Trading Day period ending on, and including, the Trading Day immediately preceding the date of announcement of such issuance, then the applicable Exercise Price shall be decreased based on the following formula:</w:t>
      </w:r>
    </w:p>
    <w:p>
      <w:pPr>
        <w:pStyle w:val="TextBody"/>
        <w:bidi w:val="0"/>
        <w:spacing w:before="0" w:after="0"/>
        <w:jc w:val="both"/>
        <w:rPr/>
      </w:pPr>
      <w:r>
        <w:rPr/>
      </w:r>
    </w:p>
    <w:p>
      <w:pPr>
        <w:pStyle w:val="TextBody"/>
        <w:bidi w:val="0"/>
        <w:spacing w:lineRule="auto" w:line="307" w:before="0" w:after="0"/>
        <w:jc w:val="center"/>
        <w:rPr>
          <w:rFonts w:ascii="Times New Roman;serif" w:hAnsi="Times New Roman;serif"/>
          <w:b w:val="false"/>
          <w:color w:val="000000"/>
          <w:sz w:val="24"/>
        </w:rPr>
      </w:pPr>
      <w:r>
        <w:rPr>
          <w:rFonts w:ascii="Times New Roman;serif" w:hAnsi="Times New Roman;serif"/>
          <w:b w:val="false"/>
          <w:color w:val="000000"/>
          <w:sz w:val="24"/>
        </w:rPr>
        <w:t>EP1 = EP0 x ((OS0 + Y) / (OS0 + X))</w:t>
      </w:r>
    </w:p>
    <w:p>
      <w:pPr>
        <w:pStyle w:val="TextBody"/>
        <w:bidi w:val="0"/>
        <w:spacing w:before="0" w:after="0"/>
        <w:jc w:val="center"/>
        <w:rPr/>
      </w:pPr>
      <w:r>
        <w:rPr/>
      </w:r>
    </w:p>
    <w:p>
      <w:pPr>
        <w:pStyle w:val="TextBody"/>
        <w:bidi w:val="0"/>
        <w:spacing w:lineRule="auto" w:line="307"/>
        <w:jc w:val="both"/>
        <w:rPr>
          <w:rFonts w:ascii="Times New Roman;serif" w:hAnsi="Times New Roman;serif"/>
          <w:b w:val="false"/>
          <w:color w:val="000000"/>
          <w:sz w:val="24"/>
        </w:rPr>
      </w:pPr>
      <w:r>
        <w:rPr>
          <w:rFonts w:ascii="Times New Roman;serif" w:hAnsi="Times New Roman;serif"/>
          <w:b w:val="false"/>
          <w:color w:val="000000"/>
          <w:sz w:val="24"/>
        </w:rPr>
        <w:t xml:space="preserve">"EP0" means the applicable Exercise Price in effect immediately prior to the open of business on the Ex-Dividend Date for such issuance; "EP1" means the applicable Exercise Price in effect immediately after the open of business on such Ex-Dividend Date; "OS0" means the number of shares of Common Stock outstanding immediately prior to the open of business on the Ex-Dividend Date for such issuance; "X" means the total number of shares of Common Stock issuable pursuant to such rights, options or warrants; and "Y" means the number of shares of Common Stock equal to (i) the aggregate price payable to exercise such rights, options or warrants, divided by (ii) the average of the Fair Market Value of the Common Stock for the 10 consecutive Trading Day period ending on, and </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307" w:before="0" w:after="0"/>
        <w:jc w:val="both"/>
        <w:rPr>
          <w:rFonts w:ascii="Times New Roman;serif" w:hAnsi="Times New Roman;serif"/>
          <w:b w:val="false"/>
          <w:color w:val="000000"/>
          <w:sz w:val="24"/>
        </w:rPr>
      </w:pPr>
      <w:r>
        <w:rPr>
          <w:rFonts w:ascii="Times New Roman;serif" w:hAnsi="Times New Roman;serif"/>
          <w:b w:val="false"/>
          <w:color w:val="000000"/>
          <w:sz w:val="24"/>
        </w:rPr>
        <w:t>including, the Trading Day immediately preceding the date of announcement of such issuance.</w:t>
      </w:r>
    </w:p>
    <w:p>
      <w:pPr>
        <w:pStyle w:val="TextBody"/>
        <w:bidi w:val="0"/>
        <w:spacing w:before="0" w:after="0"/>
        <w:jc w:val="both"/>
        <w:rPr/>
      </w:pPr>
      <w:r>
        <w:rPr/>
      </w:r>
    </w:p>
    <w:p>
      <w:pPr>
        <w:pStyle w:val="TextBody"/>
        <w:bidi w:val="0"/>
        <w:spacing w:lineRule="auto" w:line="307" w:before="0" w:after="0"/>
        <w:jc w:val="both"/>
        <w:rPr>
          <w:rFonts w:ascii="Times New Roman;serif" w:hAnsi="Times New Roman;serif"/>
          <w:b w:val="false"/>
          <w:color w:val="000000"/>
          <w:sz w:val="24"/>
        </w:rPr>
      </w:pPr>
      <w:r>
        <w:rPr>
          <w:rFonts w:ascii="Times New Roman;serif" w:hAnsi="Times New Roman;serif"/>
          <w:b w:val="false"/>
          <w:color w:val="000000"/>
          <w:sz w:val="24"/>
        </w:rPr>
        <w:t>Any decrease pursuant to this Section 3(a)(ii) shall be made successively whenever any such rights, options or warrants are issued and shall become effective immediately after the open of business on the Ex-Dividend Date for such issuance. To the extent that shares of the Common Stock are not delivered after the expiration of such rights, options or warrants, the applicable Exercise Price shall be increased to the applicable Exercise Price that would then be in effect had the decrease in the applicable Exercise Price been calculated on the basis of delivery of only the number of shares of Common Stock actually delivered. If such rights, options or warrants are not so issued, the applicable Exercise Price shall be increased to the applicable Exercise Price that would then be in effect if such Ex-Dividend Date for such issuance had not occurred.</w:t>
      </w:r>
    </w:p>
    <w:p>
      <w:pPr>
        <w:pStyle w:val="TextBody"/>
        <w:bidi w:val="0"/>
        <w:spacing w:before="0" w:after="0"/>
        <w:jc w:val="both"/>
        <w:rPr/>
      </w:pPr>
      <w:r>
        <w:rPr/>
      </w:r>
    </w:p>
    <w:p>
      <w:pPr>
        <w:pStyle w:val="TextBody"/>
        <w:bidi w:val="0"/>
        <w:spacing w:lineRule="auto" w:line="307" w:before="0" w:after="0"/>
        <w:jc w:val="both"/>
        <w:rPr>
          <w:rFonts w:ascii="Times New Roman;serif" w:hAnsi="Times New Roman;serif"/>
          <w:b w:val="false"/>
          <w:color w:val="000000"/>
          <w:sz w:val="24"/>
        </w:rPr>
      </w:pPr>
      <w:r>
        <w:rPr>
          <w:rFonts w:ascii="Times New Roman;serif" w:hAnsi="Times New Roman;serif"/>
          <w:b w:val="false"/>
          <w:color w:val="000000"/>
          <w:sz w:val="24"/>
        </w:rPr>
        <w:t>For purposes of this Section 3(a)(ii), in determining whether any rights, options or warrants entitle the holders of Common Stock to subscribe for or purchase shares of the Common Stock at a price per share that is less than such average of the Fair Market Value of the Common Stock for the ten (10) consecutive Trading Day period ending on, and including, the Trading Day immediately preceding the date of announcement of such issuance, and in determining the aggregate offering price of such shares of Common Stock, there shall be taken into account any consideration received by the Company for such rights, options or warrants and any amount payable on exercise or conversion thereof, the value of such consideration, if other than cash, to be determined by the Board of Directors in good faith.</w:t>
      </w:r>
    </w:p>
    <w:p>
      <w:pPr>
        <w:pStyle w:val="TextBody"/>
        <w:bidi w:val="0"/>
        <w:spacing w:before="0" w:after="0"/>
        <w:jc w:val="both"/>
        <w:rPr/>
      </w:pPr>
      <w:r>
        <w:rPr/>
      </w:r>
    </w:p>
    <w:p>
      <w:pPr>
        <w:pStyle w:val="TextBody"/>
        <w:bidi w:val="0"/>
        <w:spacing w:lineRule="auto" w:line="307" w:before="0" w:after="0"/>
        <w:jc w:val="both"/>
        <w:rPr/>
      </w:pPr>
      <w:r>
        <w:rPr>
          <w:rFonts w:ascii="Times New Roman;serif" w:hAnsi="Times New Roman;serif"/>
          <w:b/>
          <w:color w:val="000000"/>
          <w:sz w:val="24"/>
        </w:rPr>
        <w:t>(iii) Distribution Transactions.</w:t>
      </w:r>
      <w:r>
        <w:rPr>
          <w:color w:val="000000"/>
        </w:rPr>
        <w:t xml:space="preserve"> </w:t>
      </w:r>
      <w:r>
        <w:rPr>
          <w:rFonts w:ascii="Times New Roman;serif" w:hAnsi="Times New Roman;serif"/>
          <w:b w:val="false"/>
          <w:color w:val="000000"/>
          <w:sz w:val="24"/>
        </w:rPr>
        <w:t>If the Company distributes shares of its capital stock, evidences of its indebtedness, other assets or property or rights, options or warrants to acquire its Capital Stock or other securities, to all holders of record of the Class A Common Stock, excluding (a) dividends, distributions or issuances as to which an adjustment was effected pursuant to Section 3(a)(i) or Section 3(a)(ii), (b) dividends or distributions paid exclusively in cash (subject to Section 3(a)(iv)), (c) distributions in a transaction described in Section 3(b); and (d) Spin-Offs as to which the provisions set forth below in the second paragraph of this Section 3(a)(iii) shall apply (any of such shares of Capital Stock, evidences of indebtedness, other assets or property or rights, options or warrants to acquire Capital Stock or other securities of the Company, the "Distributed Property"), then the applicable Exercise Price shall be decreased based on the following formula:</w:t>
      </w:r>
    </w:p>
    <w:p>
      <w:pPr>
        <w:pStyle w:val="TextBody"/>
        <w:bidi w:val="0"/>
        <w:spacing w:before="0" w:after="0"/>
        <w:jc w:val="both"/>
        <w:rPr/>
      </w:pPr>
      <w:r>
        <w:rPr/>
      </w:r>
    </w:p>
    <w:p>
      <w:pPr>
        <w:pStyle w:val="TextBody"/>
        <w:bidi w:val="0"/>
        <w:spacing w:lineRule="auto" w:line="307" w:before="0" w:after="0"/>
        <w:jc w:val="center"/>
        <w:rPr>
          <w:rFonts w:ascii="Times New Roman;serif" w:hAnsi="Times New Roman;serif"/>
          <w:b w:val="false"/>
          <w:color w:val="000000"/>
          <w:sz w:val="24"/>
        </w:rPr>
      </w:pPr>
      <w:r>
        <w:rPr>
          <w:rFonts w:ascii="Times New Roman;serif" w:hAnsi="Times New Roman;serif"/>
          <w:b w:val="false"/>
          <w:color w:val="000000"/>
          <w:sz w:val="24"/>
        </w:rPr>
        <w:t>EP1 = EP0 x ((SP0 - FMV) / SP0)</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307" w:before="0" w:after="0"/>
        <w:jc w:val="both"/>
        <w:rPr>
          <w:rFonts w:ascii="Times New Roman;serif" w:hAnsi="Times New Roman;serif"/>
          <w:b w:val="false"/>
          <w:color w:val="000000"/>
          <w:sz w:val="24"/>
        </w:rPr>
      </w:pPr>
      <w:r>
        <w:rPr>
          <w:rFonts w:ascii="Times New Roman;serif" w:hAnsi="Times New Roman;serif"/>
          <w:b w:val="false"/>
          <w:color w:val="000000"/>
          <w:sz w:val="24"/>
        </w:rPr>
        <w:t>"EP0" means the applicable Exercise Price in effect immediately prior to the open of business on the Ex-Dividend Date for such distribution; "EP1" means the applicable Exercise Price in effect immediately after the open of business on such Ex-Dividend Date; "SP0" means the average Fair Market Value of the Class A Common Stock over the 10 consecutive Trading-Day period ending on, and including, the Trading Day immediately preceding the Ex-Dividend Date for such distribution; and "FMV" means the fair market value (as determined by the Board of Directors) of the Distributed Property distributed with respect to each outstanding share of the Class A Common Stock on the Ex-Dividend Date for such distribution.</w:t>
      </w:r>
    </w:p>
    <w:p>
      <w:pPr>
        <w:pStyle w:val="TextBody"/>
        <w:bidi w:val="0"/>
        <w:spacing w:before="0" w:after="0"/>
        <w:ind w:left="0" w:right="0" w:firstLine="1440"/>
        <w:jc w:val="both"/>
        <w:rPr/>
      </w:pPr>
      <w:r>
        <w:rPr/>
      </w:r>
    </w:p>
    <w:p>
      <w:pPr>
        <w:pStyle w:val="TextBody"/>
        <w:bidi w:val="0"/>
        <w:spacing w:lineRule="auto" w:line="307" w:before="0" w:after="0"/>
        <w:jc w:val="both"/>
        <w:rPr>
          <w:rFonts w:ascii="Times New Roman;serif" w:hAnsi="Times New Roman;serif"/>
          <w:b w:val="false"/>
          <w:color w:val="000000"/>
          <w:sz w:val="24"/>
        </w:rPr>
      </w:pPr>
      <w:r>
        <w:rPr>
          <w:rFonts w:ascii="Times New Roman;serif" w:hAnsi="Times New Roman;serif"/>
          <w:b w:val="false"/>
          <w:color w:val="000000"/>
          <w:sz w:val="24"/>
        </w:rPr>
        <w:t>Any decrease made under the portion of this Section 3(a)(iii) above shall become effective immediately after the open of business on the Ex-Dividend Date for such distribution. If such dividend or distribution is not so paid, the applicable Exercise Price shall be reset, effective as of the date the Board of Directors determines not to make or pay such dividend or distribution, to be the applicable Exercise Price that would then be in effect if such dividend or distribution had not been declared. Notwithstanding the foregoing, if "FMV" (as defined above) is equal to or greater than "SP0" (as defined above), in lieu of the foregoing decrease, the Holder of this Warrant shall receive at the same time and upon the same terms as holders of the Common Stock receive the Distributed Property, the amount and kind of Distributed Property such Holder would have received if such Holder had exercised this Warrant in full prior the distribution.</w:t>
      </w:r>
    </w:p>
    <w:p>
      <w:pPr>
        <w:pStyle w:val="TextBody"/>
        <w:bidi w:val="0"/>
        <w:spacing w:before="0" w:after="0"/>
        <w:jc w:val="both"/>
        <w:rPr/>
      </w:pPr>
      <w:r>
        <w:rPr/>
      </w:r>
    </w:p>
    <w:p>
      <w:pPr>
        <w:pStyle w:val="TextBody"/>
        <w:bidi w:val="0"/>
        <w:spacing w:lineRule="auto" w:line="307" w:before="0" w:after="0"/>
        <w:jc w:val="both"/>
        <w:rPr>
          <w:rFonts w:ascii="Times New Roman;serif" w:hAnsi="Times New Roman;serif"/>
          <w:b w:val="false"/>
          <w:color w:val="000000"/>
          <w:sz w:val="24"/>
        </w:rPr>
      </w:pPr>
      <w:r>
        <w:rPr>
          <w:rFonts w:ascii="Times New Roman;serif" w:hAnsi="Times New Roman;serif"/>
          <w:b w:val="false"/>
          <w:color w:val="000000"/>
          <w:sz w:val="24"/>
        </w:rPr>
        <w:t>With respect to an adjustment pursuant to this Section 3(a)(iii) where there has been a payment of a dividend or other distribution on the Class A Common Stock of shares of Capital Stock of any class or series, or similar equity interest, of or relating to a subsidiary or other business unit of the Company, that are, or, when issued, will be, listed or admitted for trading on a U.S. national securities exchange (a "Spin-Off"), the applicable Exercise Price shall be decreased based on the following formula:</w:t>
      </w:r>
    </w:p>
    <w:p>
      <w:pPr>
        <w:pStyle w:val="TextBody"/>
        <w:bidi w:val="0"/>
        <w:spacing w:before="0" w:after="0"/>
        <w:jc w:val="both"/>
        <w:rPr/>
      </w:pPr>
      <w:r>
        <w:rPr/>
      </w:r>
    </w:p>
    <w:p>
      <w:pPr>
        <w:pStyle w:val="TextBody"/>
        <w:bidi w:val="0"/>
        <w:spacing w:lineRule="auto" w:line="307" w:before="0" w:after="0"/>
        <w:jc w:val="center"/>
        <w:rPr>
          <w:rFonts w:ascii="Times New Roman;serif" w:hAnsi="Times New Roman;serif"/>
          <w:b w:val="false"/>
          <w:color w:val="000000"/>
          <w:sz w:val="24"/>
        </w:rPr>
      </w:pPr>
      <w:r>
        <w:rPr>
          <w:rFonts w:ascii="Times New Roman;serif" w:hAnsi="Times New Roman;serif"/>
          <w:b w:val="false"/>
          <w:color w:val="000000"/>
          <w:sz w:val="24"/>
        </w:rPr>
        <w:t>EP1 = EP0 x (MP0 / (FMV + MP0))</w:t>
      </w:r>
    </w:p>
    <w:p>
      <w:pPr>
        <w:pStyle w:val="TextBody"/>
        <w:bidi w:val="0"/>
        <w:spacing w:before="0" w:after="0"/>
        <w:jc w:val="center"/>
        <w:rPr/>
      </w:pPr>
      <w:r>
        <w:rPr/>
      </w:r>
    </w:p>
    <w:p>
      <w:pPr>
        <w:pStyle w:val="TextBody"/>
        <w:bidi w:val="0"/>
        <w:spacing w:lineRule="auto" w:line="307"/>
        <w:jc w:val="both"/>
        <w:rPr>
          <w:rFonts w:ascii="Times New Roman;serif" w:hAnsi="Times New Roman;serif"/>
          <w:b w:val="false"/>
          <w:color w:val="000000"/>
          <w:sz w:val="24"/>
        </w:rPr>
      </w:pPr>
      <w:r>
        <w:rPr>
          <w:rFonts w:ascii="Times New Roman;serif" w:hAnsi="Times New Roman;serif"/>
          <w:b w:val="false"/>
          <w:color w:val="000000"/>
          <w:sz w:val="24"/>
        </w:rPr>
        <w:t xml:space="preserve">"EP0" means the applicable Exercise Price in effect immediately prior to the close of business on the Effective Date of the Spin-Off; "EP1" means the applicable Exercise Price in effect immediately after the close of business on the Effective Date of the Spin-Off; "FMV" means the average Fair Market Value of the Capital Stock or similar equity interest distributed to holders of the Class A Common Stock applicable to one share of the Common Stock over the first 10 consecutive Trading Day period after, and including, the first day that the Spin-Off stock begins trading </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307" w:before="0" w:after="0"/>
        <w:jc w:val="both"/>
        <w:rPr>
          <w:rFonts w:ascii="Times New Roman;serif" w:hAnsi="Times New Roman;serif"/>
          <w:b w:val="false"/>
          <w:color w:val="000000"/>
          <w:sz w:val="24"/>
        </w:rPr>
      </w:pPr>
      <w:r>
        <w:rPr>
          <w:rFonts w:ascii="Times New Roman;serif" w:hAnsi="Times New Roman;serif"/>
          <w:b w:val="false"/>
          <w:color w:val="000000"/>
          <w:sz w:val="24"/>
        </w:rPr>
        <w:t>regular-way (the "Valuation Period"); and "MP0" means the average Fair Market Value of the Class A Common Stock over the Valuation Period.</w:t>
      </w:r>
    </w:p>
    <w:p>
      <w:pPr>
        <w:pStyle w:val="TextBody"/>
        <w:bidi w:val="0"/>
        <w:spacing w:before="0" w:after="0"/>
        <w:jc w:val="both"/>
        <w:rPr/>
      </w:pPr>
      <w:r>
        <w:rPr/>
      </w:r>
    </w:p>
    <w:p>
      <w:pPr>
        <w:pStyle w:val="TextBody"/>
        <w:bidi w:val="0"/>
        <w:spacing w:lineRule="auto" w:line="309" w:before="0" w:after="0"/>
        <w:jc w:val="both"/>
        <w:rPr>
          <w:rFonts w:ascii="Times New Roman;serif" w:hAnsi="Times New Roman;serif"/>
          <w:b w:val="false"/>
          <w:color w:val="000000"/>
          <w:sz w:val="24"/>
        </w:rPr>
      </w:pPr>
      <w:r>
        <w:rPr>
          <w:rFonts w:ascii="Times New Roman;serif" w:hAnsi="Times New Roman;serif"/>
          <w:b w:val="false"/>
          <w:color w:val="000000"/>
          <w:sz w:val="24"/>
        </w:rPr>
        <w:t>The adjustment to the applicable Exercise Price under the preceding paragraph will be calculated as of the open of business on the last Trading Day of the Valuation Period, but shall be given effect as of the close of business on the Effective Date of the Spin-Off.</w:t>
      </w:r>
    </w:p>
    <w:p>
      <w:pPr>
        <w:pStyle w:val="TextBody"/>
        <w:bidi w:val="0"/>
        <w:spacing w:before="0" w:after="0"/>
        <w:jc w:val="both"/>
        <w:rPr/>
      </w:pPr>
      <w:r>
        <w:rPr/>
      </w:r>
    </w:p>
    <w:p>
      <w:pPr>
        <w:pStyle w:val="TextBody"/>
        <w:bidi w:val="0"/>
        <w:spacing w:lineRule="auto" w:line="309" w:before="0" w:after="0"/>
        <w:jc w:val="both"/>
        <w:rPr/>
      </w:pPr>
      <w:r>
        <w:rPr>
          <w:rFonts w:ascii="Times New Roman;serif" w:hAnsi="Times New Roman;serif"/>
          <w:b/>
          <w:color w:val="000000"/>
          <w:sz w:val="24"/>
        </w:rPr>
        <w:t>(iv) Cash Dividends.</w:t>
      </w:r>
      <w:r>
        <w:rPr>
          <w:color w:val="000000"/>
        </w:rPr>
        <w:t xml:space="preserve"> </w:t>
      </w:r>
      <w:r>
        <w:rPr>
          <w:rFonts w:ascii="Times New Roman;serif" w:hAnsi="Times New Roman;serif"/>
          <w:b w:val="false"/>
          <w:color w:val="000000"/>
          <w:sz w:val="24"/>
        </w:rPr>
        <w:t>If any cash dividend or distribution is made to all holders of record of the Class A Common Stock, the applicable Exercise Price shall be decreased based on the following formula:</w:t>
      </w:r>
    </w:p>
    <w:p>
      <w:pPr>
        <w:pStyle w:val="TextBody"/>
        <w:bidi w:val="0"/>
        <w:spacing w:before="0" w:after="0"/>
        <w:jc w:val="both"/>
        <w:rPr/>
      </w:pPr>
      <w:r>
        <w:rPr/>
      </w:r>
    </w:p>
    <w:p>
      <w:pPr>
        <w:pStyle w:val="TextBody"/>
        <w:bidi w:val="0"/>
        <w:spacing w:lineRule="auto" w:line="309" w:before="0" w:after="0"/>
        <w:jc w:val="center"/>
        <w:rPr>
          <w:rFonts w:ascii="Times New Roman;serif" w:hAnsi="Times New Roman;serif"/>
          <w:b w:val="false"/>
          <w:color w:val="000000"/>
          <w:sz w:val="24"/>
        </w:rPr>
      </w:pPr>
      <w:r>
        <w:rPr>
          <w:rFonts w:ascii="Times New Roman;serif" w:hAnsi="Times New Roman;serif"/>
          <w:b w:val="false"/>
          <w:color w:val="000000"/>
          <w:sz w:val="24"/>
        </w:rPr>
        <w:t>EP1 = EP0 x ((SP0 - C) / SP0)</w:t>
      </w:r>
    </w:p>
    <w:p>
      <w:pPr>
        <w:pStyle w:val="TextBody"/>
        <w:bidi w:val="0"/>
        <w:spacing w:before="0" w:after="0"/>
        <w:jc w:val="center"/>
        <w:rPr/>
      </w:pPr>
      <w:r>
        <w:rPr/>
      </w:r>
    </w:p>
    <w:p>
      <w:pPr>
        <w:pStyle w:val="TextBody"/>
        <w:bidi w:val="0"/>
        <w:spacing w:lineRule="auto" w:line="309" w:before="0" w:after="0"/>
        <w:jc w:val="both"/>
        <w:rPr>
          <w:rFonts w:ascii="Times New Roman;serif" w:hAnsi="Times New Roman;serif"/>
          <w:b w:val="false"/>
          <w:color w:val="000000"/>
          <w:sz w:val="24"/>
        </w:rPr>
      </w:pPr>
      <w:r>
        <w:rPr>
          <w:rFonts w:ascii="Times New Roman;serif" w:hAnsi="Times New Roman;serif"/>
          <w:b w:val="false"/>
          <w:color w:val="000000"/>
          <w:sz w:val="24"/>
        </w:rPr>
        <w:t>"EP0" means the applicable Exercise Price in effect immediately prior to the open of business on the Ex-Dividend Date for such dividend or distribution; "EP1" means the applicable Exercise Price in effect immediately after the open of business on such Ex-Dividend Date; "SP0" means the average Fair Market Value of the Class A Common Stock over the 10 consecutive Trading Day period ending on, and including, the Trading Day immediately preceding the Ex-Dividend Date for such dividend or distribution; and "C" means the amount in cash per share the Company distributes to all or substantially all holders of its Class A Common Stock.</w:t>
      </w:r>
    </w:p>
    <w:p>
      <w:pPr>
        <w:pStyle w:val="TextBody"/>
        <w:bidi w:val="0"/>
        <w:spacing w:before="0" w:after="0"/>
        <w:jc w:val="both"/>
        <w:rPr/>
      </w:pPr>
      <w:r>
        <w:rPr/>
      </w:r>
    </w:p>
    <w:p>
      <w:pPr>
        <w:pStyle w:val="TextBody"/>
        <w:bidi w:val="0"/>
        <w:spacing w:lineRule="auto" w:line="309" w:before="0" w:after="0"/>
        <w:jc w:val="both"/>
        <w:rPr>
          <w:rFonts w:ascii="Times New Roman;serif" w:hAnsi="Times New Roman;serif"/>
          <w:b w:val="false"/>
          <w:color w:val="000000"/>
          <w:sz w:val="24"/>
        </w:rPr>
      </w:pPr>
      <w:r>
        <w:rPr>
          <w:rFonts w:ascii="Times New Roman;serif" w:hAnsi="Times New Roman;serif"/>
          <w:b w:val="false"/>
          <w:color w:val="000000"/>
          <w:sz w:val="24"/>
        </w:rPr>
        <w:t>Any decrease pursuant to this Section 3(a)(iv) shall become effective immediately after the open of business on the Ex-Dividend Date for such dividend or distribution. If such dividend or distribution is not so paid, the applicable Exercise Price shall be increased, effective as of the date the Board of Directors determines not to make or pay such dividend or distribution, to be the applicable Exercise Price that would then be in effect if such dividend or distribution had not been declared. Notwithstanding the foregoing, if "C" (as defined above) is equal to or greater than "SP0" (as defined above), in lieu of the foregoing decrease, the Holder of this Warrant shall receive, at the same time and upon the same terms as holders of shares of the Class A Common Stock, the amount of cash that such Holder would have received if such Holder had exercised this Warrant in full prior the dividend or distribution.</w:t>
      </w:r>
    </w:p>
    <w:p>
      <w:pPr>
        <w:pStyle w:val="TextBody"/>
        <w:bidi w:val="0"/>
        <w:spacing w:before="0" w:after="0"/>
        <w:jc w:val="both"/>
        <w:rPr/>
      </w:pPr>
      <w:r>
        <w:rPr/>
      </w:r>
    </w:p>
    <w:p>
      <w:pPr>
        <w:pStyle w:val="TextBody"/>
        <w:bidi w:val="0"/>
        <w:spacing w:lineRule="auto" w:line="314"/>
        <w:jc w:val="both"/>
        <w:rPr/>
      </w:pPr>
      <w:r>
        <w:rPr>
          <w:rFonts w:ascii="Times New Roman;serif" w:hAnsi="Times New Roman;serif"/>
          <w:b/>
          <w:color w:val="000000"/>
          <w:sz w:val="24"/>
        </w:rPr>
        <w:t>(b) Fundamental Transaction.</w:t>
      </w:r>
      <w:r>
        <w:rPr>
          <w:color w:val="000000"/>
        </w:rPr>
        <w:t xml:space="preserve"> </w:t>
      </w:r>
      <w:r>
        <w:rPr>
          <w:rFonts w:ascii="Times New Roman;serif" w:hAnsi="Times New Roman;serif"/>
          <w:b w:val="false"/>
          <w:color w:val="000000"/>
          <w:sz w:val="24"/>
        </w:rPr>
        <w:t xml:space="preserve">If, at any time while this Warrant is outstanding, subject to Section 3(d)(ii), (i) a Company Sale occurs or (ii)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(each a "Fundamental Transaction"), then, upon any subsequent exercise of this </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314"/>
        <w:jc w:val="both"/>
        <w:rPr>
          <w:rFonts w:ascii="Times New Roman;serif" w:hAnsi="Times New Roman;serif"/>
          <w:b w:val="false"/>
          <w:color w:val="000000"/>
          <w:sz w:val="24"/>
        </w:rPr>
      </w:pPr>
      <w:r>
        <w:rPr>
          <w:rFonts w:ascii="Times New Roman;serif" w:hAnsi="Times New Roman;serif"/>
          <w:b w:val="false"/>
          <w:color w:val="000000"/>
          <w:sz w:val="24"/>
        </w:rPr>
        <w:t xml:space="preserve">Warrant, the Holder shall have the right to receive, for each Warrant Share that would have been issuable upon such exercise immediately prior to the occurrence of such Fundamental Transaction, at the option of the Holder in its sole discretion, the number of shares of Common Stock of the successor or acquiring corporation or of the Company, if it is the surviving corporation, and any additional consideration (the "Alternate Consideration") receivable as a result of such Fundamental Transaction by a holder of the number of shares of Common Stock for which this Warrant is exercisable immediately prior to such Fundamental Transaction. For purposes of any such exercise, the determination of the applicable Exercise Price shall be appropriately adjusted to apply to such Alternate Consideration based on the amount of Alternate Consideration issuable in respect of one share of Common Stock in such Fundamental Transaction, and the Company shall apportion the applicable Exercise Price among the Alternate Consideration in a reasonable manner reflecting the relative value of any different components of the Alternate Consideration. If holders of Class A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"Successor Entity") to assume in writing all of the obligations of the Company under this Warrant and the other Transaction Documents in accordance with the provisions of this Section 3(b)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Class A Common Stock acquirable and receivable upon exercise of this Warrant prior to such Fundamental Transaction, and with an exercise price which applies the exercise price hereunder to such shares of capital stock (but taking into account the relative value of the shares of Class A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 Notwithstanding </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314" w:before="0" w:after="0"/>
        <w:jc w:val="both"/>
        <w:rPr>
          <w:rFonts w:ascii="Times New Roman;serif" w:hAnsi="Times New Roman;serif"/>
          <w:b w:val="false"/>
          <w:color w:val="000000"/>
          <w:sz w:val="24"/>
        </w:rPr>
      </w:pPr>
      <w:r>
        <w:rPr>
          <w:rFonts w:ascii="Times New Roman;serif" w:hAnsi="Times New Roman;serif"/>
          <w:b w:val="false"/>
          <w:color w:val="000000"/>
          <w:sz w:val="24"/>
        </w:rPr>
        <w:t>the foregoing, in the event that the Company elects to provide the Holder with a Sale Notice for a proposed Company Sale that would otherwise be considered a Fundamental Transaction, as described below in Section 3(d)(ii), this Section 3(b) shall not apply to such proposed Company Sale.</w:t>
      </w:r>
    </w:p>
    <w:p>
      <w:pPr>
        <w:pStyle w:val="TextBody"/>
        <w:bidi w:val="0"/>
        <w:spacing w:before="0" w:after="0"/>
        <w:jc w:val="both"/>
        <w:rPr/>
      </w:pPr>
      <w:r>
        <w:rPr/>
      </w:r>
    </w:p>
    <w:p>
      <w:pPr>
        <w:pStyle w:val="TextBody"/>
        <w:bidi w:val="0"/>
        <w:spacing w:lineRule="auto" w:line="314" w:before="0" w:after="0"/>
        <w:jc w:val="both"/>
        <w:rPr/>
      </w:pPr>
      <w:r>
        <w:rPr>
          <w:rFonts w:ascii="Times New Roman;serif" w:hAnsi="Times New Roman;serif"/>
          <w:b/>
          <w:color w:val="000000"/>
          <w:sz w:val="24"/>
        </w:rPr>
        <w:t>(c) Calculations.</w:t>
      </w:r>
      <w:r>
        <w:rPr>
          <w:color w:val="000000"/>
        </w:rPr>
        <w:t xml:space="preserve"> </w:t>
      </w:r>
      <w:r>
        <w:rPr>
          <w:rFonts w:ascii="Times New Roman;serif" w:hAnsi="Times New Roman;serif"/>
          <w:b w:val="false"/>
          <w:color w:val="000000"/>
          <w:sz w:val="24"/>
        </w:rPr>
        <w:t>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pStyle w:val="TextBody"/>
        <w:bidi w:val="0"/>
        <w:spacing w:before="0" w:after="0"/>
        <w:jc w:val="both"/>
        <w:rPr/>
      </w:pPr>
      <w:r>
        <w:rPr/>
      </w:r>
    </w:p>
    <w:p>
      <w:pPr>
        <w:pStyle w:val="TextBody"/>
        <w:bidi w:val="0"/>
        <w:spacing w:lineRule="auto" w:line="314" w:before="0" w:after="0"/>
        <w:jc w:val="both"/>
        <w:rPr>
          <w:rFonts w:ascii="Times New Roman;serif" w:hAnsi="Times New Roman;serif"/>
          <w:b/>
          <w:color w:val="000000"/>
          <w:sz w:val="24"/>
        </w:rPr>
      </w:pPr>
      <w:r>
        <w:rPr>
          <w:rFonts w:ascii="Times New Roman;serif" w:hAnsi="Times New Roman;serif"/>
          <w:b/>
          <w:color w:val="000000"/>
          <w:sz w:val="24"/>
        </w:rPr>
        <w:t>(d) Notice to Holder.</w:t>
      </w:r>
    </w:p>
    <w:p>
      <w:pPr>
        <w:pStyle w:val="TextBody"/>
        <w:bidi w:val="0"/>
        <w:spacing w:before="0" w:after="0"/>
        <w:jc w:val="both"/>
        <w:rPr/>
      </w:pPr>
      <w:r>
        <w:rPr/>
      </w:r>
    </w:p>
    <w:p>
      <w:pPr>
        <w:pStyle w:val="TextBody"/>
        <w:bidi w:val="0"/>
        <w:spacing w:lineRule="auto" w:line="314" w:before="0" w:after="0"/>
        <w:jc w:val="both"/>
        <w:rPr/>
      </w:pPr>
      <w:r>
        <w:rPr>
          <w:rFonts w:ascii="Times New Roman;serif" w:hAnsi="Times New Roman;serif"/>
          <w:b/>
          <w:color w:val="000000"/>
          <w:sz w:val="24"/>
        </w:rPr>
        <w:t>(i) Adjustment to Exercise Price.</w:t>
      </w:r>
      <w:r>
        <w:rPr>
          <w:color w:val="000000"/>
        </w:rPr>
        <w:t xml:space="preserve"> </w:t>
      </w:r>
      <w:r>
        <w:rPr>
          <w:rFonts w:ascii="Times New Roman;serif" w:hAnsi="Times New Roman;serif"/>
          <w:b w:val="false"/>
          <w:color w:val="000000"/>
          <w:sz w:val="24"/>
        </w:rPr>
        <w:t>Whenever the applicable Exercise Price is adjusted pursuant to any provision of this Section 3, the Company shall promptly deliver to the Holder by email a notice setting forth the applicable Exercise Price after such adjustment and any resulting adjustment to the number of Warrant Shares and setting forth a brief statement of the facts requiring such adjustment.</w:t>
      </w:r>
    </w:p>
    <w:p>
      <w:pPr>
        <w:pStyle w:val="TextBody"/>
        <w:bidi w:val="0"/>
        <w:spacing w:before="0" w:after="0"/>
        <w:jc w:val="both"/>
        <w:rPr/>
      </w:pPr>
      <w:r>
        <w:rPr/>
      </w:r>
    </w:p>
    <w:p>
      <w:pPr>
        <w:pStyle w:val="TextBody"/>
        <w:bidi w:val="0"/>
        <w:spacing w:lineRule="auto" w:line="314"/>
        <w:jc w:val="both"/>
        <w:rPr/>
      </w:pPr>
      <w:r>
        <w:rPr>
          <w:rFonts w:ascii="Times New Roman;serif" w:hAnsi="Times New Roman;serif"/>
          <w:b/>
          <w:color w:val="000000"/>
          <w:sz w:val="24"/>
        </w:rPr>
        <w:t>(ii) Sale Notice.</w:t>
      </w:r>
      <w:r>
        <w:rPr>
          <w:color w:val="000000"/>
        </w:rPr>
        <w:t xml:space="preserve"> </w:t>
      </w:r>
      <w:r>
        <w:rPr>
          <w:rFonts w:ascii="Times New Roman;serif" w:hAnsi="Times New Roman;serif"/>
          <w:b w:val="false"/>
          <w:color w:val="000000"/>
          <w:sz w:val="24"/>
        </w:rPr>
        <w:t xml:space="preserve">Notwithstanding anything to the contrary set forth in this Warrant, in the event of a proposed Company Sale, the Company may elect to give written notice to the Holder of the proposed Company Sale and treatment of the Warrant under this Section 3(d)(ii) (a "Sale Notice"). If provided, the Sale Notice will include the definitive agreement relating to the Company Sale unless the Company is contractually prohibited from providing a copy of such draft, in which case the Sale Notice will include a description of the material terms of the proposed Company Sale in reasonable detail. The Sale Notice, if elected to be provided by the Company, shall be provided no less than fifteen (15) Business Days prior to the anticipated closing date of the Company Sale and shall specify that the exercise in connection therewith shall be a Cashless Exercise unless the Company and Holder have agreed in writing that such Holder will pay in cash the aggregate Exercise Price with respect to such exercise in lieu of Cashless Exercise. If the Company has delivered such Sale Notice, this Warrant shall be automatically deemed exercised immediately prior to the closing date of the Company Sale; provided, however, if (a) subject to the per Tranche partial vesting provided for below in this Section 3(d)(ii), the Conditions to Exercise have not been satisfied as of the date of the Sale Notice or (b) the calculations pursuant to Cashless Exercise would not result in an obligation to deliver any Warrant Shares to the Holder, then, in each case, this Warrant shall be deemed terminated without payment as of the date of the Sale Notice and the Holder shall have no further rights with respect thereto. Section 3(b) shall not apply in the event a Sale Notice is delivered with respect to a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xbxContent>
                </v:textbox>
                <w10:wrap type="none"/>
              </v:rect>
            </w:pict>
          </mc:Fallback>
        </mc:AlternateContent>
      </w:r>
    </w:p>
    <w:p>
      <w:pPr>
        <w:pStyle w:val="TextBody"/>
        <w:bidi w:val="0"/>
        <w:spacing w:lineRule="auto" w:line="314"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Sale that would otherwise be considered a Fundamental Transaction. For purposes of this Section 3(d)(ii), in the event that the Conditions to Exercise specified in clause (i), (ii), and (iii) of the definition thereof have been satisfied in full, then for the first unvested Tranche for which the Policy Milestone has not been fully satisfied at the time of the Sale Notice, the Warrant Shares attributable to that Tranche shall partially vest in connection with such Company Sale by multiplying the number of Warrant Shares for such Tranche by a fraction, the numerator of which is the cumulative number of Attributed Policies through the date of such Company Sale and the denominator of which is the Policy Milestone for such Tranche. Tranches whose Policy Milestones have been fully satisfied at the time of the Sale Notice shall vest in full. </w:t>
      </w:r>
    </w:p>
    <w:p>
      <w:pPr>
        <w:pStyle w:val="TextBody"/>
        <w:bidi w:val="0"/>
        <w:spacing w:before="0" w:after="0"/>
        <w:jc w:val="both"/>
        <w:rPr/>
      </w:pPr>
      <w:r>
        <w:rPr/>
      </w:r>
    </w:p>
    <w:p>
      <w:pPr>
        <w:pStyle w:val="TextBody"/>
        <w:bidi w:val="0"/>
        <w:spacing w:lineRule="auto" w:line="314"/>
        <w:jc w:val="both"/>
        <w:rPr/>
      </w:pPr>
      <w:r>
        <w:rPr>
          <w:rFonts w:ascii="Times New Roman;serif" w:hAnsi="Times New Roman;serif"/>
          <w:b/>
          <w:color w:val="000000"/>
          <w:sz w:val="24"/>
        </w:rPr>
        <w:t>(iii) Notice to Allow Exercise by Holder.</w:t>
      </w:r>
      <w:r>
        <w:rPr>
          <w:color w:val="000000"/>
        </w:rPr>
        <w:t xml:space="preserve"> </w:t>
      </w:r>
      <w:r>
        <w:rPr>
          <w:rFonts w:ascii="Times New Roman;serif" w:hAnsi="Times New Roman;serif"/>
          <w:b w:val="false"/>
          <w:color w:val="000000"/>
          <w:sz w:val="24"/>
        </w:rPr>
        <w:t xml:space="preserve">If (A) the Company shall declare a dividend (or any other distribution in whatever form) on the Common Stock (other than a regular dividend that is publicly announced in advance),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the assets of the Company,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ten (10) calendar days prior to the applicable record or effective date hereinafter specified, a notice (unless such information is filed with the Commission, in which case a notice shall not be required)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The Holder shall remain entitled to exercise this Warrant during the period commencing on the date of such </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txbxContent>
                </v:textbox>
                <w10:wrap type="none"/>
              </v:rect>
            </w:pict>
          </mc:Fallback>
        </mc:AlternateContent>
      </w:r>
    </w:p>
    <w:p>
      <w:pPr>
        <w:pStyle w:val="TextBody"/>
        <w:bidi w:val="0"/>
        <w:spacing w:lineRule="auto" w:line="314" w:before="0" w:after="0"/>
        <w:jc w:val="both"/>
        <w:rPr>
          <w:rFonts w:ascii="Times New Roman;serif" w:hAnsi="Times New Roman;serif"/>
          <w:b w:val="false"/>
          <w:color w:val="000000"/>
          <w:sz w:val="24"/>
        </w:rPr>
      </w:pPr>
      <w:r>
        <w:rPr>
          <w:rFonts w:ascii="Times New Roman;serif" w:hAnsi="Times New Roman;serif"/>
          <w:b w:val="false"/>
          <w:color w:val="000000"/>
          <w:sz w:val="24"/>
        </w:rPr>
        <w:t>notice to the effective date of the event triggering such notice except as may otherwise be expressly set forth herein.</w:t>
      </w:r>
    </w:p>
    <w:p>
      <w:pPr>
        <w:pStyle w:val="TextBody"/>
        <w:bidi w:val="0"/>
        <w:spacing w:before="0" w:after="0"/>
        <w:jc w:val="both"/>
        <w:rPr/>
      </w:pPr>
      <w:r>
        <w:rPr/>
      </w:r>
    </w:p>
    <w:p>
      <w:pPr>
        <w:pStyle w:val="TextBody"/>
        <w:bidi w:val="0"/>
        <w:spacing w:lineRule="auto" w:line="314" w:before="0" w:after="0"/>
        <w:jc w:val="left"/>
        <w:rPr>
          <w:rFonts w:ascii="Times New Roman;serif" w:hAnsi="Times New Roman;serif"/>
          <w:b/>
          <w:color w:val="000000"/>
          <w:sz w:val="24"/>
        </w:rPr>
      </w:pPr>
      <w:r>
        <w:rPr>
          <w:rFonts w:ascii="Times New Roman;serif" w:hAnsi="Times New Roman;serif"/>
          <w:b/>
          <w:color w:val="000000"/>
          <w:sz w:val="24"/>
        </w:rPr>
        <w:t>Section 4. Transfer of Warrant.</w:t>
      </w:r>
    </w:p>
    <w:p>
      <w:pPr>
        <w:pStyle w:val="TextBody"/>
        <w:bidi w:val="0"/>
        <w:spacing w:before="0" w:after="0"/>
        <w:jc w:val="left"/>
        <w:rPr/>
      </w:pPr>
      <w:r>
        <w:rPr/>
      </w:r>
    </w:p>
    <w:p>
      <w:pPr>
        <w:pStyle w:val="TextBody"/>
        <w:bidi w:val="0"/>
        <w:spacing w:lineRule="auto" w:line="314" w:before="0" w:after="0"/>
        <w:jc w:val="both"/>
        <w:rPr/>
      </w:pPr>
      <w:r>
        <w:rPr>
          <w:rFonts w:ascii="Times New Roman;serif" w:hAnsi="Times New Roman;serif"/>
          <w:b/>
          <w:color w:val="000000"/>
          <w:sz w:val="24"/>
        </w:rPr>
        <w:t>(a) Transferability.</w:t>
      </w:r>
      <w:r>
        <w:rPr>
          <w:color w:val="000000"/>
        </w:rPr>
        <w:t xml:space="preserve"> </w:t>
      </w:r>
      <w:r>
        <w:rPr>
          <w:rFonts w:ascii="Times New Roman;serif" w:hAnsi="Times New Roman;serif"/>
          <w:b w:val="false"/>
          <w:color w:val="000000"/>
          <w:sz w:val="24"/>
        </w:rPr>
        <w:t>The Holder may not directly or indirectly Transfer all or any part of this Warrant other than to (i) a direct or indirect wholly-owned subsidiary of Carvana Group, LLC and (ii) subject to the Company's prior written consent not to be unreasonably withheld, any affiliates of the Carvana Group, LLC (each of (i) and (ii), a "Permitted Transferee" and such Transfer, a "Permitted Transfer"); provided that (A) if the Holder and its Affiliates have used reasonable best efforts to obtain the Required Regulatory Approvals and such Required Regulatory Approvals are not obtained or (B) if any of the Required Regulatory Approvals are obtained but the approvals in connection therewith would impose a Burdensome Condition, then the Holder may transfer up to 5% of this Warrant and the underlying shares to a Person that is not a Permitted Transferee at the Holder's sole discretion, and, subject to the Company's prior written consent not to be unreasonably withheld (it being agreed that it shall not be unreasonable for the Company to withhold consent to any transfer that would require the registration of the Warrant (or any portion thereof)), 5% or more of this Warrant and the underlying shares; provided, further: that (i) any transferee enter into a written agreement with the Company agreeing to be bound by the transfer restrictions in this Warrant and the other restrictions contained in the Investment Agreement, dated August 11, 2021, as amended by the Second Amendment, by and among the Company and the Holder and (ii) following any partial transfer this Warrant shall remain exercisable only for all of the Warrant Shares by the Holders thereof subject to the Cap. Upon surrender of this Warrant at the principal office of the Company or its designated agent, together with a written assignment of this Warrant substantially in the form attached hereto duly executed by the Holder or its agent or attorney, this Warrant may be Transferred to a Permitted Transferee. In the case of any Permitted Transfer to a Permitted Transferee, if any such Permitted Transferee thereafter ceases to satisfy the definition of a Permitted Transferee, such person will re-convey this Warrant to the transferor or to another Permitted Transferee either (i) before such Person ceases to satisfy the definition of a Permitted Transferee, so long as such Person knows of its upcoming change of status prior thereto or (ii) if such change of status is not known until after its occurrence, then as soon as practicable after the earlier of such former Permitted Transferee receiving notice or having knowledge thereof. No purported Transfer of this Warrant will be effective if a purpose or effect of such purported Transfer is to circumvent the provisions of the Certificate of Incorporation, the Investment Agreement or this Warrant. The Holder shall, prior to or concurrently with any transfer of a Warrant, pay funds sufficient to pay any transfer taxes payable upon the making of such transfer.</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4"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txbxContent>
                </v:textbox>
                <w10:wrap type="none"/>
              </v:rect>
            </w:pict>
          </mc:Fallback>
        </mc:AlternateContent>
      </w:r>
    </w:p>
    <w:p>
      <w:pPr>
        <w:pStyle w:val="TextBody"/>
        <w:bidi w:val="0"/>
        <w:spacing w:lineRule="auto" w:line="314" w:before="0" w:after="0"/>
        <w:jc w:val="both"/>
        <w:rPr/>
      </w:pPr>
      <w:r>
        <w:rPr>
          <w:rFonts w:ascii="Times New Roman;serif" w:hAnsi="Times New Roman;serif"/>
          <w:b/>
          <w:color w:val="000000"/>
          <w:sz w:val="24"/>
        </w:rPr>
        <w:t>(b) New Warrants.</w:t>
      </w:r>
      <w:r>
        <w:rPr>
          <w:color w:val="000000"/>
        </w:rPr>
        <w:t xml:space="preserve"> </w:t>
      </w:r>
      <w:r>
        <w:rPr>
          <w:rFonts w:ascii="Times New Roman;serif" w:hAnsi="Times New Roman;serif"/>
          <w:b w:val="false"/>
          <w:color w:val="000000"/>
          <w:sz w:val="24"/>
        </w:rPr>
        <w:t>In connection with any Permitted Transfer, (i)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and (ii) the Company shall execute and deliver a new Warrant or Warrants in exchange for the Warrant or Warrants to be divided or combined in accordance with such notice. All Warrants issued on transfers or exchanges shall be dated the initial Issuance Date set forth on the first page of this Warrant and shall be identical with this Warrant except as to the number of Warrant Shares issuable pursuant thereto.</w:t>
      </w:r>
    </w:p>
    <w:p>
      <w:pPr>
        <w:pStyle w:val="TextBody"/>
        <w:bidi w:val="0"/>
        <w:spacing w:before="0" w:after="0"/>
        <w:jc w:val="both"/>
        <w:rPr/>
      </w:pPr>
      <w:r>
        <w:rPr/>
      </w:r>
    </w:p>
    <w:p>
      <w:pPr>
        <w:pStyle w:val="TextBody"/>
        <w:bidi w:val="0"/>
        <w:spacing w:lineRule="auto" w:line="314" w:before="0" w:after="0"/>
        <w:jc w:val="both"/>
        <w:rPr/>
      </w:pPr>
      <w:r>
        <w:rPr>
          <w:rFonts w:ascii="Times New Roman;serif" w:hAnsi="Times New Roman;serif"/>
          <w:b/>
          <w:color w:val="000000"/>
          <w:sz w:val="24"/>
        </w:rPr>
        <w:t>(c) Warrant Register.</w:t>
      </w:r>
      <w:r>
        <w:rPr>
          <w:color w:val="000000"/>
        </w:rPr>
        <w:t xml:space="preserve"> </w:t>
      </w:r>
      <w:r>
        <w:rPr>
          <w:rFonts w:ascii="Times New Roman;serif" w:hAnsi="Times New Roman;serif"/>
          <w:b w:val="false"/>
          <w:color w:val="000000"/>
          <w:sz w:val="24"/>
        </w:rPr>
        <w:t>The Company shall register this Warrant, upon records to be maintained by the Company for that purpose (the "Warrant Register"),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0" w:after="0"/>
        <w:jc w:val="both"/>
        <w:rPr/>
      </w:pPr>
      <w:r>
        <w:rPr/>
      </w:r>
    </w:p>
    <w:p>
      <w:pPr>
        <w:pStyle w:val="TextBody"/>
        <w:bidi w:val="0"/>
        <w:spacing w:lineRule="auto" w:line="314" w:before="0" w:after="0"/>
        <w:jc w:val="both"/>
        <w:rPr>
          <w:rFonts w:ascii="Times New Roman;serif" w:hAnsi="Times New Roman;serif"/>
          <w:b/>
          <w:color w:val="000000"/>
          <w:sz w:val="24"/>
        </w:rPr>
      </w:pPr>
      <w:r>
        <w:rPr>
          <w:rFonts w:ascii="Times New Roman;serif" w:hAnsi="Times New Roman;serif"/>
          <w:b/>
          <w:color w:val="000000"/>
          <w:sz w:val="24"/>
        </w:rPr>
        <w:t>Section 5. Miscellaneous.</w:t>
      </w:r>
    </w:p>
    <w:p>
      <w:pPr>
        <w:pStyle w:val="TextBody"/>
        <w:bidi w:val="0"/>
        <w:spacing w:before="0" w:after="0"/>
        <w:jc w:val="both"/>
        <w:rPr/>
      </w:pPr>
      <w:r>
        <w:rPr/>
      </w:r>
    </w:p>
    <w:p>
      <w:pPr>
        <w:pStyle w:val="TextBody"/>
        <w:bidi w:val="0"/>
        <w:spacing w:lineRule="auto" w:line="314" w:before="0" w:after="0"/>
        <w:jc w:val="both"/>
        <w:rPr/>
      </w:pPr>
      <w:r>
        <w:rPr>
          <w:rFonts w:ascii="Times New Roman;serif" w:hAnsi="Times New Roman;serif"/>
          <w:b/>
          <w:color w:val="000000"/>
          <w:sz w:val="24"/>
        </w:rPr>
        <w:t>(a) No Rights as Stockholder Until Exercise.</w:t>
      </w:r>
      <w:r>
        <w:rPr>
          <w:color w:val="000000"/>
        </w:rPr>
        <w:t xml:space="preserve"> </w:t>
      </w:r>
      <w:r>
        <w:rPr>
          <w:rFonts w:ascii="Times New Roman;serif" w:hAnsi="Times New Roman;serif"/>
          <w:b w:val="false"/>
          <w:color w:val="000000"/>
          <w:sz w:val="24"/>
        </w:rPr>
        <w:t>This Warrant does not entitle the Holder to any voting rights, dividends or other rights as a stockholder of the Company prior to the date that is two (2) Trading Days after the delivery to the Company of the Notice of Exercise as set forth in Section 2(c)(i) (or, if applicable, such later date as contemplated by Section 2(c)(vii)).</w:t>
      </w:r>
    </w:p>
    <w:p>
      <w:pPr>
        <w:pStyle w:val="TextBody"/>
        <w:bidi w:val="0"/>
        <w:spacing w:before="0" w:after="0"/>
        <w:jc w:val="both"/>
        <w:rPr/>
      </w:pPr>
      <w:r>
        <w:rPr/>
      </w:r>
    </w:p>
    <w:p>
      <w:pPr>
        <w:pStyle w:val="TextBody"/>
        <w:bidi w:val="0"/>
        <w:spacing w:lineRule="auto" w:line="314" w:before="0" w:after="0"/>
        <w:jc w:val="both"/>
        <w:rPr/>
      </w:pPr>
      <w:r>
        <w:rPr>
          <w:rFonts w:ascii="Times New Roman;serif" w:hAnsi="Times New Roman;serif"/>
          <w:b/>
          <w:color w:val="000000"/>
          <w:sz w:val="24"/>
        </w:rPr>
        <w:t>(b) Loss, Theft, Destruction or Mutilation of Warrant.</w:t>
      </w:r>
      <w:r>
        <w:rPr>
          <w:color w:val="000000"/>
        </w:rPr>
        <w:t xml:space="preserve"> </w:t>
      </w:r>
      <w:r>
        <w:rPr>
          <w:rFonts w:ascii="Times New Roman;serif" w:hAnsi="Times New Roman;serif"/>
          <w:b w:val="false"/>
          <w:color w:val="000000"/>
          <w:sz w:val="24"/>
        </w:rPr>
        <w:t>The Company covenants that upon receipt by the Company of evidence reasonably satisfactory to it of the loss, theft, destruction or mutilation of this Warrant, and in case of loss, theft or destruction, of indemnity or security reasonably satisfactory to it (which shall not include the posting of any bond), and upon surrender and cancellation of this Warrant, if mutilated, the Company will make and deliver a new Warrant of like tenor and dated as of such cancellation, in lieu of such Warrant.</w:t>
      </w:r>
    </w:p>
    <w:p>
      <w:pPr>
        <w:pStyle w:val="TextBody"/>
        <w:bidi w:val="0"/>
        <w:spacing w:before="0" w:after="0"/>
        <w:jc w:val="both"/>
        <w:rPr/>
      </w:pPr>
      <w:r>
        <w:rPr/>
      </w:r>
    </w:p>
    <w:p>
      <w:pPr>
        <w:pStyle w:val="TextBody"/>
        <w:bidi w:val="0"/>
        <w:spacing w:lineRule="auto" w:line="314" w:before="0" w:after="0"/>
        <w:jc w:val="both"/>
        <w:rPr/>
      </w:pPr>
      <w:r>
        <w:rPr>
          <w:rFonts w:ascii="Times New Roman;serif" w:hAnsi="Times New Roman;serif"/>
          <w:b/>
          <w:color w:val="000000"/>
          <w:sz w:val="24"/>
        </w:rPr>
        <w:t>(c) Saturdays, Sundays, Holidays, etc.</w:t>
      </w:r>
      <w:r>
        <w:rPr>
          <w:color w:val="000000"/>
        </w:rPr>
        <w:t xml:space="preserve"> </w:t>
      </w:r>
      <w:r>
        <w:rPr>
          <w:rFonts w:ascii="Times New Roman;serif" w:hAnsi="Times New Roman;serif"/>
          <w:b w:val="false"/>
          <w:color w:val="000000"/>
          <w:sz w:val="24"/>
        </w:rPr>
        <w:t>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0"/>
        <w:jc w:val="both"/>
        <w:rPr/>
      </w:pPr>
      <w:r>
        <w:rPr/>
      </w:r>
    </w:p>
    <w:p>
      <w:pPr>
        <w:pStyle w:val="TextBody"/>
        <w:bidi w:val="0"/>
        <w:spacing w:lineRule="auto" w:line="314"/>
        <w:jc w:val="both"/>
        <w:rPr/>
      </w:pPr>
      <w:r>
        <w:rPr>
          <w:rFonts w:ascii="Times New Roman;serif" w:hAnsi="Times New Roman;serif"/>
          <w:b/>
          <w:color w:val="000000"/>
          <w:sz w:val="24"/>
        </w:rPr>
        <w:t>(d) Authorized Shares.</w:t>
      </w:r>
      <w:r>
        <w:rPr>
          <w:color w:val="000000"/>
        </w:rPr>
        <w:t xml:space="preserve"> </w:t>
      </w:r>
      <w:r>
        <w:rPr>
          <w:rFonts w:ascii="Times New Roman;serif" w:hAnsi="Times New Roman;serif"/>
          <w:b w:val="false"/>
          <w:color w:val="000000"/>
          <w:sz w:val="24"/>
        </w:rPr>
        <w:t xml:space="preserve">The Company covenants that, during the period the Warrant is outstanding, it will reserve from its authorized and unissued Class A Common Stock a sufficient number of shares to provide for the issuance of the Warrant Shares upon the </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txbxContent>
                </v:textbox>
                <w10:wrap type="none"/>
              </v:rect>
            </w:pict>
          </mc:Fallback>
        </mc:AlternateContent>
      </w:r>
    </w:p>
    <w:p>
      <w:pPr>
        <w:pStyle w:val="TextBody"/>
        <w:bidi w:val="0"/>
        <w:spacing w:lineRule="auto" w:line="314" w:before="0" w:after="0"/>
        <w:jc w:val="both"/>
        <w:rPr>
          <w:rFonts w:ascii="Times New Roman;serif" w:hAnsi="Times New Roman;serif"/>
          <w:b w:val="false"/>
          <w:color w:val="000000"/>
          <w:sz w:val="24"/>
        </w:rPr>
      </w:pPr>
      <w:r>
        <w:rPr>
          <w:rFonts w:ascii="Times New Roman;serif" w:hAnsi="Times New Roman;serif"/>
          <w:b w:val="false"/>
          <w:color w:val="000000"/>
          <w:sz w:val="24"/>
        </w:rPr>
        <w:t>exercise of any purchase rights under this Warrant, and, in the event the Holder becomes entitled to receive any other equity security of the Company (or security convertible into any other equity security of the Company) upon exercise of this Warrant, the Company will reserve a sufficient number of authorized but unissued shares of such equity securities to provide for the issuance of such equity securities upon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Class A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pStyle w:val="TextBody"/>
        <w:bidi w:val="0"/>
        <w:spacing w:before="0" w:after="0"/>
        <w:jc w:val="both"/>
        <w:rPr/>
      </w:pPr>
      <w:r>
        <w:rPr/>
      </w:r>
    </w:p>
    <w:p>
      <w:pPr>
        <w:pStyle w:val="TextBody"/>
        <w:bidi w:val="0"/>
        <w:spacing w:lineRule="auto" w:line="314" w:before="0" w:after="0"/>
        <w:jc w:val="both"/>
        <w:rPr/>
      </w:pPr>
      <w:r>
        <w:rPr>
          <w:rFonts w:ascii="Times New Roman;serif" w:hAnsi="Times New Roman;serif"/>
          <w:b/>
          <w:color w:val="000000"/>
          <w:sz w:val="24"/>
        </w:rPr>
        <w:t>(e) Restriction on Actions.</w:t>
      </w:r>
      <w:r>
        <w:rPr>
          <w:color w:val="000000"/>
        </w:rPr>
        <w:t xml:space="preserve"> </w:t>
      </w:r>
      <w:r>
        <w:rPr>
          <w:rFonts w:ascii="Times New Roman;serif" w:hAnsi="Times New Roman;serif"/>
          <w:b w:val="false"/>
          <w:color w:val="000000"/>
          <w:sz w:val="24"/>
        </w:rPr>
        <w:t>Except and to the extent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(iii) use commercially reasonable efforts to obtain all such authorizations, exemptions or consents from any public regulatory body having jurisdiction thereof, as may be, necessary to enable the Company to perform its obligations under this Warrant, (iv) will not create a new class of common stock of the Company, and (v) the Company will not close its stockholder books or records in any manner which prevents the timely exercise of this Warrant, pursuant to the terms hereof.</w:t>
      </w:r>
    </w:p>
    <w:p>
      <w:pPr>
        <w:pStyle w:val="TextBody"/>
        <w:bidi w:val="0"/>
        <w:spacing w:before="0" w:after="0"/>
        <w:jc w:val="both"/>
        <w:rPr/>
      </w:pPr>
      <w:r>
        <w:rPr/>
      </w:r>
    </w:p>
    <w:p>
      <w:pPr>
        <w:pStyle w:val="TextBody"/>
        <w:bidi w:val="0"/>
        <w:spacing w:lineRule="auto" w:line="314"/>
        <w:jc w:val="both"/>
        <w:rPr>
          <w:rFonts w:ascii="Times New Roman;serif" w:hAnsi="Times New Roman;serif"/>
          <w:b w:val="false"/>
          <w:color w:val="000000"/>
          <w:sz w:val="24"/>
        </w:rPr>
      </w:pPr>
      <w:r>
        <w:rPr>
          <w:rFonts w:ascii="Times New Roman;serif" w:hAnsi="Times New Roman;serif"/>
          <w:b w:val="false"/>
          <w:color w:val="000000"/>
          <w:sz w:val="24"/>
        </w:rPr>
        <w:t>Before taking any action which would result in an adjustment in the number of Warrant Shares for which this Warrant is exercisable or in the applicable Exercise Price, the Company shall obtain all such authorizations or exemptions thereof, or consents thereto, as may be necessary from any public regulatory body or bodies having jurisdiction thereof.</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6"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txbxContent>
                </v:textbox>
                <w10:wrap type="none"/>
              </v:rect>
            </w:pict>
          </mc:Fallback>
        </mc:AlternateContent>
      </w:r>
    </w:p>
    <w:p>
      <w:pPr>
        <w:pStyle w:val="TextBody"/>
        <w:bidi w:val="0"/>
        <w:spacing w:lineRule="auto" w:line="314" w:before="0" w:after="0"/>
        <w:jc w:val="both"/>
        <w:rPr/>
      </w:pPr>
      <w:r>
        <w:rPr>
          <w:rFonts w:ascii="Times New Roman;serif" w:hAnsi="Times New Roman;serif"/>
          <w:b/>
          <w:color w:val="000000"/>
          <w:sz w:val="24"/>
        </w:rPr>
        <w:t>(f) Governing Law.</w:t>
      </w:r>
      <w:r>
        <w:rPr>
          <w:color w:val="000000"/>
        </w:rPr>
        <w:t xml:space="preserve"> </w:t>
      </w:r>
      <w:r>
        <w:rPr>
          <w:rFonts w:ascii="Times New Roman;serif" w:hAnsi="Times New Roman;serif"/>
          <w:b w:val="false"/>
          <w:color w:val="000000"/>
          <w:sz w:val="24"/>
        </w:rPr>
        <w:t>This Warrant, and all claims or causes of action (whether in contract, tort, statute or otherwise) that may be based upon, arising out of or relating to this Warrant or any of the transactions contemplated hereby or the negotiation, execution or performance of this Warrant (including any claim or cause of action based upon, arising out of or relating to any representation or warranty made in or in connection with this Warrant or as an inducement to enter into this Warrant), shall be governed by and construed in accordance with the internal laws of the State of Delaware, including its statute of limitations, regardless of the laws that might otherwise govern under applicable principles of conflicts of laws. Each of the parties hereto agrees, with respect to any action arising out of or relating to this Warrant or the transactions contemplated hereby, (i) to submit to the exclusive jurisdiction and venue of the Court of Chancery of the State of Delaware in and for New Castle County, Delaware, (ii) agrees that it will not attempt to deny or defeat such jurisdiction by motion or other request for leave from such court and (iii) agrees that it will not bring any such action in any court other than the Court of Chancery for the State of Delaware in and for New Castle County, Delaware, or, if (and only if) such court finds it lacks subject matter jurisdiction, the federal court of the United States of America sitting in Delaware, and appellate courts thereof, or, if (and only if) each of such Court of Chancery for the State of Delaware and such federal court finds it lacks subject matter jurisdiction, any state court within the State of Delaware. Service of process, summons, notice or document to any party's address and in the manner set forth in Section 5(h) shall be effective service of process for any such action.</w:t>
      </w:r>
    </w:p>
    <w:p>
      <w:pPr>
        <w:pStyle w:val="TextBody"/>
        <w:bidi w:val="0"/>
        <w:spacing w:before="0" w:after="0"/>
        <w:jc w:val="both"/>
        <w:rPr/>
      </w:pPr>
      <w:r>
        <w:rPr/>
      </w:r>
    </w:p>
    <w:p>
      <w:pPr>
        <w:pStyle w:val="TextBody"/>
        <w:bidi w:val="0"/>
        <w:spacing w:lineRule="auto" w:line="314" w:before="0" w:after="0"/>
        <w:jc w:val="both"/>
        <w:rPr/>
      </w:pPr>
      <w:r>
        <w:rPr>
          <w:rFonts w:ascii="Times New Roman;serif" w:hAnsi="Times New Roman;serif"/>
          <w:b/>
          <w:color w:val="000000"/>
          <w:sz w:val="24"/>
        </w:rPr>
        <w:t>(g) Waiver of Jury Trial.</w:t>
      </w:r>
      <w:r>
        <w:rPr>
          <w:color w:val="000000"/>
        </w:rPr>
        <w:t xml:space="preserve"> </w:t>
      </w:r>
      <w:r>
        <w:rPr>
          <w:rFonts w:ascii="Times New Roman;serif" w:hAnsi="Times New Roman;serif"/>
          <w:b w:val="false"/>
          <w:color w:val="000000"/>
          <w:sz w:val="24"/>
        </w:rPr>
        <w:t>EACH PARTY ACKNOWLEDGES AND AGREES THAT ANY CONTROVERSY WHICH MAY ARISE UNDER THIS WARRANT IS LIKELY TO INVOLVE COMPLICATED AND DIFFICULT ISSUES AND, THEREFORE, EACH SUCH PARTY IRREVOCABLY AND UNCONDITIONALLY WAIVES ANY RIGHT IT MAY HAVE TO A TRIAL BY JURY IN RESPECT OF ANY LEGAL ACTION ARISING OUT OF OR RELATING TO THIS WARRANT OR THE TRANSACTIONS CONTEMPLATED HEREBY.</w:t>
      </w:r>
    </w:p>
    <w:p>
      <w:pPr>
        <w:pStyle w:val="TextBody"/>
        <w:bidi w:val="0"/>
        <w:spacing w:before="0" w:after="0"/>
        <w:jc w:val="both"/>
        <w:rPr/>
      </w:pPr>
      <w:r>
        <w:rPr/>
      </w:r>
    </w:p>
    <w:p>
      <w:pPr>
        <w:pStyle w:val="TextBody"/>
        <w:bidi w:val="0"/>
        <w:spacing w:lineRule="auto" w:line="314"/>
        <w:jc w:val="both"/>
        <w:rPr/>
      </w:pPr>
      <w:r>
        <w:rPr>
          <w:rFonts w:ascii="Times New Roman;serif" w:hAnsi="Times New Roman;serif"/>
          <w:b/>
          <w:color w:val="000000"/>
          <w:sz w:val="24"/>
        </w:rPr>
        <w:t>(h) Notices.</w:t>
      </w:r>
      <w:r>
        <w:rPr>
          <w:color w:val="000000"/>
        </w:rPr>
        <w:t xml:space="preserve"> </w:t>
      </w:r>
      <w:r>
        <w:rPr>
          <w:rFonts w:ascii="Times New Roman;serif" w:hAnsi="Times New Roman;serif"/>
          <w:b w:val="false"/>
          <w:color w:val="000000"/>
          <w:sz w:val="24"/>
        </w:rPr>
        <w:t xml:space="preserve">Any and all notices or other communications or deliveries to be provided by the Holders hereunder including, without limitation, any Notice of Exercise, shall be in writing and delivered personally or by e-mail, or sent by a nationally recognized overnight courier service, addressed to the Company, at 80 E. Rich Street, Columbus, OH 43215, Attention: General Counsel, email address: legal@joinroot.com, or such other email address or address as the Company may specify for such purposes by notice to the Holder. Any and all notices or other communications or deliveries to be provided by the Company hereunder shall be in writing and delivered personally, by e-mail, or sent by a nationally recognized overnight courier service addressed to the Holder at the e-mail address or address of the Holder appearing on the books of the Company, or if to the initial Holder, at 300 E. Rio Salado Parkway, Tempe, AZ 85281, Attention: Paul Breaux, email address: </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txbxContent>
                </v:textbox>
                <w10:wrap type="none"/>
              </v:rect>
            </w:pict>
          </mc:Fallback>
        </mc:AlternateContent>
      </w:r>
    </w:p>
    <w:p>
      <w:pPr>
        <w:pStyle w:val="TextBody"/>
        <w:bidi w:val="0"/>
        <w:spacing w:lineRule="auto" w:line="314" w:before="0" w:after="0"/>
        <w:jc w:val="both"/>
        <w:rPr>
          <w:rFonts w:ascii="Times New Roman;serif" w:hAnsi="Times New Roman;serif"/>
          <w:b w:val="false"/>
          <w:color w:val="000000"/>
          <w:sz w:val="24"/>
        </w:rPr>
      </w:pPr>
      <w:r>
        <w:rPr>
          <w:rFonts w:ascii="Times New Roman;serif" w:hAnsi="Times New Roman;serif"/>
          <w:b w:val="false"/>
          <w:color w:val="000000"/>
          <w:sz w:val="24"/>
        </w:rPr>
        <w:t>paul.breaux@carvana.com. Any notice or other communication or deliveries hereunder shall be deemed given and effective on the earliest of (i) the date of transmission, if such notice or communication is delivered via e-mail at the e-mail address set forth in this Section prior to 5:30 p.m. (New York City time) on any date, (ii) the next Trading Day after the date of transmission, if such notice or communication is delivered via e-mail at the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w:t>
      </w:r>
    </w:p>
    <w:p>
      <w:pPr>
        <w:pStyle w:val="TextBody"/>
        <w:bidi w:val="0"/>
        <w:spacing w:before="0" w:after="0"/>
        <w:jc w:val="both"/>
        <w:rPr/>
      </w:pPr>
      <w:r>
        <w:rPr/>
      </w:r>
    </w:p>
    <w:p>
      <w:pPr>
        <w:pStyle w:val="TextBody"/>
        <w:bidi w:val="0"/>
        <w:spacing w:lineRule="auto" w:line="314" w:before="0" w:after="0"/>
        <w:jc w:val="both"/>
        <w:rPr/>
      </w:pPr>
      <w:r>
        <w:rPr>
          <w:rFonts w:ascii="Times New Roman;serif" w:hAnsi="Times New Roman;serif"/>
          <w:b/>
          <w:color w:val="000000"/>
          <w:sz w:val="24"/>
        </w:rPr>
        <w:t>(i) Limitation of Liability.</w:t>
      </w:r>
      <w:r>
        <w:rPr>
          <w:color w:val="000000"/>
        </w:rPr>
        <w:t xml:space="preserve"> </w:t>
      </w:r>
      <w:r>
        <w:rPr>
          <w:rFonts w:ascii="Times New Roman;serif" w:hAnsi="Times New Roman;serif"/>
          <w:b w:val="false"/>
          <w:color w:val="000000"/>
          <w:sz w:val="24"/>
        </w:rPr>
        <w:t>No provision hereof, in the absence of any affirmative action by the Holder to exercise this Warrant to purchase Warrant Shares, and no enumeration herein of the rights or privileges of the Holder, shall give rise to any liability of the Holder for the purchase price of any Class A Common Stock or as a stockholder of the Company, whether such liability is asserted by the Company or by creditors of the Company.</w:t>
      </w:r>
    </w:p>
    <w:p>
      <w:pPr>
        <w:pStyle w:val="TextBody"/>
        <w:bidi w:val="0"/>
        <w:spacing w:before="0" w:after="0"/>
        <w:jc w:val="both"/>
        <w:rPr/>
      </w:pPr>
      <w:r>
        <w:rPr/>
      </w:r>
    </w:p>
    <w:p>
      <w:pPr>
        <w:pStyle w:val="TextBody"/>
        <w:bidi w:val="0"/>
        <w:spacing w:lineRule="auto" w:line="314" w:before="0" w:after="0"/>
        <w:jc w:val="both"/>
        <w:rPr/>
      </w:pPr>
      <w:r>
        <w:rPr>
          <w:rFonts w:ascii="Times New Roman;serif" w:hAnsi="Times New Roman;serif"/>
          <w:b/>
          <w:color w:val="000000"/>
          <w:sz w:val="24"/>
        </w:rPr>
        <w:t>(j) Remedies.</w:t>
      </w:r>
      <w:r>
        <w:rPr>
          <w:color w:val="000000"/>
        </w:rPr>
        <w:t xml:space="preserve"> </w:t>
      </w:r>
      <w:r>
        <w:rPr>
          <w:rFonts w:ascii="Times New Roman;serif" w:hAnsi="Times New Roman;serif"/>
          <w:b w:val="false"/>
          <w:color w:val="000000"/>
          <w:sz w:val="24"/>
        </w:rPr>
        <w:t>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before="0" w:after="0"/>
        <w:jc w:val="both"/>
        <w:rPr/>
      </w:pPr>
      <w:r>
        <w:rPr/>
      </w:r>
    </w:p>
    <w:p>
      <w:pPr>
        <w:pStyle w:val="TextBody"/>
        <w:bidi w:val="0"/>
        <w:spacing w:lineRule="auto" w:line="314" w:before="0" w:after="0"/>
        <w:jc w:val="both"/>
        <w:rPr/>
      </w:pPr>
      <w:r>
        <w:rPr>
          <w:rFonts w:ascii="Times New Roman;serif" w:hAnsi="Times New Roman;serif"/>
          <w:b/>
          <w:color w:val="000000"/>
          <w:sz w:val="24"/>
        </w:rPr>
        <w:t>(k) Successors and Assigns.</w:t>
      </w:r>
      <w:r>
        <w:rPr>
          <w:color w:val="000000"/>
        </w:rPr>
        <w:t xml:space="preserve"> </w:t>
      </w:r>
      <w:r>
        <w:rPr>
          <w:rFonts w:ascii="Times New Roman;serif" w:hAnsi="Times New Roman;serif"/>
          <w:b w:val="false"/>
          <w:color w:val="000000"/>
          <w:sz w:val="24"/>
        </w:rPr>
        <w:t>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pStyle w:val="TextBody"/>
        <w:bidi w:val="0"/>
        <w:spacing w:before="0" w:after="0"/>
        <w:jc w:val="both"/>
        <w:rPr/>
      </w:pPr>
      <w:r>
        <w:rPr/>
      </w:r>
    </w:p>
    <w:p>
      <w:pPr>
        <w:pStyle w:val="TextBody"/>
        <w:bidi w:val="0"/>
        <w:spacing w:lineRule="auto" w:line="314" w:before="0" w:after="0"/>
        <w:jc w:val="both"/>
        <w:rPr/>
      </w:pPr>
      <w:r>
        <w:rPr>
          <w:rFonts w:ascii="Times New Roman;serif" w:hAnsi="Times New Roman;serif"/>
          <w:b/>
          <w:color w:val="000000"/>
          <w:sz w:val="24"/>
        </w:rPr>
        <w:t>(l) Amendment.</w:t>
      </w:r>
      <w:r>
        <w:rPr>
          <w:color w:val="000000"/>
        </w:rPr>
        <w:t xml:space="preserve"> </w:t>
      </w:r>
      <w:r>
        <w:rPr>
          <w:rFonts w:ascii="Times New Roman;serif" w:hAnsi="Times New Roman;serif"/>
          <w:b w:val="false"/>
          <w:color w:val="000000"/>
          <w:sz w:val="24"/>
        </w:rPr>
        <w:t>This Warrant may be modified or amended or the provisions hereof waived with the written consent of the Company and the Holder.</w:t>
      </w:r>
    </w:p>
    <w:p>
      <w:pPr>
        <w:pStyle w:val="TextBody"/>
        <w:bidi w:val="0"/>
        <w:spacing w:before="0" w:after="0"/>
        <w:jc w:val="both"/>
        <w:rPr/>
      </w:pPr>
      <w:r>
        <w:rPr/>
      </w:r>
    </w:p>
    <w:p>
      <w:pPr>
        <w:pStyle w:val="TextBody"/>
        <w:bidi w:val="0"/>
        <w:spacing w:lineRule="auto" w:line="314" w:before="0" w:after="0"/>
        <w:jc w:val="both"/>
        <w:rPr/>
      </w:pPr>
      <w:r>
        <w:rPr>
          <w:rFonts w:ascii="Times New Roman;serif" w:hAnsi="Times New Roman;serif"/>
          <w:b/>
          <w:color w:val="000000"/>
          <w:sz w:val="24"/>
        </w:rPr>
        <w:t>(m) Severability.</w:t>
      </w:r>
      <w:r>
        <w:rPr>
          <w:color w:val="000000"/>
        </w:rPr>
        <w:t xml:space="preserve"> </w:t>
      </w:r>
      <w:r>
        <w:rPr>
          <w:rFonts w:ascii="Times New Roman;serif" w:hAnsi="Times New Roman;serif"/>
          <w:b w:val="false"/>
          <w:color w:val="000000"/>
          <w:sz w:val="24"/>
        </w:rPr>
        <w:t>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before="0" w:after="0"/>
        <w:jc w:val="both"/>
        <w:rPr/>
      </w:pPr>
      <w:r>
        <w:rPr/>
      </w:r>
    </w:p>
    <w:p>
      <w:pPr>
        <w:pStyle w:val="TextBody"/>
        <w:bidi w:val="0"/>
        <w:spacing w:lineRule="auto" w:line="314"/>
        <w:jc w:val="both"/>
        <w:rPr/>
      </w:pPr>
      <w:r>
        <w:rPr>
          <w:rFonts w:ascii="Times New Roman;serif" w:hAnsi="Times New Roman;serif"/>
          <w:b/>
          <w:color w:val="000000"/>
          <w:sz w:val="24"/>
        </w:rPr>
        <w:t>(n) Headings.</w:t>
      </w:r>
      <w:r>
        <w:rPr>
          <w:color w:val="000000"/>
        </w:rPr>
        <w:t xml:space="preserve"> </w:t>
      </w:r>
      <w:r>
        <w:rPr>
          <w:rFonts w:ascii="Times New Roman;serif" w:hAnsi="Times New Roman;serif"/>
          <w:b w:val="false"/>
          <w:color w:val="000000"/>
          <w:sz w:val="24"/>
        </w:rPr>
        <w:t>The headings used in this Warrant are for the convenience of reference only and shall not, for any purpose, be deemed a part of this Warrant.</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txbxContent>
                </v:textbox>
                <w10:wrap type="none"/>
              </v:rect>
            </w:pict>
          </mc:Fallback>
        </mc:AlternateContent>
      </w:r>
    </w:p>
    <w:p>
      <w:pPr>
        <w:pStyle w:val="TextBody"/>
        <w:bidi w:val="0"/>
        <w:spacing w:lineRule="auto" w:line="314" w:before="0" w:after="0"/>
        <w:jc w:val="both"/>
        <w:rPr/>
      </w:pPr>
      <w:r>
        <w:rPr>
          <w:rFonts w:ascii="Times New Roman;serif" w:hAnsi="Times New Roman;serif"/>
          <w:b/>
          <w:color w:val="000000"/>
          <w:sz w:val="24"/>
        </w:rPr>
        <w:t>(o) Entire Agreement.</w:t>
      </w:r>
      <w:r>
        <w:rPr>
          <w:color w:val="000000"/>
        </w:rPr>
        <w:t xml:space="preserve"> </w:t>
      </w:r>
      <w:r>
        <w:rPr>
          <w:rFonts w:ascii="Times New Roman;serif" w:hAnsi="Times New Roman;serif"/>
          <w:b w:val="false"/>
          <w:color w:val="000000"/>
          <w:sz w:val="24"/>
        </w:rPr>
        <w:t>This Warrant, the Commercial Agreement, the Investment Agreement (as amended by the Second Amendment), the Registration Rights Agreement, as amended (as defined in the Second Amendment), and the Warrant Cancellation and Exchange Agreement constitute the entire agreement between the parties with respect to the subject matter hereof and supersede (i) all prior oral or written proposals or agreements, (ii) all contemporaneous oral proposals or agreements, and (iii) all previous negotiations and all other communications or understandings between the parties, in each case with respect to the subject matter hereof.</w:t>
      </w:r>
    </w:p>
    <w:p>
      <w:pPr>
        <w:pStyle w:val="TextBody"/>
        <w:bidi w:val="0"/>
        <w:spacing w:before="0" w:after="0"/>
        <w:jc w:val="both"/>
        <w:rPr/>
      </w:pPr>
      <w:r>
        <w:rPr/>
      </w:r>
    </w:p>
    <w:p>
      <w:pPr>
        <w:pStyle w:val="TextBody"/>
        <w:bidi w:val="0"/>
        <w:spacing w:lineRule="auto" w:line="314" w:before="0" w:after="0"/>
        <w:jc w:val="both"/>
        <w:rPr/>
      </w:pPr>
      <w:r>
        <w:rPr>
          <w:rFonts w:ascii="Times New Roman;serif" w:hAnsi="Times New Roman;serif"/>
          <w:b/>
          <w:color w:val="000000"/>
          <w:sz w:val="24"/>
        </w:rPr>
        <w:t xml:space="preserve">(p) Policy Reporting. </w:t>
      </w:r>
      <w:r>
        <w:rPr>
          <w:rFonts w:ascii="Times New Roman;serif" w:hAnsi="Times New Roman;serif"/>
          <w:b w:val="false"/>
          <w:color w:val="000000"/>
          <w:sz w:val="24"/>
        </w:rPr>
        <w:t>Within fifteen (15) days after the end of each fiscal quarter of the Company, and at any other time within ten (10) Business Days following the written request of the Holder, the Company shall utilize the attribution methodology set forth in Section 1(a) of Schedule 3 of the Commercial Agreement, as applied in accordance with the parties’ course of dealing, and deliver to the Holder a written statement setting forth (i) the cumulative number of Attributed Policies as of the end of such quarter or as of the date of such request, as applicable, (ii) the number of Attributed Policies for such quarter, and (iii) which, if any, Policy Milestones have been satisfied as of such date. If the Holder disputes any such statement, the Holder shall so notify the Company within thirty (30) days after receipt thereof, and the parties shall work together in good faith to resolve such dispute for a period of thirty (30) days. If the dispute is not resolved within such period, either party may refer the matter to a nationally recognized independent accounting firm mutually acceptable to the parties, which shall use the attribution methodology set forth in Section 1(a) of Schedule 3 of the Commercial Agreement, as applied in accordance with the parties’ course of dealing, and whose determination shall be final and binding on the parties absent manifest error and whose fees shall be borne equally by the parties. This Section 5(p) shall survive any expiration or termination of the Commercial Agreement for so long as this Warrant remains outstanding.</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i/>
          <w:color w:val="000000"/>
          <w:sz w:val="24"/>
        </w:rPr>
      </w:pPr>
      <w:r>
        <w:rPr>
          <w:rFonts w:ascii="Times New Roman;serif" w:hAnsi="Times New Roman;serif"/>
          <w:b w:val="false"/>
          <w:i/>
          <w:color w:val="000000"/>
          <w:sz w:val="24"/>
        </w:rPr>
        <w:t>(Signature Page Follows)</w:t>
      </w:r>
    </w:p>
    <w:p>
      <w:pPr>
        <w:pStyle w:val="TextBody"/>
        <w:bidi w:val="0"/>
        <w:spacing w:before="0" w:after="0"/>
        <w:jc w:val="left"/>
        <w:rPr/>
      </w:pPr>
      <w:r>
        <w:rPr/>
      </w:r>
    </w:p>
    <w:p>
      <w:pPr>
        <w:pStyle w:val="TextBody"/>
        <w:bidi w:val="0"/>
        <w:spacing w:before="0" w:after="0"/>
        <w:jc w:val="left"/>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txbxContent>
                </v:textbox>
                <w10:wrap type="none"/>
              </v:rect>
            </w:pict>
          </mc:Fallback>
        </mc:AlternateContent>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IN WITNESS WHEREOF, the Company has caused this Warrant to be executed by its officer thereunto duly authorized as of the date first above indicated.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4"/>
        </w:rPr>
      </w:pPr>
      <w:r>
        <w:rPr>
          <w:rFonts w:ascii="Times New Roman;serif" w:hAnsi="Times New Roman;serif"/>
          <w:b/>
          <w:color w:val="000000"/>
          <w:sz w:val="24"/>
        </w:rPr>
        <w:t>ROOT, INC.</w:t>
      </w:r>
    </w:p>
    <w:p>
      <w:pPr>
        <w:pStyle w:val="TextBody"/>
        <w:bidi w:val="0"/>
        <w:spacing w:before="0" w:after="0"/>
        <w:jc w:val="left"/>
        <w:rPr/>
      </w:pPr>
      <w:r>
        <w:rPr/>
      </w:r>
    </w:p>
    <w:tbl>
      <w:tblPr>
        <w:tblW w:w="4267" w:type="dxa"/>
        <w:jc w:val="left"/>
        <w:tblInd w:w="0" w:type="dxa"/>
        <w:tblLayout w:type="fixed"/>
        <w:tblCellMar>
          <w:top w:w="28" w:type="dxa"/>
          <w:left w:w="28" w:type="dxa"/>
          <w:bottom w:w="28" w:type="dxa"/>
          <w:right w:w="28" w:type="dxa"/>
        </w:tblCellMar>
      </w:tblPr>
      <w:tblGrid>
        <w:gridCol w:w="271"/>
        <w:gridCol w:w="238"/>
        <w:gridCol w:w="241"/>
        <w:gridCol w:w="594"/>
        <w:gridCol w:w="594"/>
        <w:gridCol w:w="594"/>
        <w:gridCol w:w="342"/>
        <w:gridCol w:w="342"/>
        <w:gridCol w:w="352"/>
        <w:gridCol w:w="109"/>
        <w:gridCol w:w="109"/>
        <w:gridCol w:w="109"/>
        <w:gridCol w:w="109"/>
        <w:gridCol w:w="109"/>
        <w:gridCol w:w="154"/>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81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Jonathan Allison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1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Jonathan Allison</w:t>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281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Chief Administrative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Acknowledged and accepted:</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4"/>
        </w:rPr>
      </w:pPr>
      <w:r>
        <w:rPr>
          <w:rFonts w:ascii="Times New Roman;serif" w:hAnsi="Times New Roman;serif"/>
          <w:b/>
          <w:color w:val="000000"/>
          <w:sz w:val="24"/>
        </w:rPr>
        <w:t>CARVANA GROUP, LLC</w:t>
      </w:r>
    </w:p>
    <w:p>
      <w:pPr>
        <w:pStyle w:val="TextBody"/>
        <w:bidi w:val="0"/>
        <w:spacing w:before="0" w:after="0"/>
        <w:jc w:val="left"/>
        <w:rPr/>
      </w:pPr>
      <w:r>
        <w:rPr/>
      </w:r>
    </w:p>
    <w:tbl>
      <w:tblPr>
        <w:tblW w:w="4987" w:type="dxa"/>
        <w:jc w:val="left"/>
        <w:tblInd w:w="0" w:type="dxa"/>
        <w:tblLayout w:type="fixed"/>
        <w:tblCellMar>
          <w:top w:w="28" w:type="dxa"/>
          <w:left w:w="28" w:type="dxa"/>
          <w:bottom w:w="28" w:type="dxa"/>
          <w:right w:w="28" w:type="dxa"/>
        </w:tblCellMar>
      </w:tblPr>
      <w:tblGrid>
        <w:gridCol w:w="271"/>
        <w:gridCol w:w="238"/>
        <w:gridCol w:w="241"/>
        <w:gridCol w:w="972"/>
        <w:gridCol w:w="972"/>
        <w:gridCol w:w="976"/>
        <w:gridCol w:w="206"/>
        <w:gridCol w:w="206"/>
        <w:gridCol w:w="206"/>
        <w:gridCol w:w="109"/>
        <w:gridCol w:w="109"/>
        <w:gridCol w:w="109"/>
        <w:gridCol w:w="109"/>
        <w:gridCol w:w="109"/>
        <w:gridCol w:w="154"/>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Paul Breaux</w:t>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2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Paul Breaux</w:t>
            </w:r>
          </w:p>
        </w:tc>
        <w:tc>
          <w:tcPr>
            <w:tcW w:w="6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353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Vice President and General Counsel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i/>
          <w:color w:val="000000"/>
          <w:sz w:val="24"/>
        </w:rPr>
      </w:pPr>
      <w:r>
        <w:rPr>
          <w:rFonts w:ascii="Times New Roman;serif" w:hAnsi="Times New Roman;serif"/>
          <w:b w:val="false"/>
          <w:i/>
          <w:color w:val="000000"/>
          <w:sz w:val="24"/>
        </w:rPr>
        <w:t>[Signature Page to Warrant]</w:t>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8"/>
        </w:rPr>
      </w:pPr>
      <w:r>
        <w:rPr>
          <w:rFonts w:ascii="Times New Roman;serif" w:hAnsi="Times New Roman;serif"/>
          <w:b/>
          <w:color w:val="000000"/>
          <w:sz w:val="28"/>
        </w:rPr>
        <w:t>NOTICE OF EXERCISE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TO: ROOT, INC.</w:t>
      </w:r>
    </w:p>
    <w:p>
      <w:pPr>
        <w:pStyle w:val="TextBody"/>
        <w:bidi w:val="0"/>
        <w:spacing w:before="0" w:after="0"/>
        <w:jc w:val="left"/>
        <w:rPr/>
      </w:pPr>
      <w:r>
        <w:rPr/>
      </w:r>
    </w:p>
    <w:p>
      <w:pPr>
        <w:pStyle w:val="TextBody"/>
        <w:bidi w:val="0"/>
        <w:spacing w:lineRule="auto" w:line="324" w:before="0" w:after="0"/>
        <w:jc w:val="both"/>
        <w:rPr>
          <w:rFonts w:ascii="Times New Roman;serif" w:hAnsi="Times New Roman;serif"/>
          <w:b w:val="false"/>
          <w:color w:val="000000"/>
          <w:sz w:val="24"/>
        </w:rPr>
      </w:pPr>
      <w:r>
        <w:rPr>
          <w:rFonts w:ascii="Times New Roman;serif" w:hAnsi="Times New Roman;serif"/>
          <w:b w:val="false"/>
          <w:color w:val="000000"/>
          <w:sz w:val="24"/>
        </w:rPr>
        <w:t>(1) The undersigned hereby elects to purchase ______ Warrant Shares of the Company pursuant to the terms of the attached Warrant (only if exercised in full), and tenders herewith payment of the exercise price in full, together with all applicable transfer taxes, if any.</w:t>
      </w:r>
    </w:p>
    <w:p>
      <w:pPr>
        <w:pStyle w:val="TextBody"/>
        <w:bidi w:val="0"/>
        <w:spacing w:before="0" w:after="0"/>
        <w:jc w:val="left"/>
        <w:rPr/>
      </w:pPr>
      <w:r>
        <w:rPr/>
      </w:r>
    </w:p>
    <w:p>
      <w:pPr>
        <w:pStyle w:val="TextBody"/>
        <w:bidi w:val="0"/>
        <w:spacing w:lineRule="auto" w:line="324" w:before="0" w:after="0"/>
        <w:jc w:val="both"/>
        <w:rPr>
          <w:rFonts w:ascii="Times New Roman;serif" w:hAnsi="Times New Roman;serif"/>
          <w:b w:val="false"/>
          <w:color w:val="000000"/>
          <w:sz w:val="24"/>
        </w:rPr>
      </w:pPr>
      <w:r>
        <w:rPr>
          <w:rFonts w:ascii="Times New Roman;serif" w:hAnsi="Times New Roman;serif"/>
          <w:b w:val="false"/>
          <w:color w:val="000000"/>
          <w:sz w:val="24"/>
        </w:rPr>
        <w:t>(2) Payment shall take the form of (check applicable box):</w:t>
      </w:r>
    </w:p>
    <w:p>
      <w:pPr>
        <w:pStyle w:val="TextBody"/>
        <w:bidi w:val="0"/>
        <w:spacing w:before="0" w:after="0"/>
        <w:jc w:val="left"/>
        <w:rPr/>
      </w:pPr>
      <w:r>
        <w:rPr/>
      </w:r>
    </w:p>
    <w:p>
      <w:pPr>
        <w:pStyle w:val="TextBody"/>
        <w:bidi w:val="0"/>
        <w:spacing w:lineRule="auto" w:line="324" w:before="0" w:after="0"/>
        <w:jc w:val="both"/>
        <w:rPr>
          <w:rFonts w:ascii="Times New Roman;serif" w:hAnsi="Times New Roman;serif"/>
          <w:b w:val="false"/>
          <w:color w:val="000000"/>
          <w:sz w:val="24"/>
        </w:rPr>
      </w:pPr>
      <w:r>
        <w:rPr>
          <w:rFonts w:ascii="Times New Roman;serif" w:hAnsi="Times New Roman;serif"/>
          <w:b w:val="false"/>
          <w:color w:val="000000"/>
          <w:sz w:val="24"/>
        </w:rPr>
        <w:t>[ ] in lawful money of the United States; or</w:t>
      </w:r>
    </w:p>
    <w:p>
      <w:pPr>
        <w:pStyle w:val="TextBody"/>
        <w:bidi w:val="0"/>
        <w:spacing w:before="0" w:after="0"/>
        <w:jc w:val="left"/>
        <w:rPr/>
      </w:pPr>
      <w:r>
        <w:rPr/>
      </w:r>
    </w:p>
    <w:p>
      <w:pPr>
        <w:pStyle w:val="TextBody"/>
        <w:bidi w:val="0"/>
        <w:spacing w:lineRule="auto" w:line="324" w:before="0" w:after="0"/>
        <w:jc w:val="both"/>
        <w:rPr>
          <w:rFonts w:ascii="Times New Roman;serif" w:hAnsi="Times New Roman;serif"/>
          <w:b w:val="false"/>
          <w:color w:val="000000"/>
          <w:sz w:val="24"/>
        </w:rPr>
      </w:pPr>
      <w:r>
        <w:rPr>
          <w:rFonts w:ascii="Times New Roman;serif" w:hAnsi="Times New Roman;serif"/>
          <w:b w:val="false"/>
          <w:color w:val="000000"/>
          <w:sz w:val="24"/>
        </w:rPr>
        <w:t>[ ] if permitted, the cancellation of such number of Warrant Shares as is necessary, in accordance with the formula set forth in subsection 2(b), to exercise this Warrant with respect to the maximum number of Warrant Shares purchasable pursuant to the cashless exercise procedure set forth in subsection 2(b).</w:t>
      </w:r>
    </w:p>
    <w:p>
      <w:pPr>
        <w:pStyle w:val="TextBody"/>
        <w:bidi w:val="0"/>
        <w:spacing w:before="0" w:after="0"/>
        <w:jc w:val="left"/>
        <w:rPr/>
      </w:pPr>
      <w:r>
        <w:rPr/>
      </w:r>
    </w:p>
    <w:p>
      <w:pPr>
        <w:pStyle w:val="TextBody"/>
        <w:bidi w:val="0"/>
        <w:spacing w:lineRule="auto" w:line="324" w:before="0" w:after="0"/>
        <w:jc w:val="both"/>
        <w:rPr>
          <w:rFonts w:ascii="Times New Roman;serif" w:hAnsi="Times New Roman;serif"/>
          <w:b w:val="false"/>
          <w:color w:val="000000"/>
          <w:sz w:val="24"/>
        </w:rPr>
      </w:pPr>
      <w:r>
        <w:rPr>
          <w:rFonts w:ascii="Times New Roman;serif" w:hAnsi="Times New Roman;serif"/>
          <w:b w:val="false"/>
          <w:color w:val="000000"/>
          <w:sz w:val="24"/>
        </w:rPr>
        <w:t>(3) Please issue said Warrant Shares in the name of the undersigned or in such other name (if such person is a Permitted Transferee) as is specified below:</w:t>
      </w:r>
    </w:p>
    <w:p>
      <w:pPr>
        <w:pStyle w:val="TextBody"/>
        <w:bidi w:val="0"/>
        <w:spacing w:before="0" w:after="0"/>
        <w:jc w:val="left"/>
        <w:rPr/>
      </w:pPr>
      <w:r>
        <w:rPr/>
      </w:r>
    </w:p>
    <w:p>
      <w:pPr>
        <w:pStyle w:val="TextBody"/>
        <w:bidi w:val="0"/>
        <w:spacing w:lineRule="auto" w:line="324" w:before="0" w:after="0"/>
        <w:jc w:val="both"/>
        <w:rPr>
          <w:rFonts w:ascii="Times New Roman;serif" w:hAnsi="Times New Roman;serif"/>
          <w:b w:val="false"/>
          <w:color w:val="000000"/>
          <w:sz w:val="24"/>
        </w:rPr>
      </w:pPr>
      <w:r>
        <w:rPr>
          <w:rFonts w:ascii="Times New Roman;serif" w:hAnsi="Times New Roman;serif"/>
          <w:b w:val="false"/>
          <w:color w:val="000000"/>
          <w:sz w:val="24"/>
        </w:rPr>
        <w:t>_____________________________________________________________</w:t>
      </w:r>
    </w:p>
    <w:p>
      <w:pPr>
        <w:pStyle w:val="TextBody"/>
        <w:bidi w:val="0"/>
        <w:spacing w:before="0" w:after="0"/>
        <w:jc w:val="left"/>
        <w:rPr/>
      </w:pPr>
      <w:r>
        <w:rPr/>
      </w:r>
    </w:p>
    <w:p>
      <w:pPr>
        <w:pStyle w:val="TextBody"/>
        <w:bidi w:val="0"/>
        <w:spacing w:lineRule="auto" w:line="324" w:before="0" w:after="0"/>
        <w:jc w:val="both"/>
        <w:rPr>
          <w:rFonts w:ascii="Times New Roman;serif" w:hAnsi="Times New Roman;serif"/>
          <w:b w:val="false"/>
          <w:color w:val="000000"/>
          <w:sz w:val="24"/>
        </w:rPr>
      </w:pPr>
      <w:r>
        <w:rPr>
          <w:rFonts w:ascii="Times New Roman;serif" w:hAnsi="Times New Roman;serif"/>
          <w:b w:val="false"/>
          <w:color w:val="000000"/>
          <w:sz w:val="24"/>
        </w:rPr>
        <w:t>The undersigned hereby represents and warrants as follows:</w:t>
      </w:r>
    </w:p>
    <w:p>
      <w:pPr>
        <w:pStyle w:val="TextBody"/>
        <w:bidi w:val="0"/>
        <w:spacing w:before="0" w:after="0"/>
        <w:jc w:val="left"/>
        <w:rPr/>
      </w:pPr>
      <w:r>
        <w:rPr/>
      </w:r>
    </w:p>
    <w:p>
      <w:pPr>
        <w:pStyle w:val="TextBody"/>
        <w:bidi w:val="0"/>
        <w:spacing w:lineRule="auto" w:line="324" w:before="0" w:after="0"/>
        <w:jc w:val="both"/>
        <w:rPr>
          <w:rFonts w:ascii="Times New Roman;serif" w:hAnsi="Times New Roman;serif"/>
          <w:b w:val="false"/>
          <w:color w:val="000000"/>
          <w:sz w:val="24"/>
        </w:rPr>
      </w:pPr>
      <w:r>
        <w:rPr>
          <w:rFonts w:ascii="Times New Roman;serif" w:hAnsi="Times New Roman;serif"/>
          <w:b w:val="false"/>
          <w:color w:val="000000"/>
          <w:sz w:val="24"/>
        </w:rPr>
        <w:t>(a) the undersigned is acquiring such shares of Common Stock for its own account for investment and not for resale or with a view to distribution thereof in violation of the Securities Act of 1933, as amended, and the regulations promulgated thereunder (the "Securities Act"); and</w:t>
      </w:r>
    </w:p>
    <w:p>
      <w:pPr>
        <w:pStyle w:val="TextBody"/>
        <w:bidi w:val="0"/>
        <w:spacing w:before="0" w:after="0"/>
        <w:jc w:val="left"/>
        <w:rPr/>
      </w:pPr>
      <w:r>
        <w:rPr/>
      </w:r>
    </w:p>
    <w:p>
      <w:pPr>
        <w:pStyle w:val="TextBody"/>
        <w:bidi w:val="0"/>
        <w:spacing w:lineRule="auto" w:line="324"/>
        <w:jc w:val="both"/>
        <w:rPr>
          <w:rFonts w:ascii="Times New Roman;serif" w:hAnsi="Times New Roman;serif"/>
          <w:b w:val="false"/>
          <w:color w:val="000000"/>
          <w:sz w:val="24"/>
        </w:rPr>
      </w:pPr>
      <w:r>
        <w:rPr>
          <w:rFonts w:ascii="Times New Roman;serif" w:hAnsi="Times New Roman;serif"/>
          <w:b w:val="false"/>
          <w:color w:val="000000"/>
          <w:sz w:val="24"/>
        </w:rPr>
        <w:t>(b) (i) the undersigned is an "accredited investor" as defined in Rule 501 of Regulation D promulgated under the Securities Act and was not organized for the purposes of acquiring the Warrant or such shares of Common Stock or (ii) the undersigned is not a US Person as defined in Regulation S under the Securities Act, and the Warrant is not being exercised on behalf of a US Person. The undersigned's financial condition is such that it is able to bear the risk of holding such securities for an indefinite period of time and the risk of loss of its entire investment. The undersigned has sufficient knowledge and experience in investing in companies similar to the Company so as to be able to evaluate the risks and merits of investment in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txbxContent>
                </v:textbox>
                <w10:wrap type="none"/>
              </v:rect>
            </w:pict>
          </mc:Fallback>
        </mc:AlternateContent>
      </w:r>
    </w:p>
    <w:p>
      <w:pPr>
        <w:pStyle w:val="TextBody"/>
        <w:bidi w:val="0"/>
        <w:spacing w:lineRule="auto" w:line="324" w:before="0" w:after="0"/>
        <w:jc w:val="left"/>
        <w:rPr>
          <w:rFonts w:ascii="Times New Roman;serif" w:hAnsi="Times New Roman;serif"/>
          <w:b w:val="false"/>
          <w:color w:val="000000"/>
          <w:sz w:val="24"/>
        </w:rPr>
      </w:pPr>
      <w:r>
        <w:rPr>
          <w:rFonts w:ascii="Times New Roman;serif" w:hAnsi="Times New Roman;serif"/>
          <w:b w:val="false"/>
          <w:color w:val="000000"/>
          <w:sz w:val="24"/>
        </w:rPr>
        <w:t>(4) Please issue said Warrant Shares to the following DWAC Account Number or deliver evidence of such issuance in book-entry form to the undersigned at the address set forth below:</w:t>
      </w:r>
    </w:p>
    <w:p>
      <w:pPr>
        <w:pStyle w:val="TextBody"/>
        <w:bidi w:val="0"/>
        <w:spacing w:before="0" w:after="0"/>
        <w:jc w:val="left"/>
        <w:rPr/>
      </w:pPr>
      <w:r>
        <w:rPr/>
      </w:r>
    </w:p>
    <w:p>
      <w:pPr>
        <w:pStyle w:val="TextBody"/>
        <w:bidi w:val="0"/>
        <w:spacing w:lineRule="auto" w:line="324" w:before="0" w:after="0"/>
        <w:jc w:val="both"/>
        <w:rPr>
          <w:rFonts w:ascii="Times New Roman;serif" w:hAnsi="Times New Roman;serif"/>
          <w:b w:val="false"/>
          <w:color w:val="000000"/>
          <w:sz w:val="24"/>
        </w:rPr>
      </w:pPr>
      <w:r>
        <w:rPr>
          <w:rFonts w:ascii="Times New Roman;serif" w:hAnsi="Times New Roman;serif"/>
          <w:b w:val="false"/>
          <w:color w:val="000000"/>
          <w:sz w:val="24"/>
        </w:rPr>
        <w:t>_____________________________________________________________</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[SIGNATURE OF HOLDER]</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Name of Investing Entity:_________________________________________________________</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Signature of Authorized Signatory of Investing Entity:__________________________________</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Name of Authorized Signatory: ____________________________________________________</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Title of Authorized Signatory: _____________________________________________________</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Date: _________________________________________________________________________</w:t>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8"/>
        </w:rPr>
      </w:pPr>
      <w:r>
        <w:rPr>
          <w:rFonts w:ascii="Times New Roman;serif" w:hAnsi="Times New Roman;serif"/>
          <w:b/>
          <w:color w:val="000000"/>
          <w:sz w:val="28"/>
        </w:rPr>
        <w:t>ASSIGNMENT FORM</w:t>
      </w:r>
    </w:p>
    <w:p>
      <w:pPr>
        <w:pStyle w:val="TextBody"/>
        <w:bidi w:val="0"/>
        <w:spacing w:lineRule="auto" w:line="268" w:before="0" w:after="0"/>
        <w:jc w:val="center"/>
        <w:rPr>
          <w:rFonts w:ascii="Times New Roman;serif" w:hAnsi="Times New Roman;serif"/>
          <w:b w:val="false"/>
          <w:i/>
          <w:color w:val="000000"/>
          <w:sz w:val="22"/>
        </w:rPr>
      </w:pPr>
      <w:r>
        <w:rPr>
          <w:rFonts w:ascii="Times New Roman;serif" w:hAnsi="Times New Roman;serif"/>
          <w:b w:val="false"/>
          <w:i/>
          <w:color w:val="000000"/>
          <w:sz w:val="22"/>
        </w:rPr>
        <w:t>(To assign the foregoing Warrant, execute this form and supply required information. Do not use this form to purchase shares.)</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FOR VALUE RECEIVED, the foregoing Warrant and all rights evidenced thereby are hereby assigned to</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Name: ______________________________________________</w:t>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(Please Print)</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Address: ____________________________________________</w:t>
      </w:r>
    </w:p>
    <w:p>
      <w:pPr>
        <w:pStyle w:val="TextBody"/>
        <w:bidi w:val="0"/>
        <w:spacing w:before="0" w:after="0"/>
        <w:jc w:val="both"/>
        <w:rPr/>
      </w:pPr>
      <w:r>
        <w:rPr/>
      </w:r>
    </w:p>
    <w:p>
      <w:pPr>
        <w:pStyle w:val="TextBody"/>
        <w:bidi w:val="0"/>
        <w:spacing w:lineRule="auto" w:line="276" w:before="0" w:after="180"/>
        <w:jc w:val="both"/>
        <w:rPr>
          <w:rFonts w:ascii="Times New Roman;serif" w:hAnsi="Times New Roman;serif"/>
          <w:b w:val="false"/>
          <w:color w:val="000000"/>
          <w:sz w:val="24"/>
        </w:rPr>
      </w:pPr>
      <w:r>
        <w:rPr>
          <w:rFonts w:ascii="Times New Roman;serif" w:hAnsi="Times New Roman;serif"/>
          <w:b w:val="false"/>
          <w:color w:val="000000"/>
          <w:sz w:val="24"/>
        </w:rPr>
        <w:t>(Please Print)</w:t>
      </w:r>
    </w:p>
    <w:p>
      <w:pPr>
        <w:pStyle w:val="TextBody"/>
        <w:bidi w:val="0"/>
        <w:spacing w:before="0" w:after="0"/>
        <w:jc w:val="left"/>
        <w:rPr/>
      </w:pPr>
      <w:r>
        <w:rPr/>
      </w:r>
    </w:p>
    <w:p>
      <w:pPr>
        <w:pStyle w:val="TextBody"/>
        <w:bidi w:val="0"/>
        <w:spacing w:lineRule="auto" w:line="276" w:before="0" w:after="180"/>
        <w:jc w:val="both"/>
        <w:rPr>
          <w:rFonts w:ascii="Times New Roman;serif" w:hAnsi="Times New Roman;serif"/>
          <w:b w:val="false"/>
          <w:color w:val="000000"/>
          <w:sz w:val="24"/>
        </w:rPr>
      </w:pPr>
      <w:r>
        <w:rPr>
          <w:rFonts w:ascii="Times New Roman;serif" w:hAnsi="Times New Roman;serif"/>
          <w:b w:val="false"/>
          <w:color w:val="000000"/>
          <w:sz w:val="24"/>
        </w:rPr>
        <w:t>Phone Number: _______________________________________</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Email Address: _______________________________________</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Dated: _______________, 20__</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Holder's Signature: _____________________________________</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76"/>
        <w:jc w:val="both"/>
        <w:rPr>
          <w:rFonts w:ascii="Times New Roman;serif" w:hAnsi="Times New Roman;serif"/>
          <w:b w:val="false"/>
          <w:color w:val="000000"/>
          <w:sz w:val="24"/>
        </w:rPr>
      </w:pPr>
      <w:r>
        <w:rPr>
          <w:rFonts w:ascii="Times New Roman;serif" w:hAnsi="Times New Roman;serif"/>
          <w:b w:val="false"/>
          <w:color w:val="000000"/>
          <w:sz w:val="24"/>
        </w:rPr>
        <w:t>Holder's Address: ______________________________________</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2"/>
        </w:rPr>
      </w:pPr>
      <w:r>
        <w:rPr>
          <w:rFonts w:ascii="Times New Roman;serif" w:hAnsi="Times New Roman;serif"/>
          <w:b/>
          <w:color w:val="000000"/>
          <w:sz w:val="22"/>
        </w:rPr>
        <w:t>Exhibit 10.1</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8"/>
        </w:rPr>
      </w:pPr>
      <w:r>
        <w:rPr>
          <w:rFonts w:ascii="Times New Roman;serif" w:hAnsi="Times New Roman;serif"/>
          <w:b/>
          <w:color w:val="000000"/>
          <w:sz w:val="28"/>
        </w:rPr>
        <w:t>WARRANT CANCELLATION AND EXCHANGE AGREEMENT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This WARRANT CANCELLATION AND EXCHANGE AGREEMENT (this “Agreement”), dated as of August 31, 2026, is entered into by and between Root, Inc., a Delaware corporation (the “Company”), and Carvana Group, LLC, a Delaware limited liability company (the “Holder”).</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RECITALS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WHEREAS, on October 1, 2021, the Company issued to the Holder, pursuant to that certain Investment Agreement, dated as of August 11, 2021, by and between the Company and the Holder, as amended (the “Investment Agreement”), Common Stock Purchase Warrants designated as Long Term Tranche 1, Long Term Tranche 2, Long Term Tranche 3, Long Term Tranche 4, and Long Term Tranche 5 (collectively, the “Long-Term Warrants”);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WHEREAS, the Company previously issued to the Holder, on October 1, 2021, Common Stock Purchase Warrants designated as Short Term Tranche 1, Short Term Tranche 2, and Short Term Tranche 3 (collectively, the “Short-Term Warrants”), each of which has expired in accordance with its terms;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WHEREAS, on August 12, 2022, the Company effected a 1-for-18 reverse stock split of the Company’s Class A Common Stock and Class B Common Stock (the “Reverse Stock Split”);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WHEREAS, the parties desire to cancel all outstanding Long-Term Warrants in exchange for the issuance by the Company to the Holder of a new Common Stock Purchase Warrant (the “New Warrant”) on revised economic terms;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WHEREAS, the cancellation and new issuance is being effected pursuant to the Second Amendment to the Investment Agreement, dated as of August 31, 2026 (the “Second Amendment”); and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WHEREAS, the Board of Directors of the Company has approved the transactions contemplated hereby.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NOW, THEREFORE, in consideration of the mutual covenants and agreements set forth herein, the parties hereby agree as follows: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Section 1. Cancellation of Long-Term Warrants.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Effective as of the date hereof, the Holder hereby surrenders, and the Company hereby cancels, all outstanding Long-Term Warrants: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(a) Long Term Tranche 1 — originally exercisable for 25,844,775 shares of Class A Common Stock (1,435,820 shares post-split);</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(b) Long Term Tranche 2 — originally exercisable for 26,854,336 shares of Class A Common Stock (1,491,907 shares post-split);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(c) Long Term Tranche 3 — originally exercisable for 27,061,706 shares of Class A Common Stock (1,503,428 shares post-split);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(d) Long Term Tranche 4 — originally exercisable for 26,146,576 shares of Class A Common Stock (1,452,587 shares post-split); and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(e) Long Term Tranche 5 — originally exercisable for 23,182,494 shares of Class A Common Stock (1,287,916 shares post-split).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From and after the date hereof, the Long-Term Warrants shall have no further force or effect.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Section 2. Issuance of New Warrant.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Simultaneously with the cancellation pursuant to Section 1, the Company hereby issues to the Holder the New Warrant, in substantially the form attached hereto as Exhibit A, entitling the Holder to purchase up to 1,525,560 shares of Class A Common Stock at the applicable exercise prices per share set forth therein, upon the terms and subject to the conditions set forth therein.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Section 3. Representations and Warranties of the Holder.</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The Holder represents and warrants: (a) it has all requisite power and authority to execute and deliver this Agreement; (b) it is the sole beneficial and record owner of the Long-Term Warrants, free and clear of all liens and encumbrances; (c) it has not previously transferred the Long-Term Warrants; and (d) it is an accredited investor.</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Section 4. Representations and Warranties of the Company.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The Company represents and warrants: (a) it has all requisite power and authority to execute this Agreement and issue the New Warrant; (b) the New Warrant has been duly authorized and, when issued, will be valid and binding; and (c) it has reserved sufficient authorized but unissued shares of Class A Common Stock for the exercise of the New Warrant.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Section 5. Release.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(a) The Holder releases the Company from all claims arising out of or relating to the Long-Term Warrants; provided that nothing herein releases any rights under this Agreement, the New Warrant, or the Investment Agreement.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(b) The Company releases the Holder from all claims arising out of or relating to the Long-Term Warrants; provided that nothing herein releases any rights under this Agreement, the New Warrant, or the Investment Agreement.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Section 6. Tax Treatment.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The parties intend that the cancellation of the Long-Term Warrants and the issuance of the New Warrant shall be treated as a recapitalization within the meaning of Section 368(a)(1)(E) of the Internal Revenue Code of 1986, as amended, in which no gain or loss is recognized by either party, and each party agrees to file all tax returns consistent with, and to take no tax position inconsistent with, such treatment, unless otherwise required by a binding determination with respect to a tax audit, contest or similar proceeding. Nothing in this Section 6 shall be construed as a representation or warranty by either party as to the tax consequences of the transactions contemplated hereby, and each party has relied solely on its own tax advisors.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Section 7. Miscellaneous.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(a) Governing Law; Jurisdiction. This Agreement, and all claims or causes of action (whether in contract, tort, statute or otherwise) that may be based upon, arising out of or relating to this Agreement or the transactions contemplated hereby, shall be governed by and construed in accordance with the internal laws of the State of Delaware, including its statute of limitations, regardless of the laws that might otherwise govern under applicable principles of conflicts of laws. Each party agrees (i) to submit to the exclusive jurisdiction and venue of the Court of Chancery of the State of Delaware in and for New Castle County, Delaware, (ii) agrees that it will not attempt to deny or defeat such jurisdiction by motion or other request for leave from such court, and (iii) agrees that it will not bring any such action in any court other than the Court of Chancery for the State of Delaware in and for New Castle County, Delaware, or, if (and only if) such court finds it lacks subject matter jurisdiction, the federal court of the United States of America sitting in Delaware, and appellate courts thereof, or, if (and only if) each of such Court of Chancery for the State of Delaware and such federal court finds it lacks subject matter jurisdiction, any state court within the State of Delaware. Service of process, summons, notice or document to any party’s address and in the manner set forth in Section 7(f) shall be effective service of process for any such action.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(b) Waiver of Jury Trial. EACH PARTY ACKNOWLEDGES AND AGREES THAT ANY CONTROVERSY WHICH MAY ARISE UNDER THIS AGREEMENT IS LIKELY TO INVOLVE COMPLICATED AND DIFFICULT ISSUES AND, THEREFORE, EACH SUCH PARTY IRREVOCABLY AND UNCONDITIONALLY WAIVES ANY RIGHT IT MAY HAVE TO A TRIAL BY JURY IN RESPECT OF ANY LEGAL ACTION ARISING OUT OF OR RELATING TO THIS AGREEMENT OR THE TRANSACTIONS CONTEMPLATED HEREBY.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(c) Counterparts; Electronic Signatures. This Agreement may be executed and delivered in one or more counterparts, all of which shall be considered one and the same agreement and shall become effective when one or more counterparts have been signed by each of the parties and delivered to the other parties. This Agreement may be executed by facsimile, by any electronic signature covered by the U.S. federal ESIGN Act of 2000, Uniform Electronic Transactions Act, the Electronic Signatures and Records Act, or other applicable law (e.g., www.docusign.com), or by .pdf signature by any party and such signature shall be deemed binding for all purposes hereof without delivery of an original signature being thereafter required.</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(d) Entire Agreement. This Agreement, together with the New Warrant, the Second Amendment, the Investment Agreement (as amended), and the Commercial Agreement, constitutes the entire agreement of the parties with respect to the subject matter hereof and supersedes all prior and contemporaneous agreements, proposals, negotiations, and understandings between the parties with respect to the cancellation of the Long-Term Warrants and the issuance of the New Warrant.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(e) Amendment and Waiver. This Agreement may be amended, modified or supplemented only by a written instrument signed by each of the parties. No waiver of any provision shall be effective unless in writing and signed by the party against whom such waiver is to be effective. No failure or delay by any party in exercising any right hereunder shall operate as a waiver thereof, nor shall any single or partial exercise thereof preclude any other or further exercise thereof or the exercise of any other right.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(f) Notices. All notices and other communications given or made pursuant to this Agreement shall be in writing and shall be deemed effectively given upon the earlier of actual receipt, or (i) personal delivery to the party to be notified, (ii) when sent, if sent by electronic mail, (iii) five (5) days after having been sent by registered or certified mail, return receipt requested, postage prepaid, or (iv) one (1) Business Day after deposit with a nationally recognized overnight courier, freight prepaid, specifying next business day delivery. Notices shall be directed to: If to the Company: Root, Inc. 80 E. Rich Street Columbus, Ohio 43215 Attention: General Counsel Email: legal@joinroot.com If to the Holder: Carvana Group, LLC 300 E. Rio Salado Parkway Tempe, Arizona 85281 Attention: Paul Breaux Email: paul.breaux@carvana.com or to such other address as may be specified by like notice to the other party.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(g) Severability. Any term or provision of this Agreement that is illegal, invalid or unenforceable in any jurisdiction shall, as to that jurisdiction, be ineffective to the extent of such illegality, invalidity or unenforceability without rendering illegal, invalid or unenforceable the remaining terms and provisions of this Agreement or affecting the legality, validity or enforceability of any of the terms or provisions of this Agreement in any other jurisdiction. Upon such determination that any term or other provision is invalid, illegal or unenforceable, the parties shall negotiate in good faith to modify this Agreement so as to give effect to the original intent of the parties as closely as possible.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(h) Successors and Assigns. This Agreement shall be binding upon and inure to the benefit of the parties and their respective successors and permitted assigns. Neither party may assign this Agreement without the prior written consent of the other party; provided that either party may assign this Agreement to any successor (whether direct or indirect, by purchase, merger, consolidation or otherwise) of all or substantially all of the business or assets of such party without the consent of the other party.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(i) No Third-Party Beneficiaries. This Agreement is for the sole benefit of the parties and their respective successors and permitted assigns and shall not confer any rights or remedies in favor of any Person other than the parties hereto.</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(j) Further Assurances. Each party agrees to execute and deliver such additional documents and to take such further actions as may be reasonably necessary or appropriate to carry out and effectuate the transactions contemplated by this Agreement.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(k) Release Acknowledgment. Each party acknowledges that the releases set forth in Section 5 were negotiated at arm’s length between sophisticated parties, each represented by counsel, and each party has been advised of its rights and consequences of the releases and executes this Agreement voluntarily.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(l) Specific Performance. The parties agree that irreparable damage may occur in the event that any of the provisions of this Agreement were not performed in accordance with their specific terms or were otherwise breached. Accordingly, the parties shall be entitled to seek an injunction or injunctions to prevent breaches and to enforce specifically the terms and provisions hereof, in addition to any other remedy to which they are entitled at law or in equity.</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follows]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IN WITNESS WHEREOF, the parties have executed this Agreement as of the date first written above.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ROOT, INC.</w:t>
      </w:r>
    </w:p>
    <w:p>
      <w:pPr>
        <w:pStyle w:val="TextBody"/>
        <w:bidi w:val="0"/>
        <w:spacing w:before="0" w:after="0"/>
        <w:jc w:val="left"/>
        <w:rPr/>
      </w:pPr>
      <w:r>
        <w:rPr/>
      </w:r>
    </w:p>
    <w:tbl>
      <w:tblPr>
        <w:tblW w:w="4267" w:type="dxa"/>
        <w:jc w:val="left"/>
        <w:tblInd w:w="0" w:type="dxa"/>
        <w:tblLayout w:type="fixed"/>
        <w:tblCellMar>
          <w:top w:w="28" w:type="dxa"/>
          <w:left w:w="28" w:type="dxa"/>
          <w:bottom w:w="28" w:type="dxa"/>
          <w:right w:w="28" w:type="dxa"/>
        </w:tblCellMar>
      </w:tblPr>
      <w:tblGrid>
        <w:gridCol w:w="271"/>
        <w:gridCol w:w="238"/>
        <w:gridCol w:w="241"/>
        <w:gridCol w:w="594"/>
        <w:gridCol w:w="594"/>
        <w:gridCol w:w="594"/>
        <w:gridCol w:w="342"/>
        <w:gridCol w:w="342"/>
        <w:gridCol w:w="352"/>
        <w:gridCol w:w="109"/>
        <w:gridCol w:w="109"/>
        <w:gridCol w:w="109"/>
        <w:gridCol w:w="109"/>
        <w:gridCol w:w="109"/>
        <w:gridCol w:w="154"/>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81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Jonathan Allison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1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Jonathan Allison</w:t>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281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Chief Administrative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CARVANA GROUP, LLC</w:t>
      </w:r>
    </w:p>
    <w:p>
      <w:pPr>
        <w:pStyle w:val="TextBody"/>
        <w:bidi w:val="0"/>
        <w:spacing w:before="0" w:after="0"/>
        <w:jc w:val="left"/>
        <w:rPr/>
      </w:pPr>
      <w:r>
        <w:rPr/>
      </w:r>
    </w:p>
    <w:tbl>
      <w:tblPr>
        <w:tblW w:w="4987" w:type="dxa"/>
        <w:jc w:val="left"/>
        <w:tblInd w:w="0" w:type="dxa"/>
        <w:tblLayout w:type="fixed"/>
        <w:tblCellMar>
          <w:top w:w="28" w:type="dxa"/>
          <w:left w:w="28" w:type="dxa"/>
          <w:bottom w:w="28" w:type="dxa"/>
          <w:right w:w="28" w:type="dxa"/>
        </w:tblCellMar>
      </w:tblPr>
      <w:tblGrid>
        <w:gridCol w:w="271"/>
        <w:gridCol w:w="238"/>
        <w:gridCol w:w="241"/>
        <w:gridCol w:w="972"/>
        <w:gridCol w:w="972"/>
        <w:gridCol w:w="976"/>
        <w:gridCol w:w="206"/>
        <w:gridCol w:w="206"/>
        <w:gridCol w:w="206"/>
        <w:gridCol w:w="109"/>
        <w:gridCol w:w="109"/>
        <w:gridCol w:w="109"/>
        <w:gridCol w:w="109"/>
        <w:gridCol w:w="109"/>
        <w:gridCol w:w="154"/>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Paul Breaux</w:t>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2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Paul Breaux</w:t>
            </w:r>
          </w:p>
        </w:tc>
        <w:tc>
          <w:tcPr>
            <w:tcW w:w="6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353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Vice President and General Counsel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jc w:val="left"/>
        <w:rPr>
          <w:rFonts w:ascii="Times New Roman;serif" w:hAnsi="Times New Roman;serif"/>
          <w:b w:val="false"/>
          <w:color w:val="000000"/>
          <w:sz w:val="24"/>
        </w:rPr>
      </w:pPr>
      <w:r>
        <w:rPr>
          <w:rFonts w:ascii="Times New Roman;serif" w:hAnsi="Times New Roman;serif"/>
          <w:b w:val="false"/>
          <w:color w:val="000000"/>
          <w:sz w:val="24"/>
        </w:rPr>
        <w:t>[Signature Page to Warrant Cancellation and Exchange Agreement]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2"/>
        </w:rPr>
      </w:pPr>
      <w:r>
        <w:rPr>
          <w:rFonts w:ascii="Times New Roman;serif" w:hAnsi="Times New Roman;serif"/>
          <w:b/>
          <w:color w:val="000000"/>
          <w:sz w:val="22"/>
        </w:rPr>
        <w:t>Exhibit 10.2</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SECOND AMENDMENT TO THE PARTIES’</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COMMERCIAL AGREEMENT</w:t>
      </w:r>
    </w:p>
    <w:p>
      <w:pPr>
        <w:pStyle w:val="TextBody"/>
        <w:bidi w:val="0"/>
        <w:spacing w:before="0" w:after="0"/>
        <w:jc w:val="center"/>
        <w:rPr/>
      </w:pPr>
      <w:r>
        <w:rPr/>
      </w:r>
    </w:p>
    <w:p>
      <w:pPr>
        <w:pStyle w:val="TextBody"/>
        <w:bidi w:val="0"/>
        <w:spacing w:lineRule="auto" w:line="276" w:before="0" w:after="0"/>
        <w:jc w:val="left"/>
        <w:rPr/>
      </w:pPr>
      <w:r>
        <w:rPr>
          <w:rFonts w:ascii="Times New Roman;serif" w:hAnsi="Times New Roman;serif"/>
          <w:b w:val="false"/>
          <w:color w:val="000000"/>
          <w:sz w:val="24"/>
        </w:rPr>
        <w:t>This Second Amendment to the Commercial Agreement (“</w:t>
      </w:r>
      <w:r>
        <w:rPr>
          <w:rFonts w:ascii="Times New Roman;serif" w:hAnsi="Times New Roman;serif"/>
          <w:b/>
          <w:i/>
          <w:color w:val="000000"/>
          <w:sz w:val="24"/>
        </w:rPr>
        <w:t>Second Amendment</w:t>
      </w:r>
      <w:r>
        <w:rPr>
          <w:color w:val="000000"/>
        </w:rPr>
        <w:t>”</w:t>
      </w:r>
      <w:r>
        <w:rPr>
          <w:rFonts w:ascii="Times New Roman;serif" w:hAnsi="Times New Roman;serif"/>
          <w:b w:val="false"/>
          <w:color w:val="000000"/>
          <w:sz w:val="24"/>
        </w:rPr>
        <w:t>) is entered into and made effective this 31</w:t>
      </w:r>
      <w:r>
        <w:rPr>
          <w:rFonts w:ascii="Times New Roman;serif" w:hAnsi="Times New Roman;serif"/>
          <w:b w:val="false"/>
          <w:color w:val="000000"/>
          <w:sz w:val="13"/>
        </w:rPr>
        <w:t>st</w:t>
      </w:r>
      <w:r>
        <w:rPr>
          <w:color w:val="000000"/>
        </w:rPr>
        <w:t xml:space="preserve"> </w:t>
      </w:r>
      <w:r>
        <w:rPr>
          <w:rFonts w:ascii="Times New Roman;serif" w:hAnsi="Times New Roman;serif"/>
          <w:b w:val="false"/>
          <w:color w:val="000000"/>
          <w:sz w:val="24"/>
        </w:rPr>
        <w:t>day of August, 2026 (the “</w:t>
      </w:r>
      <w:r>
        <w:rPr>
          <w:rFonts w:ascii="Times New Roman;serif" w:hAnsi="Times New Roman;serif"/>
          <w:b/>
          <w:i/>
          <w:color w:val="000000"/>
          <w:sz w:val="24"/>
        </w:rPr>
        <w:t>Second Amendment Effective Date</w:t>
      </w:r>
      <w:r>
        <w:rPr>
          <w:color w:val="000000"/>
        </w:rPr>
        <w:t>”</w:t>
      </w:r>
      <w:r>
        <w:rPr>
          <w:rFonts w:ascii="Times New Roman;serif" w:hAnsi="Times New Roman;serif"/>
          <w:b w:val="false"/>
          <w:color w:val="000000"/>
          <w:sz w:val="24"/>
        </w:rPr>
        <w:t>), by and among Caret Holdings, Inc.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Carvana, LLC (“</w:t>
      </w:r>
      <w:r>
        <w:rPr>
          <w:rFonts w:ascii="Times New Roman;serif" w:hAnsi="Times New Roman;serif"/>
          <w:b/>
          <w:i/>
          <w:color w:val="000000"/>
          <w:sz w:val="24"/>
        </w:rPr>
        <w:t>Dealer</w:t>
      </w:r>
      <w:r>
        <w:rPr>
          <w:color w:val="000000"/>
        </w:rPr>
        <w:t>”</w:t>
      </w:r>
      <w:r>
        <w:rPr>
          <w:rFonts w:ascii="Times New Roman;serif" w:hAnsi="Times New Roman;serif"/>
          <w:b w:val="false"/>
          <w:color w:val="000000"/>
          <w:sz w:val="24"/>
        </w:rPr>
        <w:t>), Carvana Insurance Services, LLC (“</w:t>
      </w:r>
      <w:r>
        <w:rPr>
          <w:rFonts w:ascii="Times New Roman;serif" w:hAnsi="Times New Roman;serif"/>
          <w:b/>
          <w:i/>
          <w:color w:val="000000"/>
          <w:sz w:val="24"/>
        </w:rPr>
        <w:t>CIS</w:t>
      </w:r>
      <w:r>
        <w:rPr>
          <w:color w:val="000000"/>
        </w:rPr>
        <w:t>”</w:t>
      </w:r>
      <w:r>
        <w:rPr>
          <w:rFonts w:ascii="Times New Roman;serif" w:hAnsi="Times New Roman;serif"/>
          <w:b w:val="false"/>
          <w:color w:val="000000"/>
          <w:sz w:val="24"/>
        </w:rPr>
        <w:t>), and Carvana Group, LLC (“</w:t>
      </w:r>
      <w:r>
        <w:rPr>
          <w:rFonts w:ascii="Times New Roman;serif" w:hAnsi="Times New Roman;serif"/>
          <w:b/>
          <w:i/>
          <w:color w:val="000000"/>
          <w:sz w:val="24"/>
        </w:rPr>
        <w:t>Parent</w:t>
      </w:r>
      <w:r>
        <w:rPr>
          <w:color w:val="000000"/>
        </w:rPr>
        <w:t>”</w:t>
      </w:r>
      <w:r>
        <w:rPr>
          <w:rFonts w:ascii="Times New Roman;serif" w:hAnsi="Times New Roman;serif"/>
          <w:b w:val="false"/>
          <w:color w:val="000000"/>
          <w:sz w:val="24"/>
        </w:rPr>
        <w:t>) (collectively, the entities Parent, CIS, and Dealer shall be referred to as “</w:t>
      </w:r>
      <w:r>
        <w:rPr>
          <w:rFonts w:ascii="Times New Roman;serif" w:hAnsi="Times New Roman;serif"/>
          <w:b/>
          <w:i/>
          <w:color w:val="000000"/>
          <w:sz w:val="24"/>
        </w:rPr>
        <w:t>Carvana</w:t>
      </w:r>
      <w:r>
        <w:rPr>
          <w:color w:val="000000"/>
        </w:rPr>
        <w:t>”</w:t>
      </w:r>
      <w:r>
        <w:rPr>
          <w:rFonts w:ascii="Times New Roman;serif" w:hAnsi="Times New Roman;serif"/>
          <w:b w:val="false"/>
          <w:color w:val="000000"/>
          <w:sz w:val="24"/>
        </w:rPr>
        <w:t>). Carvana and Company shall be referred to as the “</w:t>
      </w:r>
      <w:r>
        <w:rPr>
          <w:rFonts w:ascii="Times New Roman;serif" w:hAnsi="Times New Roman;serif"/>
          <w:b/>
          <w:i/>
          <w:color w:val="000000"/>
          <w:sz w:val="24"/>
        </w:rPr>
        <w:t>Parties</w:t>
      </w:r>
      <w:r>
        <w:rPr>
          <w:rFonts w:ascii="Times New Roman;serif" w:hAnsi="Times New Roman;serif"/>
          <w:b w:val="false"/>
          <w:color w:val="000000"/>
          <w:sz w:val="24"/>
        </w:rPr>
        <w:t>,” and each a “</w:t>
      </w:r>
      <w:r>
        <w:rPr>
          <w:rFonts w:ascii="Times New Roman;serif" w:hAnsi="Times New Roman;serif"/>
          <w:b/>
          <w:i/>
          <w:color w:val="000000"/>
          <w:sz w:val="24"/>
        </w:rPr>
        <w:t>Party</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4"/>
        </w:rPr>
        <w:t>WHEREAS</w:t>
      </w:r>
      <w:r>
        <w:rPr>
          <w:rFonts w:ascii="Times New Roman;serif" w:hAnsi="Times New Roman;serif"/>
          <w:b w:val="false"/>
          <w:color w:val="000000"/>
          <w:sz w:val="24"/>
        </w:rPr>
        <w:t>, Carvana and Company entered into that certain Commercial Agreement dated October 1, 2021, as amended by the First Amendment to the Commercial Agreement dated May 13, 2022, and as may be further amended or modified from time to time (the “</w:t>
      </w:r>
      <w:r>
        <w:rPr>
          <w:rFonts w:ascii="Times New Roman;serif" w:hAnsi="Times New Roman;serif"/>
          <w:b/>
          <w:i/>
          <w:color w:val="000000"/>
          <w:sz w:val="24"/>
        </w:rPr>
        <w:t>Agreement</w:t>
      </w:r>
      <w:r>
        <w:rPr>
          <w:color w:val="000000"/>
        </w:rPr>
        <w:t>”</w:t>
      </w:r>
      <w:r>
        <w:rPr>
          <w:rFonts w:ascii="Times New Roman;serif" w:hAnsi="Times New Roman;serif"/>
          <w:b w:val="false"/>
          <w:color w:val="000000"/>
          <w:sz w:val="24"/>
        </w:rPr>
        <w:t>); and</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4"/>
        </w:rPr>
        <w:t>WHEREAS</w:t>
      </w:r>
      <w:r>
        <w:rPr>
          <w:rFonts w:ascii="Times New Roman;serif" w:hAnsi="Times New Roman;serif"/>
          <w:b w:val="false"/>
          <w:color w:val="000000"/>
          <w:sz w:val="24"/>
        </w:rPr>
        <w:t>, Carvana and Company wish to further modify the Agreement to provide for the amended terms and conditions, as described herein.</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4"/>
        </w:rPr>
        <w:t>NOW, THEREFORE</w:t>
      </w:r>
      <w:r>
        <w:rPr>
          <w:rFonts w:ascii="Times New Roman;serif" w:hAnsi="Times New Roman;serif"/>
          <w:b w:val="false"/>
          <w:color w:val="000000"/>
          <w:sz w:val="24"/>
        </w:rPr>
        <w:t>, in consideration of the promises, mutual covenants, and agreements as described in the Agreement and this Second Amendment, and for other good and valuable consideration, the receipt and sufficiency of which are hereby acknowledged, the Parties hereto agree as follows:</w:t>
      </w:r>
    </w:p>
    <w:p>
      <w:pPr>
        <w:pStyle w:val="TextBody"/>
        <w:bidi w:val="0"/>
        <w:spacing w:before="0" w:after="0"/>
        <w:jc w:val="left"/>
        <w:rPr/>
      </w:pPr>
      <w:r>
        <w:rPr/>
      </w:r>
    </w:p>
    <w:p>
      <w:pPr>
        <w:pStyle w:val="TextBody"/>
        <w:bidi w:val="0"/>
        <w:spacing w:lineRule="auto" w:line="276" w:before="0" w:after="0"/>
        <w:ind w:left="0" w:right="0" w:hanging="360"/>
        <w:jc w:val="left"/>
        <w:rPr/>
      </w:pPr>
      <w:r>
        <w:rPr>
          <w:rFonts w:ascii="Times New Roman;serif" w:hAnsi="Times New Roman;serif"/>
          <w:b w:val="false"/>
          <w:color w:val="000000"/>
          <w:sz w:val="24"/>
        </w:rPr>
        <w:t>1.</w:t>
      </w:r>
      <w:r>
        <w:rPr>
          <w:rFonts w:ascii="Times New Roman;serif" w:hAnsi="Times New Roman;serif"/>
          <w:b/>
          <w:color w:val="000000"/>
          <w:sz w:val="24"/>
          <w:u w:val="single"/>
        </w:rPr>
        <w:t>Term (Section 16 of the Agreement)</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Section 16 of the Agreement is hereby deleted in its entirety and replaced with the following:</w:t>
      </w:r>
    </w:p>
    <w:p>
      <w:pPr>
        <w:pStyle w:val="TextBody"/>
        <w:bidi w:val="0"/>
        <w:spacing w:before="0" w:after="0"/>
        <w:ind w:left="0" w:right="0" w:firstLine="720"/>
        <w:jc w:val="left"/>
        <w:rPr/>
      </w:pPr>
      <w:r>
        <w:rPr/>
      </w:r>
    </w:p>
    <w:p>
      <w:pPr>
        <w:pStyle w:val="TextBody"/>
        <w:bidi w:val="0"/>
        <w:spacing w:lineRule="auto" w:line="276" w:before="0" w:after="0"/>
        <w:jc w:val="left"/>
        <w:rPr/>
      </w:pPr>
      <w:r>
        <w:rPr>
          <w:color w:val="000000"/>
        </w:rPr>
        <w:t>“</w:t>
      </w:r>
      <w:r>
        <w:rPr>
          <w:rFonts w:ascii="Times New Roman;serif" w:hAnsi="Times New Roman;serif"/>
          <w:b w:val="false"/>
          <w:color w:val="000000"/>
          <w:sz w:val="24"/>
        </w:rPr>
        <w:t>(a) The Term of the Agreement shall be two (2) years from the Second Amendment Effective Date (the “</w:t>
      </w:r>
      <w:r>
        <w:rPr>
          <w:rFonts w:ascii="Times New Roman;serif" w:hAnsi="Times New Roman;serif"/>
          <w:b/>
          <w:i/>
          <w:color w:val="000000"/>
          <w:sz w:val="24"/>
        </w:rPr>
        <w:t>Amended Initial Term</w:t>
      </w:r>
      <w:r>
        <w:rPr>
          <w:color w:val="000000"/>
        </w:rPr>
        <w:t>”</w:t>
      </w:r>
      <w:r>
        <w:rPr>
          <w:rFonts w:ascii="Times New Roman;serif" w:hAnsi="Times New Roman;serif"/>
          <w:b w:val="false"/>
          <w:color w:val="000000"/>
          <w:sz w:val="24"/>
        </w:rPr>
        <w:t>). At the end of the Amended Initial Term and each Amended Renewal Term, as applicable, this Agreement shall automatically renew for additional, successive terms of twelve (12) months (each an “</w:t>
      </w:r>
      <w:r>
        <w:rPr>
          <w:rFonts w:ascii="Times New Roman;serif" w:hAnsi="Times New Roman;serif"/>
          <w:b/>
          <w:i/>
          <w:color w:val="000000"/>
          <w:sz w:val="24"/>
        </w:rPr>
        <w:t>Amended Renewal Term</w:t>
      </w:r>
      <w:r>
        <w:rPr>
          <w:color w:val="000000"/>
        </w:rPr>
        <w:t xml:space="preserve">” </w:t>
      </w:r>
      <w:r>
        <w:rPr>
          <w:rFonts w:ascii="Times New Roman;serif" w:hAnsi="Times New Roman;serif"/>
          <w:b w:val="false"/>
          <w:color w:val="000000"/>
          <w:sz w:val="24"/>
        </w:rPr>
        <w:t>and, together with the Amended Initial Term, the “</w:t>
      </w:r>
      <w:r>
        <w:rPr>
          <w:rFonts w:ascii="Times New Roman;serif" w:hAnsi="Times New Roman;serif"/>
          <w:b/>
          <w:i/>
          <w:color w:val="000000"/>
          <w:sz w:val="24"/>
        </w:rPr>
        <w:t>Amended Term</w:t>
      </w:r>
      <w:r>
        <w:rPr>
          <w:color w:val="000000"/>
        </w:rPr>
        <w:t>”</w:t>
      </w:r>
      <w:r>
        <w:rPr>
          <w:rFonts w:ascii="Times New Roman;serif" w:hAnsi="Times New Roman;serif"/>
          <w:b w:val="false"/>
          <w:color w:val="000000"/>
          <w:sz w:val="24"/>
        </w:rPr>
        <w:t>), unless terminated by either Party by providing written notice to the other Party no later than 180 days prior to the beginning of any Amended Renewal Term.</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For the avoidance of doubt, the Amended Term replaces and supersedes the Initial Term and Renewal Term as previously defined in the Agreement.</w:t>
      </w:r>
    </w:p>
    <w:p>
      <w:pPr>
        <w:pStyle w:val="TextBody"/>
        <w:bidi w:val="0"/>
        <w:spacing w:before="0" w:after="0"/>
        <w:jc w:val="left"/>
        <w:rPr/>
      </w:pPr>
      <w:r>
        <w:rPr/>
      </w:r>
    </w:p>
    <w:p>
      <w:pPr>
        <w:pStyle w:val="TextBody"/>
        <w:bidi w:val="0"/>
        <w:spacing w:lineRule="auto" w:line="276"/>
        <w:jc w:val="left"/>
        <w:rPr>
          <w:rFonts w:ascii="Times New Roman;serif" w:hAnsi="Times New Roman;serif"/>
          <w:b w:val="false"/>
          <w:color w:val="000000"/>
          <w:sz w:val="24"/>
        </w:rPr>
      </w:pPr>
      <w:r>
        <w:rPr>
          <w:rFonts w:ascii="Times New Roman;serif" w:hAnsi="Times New Roman;serif"/>
          <w:b w:val="false"/>
          <w:color w:val="000000"/>
          <w:sz w:val="24"/>
        </w:rPr>
        <w:t>(b) Material Breach; Cure; Remedies. Subject to a specific cure provision that may apply to a term of this Agreement, which shall control with respect to such term, a Party may terminate this Agreement for material breach by another Party that remains uncured for 30 days after written notice describing the breach in reasonable detail. If a non-monetary breach is not reasonably capable of being cured during that period, the breaching Party will retain the right to cure while it promptly commences and diligently pursues cure, subject to an outside period of 30 additional days.”</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ind w:left="0" w:right="0" w:hanging="360"/>
        <w:jc w:val="left"/>
        <w:rPr/>
      </w:pPr>
      <w:r>
        <w:rPr>
          <w:rFonts w:ascii="Times New Roman;serif" w:hAnsi="Times New Roman;serif"/>
          <w:b w:val="false"/>
          <w:color w:val="000000"/>
          <w:sz w:val="24"/>
        </w:rPr>
        <w:t>2.</w:t>
      </w:r>
      <w:r>
        <w:rPr>
          <w:rFonts w:ascii="Times New Roman;serif" w:hAnsi="Times New Roman;serif"/>
          <w:b/>
          <w:color w:val="000000"/>
          <w:sz w:val="24"/>
          <w:u w:val="single"/>
        </w:rPr>
        <w:t>Exclusivity (Schedule 1 to the Agreement)</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4"/>
        </w:rPr>
        <w:t xml:space="preserve">Schedule 1 (Exclusivity) to the Agreement is hereby deleted in its entirety and replaced with a revised and amended Schedule 1, which is attached hereto as </w:t>
      </w:r>
      <w:r>
        <w:rPr>
          <w:rFonts w:ascii="Times New Roman;serif" w:hAnsi="Times New Roman;serif"/>
          <w:b w:val="false"/>
          <w:color w:val="000000"/>
          <w:sz w:val="24"/>
          <w:u w:val="single"/>
        </w:rPr>
        <w:t>Exhibit A</w:t>
      </w:r>
      <w:r>
        <w:rPr>
          <w:rFonts w:ascii="Times New Roman;serif" w:hAnsi="Times New Roman;serif"/>
          <w:b w:val="false"/>
          <w:color w:val="000000"/>
          <w:sz w:val="24"/>
        </w:rPr>
        <w:t>. No prior exclusivity definition, restriction, exception, or special remedy survives unless expressly restated in Exhibit A.</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erif" w:hAnsi="Times New Roman;serif"/>
          <w:b w:val="false"/>
          <w:color w:val="000000"/>
          <w:sz w:val="24"/>
        </w:rPr>
        <w:t>3.</w:t>
      </w:r>
      <w:r>
        <w:rPr>
          <w:rFonts w:ascii="Times New Roman;serif" w:hAnsi="Times New Roman;serif"/>
          <w:b/>
          <w:color w:val="000000"/>
          <w:sz w:val="24"/>
          <w:u w:val="single"/>
        </w:rPr>
        <w:t>Insurance Commission Floor (Schedule 3.1 to the Agreement)</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4"/>
        </w:rPr>
        <w:t xml:space="preserve">The Commission Tiers table set forth in Schedule 3.1 to the Agreement (as amended by the First Amendment) shall be deleted in its entirety and replaced with the table set forth in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and Schedule 3.1 shall be further amended as described in Exhibit B.</w:t>
      </w:r>
    </w:p>
    <w:p>
      <w:pPr>
        <w:pStyle w:val="TextBody"/>
        <w:bidi w:val="0"/>
        <w:spacing w:before="0" w:after="0"/>
        <w:jc w:val="left"/>
        <w:rPr/>
      </w:pPr>
      <w:r>
        <w:rPr/>
      </w:r>
    </w:p>
    <w:p>
      <w:pPr>
        <w:pStyle w:val="TextBody"/>
        <w:bidi w:val="0"/>
        <w:spacing w:lineRule="auto" w:line="276" w:before="0" w:after="0"/>
        <w:ind w:left="0" w:right="0" w:hanging="360"/>
        <w:jc w:val="left"/>
        <w:rPr/>
      </w:pPr>
      <w:r>
        <w:rPr>
          <w:rFonts w:ascii="Times New Roman;serif" w:hAnsi="Times New Roman;serif"/>
          <w:b w:val="false"/>
          <w:color w:val="000000"/>
          <w:sz w:val="24"/>
        </w:rPr>
        <w:t>4.</w:t>
      </w:r>
      <w:r>
        <w:rPr>
          <w:rFonts w:ascii="Times New Roman;serif" w:hAnsi="Times New Roman;serif"/>
          <w:b/>
          <w:color w:val="000000"/>
          <w:sz w:val="24"/>
          <w:u w:val="single"/>
        </w:rPr>
        <w:t>Relationship Manager (Schedule 6 to the Agreement)</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4"/>
        </w:rPr>
        <w:t xml:space="preserve">Schedule 6 to the Agreement is hereby amended to replace the Relationship Manager for the Company as set forth in </w:t>
      </w:r>
      <w:r>
        <w:rPr>
          <w:rFonts w:ascii="Times New Roman;serif" w:hAnsi="Times New Roman;serif"/>
          <w:b w:val="false"/>
          <w:color w:val="000000"/>
          <w:sz w:val="24"/>
          <w:u w:val="single"/>
        </w:rPr>
        <w:t>Exhibit C</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erif" w:hAnsi="Times New Roman;serif"/>
          <w:b w:val="false"/>
          <w:color w:val="000000"/>
          <w:sz w:val="24"/>
        </w:rPr>
        <w:t>5.</w:t>
      </w:r>
      <w:r>
        <w:rPr>
          <w:rFonts w:ascii="Times New Roman;serif" w:hAnsi="Times New Roman;serif"/>
          <w:b/>
          <w:color w:val="000000"/>
          <w:sz w:val="24"/>
          <w:u w:val="single"/>
        </w:rPr>
        <w:t>Restated Warrants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 xml:space="preserve">The terms relating to the Company Warrants, including the cancellation of existing warrants, issuance of replacement warrants, and the interpretation of warrant-related references in this Agreement, shall be as set forth in </w:t>
      </w:r>
      <w:r>
        <w:rPr>
          <w:rFonts w:ascii="Times New Roman;serif" w:hAnsi="Times New Roman;serif"/>
          <w:b w:val="false"/>
          <w:color w:val="000000"/>
          <w:sz w:val="24"/>
          <w:u w:val="single"/>
        </w:rPr>
        <w:t>Exhibit D</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erif" w:hAnsi="Times New Roman;serif"/>
          <w:b w:val="false"/>
          <w:color w:val="000000"/>
          <w:sz w:val="24"/>
        </w:rPr>
        <w:t>6.</w:t>
      </w:r>
      <w:r>
        <w:rPr>
          <w:rFonts w:ascii="Times New Roman;serif" w:hAnsi="Times New Roman;serif"/>
          <w:b/>
          <w:color w:val="000000"/>
          <w:sz w:val="24"/>
          <w:u w:val="single"/>
        </w:rPr>
        <w:t>General Provisions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(a) Except as expressly modified by this Second Amendment, all other terms and conditions of the Agreement shall remain in full force and effect.</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(b) In the event of any conflict between the terms of this Second Amendment and the Agreement, this Second Amendment shall control.</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(c) This Second Amendment may be executed in separate counterparts, each of which will be deemed an original and all of which, when taken together, will constitute one and the same agreement.</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(d) Capitalized terms used but not defined in this Second Amendment shall have the meanings ascribed to them in the Agreement.</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IN WITNESS WHEREOF, the Parties acknowledge their receipt, review, understanding, and acceptance of this Second Amendment, effective as of the Second Amendment Effective Date.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6668" w:type="dxa"/>
        <w:jc w:val="left"/>
        <w:tblInd w:w="0" w:type="dxa"/>
        <w:tblLayout w:type="fixed"/>
        <w:tblCellMar>
          <w:top w:w="28" w:type="dxa"/>
          <w:left w:w="28" w:type="dxa"/>
          <w:bottom w:w="28" w:type="dxa"/>
          <w:right w:w="28" w:type="dxa"/>
        </w:tblCellMar>
      </w:tblPr>
      <w:tblGrid>
        <w:gridCol w:w="402"/>
        <w:gridCol w:w="354"/>
        <w:gridCol w:w="354"/>
        <w:gridCol w:w="938"/>
        <w:gridCol w:w="938"/>
        <w:gridCol w:w="943"/>
        <w:gridCol w:w="109"/>
        <w:gridCol w:w="109"/>
        <w:gridCol w:w="109"/>
        <w:gridCol w:w="265"/>
        <w:gridCol w:w="265"/>
        <w:gridCol w:w="265"/>
        <w:gridCol w:w="472"/>
        <w:gridCol w:w="472"/>
        <w:gridCol w:w="673"/>
      </w:tblGrid>
      <w:tr>
        <w:trPr/>
        <w:tc>
          <w:tcPr>
            <w:tcW w:w="40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r>
      <w:tr>
        <w:trPr/>
        <w:tc>
          <w:tcPr>
            <w:tcW w:w="3929" w:type="dxa"/>
            <w:gridSpan w:val="6"/>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4"/>
              </w:rPr>
            </w:pPr>
            <w:r>
              <w:rPr>
                <w:rFonts w:ascii="Times New Roman;serif" w:hAnsi="Times New Roman;serif"/>
                <w:b/>
                <w:color w:val="000000"/>
                <w:sz w:val="24"/>
              </w:rPr>
              <w:t>Caret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6"/>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4"/>
              </w:rPr>
            </w:pPr>
            <w:r>
              <w:rPr>
                <w:rFonts w:ascii="Times New Roman;serif" w:hAnsi="Times New Roman;serif"/>
                <w:b/>
                <w:color w:val="000000"/>
                <w:sz w:val="24"/>
              </w:rPr>
              <w:t>Carvana, LLC</w:t>
            </w:r>
          </w:p>
        </w:tc>
      </w:tr>
      <w:tr>
        <w:trPr/>
        <w:tc>
          <w:tcPr>
            <w:tcW w:w="11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81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 Jonathan Allison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161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 Paul Breaux</w:t>
            </w:r>
          </w:p>
        </w:tc>
      </w:tr>
      <w:tr>
        <w:trPr/>
        <w:tc>
          <w:tcPr>
            <w:tcW w:w="11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2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Jonathan Allison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16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Paul Breaux</w:t>
            </w:r>
          </w:p>
        </w:tc>
      </w:tr>
      <w:tr>
        <w:trPr/>
        <w:tc>
          <w:tcPr>
            <w:tcW w:w="11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2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Chief Administrative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16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Vice President</w:t>
            </w:r>
          </w:p>
        </w:tc>
      </w:tr>
      <w:tr>
        <w:trPr/>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Date: </w:t>
            </w:r>
          </w:p>
        </w:tc>
        <w:tc>
          <w:tcPr>
            <w:tcW w:w="2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9/1/2026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w:t>
            </w:r>
          </w:p>
        </w:tc>
        <w:tc>
          <w:tcPr>
            <w:tcW w:w="16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8/31/2026</w:t>
            </w:r>
          </w:p>
        </w:tc>
      </w:tr>
      <w:tr>
        <w:trPr/>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6"/>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4"/>
              </w:rPr>
            </w:pPr>
            <w:r>
              <w:rPr>
                <w:rFonts w:ascii="Times New Roman;serif" w:hAnsi="Times New Roman;serif"/>
                <w:b/>
                <w:color w:val="000000"/>
                <w:sz w:val="24"/>
              </w:rPr>
              <w:t>Carvana Insurance Services,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6"/>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4"/>
              </w:rPr>
            </w:pPr>
            <w:r>
              <w:rPr>
                <w:rFonts w:ascii="Times New Roman;serif" w:hAnsi="Times New Roman;serif"/>
                <w:b/>
                <w:color w:val="000000"/>
                <w:sz w:val="24"/>
              </w:rPr>
              <w:t>Carvana Group, LLC</w:t>
            </w:r>
          </w:p>
        </w:tc>
      </w:tr>
      <w:tr>
        <w:trPr/>
        <w:tc>
          <w:tcPr>
            <w:tcW w:w="11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81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 Paul Breaux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161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 Paul Breaux</w:t>
            </w:r>
          </w:p>
        </w:tc>
      </w:tr>
      <w:tr>
        <w:trPr/>
        <w:tc>
          <w:tcPr>
            <w:tcW w:w="11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2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Paul Breaux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16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Paul Breaux</w:t>
            </w:r>
          </w:p>
        </w:tc>
      </w:tr>
      <w:tr>
        <w:trPr/>
        <w:tc>
          <w:tcPr>
            <w:tcW w:w="11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2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Vice President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16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Vice President</w:t>
            </w:r>
          </w:p>
        </w:tc>
      </w:tr>
      <w:tr>
        <w:trPr/>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w:t>
            </w:r>
          </w:p>
        </w:tc>
        <w:tc>
          <w:tcPr>
            <w:tcW w:w="28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8/31/2026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w:t>
            </w:r>
          </w:p>
        </w:tc>
        <w:tc>
          <w:tcPr>
            <w:tcW w:w="16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8/31/2026</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right"/>
        <w:rPr>
          <w:rFonts w:ascii="Times New Roman;serif" w:hAnsi="Times New Roman;serif"/>
          <w:b/>
          <w:color w:val="000000"/>
          <w:sz w:val="22"/>
        </w:rPr>
      </w:pPr>
      <w:r>
        <w:rPr>
          <w:rFonts w:ascii="Times New Roman;serif" w:hAnsi="Times New Roman;serif"/>
          <w:b/>
          <w:color w:val="000000"/>
          <w:sz w:val="22"/>
        </w:rPr>
        <w:t>Exhibit 10.3</w:t>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color w:val="000000"/>
          <w:sz w:val="28"/>
        </w:rPr>
      </w:pPr>
      <w:r>
        <w:rPr>
          <w:rFonts w:ascii="Times New Roman;serif" w:hAnsi="Times New Roman;serif"/>
          <w:b/>
          <w:color w:val="000000"/>
          <w:sz w:val="28"/>
        </w:rPr>
        <w:t>SECOND AMENDMENT TO THE INVESTMENT AGREEMENT</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This SECOND AMENDMENT TO THE INVESTMENT AGREEMENT (this “Amendment”), dated as of August 31, 2026, is entered into by and between Root, Inc., a Delaware corporation (the “Company”), and Carvana Group, LLC, a Delaware limited liability company (the “Purchaser”). The Company and the Purchaser are collectively referred to herein as the “Parties” and each, a “Party.”</w: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W I T N E S S E T H:</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WHEREAS, the Parties entered into that certain Investment Agreement, dated as of August 11, 2021 (as amended by the First Amendment (as defined below), the “Investment Agreement”);</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WHEREAS, the Parties entered into that certain First Amendment to the Investment Agreement, dated as of September 29, 2021 (the “First Amendment”);</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WHEREAS, Section 10 of the Investment Agreement provides that the Investment Agreement may be amended, modified or waived if, and only if, such amendment, modification or waiver is in writing and signed by each of the parties to the Investment Agreement;</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WHEREAS, the Short-Term Warrants (as defined in the Investment Agreement) issued to the Purchaser on October 1, 2021 have expired in accordance with their respective terms;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WHEREAS, the Parties have agreed to cancel all outstanding Long-Term Warrants (as defined in the Investment Agreement) issued to the Purchaser on October 1, 2021 and to issue to the Purchaser a new warrant instrument on revised economic terms, as contemplated by the Warrant Cancellation and Exchange Agreement, dated as of August 31, 2026, by and between the Company and the Purchaser (the “Warrant Cancellation Agreement”);</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WHEREAS, in connection with the foregoing, the Parties wish to amend the Investment Agreement to reflect the warrant restructuring contemplated hereby and by the Warrant Cancellation Agreement;</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NOW, THEREFORE, in consideration of the mutual covenants and agreements set forth herein and other good and valuable consideration, the receipt and sufficiency of which are hereby acknowledged, and intending to be legally bound hereby, the Parties hereby agree as follows: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4"/>
        </w:rPr>
      </w:pPr>
      <w:r>
        <w:rPr>
          <w:rFonts w:ascii="Times New Roman;serif" w:hAnsi="Times New Roman;serif"/>
          <w:b/>
          <w:color w:val="000000"/>
          <w:sz w:val="24"/>
        </w:rPr>
        <w:t>1. Amendment.</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4"/>
        </w:rPr>
        <w:t xml:space="preserve">(a) </w:t>
      </w:r>
      <w:r>
        <w:rPr>
          <w:rFonts w:ascii="Times New Roman;serif" w:hAnsi="Times New Roman;serif"/>
          <w:b/>
          <w:color w:val="000000"/>
          <w:sz w:val="24"/>
        </w:rPr>
        <w:t>Amendment to Section 8.1 (Definitions).</w:t>
      </w:r>
      <w:r>
        <w:rPr>
          <w:color w:val="000000"/>
        </w:rPr>
        <w:t xml:space="preserve"> </w:t>
      </w:r>
      <w:r>
        <w:rPr>
          <w:rFonts w:ascii="Times New Roman;serif" w:hAnsi="Times New Roman;serif"/>
          <w:b w:val="false"/>
          <w:color w:val="000000"/>
          <w:sz w:val="24"/>
        </w:rPr>
        <w:t>Section 8.1 of the Investment Agreement is hereby amended as follows:</w:t>
      </w:r>
    </w:p>
    <w:p>
      <w:pPr>
        <w:pStyle w:val="TextBody"/>
        <w:bidi w:val="0"/>
        <w:spacing w:before="0" w:after="0"/>
        <w:jc w:val="left"/>
        <w:rPr/>
      </w:pPr>
      <w:r>
        <w:rPr/>
      </w:r>
    </w:p>
    <w:p>
      <w:pPr>
        <w:pStyle w:val="TextBody"/>
        <w:bidi w:val="0"/>
        <w:spacing w:lineRule="auto" w:line="276"/>
        <w:jc w:val="left"/>
        <w:rPr>
          <w:rFonts w:ascii="Times New Roman;serif" w:hAnsi="Times New Roman;serif"/>
          <w:b w:val="false"/>
          <w:color w:val="000000"/>
          <w:sz w:val="24"/>
        </w:rPr>
      </w:pPr>
      <w:r>
        <w:rPr>
          <w:rFonts w:ascii="Times New Roman;serif" w:hAnsi="Times New Roman;serif"/>
          <w:b w:val="false"/>
          <w:color w:val="000000"/>
          <w:sz w:val="24"/>
        </w:rPr>
        <w:t>(i) The following new definitions are hereby added to Section 8.1 of the Investment Agreement in appropriate alphabetical order:</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color w:val="000000"/>
        </w:rPr>
      </w:pPr>
      <w:r>
        <w:rPr>
          <w:color w:val="000000"/>
        </w:rPr>
        <w:t>“</w:t>
      </w:r>
      <w:r>
        <w:rPr>
          <w:rFonts w:ascii="Times New Roman;serif" w:hAnsi="Times New Roman;serif"/>
          <w:b w:val="false"/>
          <w:color w:val="000000"/>
          <w:sz w:val="24"/>
        </w:rPr>
        <w:t>New Warrant”: That certain Common Stock Purchase Warrant, dated as of August 31, 2026, issued by the Company to the Purchaser pursuant to the Warrant Cancellation Agreement, comprised of five Tranches (each representing 305,112 shares of Class A Common Stock and approximately 1.7% of the Company’s Class A Common Stock on a Fully Diluted basis as of the issuance date thereof), with vesting based on cumulative Root-attributed policy originations at milestones of 180,000, 210,000, 250,000, 290,000 and 340,000 Company Policies, respectively, and exercise prices set at 30%, 40%, 50%, 60% and 70% premiums to the Signing VWAP (as defined in the New Warrant), entitling the Purchaser to purchase up to 1,525,560 shares of Class A Common Stock in aggregate, subject to the terms and conditions set forth therein.</w:t>
      </w:r>
    </w:p>
    <w:p>
      <w:pPr>
        <w:pStyle w:val="TextBody"/>
        <w:bidi w:val="0"/>
        <w:spacing w:before="0" w:after="0"/>
        <w:jc w:val="left"/>
        <w:rPr/>
      </w:pPr>
      <w:r>
        <w:rPr/>
      </w:r>
    </w:p>
    <w:p>
      <w:pPr>
        <w:pStyle w:val="TextBody"/>
        <w:bidi w:val="0"/>
        <w:spacing w:lineRule="auto" w:line="276" w:before="0" w:after="0"/>
        <w:jc w:val="left"/>
        <w:rPr>
          <w:color w:val="000000"/>
        </w:rPr>
      </w:pPr>
      <w:r>
        <w:rPr>
          <w:color w:val="000000"/>
        </w:rPr>
        <w:t>“</w:t>
      </w:r>
      <w:r>
        <w:rPr>
          <w:rFonts w:ascii="Times New Roman;serif" w:hAnsi="Times New Roman;serif"/>
          <w:b w:val="false"/>
          <w:color w:val="000000"/>
          <w:sz w:val="24"/>
        </w:rPr>
        <w:t>Warrant Cancellation Agreement”: That certain Warrant Cancellation and Exchange Agreement, dated as of August 31, 2026, by and between the Company and the Purchaser, pursuant to which the Long-Term Warrants were cancelled and the New Warrant was issued.</w:t>
      </w:r>
    </w:p>
    <w:p>
      <w:pPr>
        <w:pStyle w:val="TextBody"/>
        <w:bidi w:val="0"/>
        <w:spacing w:before="0" w:after="0"/>
        <w:jc w:val="left"/>
        <w:rPr/>
      </w:pPr>
      <w:r>
        <w:rPr/>
      </w:r>
    </w:p>
    <w:p>
      <w:pPr>
        <w:pStyle w:val="TextBody"/>
        <w:bidi w:val="0"/>
        <w:spacing w:lineRule="auto" w:line="276" w:before="0" w:after="0"/>
        <w:jc w:val="left"/>
        <w:rPr>
          <w:color w:val="000000"/>
        </w:rPr>
      </w:pPr>
      <w:r>
        <w:rPr>
          <w:color w:val="000000"/>
        </w:rPr>
        <w:t>“</w:t>
      </w:r>
      <w:r>
        <w:rPr>
          <w:rFonts w:ascii="Times New Roman;serif" w:hAnsi="Times New Roman;serif"/>
          <w:b w:val="false"/>
          <w:color w:val="000000"/>
          <w:sz w:val="24"/>
        </w:rPr>
        <w:t>Warrants”: The New Warrant (as defined herein).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(ii) The definitions of “Short-Term Warrants” and “Long-Term Warrants” in Section 8.1 of the Investment Agreement are hereby amended and restated in their entirety to read as follows:</w:t>
      </w:r>
    </w:p>
    <w:p>
      <w:pPr>
        <w:pStyle w:val="TextBody"/>
        <w:bidi w:val="0"/>
        <w:spacing w:before="0" w:after="0"/>
        <w:jc w:val="left"/>
        <w:rPr/>
      </w:pPr>
      <w:r>
        <w:rPr/>
      </w:r>
    </w:p>
    <w:p>
      <w:pPr>
        <w:pStyle w:val="TextBody"/>
        <w:bidi w:val="0"/>
        <w:spacing w:lineRule="auto" w:line="276" w:before="0" w:after="0"/>
        <w:jc w:val="left"/>
        <w:rPr>
          <w:color w:val="000000"/>
        </w:rPr>
      </w:pPr>
      <w:r>
        <w:rPr>
          <w:color w:val="000000"/>
        </w:rPr>
        <w:t>“</w:t>
      </w:r>
      <w:r>
        <w:rPr>
          <w:rFonts w:ascii="Times New Roman;serif" w:hAnsi="Times New Roman;serif"/>
          <w:b w:val="false"/>
          <w:color w:val="000000"/>
          <w:sz w:val="24"/>
        </w:rPr>
        <w:t>Short-Term Warrants”: Those certain Common Stock Purchase Warrants designated as Short Term Tranche 1, Short Term Tranche 2, and Short Term Tranche 3, each issued by the Company to the Purchaser on October 1, 2021 and each of which has expired in accordance with its terms.</w:t>
      </w:r>
    </w:p>
    <w:p>
      <w:pPr>
        <w:pStyle w:val="TextBody"/>
        <w:bidi w:val="0"/>
        <w:spacing w:before="0" w:after="0"/>
        <w:jc w:val="left"/>
        <w:rPr/>
      </w:pPr>
      <w:r>
        <w:rPr/>
      </w:r>
    </w:p>
    <w:p>
      <w:pPr>
        <w:pStyle w:val="TextBody"/>
        <w:bidi w:val="0"/>
        <w:spacing w:lineRule="auto" w:line="276" w:before="0" w:after="0"/>
        <w:jc w:val="left"/>
        <w:rPr>
          <w:color w:val="000000"/>
        </w:rPr>
      </w:pPr>
      <w:r>
        <w:rPr>
          <w:color w:val="000000"/>
        </w:rPr>
        <w:t>“</w:t>
      </w:r>
      <w:r>
        <w:rPr>
          <w:rFonts w:ascii="Times New Roman;serif" w:hAnsi="Times New Roman;serif"/>
          <w:b w:val="false"/>
          <w:color w:val="000000"/>
          <w:sz w:val="24"/>
        </w:rPr>
        <w:t>Long-Term Warrants”: Those certain Common Stock Purchase Warrants designated as Long Term Tranche 1, Long Term Tranche 2, Long Term Tranche 3, Long Term Tranche 4, and Long Term Tranche 5, each issued by the Company to the Purchaser on October 1, 2021 and each of which has been cancelled pursuant to the Warrant Cancellation Agreement.</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(iii) All references to share counts or percentages in Section 8.1 or elsewhere in the Investment Agreement that were calculated based on the pre-split capitalization of the Company are hereby deemed adjusted to reflect the 1-for-18 reverse stock split of the Company’s Class A Common Stock effected on August 12, 2022 (the “Reverse Stock Split”). </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4"/>
        </w:rPr>
        <w:t xml:space="preserve">(b) </w:t>
      </w:r>
      <w:r>
        <w:rPr>
          <w:rFonts w:ascii="Times New Roman;serif" w:hAnsi="Times New Roman;serif"/>
          <w:b/>
          <w:color w:val="000000"/>
          <w:sz w:val="24"/>
        </w:rPr>
        <w:t>Amendment to Section 6.5 (Standstill) and Section 6.7 (Transfers of Securities).</w:t>
      </w:r>
      <w:r>
        <w:rPr>
          <w:color w:val="000000"/>
        </w:rPr>
        <w:t xml:space="preserve"> </w:t>
      </w:r>
      <w:r>
        <w:rPr>
          <w:rFonts w:ascii="Times New Roman;serif" w:hAnsi="Times New Roman;serif"/>
          <w:b w:val="false"/>
          <w:color w:val="000000"/>
          <w:sz w:val="24"/>
        </w:rPr>
        <w:t>Section 6.5(a) of the Investment Agreement is hereby amended and restated in its entirety to read as follows:</w:t>
      </w:r>
    </w:p>
    <w:p>
      <w:pPr>
        <w:pStyle w:val="TextBody"/>
        <w:bidi w:val="0"/>
        <w:spacing w:before="0" w:after="0"/>
        <w:jc w:val="left"/>
        <w:rPr/>
      </w:pPr>
      <w:r>
        <w:rPr/>
      </w:r>
    </w:p>
    <w:p>
      <w:pPr>
        <w:pStyle w:val="TextBody"/>
        <w:bidi w:val="0"/>
        <w:spacing w:lineRule="auto" w:line="276"/>
        <w:jc w:val="left"/>
        <w:rPr>
          <w:color w:val="000000"/>
        </w:rPr>
      </w:pPr>
      <w:r>
        <w:rPr>
          <w:color w:val="000000"/>
        </w:rPr>
        <w:t>“</w:t>
      </w:r>
      <w:r>
        <w:rPr>
          <w:rFonts w:ascii="Times New Roman;serif" w:hAnsi="Times New Roman;serif"/>
          <w:b w:val="false"/>
          <w:color w:val="000000"/>
          <w:sz w:val="24"/>
        </w:rPr>
        <w:t xml:space="preserve">(a) During the period from the date of this Agreement until the Termination Date (as defined in the New Warrant as in effect on the date hereof) (the “Standstill Period”), </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r>
        <w:rPr>
          <w:rFonts w:ascii="Times New Roman;serif" w:hAnsi="Times New Roman;serif"/>
          <w:b w:val="false"/>
          <w:color w:val="000000"/>
          <w:sz w:val="24"/>
        </w:rPr>
        <w:t xml:space="preserve">except as permitted by the Board in its sole discretion subject to clause (x) below or as otherwise specified below, the Purchaser shall not, and shall cause its Controlled Affiliates and Representatives not to, directly or indirectly, alone or acting in concert, but expressly subject, in each case, to the provisions of </w:t>
      </w:r>
      <w:r>
        <w:rPr>
          <w:rFonts w:ascii="Times New Roman;serif" w:hAnsi="Times New Roman;serif"/>
          <w:b w:val="false"/>
          <w:color w:val="000000"/>
          <w:sz w:val="24"/>
          <w:u w:val="single"/>
        </w:rPr>
        <w:t>Section 6.5(b)</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Section 6.7(a) of the Investment Agreement is hereby amended by replacing the phrase “During the Standstill Period,” where it appears at the beginning thereof, with the phrase “During the period from the date of this Agreement until the fifth anniversary of the Closing Date,”. For the avoidance of doubt, the amendment to Section 6.5(a) set forth above extends the Standstill Period solely for purposes of Section 6.5, and does not extend, and shall not be construed to extend, the restrictions on Transfer set forth in Section 6.7(a), which shall continue to expire on the fifth anniversary of the Closing Date. For avoidance of doubt, transfer of the New Warrant shall be governed by the terms of the New Warrant.</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4"/>
        </w:rPr>
        <w:t xml:space="preserve">(c) </w:t>
      </w:r>
      <w:r>
        <w:rPr>
          <w:rFonts w:ascii="Times New Roman;serif" w:hAnsi="Times New Roman;serif"/>
          <w:b/>
          <w:color w:val="000000"/>
          <w:sz w:val="24"/>
        </w:rPr>
        <w:t>Amendment to Section 6.15 (Corporate Actions).</w:t>
      </w:r>
      <w:r>
        <w:rPr>
          <w:color w:val="000000"/>
        </w:rPr>
        <w:t xml:space="preserve"> </w:t>
      </w:r>
      <w:r>
        <w:rPr>
          <w:rFonts w:ascii="Times New Roman;serif" w:hAnsi="Times New Roman;serif"/>
          <w:b w:val="false"/>
          <w:color w:val="000000"/>
          <w:sz w:val="24"/>
        </w:rPr>
        <w:t>Section 6.15 of the Investment Agreement is hereby amended and restated in its entirety to read as follows:</w:t>
      </w:r>
    </w:p>
    <w:p>
      <w:pPr>
        <w:pStyle w:val="TextBody"/>
        <w:bidi w:val="0"/>
        <w:spacing w:before="0" w:after="0"/>
        <w:jc w:val="left"/>
        <w:rPr/>
      </w:pPr>
      <w:r>
        <w:rPr/>
      </w:r>
    </w:p>
    <w:p>
      <w:pPr>
        <w:pStyle w:val="TextBody"/>
        <w:bidi w:val="0"/>
        <w:spacing w:lineRule="auto" w:line="276" w:before="0" w:after="0"/>
        <w:jc w:val="left"/>
        <w:rPr>
          <w:color w:val="000000"/>
        </w:rPr>
      </w:pPr>
      <w:r>
        <w:rPr>
          <w:color w:val="000000"/>
        </w:rPr>
        <w:t>“</w:t>
      </w:r>
      <w:r>
        <w:rPr>
          <w:rFonts w:ascii="Times New Roman;serif" w:hAnsi="Times New Roman;serif"/>
          <w:b w:val="false"/>
          <w:color w:val="000000"/>
          <w:sz w:val="24"/>
        </w:rPr>
        <w:t>6.15 Corporate Actions. At any time that Preferred Stock or the New Warrant (including all Tranches thereof) remains outstanding, the Company shall take all lawful action to cause the authorized capital stock of the Company to include a sufficient number of authorized but unissued shares of Class A Common Stock to satisfy the conversion requirements of the Preferred Stock and the exercise requirements of the New Warrant (including all Tranches thereof) then outstanding.”</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4"/>
        </w:rPr>
        <w:t xml:space="preserve">(d) </w:t>
      </w:r>
      <w:r>
        <w:rPr>
          <w:rFonts w:ascii="Times New Roman;serif" w:hAnsi="Times New Roman;serif"/>
          <w:b/>
          <w:color w:val="000000"/>
          <w:sz w:val="24"/>
        </w:rPr>
        <w:t>Amendment to Section 6.16 (NASDAQ Listing of Shares).</w:t>
      </w:r>
      <w:r>
        <w:rPr>
          <w:color w:val="000000"/>
        </w:rPr>
        <w:t xml:space="preserve"> </w:t>
      </w:r>
      <w:r>
        <w:rPr>
          <w:rFonts w:ascii="Times New Roman;serif" w:hAnsi="Times New Roman;serif"/>
          <w:b w:val="false"/>
          <w:color w:val="000000"/>
          <w:sz w:val="24"/>
        </w:rPr>
        <w:t>Section 6.16 of the Investment Agreement is hereby amended and restated in its entirety to read as follows:</w:t>
      </w:r>
    </w:p>
    <w:p>
      <w:pPr>
        <w:pStyle w:val="TextBody"/>
        <w:bidi w:val="0"/>
        <w:spacing w:before="0" w:after="0"/>
        <w:jc w:val="left"/>
        <w:rPr/>
      </w:pPr>
      <w:r>
        <w:rPr/>
      </w:r>
    </w:p>
    <w:p>
      <w:pPr>
        <w:pStyle w:val="TextBody"/>
        <w:bidi w:val="0"/>
        <w:spacing w:lineRule="auto" w:line="276" w:before="0" w:after="0"/>
        <w:jc w:val="left"/>
        <w:rPr>
          <w:color w:val="000000"/>
        </w:rPr>
      </w:pPr>
      <w:r>
        <w:rPr>
          <w:color w:val="000000"/>
        </w:rPr>
        <w:t>“</w:t>
      </w:r>
      <w:r>
        <w:rPr>
          <w:rFonts w:ascii="Times New Roman;serif" w:hAnsi="Times New Roman;serif"/>
          <w:b w:val="false"/>
          <w:color w:val="000000"/>
          <w:sz w:val="24"/>
        </w:rPr>
        <w:t>6.16 NASDAQ Listing of Shares. The Company shall promptly apply to cause the aggregate number of shares of Class A Common Stock issuable upon conversion of the Preferred Stock and exercise of all Tranches of the New Warrant to be approved for listing on NASDAQ, subject to official notice of issuance, or such other primary exchange as to which Class A Common Stock is then admitted for trading.”</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4"/>
        </w:rPr>
        <w:t xml:space="preserve">(e) </w:t>
      </w:r>
      <w:r>
        <w:rPr>
          <w:rFonts w:ascii="Times New Roman;serif" w:hAnsi="Times New Roman;serif"/>
          <w:b/>
          <w:color w:val="000000"/>
          <w:sz w:val="24"/>
        </w:rPr>
        <w:t>Conforming Changes.</w:t>
      </w:r>
      <w:r>
        <w:rPr>
          <w:color w:val="000000"/>
        </w:rPr>
        <w:t xml:space="preserve"> </w:t>
      </w:r>
      <w:r>
        <w:rPr>
          <w:rFonts w:ascii="Times New Roman;serif" w:hAnsi="Times New Roman;serif"/>
          <w:b w:val="false"/>
          <w:color w:val="000000"/>
          <w:sz w:val="24"/>
        </w:rPr>
        <w:t>All other references in the Investment Agreement to “Warrants” shall, from and after the date hereof, be deemed to refer to the New Warrant, and all references to the “Short-Term Warrants” and “Long-Term Warrants” shall be deemed to refer to such instruments as expired or cancelled, respectively, as described in the amended definitions set forth in Section 1(a) above, to the extent applicable. For the avoidance of doubt, the New Warrant is a single instrument comprised of five independently exercisable Tranches, and references in the Investment Agreement to the “Warrants” shall be deemed to refer to the New Warrant and all Tranches thereof. For the further avoidance of doubt, the Product Integration Date (as defined in the original Warrants) occurred on September 1, 2022, and no further action is required with respect thereto.</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r>
        <w:rPr>
          <w:rFonts w:ascii="Times New Roman;serif" w:hAnsi="Times New Roman;serif"/>
          <w:b/>
          <w:color w:val="000000"/>
          <w:sz w:val="24"/>
        </w:rPr>
        <w:t>2. Capitalized Terms.</w:t>
      </w:r>
      <w:r>
        <w:rPr>
          <w:color w:val="000000"/>
        </w:rPr>
        <w:t xml:space="preserve"> </w:t>
      </w:r>
      <w:r>
        <w:rPr>
          <w:rFonts w:ascii="Times New Roman;serif" w:hAnsi="Times New Roman;serif"/>
          <w:b w:val="false"/>
          <w:color w:val="000000"/>
          <w:sz w:val="24"/>
        </w:rPr>
        <w:t>Capitalized terms used but not otherwise defined herein shall have the meanings ascribed to them in the Investment Agreement.</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4"/>
        </w:rPr>
        <w:t>3. Effect of Amendment.</w:t>
      </w:r>
      <w:r>
        <w:rPr>
          <w:color w:val="000000"/>
        </w:rPr>
        <w:t xml:space="preserve"> </w:t>
      </w:r>
      <w:r>
        <w:rPr>
          <w:rFonts w:ascii="Times New Roman;serif" w:hAnsi="Times New Roman;serif"/>
          <w:b w:val="false"/>
          <w:color w:val="000000"/>
          <w:sz w:val="24"/>
        </w:rPr>
        <w:t>This Amendment shall not constitute an amendment or waiver of any provision of the Investment Agreement not expressly amended or waived herein and shall not be construed as an amendment, waiver or consent to any action that would require an amendment, waiver or consent, except as expressly stated herein. The Investment Agreement, as amended by this Amendment, is and shall continue to be in full force and effect and is in all respects ratified and confirmed hereby.</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4"/>
        </w:rPr>
      </w:pPr>
      <w:r>
        <w:rPr>
          <w:rFonts w:ascii="Times New Roman;serif" w:hAnsi="Times New Roman;serif"/>
          <w:b/>
          <w:color w:val="000000"/>
          <w:sz w:val="24"/>
        </w:rPr>
        <w:t>4. Miscellaneous.</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4"/>
        </w:rPr>
        <w:t xml:space="preserve">(a) </w:t>
      </w:r>
      <w:r>
        <w:rPr>
          <w:rFonts w:ascii="Times New Roman;serif" w:hAnsi="Times New Roman;serif"/>
          <w:b/>
          <w:color w:val="000000"/>
          <w:sz w:val="24"/>
        </w:rPr>
        <w:t>Counterparts; Electronic Signatures.</w:t>
      </w:r>
      <w:r>
        <w:rPr>
          <w:color w:val="000000"/>
        </w:rPr>
        <w:t xml:space="preserve"> </w:t>
      </w:r>
      <w:r>
        <w:rPr>
          <w:rFonts w:ascii="Times New Roman;serif" w:hAnsi="Times New Roman;serif"/>
          <w:b w:val="false"/>
          <w:color w:val="000000"/>
          <w:sz w:val="24"/>
        </w:rPr>
        <w:t>This Amendment may be executed and delivered in one or more counterparts, all of which shall be considered one and the same agreement and shall become effective when one or more counterparts have been signed by each party and delivered to the other, it being understood that all parties need not sign the same counterpart. This Amendment may be executed by facsimile, by any electronic signature covered by the U.S. federal ESIGN Act of 2000, Uniform Electronic Transactions Act, the Electronic Signatures and Records Act, or other applicable law (e.g., www.docusign.com), or by .pdf signature by any party and such signature shall be deemed binding for all purposes hereof without delivery of an original signature being thereafter required.</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4"/>
        </w:rPr>
        <w:t xml:space="preserve">(b) </w:t>
      </w:r>
      <w:r>
        <w:rPr>
          <w:rFonts w:ascii="Times New Roman;serif" w:hAnsi="Times New Roman;serif"/>
          <w:b/>
          <w:color w:val="000000"/>
          <w:sz w:val="24"/>
        </w:rPr>
        <w:t>Severability.</w:t>
      </w:r>
      <w:r>
        <w:rPr>
          <w:color w:val="000000"/>
        </w:rPr>
        <w:t xml:space="preserve"> </w:t>
      </w:r>
      <w:r>
        <w:rPr>
          <w:rFonts w:ascii="Times New Roman;serif" w:hAnsi="Times New Roman;serif"/>
          <w:b w:val="false"/>
          <w:color w:val="000000"/>
          <w:sz w:val="24"/>
        </w:rPr>
        <w:t>Any term or provision of this Amendment that is illegal, invalid or unenforceable in any jurisdiction shall, as to that jurisdiction, be ineffective to the extent of such illegality, invalidity or unenforceability without rendering illegal, invalid or unenforceable the remaining terms and provisions of this Amendment or affecting the legality, validity or enforceability of any of the terms or provisions of this Amendment in any other jurisdiction.</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4"/>
        </w:rPr>
        <w:t xml:space="preserve">(c) </w:t>
      </w:r>
      <w:r>
        <w:rPr>
          <w:rFonts w:ascii="Times New Roman;serif" w:hAnsi="Times New Roman;serif"/>
          <w:b/>
          <w:color w:val="000000"/>
          <w:sz w:val="24"/>
        </w:rPr>
        <w:t>Further Assurances.</w:t>
      </w:r>
      <w:r>
        <w:rPr>
          <w:color w:val="000000"/>
        </w:rPr>
        <w:t xml:space="preserve"> </w:t>
      </w:r>
      <w:r>
        <w:rPr>
          <w:rFonts w:ascii="Times New Roman;serif" w:hAnsi="Times New Roman;serif"/>
          <w:b w:val="false"/>
          <w:color w:val="000000"/>
          <w:sz w:val="24"/>
        </w:rPr>
        <w:t>Each Party agrees to execute and deliver such additional documents and to take such further actions as may be reasonably necessary or appropriate to carry out and effectuate the purposes of this Amendment.</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follows]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IN WITNESS WHEREOF, the parties have executed this Amendment as of the date first written above.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ROOT, INC.</w:t>
      </w:r>
    </w:p>
    <w:p>
      <w:pPr>
        <w:pStyle w:val="TextBody"/>
        <w:bidi w:val="0"/>
        <w:spacing w:before="0" w:after="0"/>
        <w:jc w:val="left"/>
        <w:rPr/>
      </w:pPr>
      <w:r>
        <w:rPr/>
      </w:r>
    </w:p>
    <w:tbl>
      <w:tblPr>
        <w:tblW w:w="4267" w:type="dxa"/>
        <w:jc w:val="left"/>
        <w:tblInd w:w="0" w:type="dxa"/>
        <w:tblLayout w:type="fixed"/>
        <w:tblCellMar>
          <w:top w:w="28" w:type="dxa"/>
          <w:left w:w="28" w:type="dxa"/>
          <w:bottom w:w="28" w:type="dxa"/>
          <w:right w:w="28" w:type="dxa"/>
        </w:tblCellMar>
      </w:tblPr>
      <w:tblGrid>
        <w:gridCol w:w="271"/>
        <w:gridCol w:w="238"/>
        <w:gridCol w:w="241"/>
        <w:gridCol w:w="594"/>
        <w:gridCol w:w="594"/>
        <w:gridCol w:w="594"/>
        <w:gridCol w:w="342"/>
        <w:gridCol w:w="342"/>
        <w:gridCol w:w="352"/>
        <w:gridCol w:w="109"/>
        <w:gridCol w:w="109"/>
        <w:gridCol w:w="109"/>
        <w:gridCol w:w="109"/>
        <w:gridCol w:w="109"/>
        <w:gridCol w:w="154"/>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81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Jonathan Allison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1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Jonathan Allison</w:t>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281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Chief Administrative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CARVANA GROUP, LLC</w:t>
      </w:r>
    </w:p>
    <w:p>
      <w:pPr>
        <w:pStyle w:val="TextBody"/>
        <w:bidi w:val="0"/>
        <w:spacing w:before="0" w:after="0"/>
        <w:jc w:val="left"/>
        <w:rPr/>
      </w:pPr>
      <w:r>
        <w:rPr/>
      </w:r>
    </w:p>
    <w:tbl>
      <w:tblPr>
        <w:tblW w:w="4987" w:type="dxa"/>
        <w:jc w:val="left"/>
        <w:tblInd w:w="0" w:type="dxa"/>
        <w:tblLayout w:type="fixed"/>
        <w:tblCellMar>
          <w:top w:w="28" w:type="dxa"/>
          <w:left w:w="28" w:type="dxa"/>
          <w:bottom w:w="28" w:type="dxa"/>
          <w:right w:w="28" w:type="dxa"/>
        </w:tblCellMar>
      </w:tblPr>
      <w:tblGrid>
        <w:gridCol w:w="271"/>
        <w:gridCol w:w="238"/>
        <w:gridCol w:w="241"/>
        <w:gridCol w:w="972"/>
        <w:gridCol w:w="972"/>
        <w:gridCol w:w="976"/>
        <w:gridCol w:w="206"/>
        <w:gridCol w:w="206"/>
        <w:gridCol w:w="206"/>
        <w:gridCol w:w="109"/>
        <w:gridCol w:w="109"/>
        <w:gridCol w:w="109"/>
        <w:gridCol w:w="109"/>
        <w:gridCol w:w="109"/>
        <w:gridCol w:w="154"/>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Paul Breaux</w:t>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2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Paul Breaux</w:t>
            </w:r>
          </w:p>
        </w:tc>
        <w:tc>
          <w:tcPr>
            <w:tcW w:w="6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353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Vice President and General Counsel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jc w:val="center"/>
        <w:rPr>
          <w:rFonts w:ascii="Times New Roman;serif" w:hAnsi="Times New Roman;serif"/>
          <w:b w:val="false"/>
          <w:color w:val="000000"/>
          <w:sz w:val="24"/>
        </w:rPr>
      </w:pPr>
      <w:r>
        <w:rPr>
          <w:rFonts w:ascii="Times New Roman;serif" w:hAnsi="Times New Roman;serif"/>
          <w:b w:val="false"/>
          <w:color w:val="000000"/>
          <w:sz w:val="24"/>
        </w:rPr>
        <w:t>[Signature Page to Second Amendment to the Investment Agreement]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4" w:before="0" w:after="0"/>
        <w:jc w:val="right"/>
        <w:rPr>
          <w:rFonts w:ascii="Times New Roman;serif" w:hAnsi="Times New Roman;serif"/>
          <w:b/>
          <w:color w:val="000000"/>
          <w:sz w:val="22"/>
        </w:rPr>
      </w:pPr>
      <w:r>
        <w:rPr>
          <w:rFonts w:ascii="Times New Roman;serif" w:hAnsi="Times New Roman;serif"/>
          <w:b/>
          <w:color w:val="000000"/>
          <w:sz w:val="22"/>
        </w:rPr>
        <w:t>Exhibit 10.4</w:t>
      </w:r>
    </w:p>
    <w:p>
      <w:pPr>
        <w:pStyle w:val="TextBody"/>
        <w:bidi w:val="0"/>
        <w:spacing w:lineRule="auto" w:line="304" w:before="0" w:after="0"/>
        <w:jc w:val="center"/>
        <w:rPr>
          <w:rFonts w:ascii="Times New Roman;serif" w:hAnsi="Times New Roman;serif"/>
          <w:b/>
          <w:color w:val="000000"/>
          <w:sz w:val="24"/>
        </w:rPr>
      </w:pPr>
      <w:r>
        <w:rPr>
          <w:rFonts w:ascii="Times New Roman;serif" w:hAnsi="Times New Roman;serif"/>
          <w:b/>
          <w:color w:val="000000"/>
          <w:sz w:val="24"/>
        </w:rPr>
        <w:t>FIRST AMENDMENT TO THE</w:t>
      </w:r>
    </w:p>
    <w:p>
      <w:pPr>
        <w:pStyle w:val="TextBody"/>
        <w:bidi w:val="0"/>
        <w:spacing w:lineRule="auto" w:line="304" w:before="0" w:after="0"/>
        <w:jc w:val="center"/>
        <w:rPr>
          <w:rFonts w:ascii="Times New Roman;serif" w:hAnsi="Times New Roman;serif"/>
          <w:b/>
          <w:color w:val="000000"/>
          <w:sz w:val="24"/>
        </w:rPr>
      </w:pPr>
      <w:r>
        <w:rPr>
          <w:rFonts w:ascii="Times New Roman;serif" w:hAnsi="Times New Roman;serif"/>
          <w:b/>
          <w:color w:val="000000"/>
          <w:sz w:val="24"/>
        </w:rPr>
        <w:t>REGISTRATION RIGHTS AGREEMENT</w:t>
      </w:r>
    </w:p>
    <w:p>
      <w:pPr>
        <w:pStyle w:val="TextBody"/>
        <w:bidi w:val="0"/>
        <w:spacing w:before="0" w:after="0"/>
        <w:jc w:val="center"/>
        <w:rPr/>
      </w:pPr>
      <w:r>
        <w:rPr/>
      </w:r>
    </w:p>
    <w:p>
      <w:pPr>
        <w:pStyle w:val="TextBody"/>
        <w:bidi w:val="0"/>
        <w:spacing w:lineRule="auto" w:line="304" w:before="0" w:after="0"/>
        <w:jc w:val="center"/>
        <w:rPr>
          <w:rFonts w:ascii="Times New Roman;serif" w:hAnsi="Times New Roman;serif"/>
          <w:b w:val="false"/>
          <w:color w:val="000000"/>
          <w:sz w:val="24"/>
        </w:rPr>
      </w:pPr>
      <w:r>
        <w:rPr>
          <w:rFonts w:ascii="Times New Roman;serif" w:hAnsi="Times New Roman;serif"/>
          <w:b w:val="false"/>
          <w:color w:val="000000"/>
          <w:sz w:val="24"/>
        </w:rPr>
        <w:t>dated as of August 31, 2026</w:t>
      </w:r>
    </w:p>
    <w:p>
      <w:pPr>
        <w:pStyle w:val="TextBody"/>
        <w:bidi w:val="0"/>
        <w:spacing w:before="0" w:after="0"/>
        <w:jc w:val="center"/>
        <w:rPr/>
      </w:pPr>
      <w:r>
        <w:rPr/>
      </w:r>
    </w:p>
    <w:p>
      <w:pPr>
        <w:pStyle w:val="TextBody"/>
        <w:bidi w:val="0"/>
        <w:spacing w:lineRule="auto" w:line="304"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First Amendment to the Registration Rights Agreement (this “Amendment”) is entered into as of August 31, 2026, by and between Root, Inc., a Delaware corporation (the “Company”), and Carvana Group, LLC, a Delaware limited liability company (the “Holder” and, together with the Company, the “Parties”, and each, a “Party”).</w:t>
      </w:r>
    </w:p>
    <w:p>
      <w:pPr>
        <w:pStyle w:val="TextBody"/>
        <w:bidi w:val="0"/>
        <w:spacing w:before="0" w:after="0"/>
        <w:ind w:left="0" w:right="0" w:firstLine="720"/>
        <w:jc w:val="both"/>
        <w:rPr/>
      </w:pPr>
      <w:r>
        <w:rPr/>
      </w:r>
    </w:p>
    <w:p>
      <w:pPr>
        <w:pStyle w:val="TextBody"/>
        <w:bidi w:val="0"/>
        <w:spacing w:lineRule="auto" w:line="300" w:before="0" w:after="0"/>
        <w:jc w:val="center"/>
        <w:rPr>
          <w:rFonts w:ascii="Times New Roman;serif" w:hAnsi="Times New Roman;serif"/>
          <w:b/>
          <w:color w:val="000000"/>
          <w:sz w:val="24"/>
        </w:rPr>
      </w:pPr>
      <w:r>
        <w:rPr>
          <w:rFonts w:ascii="Times New Roman;serif" w:hAnsi="Times New Roman;serif"/>
          <w:b/>
          <w:color w:val="000000"/>
          <w:sz w:val="24"/>
        </w:rPr>
        <w:t>RECITALS</w:t>
      </w:r>
    </w:p>
    <w:p>
      <w:pPr>
        <w:pStyle w:val="TextBody"/>
        <w:bidi w:val="0"/>
        <w:spacing w:before="0" w:after="0"/>
        <w:jc w:val="center"/>
        <w:rPr/>
      </w:pPr>
      <w:r>
        <w:rPr/>
      </w:r>
    </w:p>
    <w:p>
      <w:pPr>
        <w:pStyle w:val="TextBody"/>
        <w:bidi w:val="0"/>
        <w:spacing w:lineRule="auto" w:line="300" w:before="0" w:after="0"/>
        <w:ind w:left="0" w:right="0" w:firstLine="720"/>
        <w:jc w:val="both"/>
        <w:rPr/>
      </w:pPr>
      <w:r>
        <w:rPr>
          <w:rFonts w:ascii="Times New Roman;serif" w:hAnsi="Times New Roman;serif"/>
          <w:b w:val="false"/>
          <w:color w:val="000000"/>
          <w:sz w:val="24"/>
          <w:u w:val="single"/>
        </w:rPr>
        <w:t>WHEREAS</w:t>
      </w:r>
      <w:r>
        <w:rPr>
          <w:rFonts w:ascii="Times New Roman;serif" w:hAnsi="Times New Roman;serif"/>
          <w:b w:val="false"/>
          <w:color w:val="000000"/>
          <w:sz w:val="24"/>
        </w:rPr>
        <w:t>, the Parties entered into that certain Registration Rights Agreement, attached as Exhibit D to the Investment Agreement, dated as of August 11, 2021 (the “Registration Rights Agreement”), by and between the Company and the Holder;</w:t>
      </w:r>
    </w:p>
    <w:p>
      <w:pPr>
        <w:pStyle w:val="TextBody"/>
        <w:bidi w:val="0"/>
        <w:spacing w:before="0" w:after="0"/>
        <w:ind w:left="0" w:right="0" w:firstLine="720"/>
        <w:jc w:val="both"/>
        <w:rPr/>
      </w:pPr>
      <w:r>
        <w:rPr/>
      </w:r>
    </w:p>
    <w:p>
      <w:pPr>
        <w:pStyle w:val="TextBody"/>
        <w:bidi w:val="0"/>
        <w:spacing w:lineRule="auto" w:line="300" w:before="0" w:after="0"/>
        <w:ind w:left="0" w:right="0" w:firstLine="720"/>
        <w:jc w:val="both"/>
        <w:rPr/>
      </w:pPr>
      <w:r>
        <w:rPr>
          <w:rFonts w:ascii="Times New Roman;serif" w:hAnsi="Times New Roman;serif"/>
          <w:b w:val="false"/>
          <w:color w:val="000000"/>
          <w:sz w:val="24"/>
          <w:u w:val="single"/>
        </w:rPr>
        <w:t>WHEREAS</w:t>
      </w:r>
      <w:r>
        <w:rPr>
          <w:rFonts w:ascii="Times New Roman;serif" w:hAnsi="Times New Roman;serif"/>
          <w:b w:val="false"/>
          <w:color w:val="000000"/>
          <w:sz w:val="24"/>
        </w:rPr>
        <w:t>, the Registration Rights Agreement provides that it may be amended by written agreement of the Company and the Holder;</w:t>
      </w:r>
    </w:p>
    <w:p>
      <w:pPr>
        <w:pStyle w:val="TextBody"/>
        <w:bidi w:val="0"/>
        <w:spacing w:before="0" w:after="0"/>
        <w:ind w:left="0" w:right="0" w:firstLine="720"/>
        <w:jc w:val="both"/>
        <w:rPr/>
      </w:pPr>
      <w:r>
        <w:rPr/>
      </w:r>
    </w:p>
    <w:p>
      <w:pPr>
        <w:pStyle w:val="TextBody"/>
        <w:bidi w:val="0"/>
        <w:spacing w:lineRule="auto" w:line="300" w:before="0" w:after="0"/>
        <w:ind w:left="0" w:right="0" w:firstLine="720"/>
        <w:jc w:val="both"/>
        <w:rPr/>
      </w:pPr>
      <w:r>
        <w:rPr>
          <w:rFonts w:ascii="Times New Roman;serif" w:hAnsi="Times New Roman;serif"/>
          <w:b w:val="false"/>
          <w:color w:val="000000"/>
          <w:sz w:val="24"/>
          <w:u w:val="single"/>
        </w:rPr>
        <w:t>WHEREAS</w:t>
      </w:r>
      <w:r>
        <w:rPr>
          <w:rFonts w:ascii="Times New Roman;serif" w:hAnsi="Times New Roman;serif"/>
          <w:b w:val="false"/>
          <w:color w:val="000000"/>
          <w:sz w:val="24"/>
        </w:rPr>
        <w:t>, in connection with the warrant restructuring contemplated by the Second Amendment to the Investment Agreement, dated as of August 31, 2026 (the “Second Amendment”), and the Warrant Cancellation and Exchange Agreement, dated as of August 31, 2026 (the “Warrant Cancellation Agreement”), the Parties wish to amend the Registration Rights Agreement to (i) replace the Demand Registration filing trigger in Section 2(a), (ii) expand the scope of the Company’s postponement rights under Section 2(f)(i) to also cover the filing of Shelf Registration Statements, (iii) update the definition of “Registrable Securities” in Section 1(e) to reference the New Warrant issued in connection with the warrant restructuring, (iv) confirm that the extension of the Standstill Period effected by the Second Amendment does not defer the Holder’s right to request a Shelf Take-Down under Section 2(b), and (v) make related conforming changes;</w:t>
      </w:r>
    </w:p>
    <w:p>
      <w:pPr>
        <w:pStyle w:val="TextBody"/>
        <w:bidi w:val="0"/>
        <w:spacing w:before="0" w:after="0"/>
        <w:ind w:left="0" w:right="0" w:firstLine="720"/>
        <w:jc w:val="both"/>
        <w:rPr/>
      </w:pPr>
      <w:r>
        <w:rPr/>
      </w:r>
    </w:p>
    <w:p>
      <w:pPr>
        <w:pStyle w:val="TextBody"/>
        <w:bidi w:val="0"/>
        <w:spacing w:lineRule="auto" w:line="300" w:before="0" w:after="0"/>
        <w:ind w:left="0" w:right="0" w:firstLine="720"/>
        <w:jc w:val="both"/>
        <w:rPr/>
      </w:pPr>
      <w:r>
        <w:rPr>
          <w:rFonts w:ascii="Times New Roman;serif" w:hAnsi="Times New Roman;serif"/>
          <w:b w:val="false"/>
          <w:color w:val="000000"/>
          <w:sz w:val="24"/>
          <w:u w:val="single"/>
        </w:rPr>
        <w:t>NOW, THEREFORE</w:t>
      </w:r>
      <w:r>
        <w:rPr>
          <w:rFonts w:ascii="Times New Roman;serif" w:hAnsi="Times New Roman;serif"/>
          <w:b w:val="false"/>
          <w:color w:val="000000"/>
          <w:sz w:val="24"/>
        </w:rPr>
        <w:t>, in consideration of the mutual covenants and agreements set forth herein and other good and valuable consideration, the receipt and sufficiency of which are hereby acknowledged, and intending to be legally bound hereby, the Parties hereby agree as follows:</w:t>
      </w:r>
    </w:p>
    <w:p>
      <w:pPr>
        <w:pStyle w:val="TextBody"/>
        <w:bidi w:val="0"/>
        <w:spacing w:before="0" w:after="0"/>
        <w:ind w:left="0" w:right="0" w:firstLine="720"/>
        <w:jc w:val="both"/>
        <w:rPr/>
      </w:pPr>
      <w:r>
        <w:rPr/>
      </w:r>
    </w:p>
    <w:p>
      <w:pPr>
        <w:pStyle w:val="TextBody"/>
        <w:bidi w:val="0"/>
        <w:spacing w:lineRule="auto" w:line="300" w:before="0" w:after="0"/>
        <w:jc w:val="center"/>
        <w:rPr>
          <w:rFonts w:ascii="Times New Roman;serif" w:hAnsi="Times New Roman;serif"/>
          <w:b/>
          <w:color w:val="000000"/>
          <w:sz w:val="24"/>
        </w:rPr>
      </w:pPr>
      <w:r>
        <w:rPr>
          <w:rFonts w:ascii="Times New Roman;serif" w:hAnsi="Times New Roman;serif"/>
          <w:b/>
          <w:color w:val="000000"/>
          <w:sz w:val="24"/>
        </w:rPr>
        <w:t>SECTION 1</w:t>
      </w:r>
    </w:p>
    <w:p>
      <w:pPr>
        <w:pStyle w:val="TextBody"/>
        <w:bidi w:val="0"/>
        <w:spacing w:before="0" w:after="0"/>
        <w:jc w:val="center"/>
        <w:rPr/>
      </w:pPr>
      <w:r>
        <w:rPr/>
      </w:r>
    </w:p>
    <w:p>
      <w:pPr>
        <w:pStyle w:val="TextBody"/>
        <w:bidi w:val="0"/>
        <w:spacing w:lineRule="auto" w:line="300" w:before="0" w:after="0"/>
        <w:jc w:val="center"/>
        <w:rPr>
          <w:rFonts w:ascii="Times New Roman;serif" w:hAnsi="Times New Roman;serif"/>
          <w:b/>
          <w:color w:val="000000"/>
          <w:sz w:val="24"/>
        </w:rPr>
      </w:pPr>
      <w:r>
        <w:rPr>
          <w:rFonts w:ascii="Times New Roman;serif" w:hAnsi="Times New Roman;serif"/>
          <w:b/>
          <w:color w:val="000000"/>
          <w:sz w:val="24"/>
        </w:rPr>
        <w:t>Amendment</w:t>
      </w:r>
    </w:p>
    <w:p>
      <w:pPr>
        <w:pStyle w:val="TextBody"/>
        <w:bidi w:val="0"/>
        <w:spacing w:before="0" w:after="0"/>
        <w:jc w:val="center"/>
        <w:rPr/>
      </w:pPr>
      <w:r>
        <w:rPr/>
      </w:r>
    </w:p>
    <w:p>
      <w:pPr>
        <w:pStyle w:val="TextBody"/>
        <w:bidi w:val="0"/>
        <w:spacing w:lineRule="auto" w:line="304"/>
        <w:jc w:val="both"/>
        <w:rPr/>
      </w:pPr>
      <w:r>
        <w:rPr>
          <w:rFonts w:ascii="Times New Roman;serif" w:hAnsi="Times New Roman;serif"/>
          <w:b/>
          <w:color w:val="000000"/>
          <w:sz w:val="24"/>
        </w:rPr>
        <w:t xml:space="preserve">(a) </w:t>
      </w:r>
      <w:r>
        <w:rPr>
          <w:rFonts w:ascii="Times New Roman;serif" w:hAnsi="Times New Roman;serif"/>
          <w:b w:val="false"/>
          <w:i/>
          <w:color w:val="000000"/>
          <w:sz w:val="24"/>
          <w:u w:val="single"/>
        </w:rPr>
        <w:t>Amendment to Section 1(e)</w:t>
      </w:r>
      <w:r>
        <w:rPr>
          <w:rFonts w:ascii="Times New Roman;serif" w:hAnsi="Times New Roman;serif"/>
          <w:b w:val="false"/>
          <w:color w:val="000000"/>
          <w:sz w:val="24"/>
        </w:rPr>
        <w:t>. The definition of “Registrable Securities” in Section 1(e) of the Registration Rights Agreement is hereby deleted in its entirety and replaced with the following:</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312" w:before="0" w:after="0"/>
        <w:jc w:val="both"/>
        <w:rPr>
          <w:color w:val="000000"/>
        </w:rPr>
      </w:pPr>
      <w:r>
        <w:rPr>
          <w:color w:val="000000"/>
        </w:rPr>
        <w:t>“</w:t>
      </w:r>
      <w:r>
        <w:rPr>
          <w:rFonts w:ascii="Times New Roman;serif" w:hAnsi="Times New Roman;serif"/>
          <w:b w:val="false"/>
          <w:color w:val="000000"/>
          <w:sz w:val="24"/>
        </w:rPr>
        <w:t>(e) “Registrable Securities” shall mean the Class A Common Stock acquired, directly or indirectly, by the Holder upon the conversion or exercise of the Preferred Stock and the New Warrant (as defined in the Second Amendment to the Investment Agreement, dated as of August 31, 2026), respectively, including any securities acquired as a result of any reclassification, recapitalization, stock split or combination, exchange or readjustment of such Class A Common Stock or securities, or any stock dividend or stock distribution in respect of such Class A Common Stock or securities, in each case whether now owned or hereinafter acquired; provided, however, such securities shall cease to be Registrable Securities when (i) a registration statement with respect to the sale of such Registrable Securities shall have become effective under the Securities Act and such Registrable Securities shall have been disposed of in accordance with such registration statement; (ii) such Registrable Securities shall have been sold in accordance with Rule 144; or (iii) such Registrable Securities have ceased to be outstanding. For the avoidance of doubt, ‘Registrable Securities’ shall include shares of Class A Common Stock issuable upon exercise of any Tranche of the New Warrant (as such term is defined in the New Warrant).”</w:t>
      </w:r>
    </w:p>
    <w:p>
      <w:pPr>
        <w:pStyle w:val="TextBody"/>
        <w:bidi w:val="0"/>
        <w:spacing w:before="0" w:after="0"/>
        <w:jc w:val="both"/>
        <w:rPr/>
      </w:pPr>
      <w:r>
        <w:rPr/>
      </w:r>
    </w:p>
    <w:p>
      <w:pPr>
        <w:pStyle w:val="TextBody"/>
        <w:bidi w:val="0"/>
        <w:spacing w:lineRule="auto" w:line="312" w:before="0" w:after="0"/>
        <w:jc w:val="left"/>
        <w:rPr/>
      </w:pPr>
      <w:r>
        <w:rPr>
          <w:rFonts w:ascii="Times New Roman;serif" w:hAnsi="Times New Roman;serif"/>
          <w:b/>
          <w:color w:val="000000"/>
          <w:sz w:val="24"/>
        </w:rPr>
        <w:t xml:space="preserve">(b) </w:t>
      </w:r>
      <w:r>
        <w:rPr>
          <w:rFonts w:ascii="Times New Roman;serif" w:hAnsi="Times New Roman;serif"/>
          <w:b w:val="false"/>
          <w:i/>
          <w:color w:val="000000"/>
          <w:sz w:val="24"/>
          <w:u w:val="single"/>
        </w:rPr>
        <w:t>Amendment to Section 2(a)</w:t>
      </w:r>
      <w:r>
        <w:rPr>
          <w:rFonts w:ascii="Times New Roman;serif" w:hAnsi="Times New Roman;serif"/>
          <w:b w:val="false"/>
          <w:color w:val="000000"/>
          <w:sz w:val="24"/>
        </w:rPr>
        <w:t>. Section 2(a) of the Registration Rights Agreement is hereby deleted in its entirety and replaced with the following:</w:t>
      </w:r>
    </w:p>
    <w:p>
      <w:pPr>
        <w:pStyle w:val="TextBody"/>
        <w:bidi w:val="0"/>
        <w:spacing w:before="0" w:after="0"/>
        <w:jc w:val="left"/>
        <w:rPr/>
      </w:pPr>
      <w:r>
        <w:rPr/>
      </w:r>
    </w:p>
    <w:p>
      <w:pPr>
        <w:pStyle w:val="TextBody"/>
        <w:bidi w:val="0"/>
        <w:spacing w:lineRule="auto" w:line="312"/>
        <w:jc w:val="both"/>
        <w:rPr>
          <w:color w:val="000000"/>
        </w:rPr>
      </w:pPr>
      <w:r>
        <w:rPr>
          <w:color w:val="000000"/>
        </w:rPr>
        <w:t>“</w:t>
      </w:r>
      <w:r>
        <w:rPr>
          <w:rFonts w:ascii="Times New Roman;serif" w:hAnsi="Times New Roman;serif"/>
          <w:b w:val="false"/>
          <w:color w:val="000000"/>
          <w:sz w:val="24"/>
        </w:rPr>
        <w:t xml:space="preserve">Solely to the extent that a shelf registration statement covering the Registrable Securities is not then effective, within thirty (30) days of a request from the Holder, the Company shall file with the SEC a shelf registration statement on Form S-3 (or successor form) (such requested registration, a “Demand Registration”). The Holder may request that any Demand Registration be made pursuant to Rule 415 under the Securities Act (which, if the Company is eligible to file such, shall be as an automatic shelf registration as defined in Rule 405 under the Securities Act) (a “Shelf Registration Statement”) relating to the offer and resale of Registrable Securities by the Holder from time to time in accordance with the methods of distribution set forth in the Plan of Distribution section of the Shelf Registration Statement, and the Company shall use commercially reasonable efforts to cause such Shelf Registration Statement to promptly be declared or otherwise become effective under the Securities Act. Any such registration pursuant to the Shelf Registration Statement shall hereinafter be referred to as a “Shelf Registration.” The Company shall maintain the continuous effectiveness of the Shelf Registration Statement for the maximum period permitted by SEC rules, and shall replace any Shelf Registration Statement at or before expiration, if applicable, with a successor effective Shelf Registration Statement to the extent any Registrable Securities remain outstanding. The Company will pay all Registration Expenses, whether or not any such registration is consummated; provided, however, that expenses arising out of any Registration Statement withdrawn solely at the request of Holder (unless withdrawn following postponement of filing by the Company in accordance </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312" w:before="0" w:after="0"/>
        <w:jc w:val="both"/>
        <w:rPr>
          <w:rFonts w:ascii="Times New Roman;serif" w:hAnsi="Times New Roman;serif"/>
          <w:b w:val="false"/>
          <w:color w:val="000000"/>
          <w:sz w:val="24"/>
        </w:rPr>
      </w:pPr>
      <w:r>
        <w:rPr>
          <w:rFonts w:ascii="Times New Roman;serif" w:hAnsi="Times New Roman;serif"/>
          <w:b w:val="false"/>
          <w:color w:val="000000"/>
          <w:sz w:val="24"/>
        </w:rPr>
        <w:t>with Section 2(f)(i) or due to adverse market conditions) or any supplements or amendments to a Registration Statement resulting from a misstatement furnished to or on behalf of the Company by or on behalf of a Holder shall be borne by such Holder.”</w:t>
      </w:r>
    </w:p>
    <w:p>
      <w:pPr>
        <w:pStyle w:val="TextBody"/>
        <w:bidi w:val="0"/>
        <w:spacing w:before="0" w:after="0"/>
        <w:jc w:val="both"/>
        <w:rPr/>
      </w:pPr>
      <w:r>
        <w:rPr/>
      </w:r>
    </w:p>
    <w:p>
      <w:pPr>
        <w:pStyle w:val="TextBody"/>
        <w:bidi w:val="0"/>
        <w:spacing w:lineRule="auto" w:line="312" w:before="0" w:after="0"/>
        <w:jc w:val="both"/>
        <w:rPr/>
      </w:pPr>
      <w:r>
        <w:rPr>
          <w:rFonts w:ascii="Times New Roman;serif" w:hAnsi="Times New Roman;serif"/>
          <w:b/>
          <w:color w:val="000000"/>
          <w:sz w:val="24"/>
        </w:rPr>
        <w:t xml:space="preserve">(c) </w:t>
      </w:r>
      <w:r>
        <w:rPr>
          <w:rFonts w:ascii="Times New Roman;serif" w:hAnsi="Times New Roman;serif"/>
          <w:b w:val="false"/>
          <w:i/>
          <w:color w:val="000000"/>
          <w:sz w:val="24"/>
          <w:u w:val="single"/>
        </w:rPr>
        <w:t>Amendment to Section 2(f)(i)</w:t>
      </w:r>
      <w:r>
        <w:rPr>
          <w:rFonts w:ascii="Times New Roman;serif" w:hAnsi="Times New Roman;serif"/>
          <w:b w:val="false"/>
          <w:color w:val="000000"/>
          <w:sz w:val="24"/>
        </w:rPr>
        <w:t>. Section 2(f)(i) of the Registration Rights Agreement is hereby deleted in its entirety and replaced with the following:</w:t>
      </w:r>
    </w:p>
    <w:p>
      <w:pPr>
        <w:pStyle w:val="TextBody"/>
        <w:bidi w:val="0"/>
        <w:spacing w:before="0" w:after="0"/>
        <w:jc w:val="both"/>
        <w:rPr/>
      </w:pPr>
      <w:r>
        <w:rPr/>
      </w:r>
    </w:p>
    <w:p>
      <w:pPr>
        <w:pStyle w:val="TextBody"/>
        <w:bidi w:val="0"/>
        <w:spacing w:lineRule="auto" w:line="312" w:before="0" w:after="0"/>
        <w:jc w:val="both"/>
        <w:rPr/>
      </w:pPr>
      <w:r>
        <w:rPr>
          <w:color w:val="000000"/>
        </w:rPr>
        <w:t>“</w:t>
      </w:r>
      <w:r>
        <w:rPr>
          <w:rFonts w:ascii="Times New Roman;serif" w:hAnsi="Times New Roman;serif"/>
          <w:b w:val="false"/>
          <w:color w:val="000000"/>
          <w:sz w:val="24"/>
        </w:rPr>
        <w:t xml:space="preserve">(i) The Company may postpone the commencement of a Shelf Take-Down or the filing of a Shelf Registration Statement pursuant to a Demand Registration referred to in Section 2(a) if, based on the good faith judgment of the board of directors of the Company (the “Board”), such postponement is necessary in order to avoid premature disclosure of material non-public information that the Board, after consultation with outside counsel to the Company, has in good faith determined (A) such disclosure would be required to be made in any Registration Statement or report filed with the SEC by the Company so that such Registration Statement or report would not contain an untrue statement of a material fact or omit to state a material fact required to be stated therein or necessary to make the statements therein not misleading if such information is not included, (B) such disclosure would not be required to be made at such time but for the filing of such Registration Statement, (C) such disclosure would have a material adverse effect on the Company or the Company’s ability to consummate such transaction and (D) the Company has a bona fide business purpose for not disclosing publicly, and the Company delivers to the Holder an officers’ certificate executed by the Company’s principal executive officer and principal financial officer stating such;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the Holder shall be entitled, at any time after receiving notice of such postponement and before such Shelf Take-Down is commenced, to withdraw such request and, if such request is withdrawn, such Shelf Take-Down shall not count as a Shelf Take-Down involving an underwritten public offering. The Company shall provide prompt written notice to the Holder of (w) any delay in filing a Shelf Registration Statement, (x) any postponement of the commencement of a Shelf Take-Down, (y) the Company’s decision to commence such Shelf Take-Down following such postponement and (z) the commencement of such Shelf Take-Down. Notwithstanding the provisions of this Section, the Company may not postpone the filing of a Shelf Registration Statement or the commencement of a Shelf Take-Down more than twice during any twelve-month period or for a period exceeding sixty (60) days in the aggregate in any twelve-month period.”</w:t>
      </w:r>
    </w:p>
    <w:p>
      <w:pPr>
        <w:pStyle w:val="TextBody"/>
        <w:bidi w:val="0"/>
        <w:spacing w:before="0" w:after="0"/>
        <w:jc w:val="both"/>
        <w:rPr/>
      </w:pPr>
      <w:r>
        <w:rPr/>
      </w:r>
    </w:p>
    <w:p>
      <w:pPr>
        <w:pStyle w:val="TextBody"/>
        <w:bidi w:val="0"/>
        <w:spacing w:lineRule="auto" w:line="312" w:before="0" w:after="0"/>
        <w:jc w:val="both"/>
        <w:rPr/>
      </w:pPr>
      <w:r>
        <w:rPr>
          <w:rFonts w:ascii="Times New Roman;serif" w:hAnsi="Times New Roman;serif"/>
          <w:b/>
          <w:color w:val="000000"/>
          <w:sz w:val="24"/>
        </w:rPr>
        <w:t xml:space="preserve">(d) </w:t>
      </w:r>
      <w:r>
        <w:rPr>
          <w:rFonts w:ascii="Times New Roman;serif" w:hAnsi="Times New Roman;serif"/>
          <w:b w:val="false"/>
          <w:i/>
          <w:color w:val="000000"/>
          <w:sz w:val="24"/>
          <w:u w:val="single"/>
        </w:rPr>
        <w:t>Conforming Changes</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312"/>
        <w:jc w:val="both"/>
        <w:rPr>
          <w:rFonts w:ascii="Times New Roman;serif" w:hAnsi="Times New Roman;serif"/>
          <w:b w:val="false"/>
          <w:color w:val="000000"/>
          <w:sz w:val="24"/>
        </w:rPr>
      </w:pPr>
      <w:r>
        <w:rPr>
          <w:rFonts w:ascii="Times New Roman;serif" w:hAnsi="Times New Roman;serif"/>
          <w:b w:val="false"/>
          <w:color w:val="000000"/>
          <w:sz w:val="24"/>
        </w:rPr>
        <w:t xml:space="preserve">(i) All references to the “Warrants” in the Registration Rights Agreement shall, from and after the date hereof, be deemed to refer to the New Warrant (as defined in the Second Amendment to the Investment Agreement, dated as of August 31, 2026), and </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312" w:before="0" w:after="0"/>
        <w:jc w:val="both"/>
        <w:rPr>
          <w:rFonts w:ascii="Times New Roman;serif" w:hAnsi="Times New Roman;serif"/>
          <w:b w:val="false"/>
          <w:color w:val="000000"/>
          <w:sz w:val="24"/>
        </w:rPr>
      </w:pPr>
      <w:r>
        <w:rPr>
          <w:rFonts w:ascii="Times New Roman;serif" w:hAnsi="Times New Roman;serif"/>
          <w:b w:val="false"/>
          <w:color w:val="000000"/>
          <w:sz w:val="24"/>
        </w:rPr>
        <w:t>all references to shares of Class A Common Stock issuable upon exercise of the “Warrants” shall be deemed to refer to shares of Class A Common Stock issuable upon exercise of any or all Tranches of the New Warrant.</w:t>
      </w:r>
    </w:p>
    <w:p>
      <w:pPr>
        <w:pStyle w:val="TextBody"/>
        <w:bidi w:val="0"/>
        <w:spacing w:before="0" w:after="0"/>
        <w:jc w:val="both"/>
        <w:rPr/>
      </w:pPr>
      <w:r>
        <w:rPr/>
      </w:r>
    </w:p>
    <w:p>
      <w:pPr>
        <w:pStyle w:val="TextBody"/>
        <w:bidi w:val="0"/>
        <w:spacing w:lineRule="auto" w:line="312" w:before="0" w:after="0"/>
        <w:jc w:val="both"/>
        <w:rPr>
          <w:rFonts w:ascii="Times New Roman;serif" w:hAnsi="Times New Roman;serif"/>
          <w:b w:val="false"/>
          <w:color w:val="000000"/>
          <w:sz w:val="24"/>
        </w:rPr>
      </w:pPr>
      <w:r>
        <w:rPr>
          <w:rFonts w:ascii="Times New Roman;serif" w:hAnsi="Times New Roman;serif"/>
          <w:b w:val="false"/>
          <w:color w:val="000000"/>
          <w:sz w:val="24"/>
        </w:rPr>
        <w:t>(ii) All references in the Registration Rights Agreement to the “Standstill Period” (as defined in the Investment Agreement) shall be deemed to refer to the Standstill Period as defined in the Investment Agreement, as amended by the Second Amendment; provided, however, that solely for purposes of Section 2(b) of the Registration Rights Agreement, the “Standstill Period” shall mean the period from the date of the Investment Agreement until the fifth anniversary of the Closing Date.</w:t>
      </w:r>
    </w:p>
    <w:p>
      <w:pPr>
        <w:pStyle w:val="TextBody"/>
        <w:bidi w:val="0"/>
        <w:spacing w:before="0" w:after="0"/>
        <w:jc w:val="both"/>
        <w:rPr/>
      </w:pPr>
      <w:r>
        <w:rPr/>
      </w:r>
    </w:p>
    <w:p>
      <w:pPr>
        <w:pStyle w:val="TextBody"/>
        <w:bidi w:val="0"/>
        <w:spacing w:lineRule="auto" w:line="312" w:before="0" w:after="0"/>
        <w:jc w:val="both"/>
        <w:rPr>
          <w:rFonts w:ascii="Times New Roman;serif" w:hAnsi="Times New Roman;serif"/>
          <w:b w:val="false"/>
          <w:color w:val="000000"/>
          <w:sz w:val="24"/>
        </w:rPr>
      </w:pPr>
      <w:r>
        <w:rPr>
          <w:rFonts w:ascii="Times New Roman;serif" w:hAnsi="Times New Roman;serif"/>
          <w:b w:val="false"/>
          <w:color w:val="000000"/>
          <w:sz w:val="24"/>
        </w:rPr>
        <w:t>(iii) The reference to the “Investment Agreement” throughout the Registration Rights Agreement shall, from and after the date hereof, be deemed to refer to the Investment Agreement as amended by the First Amendment to the Investment Agreement, dated as of September 29, 2021, and the Second Amendment to the Investment Agreement, dated as of August 31, 2026.</w:t>
      </w:r>
    </w:p>
    <w:p>
      <w:pPr>
        <w:pStyle w:val="TextBody"/>
        <w:bidi w:val="0"/>
        <w:spacing w:before="0" w:after="0"/>
        <w:jc w:val="both"/>
        <w:rPr/>
      </w:pPr>
      <w:r>
        <w:rPr/>
      </w:r>
    </w:p>
    <w:p>
      <w:pPr>
        <w:pStyle w:val="TextBody"/>
        <w:bidi w:val="0"/>
        <w:spacing w:lineRule="auto" w:line="312" w:before="0" w:after="0"/>
        <w:jc w:val="both"/>
        <w:rPr>
          <w:rFonts w:ascii="Times New Roman;serif" w:hAnsi="Times New Roman;serif"/>
          <w:b w:val="false"/>
          <w:color w:val="000000"/>
          <w:sz w:val="24"/>
        </w:rPr>
      </w:pPr>
      <w:r>
        <w:rPr>
          <w:rFonts w:ascii="Times New Roman;serif" w:hAnsi="Times New Roman;serif"/>
          <w:b w:val="false"/>
          <w:color w:val="000000"/>
          <w:sz w:val="24"/>
        </w:rPr>
        <w:t>(iv) To the extent any provision of the Registration Rights Agreement references the number of shares of Class A Common Stock issuable upon exercise of the Warrants or otherwise references share counts based on the pre-split capitalization of the Company, such references shall be deemed adjusted to reflect the 1-for-18 reverse stock split of the Company’s Class A Common Stock effected on August 12, 2022.</w:t>
      </w:r>
    </w:p>
    <w:p>
      <w:pPr>
        <w:pStyle w:val="TextBody"/>
        <w:bidi w:val="0"/>
        <w:spacing w:before="0" w:after="0"/>
        <w:jc w:val="both"/>
        <w:rPr/>
      </w:pPr>
      <w:r>
        <w:rPr/>
      </w:r>
    </w:p>
    <w:p>
      <w:pPr>
        <w:pStyle w:val="TextBody"/>
        <w:bidi w:val="0"/>
        <w:spacing w:lineRule="auto" w:line="312" w:before="0" w:after="0"/>
        <w:jc w:val="center"/>
        <w:rPr>
          <w:rFonts w:ascii="Times New Roman;serif" w:hAnsi="Times New Roman;serif"/>
          <w:b/>
          <w:color w:val="000000"/>
          <w:sz w:val="24"/>
        </w:rPr>
      </w:pPr>
      <w:r>
        <w:rPr>
          <w:rFonts w:ascii="Times New Roman;serif" w:hAnsi="Times New Roman;serif"/>
          <w:b/>
          <w:color w:val="000000"/>
          <w:sz w:val="24"/>
        </w:rPr>
        <w:t>SECTION 2</w:t>
      </w:r>
    </w:p>
    <w:p>
      <w:pPr>
        <w:pStyle w:val="TextBody"/>
        <w:bidi w:val="0"/>
        <w:spacing w:before="0" w:after="0"/>
        <w:jc w:val="center"/>
        <w:rPr/>
      </w:pPr>
      <w:r>
        <w:rPr/>
      </w:r>
    </w:p>
    <w:p>
      <w:pPr>
        <w:pStyle w:val="TextBody"/>
        <w:bidi w:val="0"/>
        <w:spacing w:lineRule="auto" w:line="312" w:before="0" w:after="0"/>
        <w:jc w:val="center"/>
        <w:rPr>
          <w:rFonts w:ascii="Times New Roman;serif" w:hAnsi="Times New Roman;serif"/>
          <w:b/>
          <w:color w:val="000000"/>
          <w:sz w:val="24"/>
        </w:rPr>
      </w:pPr>
      <w:r>
        <w:rPr>
          <w:rFonts w:ascii="Times New Roman;serif" w:hAnsi="Times New Roman;serif"/>
          <w:b/>
          <w:color w:val="000000"/>
          <w:sz w:val="24"/>
        </w:rPr>
        <w:t>Capitalized Terms</w:t>
      </w:r>
    </w:p>
    <w:p>
      <w:pPr>
        <w:pStyle w:val="TextBody"/>
        <w:bidi w:val="0"/>
        <w:spacing w:before="0" w:after="0"/>
        <w:jc w:val="center"/>
        <w:rPr/>
      </w:pPr>
      <w:r>
        <w:rPr/>
      </w:r>
    </w:p>
    <w:p>
      <w:pPr>
        <w:pStyle w:val="TextBody"/>
        <w:bidi w:val="0"/>
        <w:spacing w:lineRule="auto" w:line="312"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Capitalized terms used but not otherwise defined herein shall have the meanings ascribed to them in the Registration Rights Agreement.</w:t>
      </w:r>
    </w:p>
    <w:p>
      <w:pPr>
        <w:pStyle w:val="TextBody"/>
        <w:bidi w:val="0"/>
        <w:spacing w:before="0" w:after="0"/>
        <w:ind w:left="0" w:right="0" w:firstLine="720"/>
        <w:jc w:val="both"/>
        <w:rPr/>
      </w:pPr>
      <w:r>
        <w:rPr/>
      </w:r>
    </w:p>
    <w:p>
      <w:pPr>
        <w:pStyle w:val="TextBody"/>
        <w:bidi w:val="0"/>
        <w:spacing w:lineRule="auto" w:line="312" w:before="0" w:after="0"/>
        <w:jc w:val="center"/>
        <w:rPr>
          <w:rFonts w:ascii="Times New Roman;serif" w:hAnsi="Times New Roman;serif"/>
          <w:b/>
          <w:color w:val="000000"/>
          <w:sz w:val="24"/>
        </w:rPr>
      </w:pPr>
      <w:r>
        <w:rPr>
          <w:rFonts w:ascii="Times New Roman;serif" w:hAnsi="Times New Roman;serif"/>
          <w:b/>
          <w:color w:val="000000"/>
          <w:sz w:val="24"/>
        </w:rPr>
        <w:t>SECTION 3</w:t>
      </w:r>
    </w:p>
    <w:p>
      <w:pPr>
        <w:pStyle w:val="TextBody"/>
        <w:bidi w:val="0"/>
        <w:spacing w:before="0" w:after="0"/>
        <w:jc w:val="center"/>
        <w:rPr/>
      </w:pPr>
      <w:r>
        <w:rPr/>
      </w:r>
    </w:p>
    <w:p>
      <w:pPr>
        <w:pStyle w:val="TextBody"/>
        <w:bidi w:val="0"/>
        <w:spacing w:lineRule="auto" w:line="312" w:before="0" w:after="0"/>
        <w:jc w:val="center"/>
        <w:rPr>
          <w:rFonts w:ascii="Times New Roman;serif" w:hAnsi="Times New Roman;serif"/>
          <w:b/>
          <w:color w:val="000000"/>
          <w:sz w:val="24"/>
        </w:rPr>
      </w:pPr>
      <w:r>
        <w:rPr>
          <w:rFonts w:ascii="Times New Roman;serif" w:hAnsi="Times New Roman;serif"/>
          <w:b/>
          <w:color w:val="000000"/>
          <w:sz w:val="24"/>
        </w:rPr>
        <w:t>Effect of Amendment</w:t>
      </w:r>
    </w:p>
    <w:p>
      <w:pPr>
        <w:pStyle w:val="TextBody"/>
        <w:bidi w:val="0"/>
        <w:spacing w:before="0" w:after="0"/>
        <w:jc w:val="center"/>
        <w:rPr/>
      </w:pPr>
      <w:r>
        <w:rPr/>
      </w:r>
    </w:p>
    <w:p>
      <w:pPr>
        <w:pStyle w:val="TextBody"/>
        <w:bidi w:val="0"/>
        <w:spacing w:lineRule="auto" w:line="312"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Amendment shall not constitute an amendment or waiver of any provision of the Registration Rights Agreement not expressly amended or waived herein and shall not be construed as an amendment, waiver or consent to any action that would require an amendment, waiver or consent, except as expressly stated herein. The Registration Rights Agreement, as amended by this Amendment, is and shall continue to be in full force and effect and is in all respects ratified and confirmed hereby.</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312" w:before="0" w:after="0"/>
        <w:jc w:val="center"/>
        <w:rPr>
          <w:rFonts w:ascii="Times New Roman;serif" w:hAnsi="Times New Roman;serif"/>
          <w:b/>
          <w:color w:val="000000"/>
          <w:sz w:val="24"/>
        </w:rPr>
      </w:pPr>
      <w:r>
        <w:rPr>
          <w:rFonts w:ascii="Times New Roman;serif" w:hAnsi="Times New Roman;serif"/>
          <w:b/>
          <w:color w:val="000000"/>
          <w:sz w:val="24"/>
        </w:rPr>
        <w:t>SECTION 4</w:t>
      </w:r>
    </w:p>
    <w:p>
      <w:pPr>
        <w:pStyle w:val="TextBody"/>
        <w:bidi w:val="0"/>
        <w:spacing w:before="0" w:after="0"/>
        <w:jc w:val="center"/>
        <w:rPr/>
      </w:pPr>
      <w:r>
        <w:rPr/>
      </w:r>
    </w:p>
    <w:p>
      <w:pPr>
        <w:pStyle w:val="TextBody"/>
        <w:bidi w:val="0"/>
        <w:spacing w:lineRule="auto" w:line="312" w:before="0" w:after="0"/>
        <w:jc w:val="center"/>
        <w:rPr>
          <w:rFonts w:ascii="Times New Roman;serif" w:hAnsi="Times New Roman;serif"/>
          <w:b/>
          <w:color w:val="000000"/>
          <w:sz w:val="24"/>
        </w:rPr>
      </w:pPr>
      <w:r>
        <w:rPr>
          <w:rFonts w:ascii="Times New Roman;serif" w:hAnsi="Times New Roman;serif"/>
          <w:b/>
          <w:color w:val="000000"/>
          <w:sz w:val="24"/>
        </w:rPr>
        <w:t>Miscellaneous</w:t>
      </w:r>
    </w:p>
    <w:p>
      <w:pPr>
        <w:pStyle w:val="TextBody"/>
        <w:bidi w:val="0"/>
        <w:spacing w:before="0" w:after="0"/>
        <w:jc w:val="center"/>
        <w:rPr/>
      </w:pPr>
      <w:r>
        <w:rPr/>
      </w:r>
    </w:p>
    <w:p>
      <w:pPr>
        <w:pStyle w:val="TextBody"/>
        <w:bidi w:val="0"/>
        <w:spacing w:lineRule="auto" w:line="312" w:before="0" w:after="0"/>
        <w:jc w:val="both"/>
        <w:rPr/>
      </w:pPr>
      <w:r>
        <w:rPr>
          <w:rFonts w:ascii="Times New Roman;serif" w:hAnsi="Times New Roman;serif"/>
          <w:b/>
          <w:color w:val="000000"/>
          <w:sz w:val="24"/>
        </w:rPr>
        <w:t xml:space="preserve">(a) </w:t>
      </w:r>
      <w:r>
        <w:rPr>
          <w:rFonts w:ascii="Times New Roman;serif" w:hAnsi="Times New Roman;serif"/>
          <w:b w:val="false"/>
          <w:i/>
          <w:color w:val="000000"/>
          <w:sz w:val="24"/>
          <w:u w:val="single"/>
        </w:rPr>
        <w:t>Governing Law; Jurisdiction</w:t>
      </w:r>
      <w:r>
        <w:rPr>
          <w:rFonts w:ascii="Times New Roman;serif" w:hAnsi="Times New Roman;serif"/>
          <w:b w:val="false"/>
          <w:color w:val="000000"/>
          <w:sz w:val="24"/>
        </w:rPr>
        <w:t>. This Amendment, and all claims or causes of action (whether in contract, tort, statute or otherwise) that may be based upon, arising out of or relating to this Amendment or the transactions contemplated hereby, shall be governed by and construed in accordance with the internal laws of the State of Delaware, including its statute of limitations, regardless of the laws that might otherwise govern under applicable principles of conflicts of laws. Each party agrees (i) to submit to the exclusive jurisdiction and venue of the Court of Chancery of the State of Delaware in and for New Castle County, Delaware, (ii) agrees that it will not attempt to deny or defeat such jurisdiction by motion or other request for leave from such court and (iii) agrees that it will not bring any such action in any court other than the Court of Chancery for the State of Delaware in and for New Castle County, Delaware, or, if (and only if) such court finds it lacks subject matter jurisdiction, the federal court of the United States of America sitting in Delaware, and appellate courts thereof, or, if (and only if) each of such Court of Chancery for the State of Delaware and such federal court finds it lacks subject matter jurisdiction, any state court within the State of Delaware.</w:t>
      </w:r>
    </w:p>
    <w:p>
      <w:pPr>
        <w:pStyle w:val="TextBody"/>
        <w:bidi w:val="0"/>
        <w:spacing w:before="0" w:after="0"/>
        <w:jc w:val="both"/>
        <w:rPr/>
      </w:pPr>
      <w:r>
        <w:rPr/>
      </w:r>
    </w:p>
    <w:p>
      <w:pPr>
        <w:pStyle w:val="TextBody"/>
        <w:bidi w:val="0"/>
        <w:spacing w:lineRule="auto" w:line="312" w:before="0" w:after="0"/>
        <w:jc w:val="both"/>
        <w:rPr/>
      </w:pPr>
      <w:r>
        <w:rPr>
          <w:rFonts w:ascii="Times New Roman;serif" w:hAnsi="Times New Roman;serif"/>
          <w:b/>
          <w:color w:val="000000"/>
          <w:sz w:val="24"/>
        </w:rPr>
        <w:t xml:space="preserve">(b) </w:t>
      </w:r>
      <w:r>
        <w:rPr>
          <w:rFonts w:ascii="Times New Roman;serif" w:hAnsi="Times New Roman;serif"/>
          <w:b w:val="false"/>
          <w:i/>
          <w:color w:val="000000"/>
          <w:sz w:val="24"/>
          <w:u w:val="single"/>
        </w:rPr>
        <w:t>Waiver of Jury Trial</w:t>
      </w:r>
      <w:r>
        <w:rPr>
          <w:rFonts w:ascii="Times New Roman;serif" w:hAnsi="Times New Roman;serif"/>
          <w:b w:val="false"/>
          <w:color w:val="000000"/>
          <w:sz w:val="24"/>
        </w:rPr>
        <w:t>. EACH PARTY ACKNOWLEDGES AND AGREES THAT ANY CONTROVERSY WHICH MAY ARISE UNDER THIS AMENDMENT IS LIKELY TO INVOLVE COMPLICATED AND DIFFICULT ISSUES AND, THEREFORE, EACH SUCH PARTY IRREVOCABLY AND UNCONDITIONALLY WAIVES ANY RIGHT IT MAY HAVE TO A TRIAL BY JURY IN RESPECT OF ANY LEGAL ACTION ARISING OUT OF OR RELATING TO THIS AMENDMENT OR THE TRANSACTIONS CONTEMPLATED HEREBY.</w:t>
      </w:r>
    </w:p>
    <w:p>
      <w:pPr>
        <w:pStyle w:val="TextBody"/>
        <w:bidi w:val="0"/>
        <w:spacing w:before="0" w:after="0"/>
        <w:jc w:val="both"/>
        <w:rPr/>
      </w:pPr>
      <w:r>
        <w:rPr/>
      </w:r>
    </w:p>
    <w:p>
      <w:pPr>
        <w:pStyle w:val="TextBody"/>
        <w:bidi w:val="0"/>
        <w:spacing w:lineRule="auto" w:line="312" w:before="0" w:after="0"/>
        <w:jc w:val="both"/>
        <w:rPr/>
      </w:pPr>
      <w:r>
        <w:rPr>
          <w:rFonts w:ascii="Times New Roman;serif" w:hAnsi="Times New Roman;serif"/>
          <w:b/>
          <w:color w:val="000000"/>
          <w:sz w:val="24"/>
        </w:rPr>
        <w:t xml:space="preserve">(c) </w:t>
      </w:r>
      <w:r>
        <w:rPr>
          <w:rFonts w:ascii="Times New Roman;serif" w:hAnsi="Times New Roman;serif"/>
          <w:b w:val="false"/>
          <w:i/>
          <w:color w:val="000000"/>
          <w:sz w:val="24"/>
          <w:u w:val="single"/>
        </w:rPr>
        <w:t>Counterparts; Electronic Signatures</w:t>
      </w:r>
      <w:r>
        <w:rPr>
          <w:rFonts w:ascii="Times New Roman;serif" w:hAnsi="Times New Roman;serif"/>
          <w:b w:val="false"/>
          <w:color w:val="000000"/>
          <w:sz w:val="24"/>
        </w:rPr>
        <w:t>. This Amendment may be executed and delivered in one or more counterparts, all of which shall be considered one and the same agreement and shall become effective when one or more counterparts have been signed by each party and delivered to the other. This Amendment may be executed by facsimile, by any electronic signature covered by the U.S. federal ESIGN Act of 2000, Uniform Electronic Transactions Act, the Electronic Signatures and Records Act, or other applicable law (e.g., www.docusign.com), or by .pdf signature and such signature shall be deemed binding for all purposes hereof without delivery of an original signature being thereafter required.</w:t>
      </w:r>
    </w:p>
    <w:p>
      <w:pPr>
        <w:pStyle w:val="TextBody"/>
        <w:bidi w:val="0"/>
        <w:spacing w:before="0" w:after="0"/>
        <w:jc w:val="both"/>
        <w:rPr/>
      </w:pPr>
      <w:r>
        <w:rPr/>
      </w:r>
    </w:p>
    <w:p>
      <w:pPr>
        <w:pStyle w:val="TextBody"/>
        <w:bidi w:val="0"/>
        <w:spacing w:lineRule="auto" w:line="312"/>
        <w:jc w:val="both"/>
        <w:rPr/>
      </w:pPr>
      <w:r>
        <w:rPr>
          <w:rFonts w:ascii="Times New Roman;serif" w:hAnsi="Times New Roman;serif"/>
          <w:b/>
          <w:color w:val="000000"/>
          <w:sz w:val="24"/>
        </w:rPr>
        <w:t xml:space="preserve">(d) </w:t>
      </w:r>
      <w:r>
        <w:rPr>
          <w:rFonts w:ascii="Times New Roman;serif" w:hAnsi="Times New Roman;serif"/>
          <w:b w:val="false"/>
          <w:i/>
          <w:color w:val="000000"/>
          <w:sz w:val="24"/>
          <w:u w:val="single"/>
        </w:rPr>
        <w:t>Severability</w:t>
      </w:r>
      <w:r>
        <w:rPr>
          <w:rFonts w:ascii="Times New Roman;serif" w:hAnsi="Times New Roman;serif"/>
          <w:b w:val="false"/>
          <w:color w:val="000000"/>
          <w:sz w:val="24"/>
        </w:rPr>
        <w:t>. Any term or provision of this Amendment that is illegal, invalid or unenforceable in any jurisdiction shall, as to that jurisdiction, be ineffective to the extent of such illegality, invalidity or unenforceability without rendering illegal, invalid or unenforceable the remaining terms and provisions of this Amendment or affecting the legality, validity or enforceability of any of the terms or provisions of this Amendment in any other jurisdiction.</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312" w:before="0" w:after="0"/>
        <w:jc w:val="both"/>
        <w:rPr/>
      </w:pPr>
      <w:r>
        <w:rPr>
          <w:rFonts w:ascii="Times New Roman;serif" w:hAnsi="Times New Roman;serif"/>
          <w:b/>
          <w:color w:val="000000"/>
          <w:sz w:val="24"/>
        </w:rPr>
        <w:t xml:space="preserve">(e) </w:t>
      </w:r>
      <w:r>
        <w:rPr>
          <w:rFonts w:ascii="Times New Roman;serif" w:hAnsi="Times New Roman;serif"/>
          <w:b w:val="false"/>
          <w:i/>
          <w:color w:val="000000"/>
          <w:sz w:val="24"/>
          <w:u w:val="single"/>
        </w:rPr>
        <w:t>Notices</w:t>
      </w:r>
      <w:r>
        <w:rPr>
          <w:rFonts w:ascii="Times New Roman;serif" w:hAnsi="Times New Roman;serif"/>
          <w:b w:val="false"/>
          <w:color w:val="000000"/>
          <w:sz w:val="24"/>
        </w:rPr>
        <w:t>. All notices under this Amendment shall be given in accordance with the notice provisions of the Registration Rights Agreement.</w:t>
      </w:r>
    </w:p>
    <w:p>
      <w:pPr>
        <w:pStyle w:val="TextBody"/>
        <w:bidi w:val="0"/>
        <w:spacing w:before="0" w:after="0"/>
        <w:jc w:val="both"/>
        <w:rPr/>
      </w:pPr>
      <w:r>
        <w:rPr/>
      </w:r>
    </w:p>
    <w:p>
      <w:pPr>
        <w:pStyle w:val="TextBody"/>
        <w:bidi w:val="0"/>
        <w:spacing w:lineRule="auto" w:line="312" w:before="0" w:after="0"/>
        <w:jc w:val="both"/>
        <w:rPr/>
      </w:pPr>
      <w:r>
        <w:rPr>
          <w:rFonts w:ascii="Times New Roman;serif" w:hAnsi="Times New Roman;serif"/>
          <w:b/>
          <w:color w:val="000000"/>
          <w:sz w:val="24"/>
        </w:rPr>
        <w:t xml:space="preserve">(f) </w:t>
      </w:r>
      <w:r>
        <w:rPr>
          <w:rFonts w:ascii="Times New Roman;serif" w:hAnsi="Times New Roman;serif"/>
          <w:b w:val="false"/>
          <w:i/>
          <w:color w:val="000000"/>
          <w:sz w:val="24"/>
          <w:u w:val="single"/>
        </w:rPr>
        <w:t>Headings</w:t>
      </w:r>
      <w:r>
        <w:rPr>
          <w:rFonts w:ascii="Times New Roman;serif" w:hAnsi="Times New Roman;serif"/>
          <w:b w:val="false"/>
          <w:color w:val="000000"/>
          <w:sz w:val="24"/>
        </w:rPr>
        <w:t>. The headings used in this Amendment are for convenience of reference only and shall not be deemed a part of this Amendment.</w:t>
      </w:r>
    </w:p>
    <w:p>
      <w:pPr>
        <w:pStyle w:val="TextBody"/>
        <w:bidi w:val="0"/>
        <w:spacing w:before="0" w:after="0"/>
        <w:jc w:val="both"/>
        <w:rPr/>
      </w:pPr>
      <w:r>
        <w:rPr/>
      </w:r>
    </w:p>
    <w:p>
      <w:pPr>
        <w:pStyle w:val="TextBody"/>
        <w:bidi w:val="0"/>
        <w:spacing w:lineRule="auto" w:line="300"/>
        <w:jc w:val="center"/>
        <w:rPr>
          <w:rFonts w:ascii="Times New Roman;serif" w:hAnsi="Times New Roman;serif"/>
          <w:b w:val="false"/>
          <w:color w:val="000000"/>
          <w:sz w:val="24"/>
        </w:rPr>
      </w:pPr>
      <w:r>
        <w:rPr>
          <w:rFonts w:ascii="Times New Roman;serif" w:hAnsi="Times New Roman;serif"/>
          <w:b w:val="false"/>
          <w:color w:val="000000"/>
          <w:sz w:val="24"/>
        </w:rPr>
        <w:t>[Signature page follows]</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300" w:before="0" w:after="0"/>
        <w:jc w:val="left"/>
        <w:rPr>
          <w:rFonts w:ascii="Times New Roman;serif" w:hAnsi="Times New Roman;serif"/>
          <w:b w:val="false"/>
          <w:color w:val="000000"/>
          <w:sz w:val="24"/>
        </w:rPr>
      </w:pPr>
      <w:r>
        <w:rPr>
          <w:rFonts w:ascii="Times New Roman;serif" w:hAnsi="Times New Roman;serif"/>
          <w:b w:val="false"/>
          <w:color w:val="000000"/>
          <w:sz w:val="24"/>
        </w:rPr>
        <w:t>IN WITNESS WHEREOF, the parties have executed this Amendment as of the date first written above.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jc w:val="left"/>
        <w:rPr>
          <w:rFonts w:ascii="Times New Roman;serif" w:hAnsi="Times New Roman;serif"/>
          <w:b/>
          <w:color w:val="000000"/>
          <w:sz w:val="24"/>
        </w:rPr>
      </w:pPr>
      <w:r>
        <w:rPr>
          <w:rFonts w:ascii="Times New Roman;serif" w:hAnsi="Times New Roman;serif"/>
          <w:b/>
          <w:color w:val="000000"/>
          <w:sz w:val="24"/>
        </w:rPr>
        <w:t>ROOT, INC.</w:t>
      </w:r>
    </w:p>
    <w:p>
      <w:pPr>
        <w:pStyle w:val="TextBody"/>
        <w:bidi w:val="0"/>
        <w:spacing w:before="0" w:after="0"/>
        <w:jc w:val="left"/>
        <w:rPr/>
      </w:pPr>
      <w:r>
        <w:rPr/>
      </w:r>
    </w:p>
    <w:tbl>
      <w:tblPr>
        <w:tblW w:w="4267" w:type="dxa"/>
        <w:jc w:val="left"/>
        <w:tblInd w:w="0" w:type="dxa"/>
        <w:tblLayout w:type="fixed"/>
        <w:tblCellMar>
          <w:top w:w="28" w:type="dxa"/>
          <w:left w:w="28" w:type="dxa"/>
          <w:bottom w:w="28" w:type="dxa"/>
          <w:right w:w="28" w:type="dxa"/>
        </w:tblCellMar>
      </w:tblPr>
      <w:tblGrid>
        <w:gridCol w:w="271"/>
        <w:gridCol w:w="238"/>
        <w:gridCol w:w="241"/>
        <w:gridCol w:w="594"/>
        <w:gridCol w:w="594"/>
        <w:gridCol w:w="594"/>
        <w:gridCol w:w="342"/>
        <w:gridCol w:w="342"/>
        <w:gridCol w:w="352"/>
        <w:gridCol w:w="109"/>
        <w:gridCol w:w="109"/>
        <w:gridCol w:w="109"/>
        <w:gridCol w:w="109"/>
        <w:gridCol w:w="109"/>
        <w:gridCol w:w="154"/>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81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Jonathan Allison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1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Jonathan Allison</w:t>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281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Chief Administrative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CARVANA GROUP, LLC</w:t>
      </w:r>
    </w:p>
    <w:p>
      <w:pPr>
        <w:pStyle w:val="TextBody"/>
        <w:bidi w:val="0"/>
        <w:spacing w:before="0" w:after="0"/>
        <w:jc w:val="left"/>
        <w:rPr/>
      </w:pPr>
      <w:r>
        <w:rPr/>
      </w:r>
    </w:p>
    <w:p>
      <w:pPr>
        <w:pStyle w:val="TextBody"/>
        <w:bidi w:val="0"/>
        <w:spacing w:before="0" w:after="0"/>
        <w:jc w:val="left"/>
        <w:rPr/>
      </w:pPr>
      <w:r>
        <w:rPr/>
      </w:r>
    </w:p>
    <w:tbl>
      <w:tblPr>
        <w:tblW w:w="4987" w:type="dxa"/>
        <w:jc w:val="left"/>
        <w:tblInd w:w="0" w:type="dxa"/>
        <w:tblLayout w:type="fixed"/>
        <w:tblCellMar>
          <w:top w:w="28" w:type="dxa"/>
          <w:left w:w="28" w:type="dxa"/>
          <w:bottom w:w="28" w:type="dxa"/>
          <w:right w:w="28" w:type="dxa"/>
        </w:tblCellMar>
      </w:tblPr>
      <w:tblGrid>
        <w:gridCol w:w="271"/>
        <w:gridCol w:w="238"/>
        <w:gridCol w:w="241"/>
        <w:gridCol w:w="972"/>
        <w:gridCol w:w="972"/>
        <w:gridCol w:w="976"/>
        <w:gridCol w:w="206"/>
        <w:gridCol w:w="206"/>
        <w:gridCol w:w="206"/>
        <w:gridCol w:w="109"/>
        <w:gridCol w:w="109"/>
        <w:gridCol w:w="109"/>
        <w:gridCol w:w="109"/>
        <w:gridCol w:w="109"/>
        <w:gridCol w:w="154"/>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Paul Breaux</w:t>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2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Paul Breaux</w:t>
            </w:r>
          </w:p>
        </w:tc>
        <w:tc>
          <w:tcPr>
            <w:tcW w:w="6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353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Vice President and General Counsel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51</Pages>
  <Words>20216</Words>
  <Characters>106254</Characters>
  <CharactersWithSpaces>126008</CharactersWithSpaces>
  <Paragraphs>554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