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52070</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72" w:lineRule="exact"/>
        <w:rPr>
          <w:sz w:val="24"/>
          <w:szCs w:val="24"/>
          <w:color w:val="auto"/>
        </w:rPr>
      </w:pPr>
    </w:p>
    <w:p>
      <w:pPr>
        <w:jc w:val="center"/>
        <w:ind w:left="3860" w:right="1420" w:hanging="2447"/>
        <w:spacing w:after="0" w:line="258" w:lineRule="auto"/>
        <w:tabs>
          <w:tab w:leader="none" w:pos="161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906145</wp:posOffset>
            </wp:positionH>
            <wp:positionV relativeFrom="paragraph">
              <wp:posOffset>-226695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b w:val="1"/>
          <w:bCs w:val="1"/>
          <w:color w:val="auto"/>
        </w:rPr>
        <w:t>or</w:t>
      </w:r>
    </w:p>
    <w:p>
      <w:pPr>
        <w:ind w:left="3540" w:right="1260" w:hanging="1971"/>
        <w:spacing w:after="0" w:line="582" w:lineRule="auto"/>
        <w:tabs>
          <w:tab w:leader="none" w:pos="1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from____________to____________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1005205</wp:posOffset>
            </wp:positionH>
            <wp:positionV relativeFrom="paragraph">
              <wp:posOffset>-549910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97" w:lineRule="exact"/>
        <w:rPr>
          <w:sz w:val="24"/>
          <w:szCs w:val="24"/>
          <w:color w:val="auto"/>
        </w:rPr>
      </w:pPr>
    </w:p>
    <w:tbl>
      <w:tblPr>
        <w:tblLayout w:type="fixed"/>
        <w:tblInd w:w="680" w:type="dxa"/>
        <w:tblCellMar>
          <w:top w:w="0" w:type="dxa"/>
          <w:left w:w="0" w:type="dxa"/>
          <w:bottom w:w="0" w:type="dxa"/>
          <w:right w:w="0" w:type="dxa"/>
        </w:tblCellMar>
      </w:tblPr>
      <w:tr>
        <w:trPr>
          <w:trHeight w:val="182"/>
        </w:trPr>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0" w:type="dxa"/>
            <w:vAlign w:val="bottom"/>
            <w:gridSpan w:val="2"/>
          </w:tcPr>
          <w:p>
            <w:pPr>
              <w:jc w:val="center"/>
              <w:ind w:right="3248"/>
              <w:spacing w:after="0"/>
              <w:rPr>
                <w:sz w:val="20"/>
                <w:szCs w:val="20"/>
                <w:color w:val="auto"/>
              </w:rPr>
            </w:pPr>
            <w:r>
              <w:rPr>
                <w:rFonts w:ascii="Arial" w:cs="Arial" w:eastAsia="Arial" w:hAnsi="Arial"/>
                <w:sz w:val="14"/>
                <w:szCs w:val="14"/>
                <w:color w:val="auto"/>
                <w:w w:val="94"/>
              </w:rPr>
              <w:t>Commission File Number:001-39658</w:t>
            </w:r>
          </w:p>
        </w:tc>
      </w:tr>
      <w:tr>
        <w:trPr>
          <w:trHeight w:val="417"/>
        </w:trPr>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0" w:type="dxa"/>
            <w:vAlign w:val="bottom"/>
            <w:gridSpan w:val="2"/>
          </w:tcPr>
          <w:p>
            <w:pPr>
              <w:jc w:val="center"/>
              <w:ind w:right="3248"/>
              <w:spacing w:after="0"/>
              <w:rPr>
                <w:sz w:val="20"/>
                <w:szCs w:val="20"/>
                <w:color w:val="auto"/>
              </w:rPr>
            </w:pPr>
            <w:r>
              <w:rPr>
                <w:rFonts w:ascii="Arial" w:cs="Arial" w:eastAsia="Arial" w:hAnsi="Arial"/>
                <w:sz w:val="32"/>
                <w:szCs w:val="32"/>
                <w:b w:val="1"/>
                <w:bCs w:val="1"/>
                <w:color w:val="auto"/>
              </w:rPr>
              <w:t>ROOT, INC.</w:t>
            </w:r>
          </w:p>
        </w:tc>
      </w:tr>
      <w:tr>
        <w:trPr>
          <w:trHeight w:val="210"/>
        </w:trPr>
        <w:tc>
          <w:tcPr>
            <w:tcW w:w="2740" w:type="dxa"/>
            <w:vAlign w:val="bottom"/>
          </w:tcPr>
          <w:p>
            <w:pPr>
              <w:spacing w:after="0"/>
              <w:rPr>
                <w:sz w:val="18"/>
                <w:szCs w:val="18"/>
                <w:color w:val="auto"/>
              </w:rPr>
            </w:pPr>
          </w:p>
        </w:tc>
        <w:tc>
          <w:tcPr>
            <w:tcW w:w="6660" w:type="dxa"/>
            <w:vAlign w:val="bottom"/>
            <w:gridSpan w:val="3"/>
          </w:tcPr>
          <w:p>
            <w:pPr>
              <w:jc w:val="center"/>
              <w:ind w:right="216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3300" w:type="dxa"/>
            <w:vAlign w:val="bottom"/>
          </w:tcPr>
          <w:p>
            <w:pPr>
              <w:spacing w:after="0"/>
              <w:rPr>
                <w:sz w:val="6"/>
                <w:szCs w:val="6"/>
                <w:color w:val="auto"/>
              </w:rPr>
            </w:pPr>
          </w:p>
        </w:tc>
      </w:tr>
      <w:tr>
        <w:trPr>
          <w:trHeight w:val="319"/>
        </w:trPr>
        <w:tc>
          <w:tcPr>
            <w:tcW w:w="2740" w:type="dxa"/>
            <w:vAlign w:val="bottom"/>
          </w:tcPr>
          <w:p>
            <w:pPr>
              <w:jc w:val="center"/>
              <w:ind w:right="288"/>
              <w:spacing w:after="0"/>
              <w:rPr>
                <w:sz w:val="20"/>
                <w:szCs w:val="20"/>
                <w:color w:val="auto"/>
              </w:rPr>
            </w:pPr>
            <w:r>
              <w:rPr>
                <w:rFonts w:ascii="Arial" w:cs="Arial" w:eastAsia="Arial" w:hAnsi="Arial"/>
                <w:sz w:val="14"/>
                <w:szCs w:val="14"/>
                <w:b w:val="1"/>
                <w:bCs w:val="1"/>
                <w:color w:val="auto"/>
                <w:w w:val="94"/>
              </w:rPr>
              <w:t>Delaware</w:t>
            </w:r>
          </w:p>
        </w:tc>
        <w:tc>
          <w:tcPr>
            <w:tcW w:w="666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84-2717903</w:t>
            </w:r>
          </w:p>
        </w:tc>
      </w:tr>
      <w:tr>
        <w:trPr>
          <w:trHeight w:val="192"/>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(State or other jurisdiction of</w:t>
            </w: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00" w:type="dxa"/>
            <w:vAlign w:val="bottom"/>
          </w:tcPr>
          <w:p>
            <w:pPr>
              <w:jc w:val="center"/>
              <w:ind w:left="17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incorporation or organization)</w:t>
            </w: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00" w:type="dxa"/>
            <w:vAlign w:val="bottom"/>
          </w:tcPr>
          <w:p>
            <w:pPr>
              <w:jc w:val="center"/>
              <w:ind w:left="1808"/>
              <w:spacing w:after="0"/>
              <w:rPr>
                <w:sz w:val="20"/>
                <w:szCs w:val="20"/>
                <w:color w:val="auto"/>
              </w:rPr>
            </w:pPr>
            <w:r>
              <w:rPr>
                <w:rFonts w:ascii="Arial" w:cs="Arial" w:eastAsia="Arial" w:hAnsi="Arial"/>
                <w:sz w:val="14"/>
                <w:szCs w:val="14"/>
                <w:b w:val="1"/>
                <w:bCs w:val="1"/>
                <w:color w:val="auto"/>
                <w:w w:val="95"/>
              </w:rPr>
              <w:t>Identification Number)</w:t>
            </w:r>
          </w:p>
        </w:tc>
      </w:tr>
      <w:tr>
        <w:trPr>
          <w:trHeight w:val="192"/>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80 E. Rich Street, Suite 500</w:t>
            </w:r>
          </w:p>
        </w:tc>
        <w:tc>
          <w:tcPr>
            <w:tcW w:w="666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43215</w:t>
            </w:r>
          </w:p>
        </w:tc>
      </w:tr>
      <w:tr>
        <w:trPr>
          <w:trHeight w:val="186"/>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Columbus, Ohio</w:t>
            </w: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216"/>
        </w:trPr>
        <w:tc>
          <w:tcPr>
            <w:tcW w:w="2740" w:type="dxa"/>
            <w:vAlign w:val="bottom"/>
          </w:tcPr>
          <w:p>
            <w:pPr>
              <w:jc w:val="center"/>
              <w:ind w:right="2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00" w:type="dxa"/>
            <w:vAlign w:val="bottom"/>
          </w:tcPr>
          <w:p>
            <w:pPr>
              <w:jc w:val="center"/>
              <w:ind w:left="1788"/>
              <w:spacing w:after="0"/>
              <w:rPr>
                <w:sz w:val="20"/>
                <w:szCs w:val="20"/>
                <w:color w:val="auto"/>
              </w:rPr>
            </w:pPr>
            <w:r>
              <w:rPr>
                <w:rFonts w:ascii="Arial" w:cs="Arial" w:eastAsia="Arial" w:hAnsi="Arial"/>
                <w:sz w:val="14"/>
                <w:szCs w:val="14"/>
                <w:b w:val="1"/>
                <w:bCs w:val="1"/>
                <w:color w:val="auto"/>
                <w:w w:val="98"/>
              </w:rPr>
              <w:t>(Zip Code)</w:t>
            </w:r>
          </w:p>
        </w:tc>
      </w:tr>
      <w:tr>
        <w:trPr>
          <w:trHeight w:val="318"/>
        </w:trPr>
        <w:tc>
          <w:tcPr>
            <w:tcW w:w="2740" w:type="dxa"/>
            <w:vAlign w:val="bottom"/>
          </w:tcPr>
          <w:p>
            <w:pPr>
              <w:spacing w:after="0"/>
              <w:rPr>
                <w:sz w:val="24"/>
                <w:szCs w:val="24"/>
                <w:color w:val="auto"/>
              </w:rPr>
            </w:pPr>
          </w:p>
        </w:tc>
        <w:tc>
          <w:tcPr>
            <w:tcW w:w="3360" w:type="dxa"/>
            <w:vAlign w:val="bottom"/>
            <w:gridSpan w:val="2"/>
          </w:tcPr>
          <w:p>
            <w:pPr>
              <w:jc w:val="right"/>
              <w:ind w:right="323"/>
              <w:spacing w:after="0"/>
              <w:rPr>
                <w:sz w:val="20"/>
                <w:szCs w:val="20"/>
                <w:color w:val="auto"/>
              </w:rPr>
            </w:pPr>
            <w:r>
              <w:rPr>
                <w:rFonts w:ascii="Arial" w:cs="Arial" w:eastAsia="Arial" w:hAnsi="Arial"/>
                <w:sz w:val="18"/>
                <w:szCs w:val="18"/>
                <w:b w:val="1"/>
                <w:bCs w:val="1"/>
                <w:color w:val="auto"/>
              </w:rPr>
              <w:t>(866) 980-9431</w:t>
            </w:r>
          </w:p>
        </w:tc>
        <w:tc>
          <w:tcPr>
            <w:tcW w:w="3300" w:type="dxa"/>
            <w:vAlign w:val="bottom"/>
          </w:tcPr>
          <w:p>
            <w:pPr>
              <w:spacing w:after="0"/>
              <w:rPr>
                <w:sz w:val="24"/>
                <w:szCs w:val="24"/>
                <w:color w:val="auto"/>
              </w:rPr>
            </w:pPr>
          </w:p>
        </w:tc>
      </w:tr>
      <w:tr>
        <w:trPr>
          <w:trHeight w:val="234"/>
        </w:trPr>
        <w:tc>
          <w:tcPr>
            <w:tcW w:w="2740" w:type="dxa"/>
            <w:vAlign w:val="bottom"/>
          </w:tcPr>
          <w:p>
            <w:pPr>
              <w:spacing w:after="0"/>
              <w:rPr>
                <w:sz w:val="20"/>
                <w:szCs w:val="20"/>
                <w:color w:val="auto"/>
              </w:rPr>
            </w:pPr>
          </w:p>
        </w:tc>
        <w:tc>
          <w:tcPr>
            <w:tcW w:w="6660" w:type="dxa"/>
            <w:vAlign w:val="bottom"/>
            <w:gridSpan w:val="3"/>
          </w:tcPr>
          <w:p>
            <w:pPr>
              <w:jc w:val="center"/>
              <w:ind w:right="1848"/>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14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57150</wp:posOffset>
            </wp:positionV>
            <wp:extent cx="1465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30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057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351155"/>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Trading Symbol(s)</w:t>
            </w:r>
          </w:p>
        </w:tc>
        <w:tc>
          <w:tcPr>
            <w:tcW w:w="4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41"/>
        </w:trPr>
        <w:tc>
          <w:tcPr>
            <w:tcW w:w="3800" w:type="dxa"/>
            <w:vAlign w:val="bottom"/>
          </w:tcPr>
          <w:p>
            <w:pPr>
              <w:jc w:val="center"/>
              <w:spacing w:after="0" w:line="141" w:lineRule="exact"/>
              <w:rPr>
                <w:sz w:val="20"/>
                <w:szCs w:val="20"/>
                <w:color w:val="auto"/>
              </w:rPr>
            </w:pPr>
            <w:r>
              <w:rPr>
                <w:rFonts w:ascii="Arial" w:cs="Arial" w:eastAsia="Arial" w:hAnsi="Arial"/>
                <w:sz w:val="14"/>
                <w:szCs w:val="14"/>
                <w:color w:val="auto"/>
                <w:w w:val="92"/>
              </w:rPr>
              <w:t>Class A common stock,</w:t>
            </w:r>
          </w:p>
        </w:tc>
        <w:tc>
          <w:tcPr>
            <w:tcW w:w="3320" w:type="dxa"/>
            <w:vAlign w:val="bottom"/>
          </w:tcPr>
          <w:p>
            <w:pPr>
              <w:jc w:val="center"/>
              <w:ind w:left="248"/>
              <w:spacing w:after="0" w:line="141" w:lineRule="exact"/>
              <w:rPr>
                <w:sz w:val="20"/>
                <w:szCs w:val="20"/>
                <w:color w:val="auto"/>
              </w:rPr>
            </w:pPr>
            <w:r>
              <w:rPr>
                <w:rFonts w:ascii="Arial" w:cs="Arial" w:eastAsia="Arial" w:hAnsi="Arial"/>
                <w:sz w:val="14"/>
                <w:szCs w:val="14"/>
                <w:color w:val="auto"/>
                <w:w w:val="98"/>
              </w:rPr>
              <w:t>ROOT</w:t>
            </w:r>
          </w:p>
        </w:tc>
        <w:tc>
          <w:tcPr>
            <w:tcW w:w="4140" w:type="dxa"/>
            <w:vAlign w:val="bottom"/>
          </w:tcPr>
          <w:p>
            <w:pPr>
              <w:jc w:val="center"/>
              <w:ind w:left="288"/>
              <w:spacing w:after="0" w:line="141" w:lineRule="exact"/>
              <w:rPr>
                <w:sz w:val="20"/>
                <w:szCs w:val="20"/>
                <w:color w:val="auto"/>
              </w:rPr>
            </w:pPr>
            <w:r>
              <w:rPr>
                <w:rFonts w:ascii="Arial" w:cs="Arial" w:eastAsia="Arial" w:hAnsi="Arial"/>
                <w:sz w:val="14"/>
                <w:szCs w:val="14"/>
                <w:color w:val="auto"/>
                <w:w w:val="93"/>
              </w:rPr>
              <w:t>Nasdaq Global Select Market</w:t>
            </w:r>
          </w:p>
        </w:tc>
      </w:tr>
    </w:tbl>
    <w:p>
      <w:pPr>
        <w:ind w:left="1080"/>
        <w:spacing w:after="0"/>
        <w:rPr>
          <w:sz w:val="20"/>
          <w:szCs w:val="20"/>
          <w:color w:val="auto"/>
        </w:rPr>
      </w:pPr>
      <w:r>
        <w:rPr>
          <w:rFonts w:ascii="Arial" w:cs="Arial" w:eastAsia="Arial" w:hAnsi="Arial"/>
          <w:sz w:val="14"/>
          <w:szCs w:val="14"/>
          <w:color w:val="auto"/>
        </w:rPr>
        <w:t>$0.0001 par value per share</w:t>
      </w:r>
    </w:p>
    <w:p>
      <w:pPr>
        <w:spacing w:after="0" w:line="165"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ind w:right="80"/>
        <w:spacing w:after="0" w:line="205"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60" w:firstLine="324"/>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40" w:firstLine="324"/>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224" w:right="319" w:bottom="1440" w:gutter="0" w:footer="0" w:header="0"/>
        </w:sectPr>
      </w:pPr>
    </w:p>
    <w:p>
      <w:pPr>
        <w:spacing w:after="0" w:line="14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450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920" w:space="720"/>
            <w:col w:w="5620"/>
          </w:cols>
          <w:pgMar w:left="320" w:top="1224" w:right="319"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388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ectPr>
          <w:pgSz w:w="11900" w:h="16838" w:orient="portrait"/>
          <w:cols w:equalWidth="0" w:num="2">
            <w:col w:w="4920" w:space="720"/>
            <w:col w:w="5620"/>
          </w:cols>
          <w:pgMar w:left="320" w:top="1224" w:right="319" w:bottom="1440" w:gutter="0" w:footer="0" w:header="0"/>
          <w:type w:val="continuous"/>
        </w:sectPr>
      </w:pPr>
    </w:p>
    <w:p>
      <w:pPr>
        <w:ind w:left="5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60"/>
          </w:cols>
          <w:pgMar w:left="320" w:top="1224" w:right="319" w:bottom="1440" w:gutter="0" w:footer="0" w:header="0"/>
          <w:type w:val="continuous"/>
        </w:sectPr>
      </w:pPr>
    </w:p>
    <w:p>
      <w:pPr>
        <w:spacing w:after="0" w:line="323" w:lineRule="exact"/>
        <w:rPr>
          <w:sz w:val="24"/>
          <w:szCs w:val="24"/>
          <w:color w:val="auto"/>
        </w:rPr>
      </w:pPr>
    </w:p>
    <w:p>
      <w:pPr>
        <w:ind w:right="28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7"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200" w:firstLine="324"/>
        <w:spacing w:after="0" w:line="291" w:lineRule="auto"/>
        <w:rPr>
          <w:sz w:val="20"/>
          <w:szCs w:val="20"/>
          <w:color w:val="auto"/>
        </w:rPr>
      </w:pPr>
      <w:r>
        <w:rPr>
          <w:rFonts w:ascii="Arial" w:cs="Arial" w:eastAsia="Arial" w:hAnsi="Arial"/>
          <w:sz w:val="17"/>
          <w:szCs w:val="17"/>
          <w:color w:val="auto"/>
        </w:rPr>
        <w:t>As of November 24, 2020, the number of outstanding shares of the registrant’s Class A common stock, par value $0.0001 per share, was 59,443,588, and the number of outstanding shares of the registrant’s Class B common stock, par value $0.0001 per share, was 191,354,938.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24" w:right="319" w:bottom="1440" w:gutter="0" w:footer="0" w:header="0"/>
          <w:type w:val="continuous"/>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54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22"/>
        </w:trPr>
        <w:tc>
          <w:tcPr>
            <w:tcW w:w="840" w:type="dxa"/>
            <w:vAlign w:val="bottom"/>
          </w:tcPr>
          <w:p>
            <w:pPr>
              <w:spacing w:after="0"/>
              <w:rPr>
                <w:sz w:val="19"/>
                <w:szCs w:val="19"/>
                <w:color w:val="auto"/>
              </w:rPr>
            </w:pPr>
          </w:p>
        </w:tc>
        <w:tc>
          <w:tcPr>
            <w:tcW w:w="9540" w:type="dxa"/>
            <w:vAlign w:val="bottom"/>
          </w:tcPr>
          <w:p>
            <w:pPr>
              <w:ind w:left="37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1</w:t>
              </w:r>
            </w:hyperlink>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540" w:type="dxa"/>
            <w:vAlign w:val="bottom"/>
          </w:tcPr>
          <w:p>
            <w:pPr>
              <w:ind w:left="1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 Unaudited</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1</w:t>
              </w:r>
            </w:hyperlink>
          </w:p>
        </w:tc>
      </w:tr>
      <w:tr>
        <w:trPr>
          <w:trHeight w:val="230"/>
        </w:trPr>
        <w:tc>
          <w:tcPr>
            <w:tcW w:w="840" w:type="dxa"/>
            <w:vAlign w:val="bottom"/>
          </w:tcPr>
          <w:p>
            <w:pPr>
              <w:spacing w:after="0"/>
              <w:rPr>
                <w:sz w:val="19"/>
                <w:szCs w:val="19"/>
                <w:color w:val="auto"/>
              </w:rPr>
            </w:pPr>
          </w:p>
        </w:tc>
        <w:tc>
          <w:tcPr>
            <w:tcW w:w="9540" w:type="dxa"/>
            <w:vAlign w:val="bottom"/>
          </w:tcPr>
          <w:p>
            <w:pPr>
              <w:ind w:left="1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and Comprehensive Loss - Unaudited</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2</w:t>
              </w:r>
            </w:hyperlink>
          </w:p>
        </w:tc>
      </w:tr>
      <w:tr>
        <w:trPr>
          <w:trHeight w:val="229"/>
        </w:trPr>
        <w:tc>
          <w:tcPr>
            <w:tcW w:w="840" w:type="dxa"/>
            <w:vAlign w:val="bottom"/>
          </w:tcPr>
          <w:p>
            <w:pPr>
              <w:spacing w:after="0"/>
              <w:rPr>
                <w:sz w:val="19"/>
                <w:szCs w:val="19"/>
                <w:color w:val="auto"/>
              </w:rPr>
            </w:pPr>
          </w:p>
        </w:tc>
        <w:tc>
          <w:tcPr>
            <w:tcW w:w="9540" w:type="dxa"/>
            <w:vAlign w:val="bottom"/>
          </w:tcPr>
          <w:p>
            <w:pPr>
              <w:ind w:left="180"/>
              <w:spacing w:after="0"/>
              <w:rPr>
                <w:rFonts w:ascii="Arial" w:cs="Arial" w:eastAsia="Arial" w:hAnsi="Arial"/>
                <w:sz w:val="18"/>
                <w:szCs w:val="18"/>
                <w:u w:val="single" w:color="auto"/>
                <w:color w:val="0000FF"/>
                <w:w w:val="98"/>
              </w:rPr>
            </w:pPr>
            <w:hyperlink w:anchor="page6">
              <w:r>
                <w:rPr>
                  <w:rFonts w:ascii="Arial" w:cs="Arial" w:eastAsia="Arial" w:hAnsi="Arial"/>
                  <w:sz w:val="18"/>
                  <w:szCs w:val="18"/>
                  <w:u w:val="single" w:color="auto"/>
                  <w:color w:val="0000FF"/>
                  <w:w w:val="98"/>
                </w:rPr>
                <w:t>Condensed Consolidated Statements of Redeemable Convertible Preferred Stock and Stockholders' Deficit - Unaudited</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3</w:t>
              </w:r>
            </w:hyperlink>
          </w:p>
        </w:tc>
      </w:tr>
      <w:tr>
        <w:trPr>
          <w:trHeight w:val="229"/>
        </w:trPr>
        <w:tc>
          <w:tcPr>
            <w:tcW w:w="840" w:type="dxa"/>
            <w:vAlign w:val="bottom"/>
          </w:tcPr>
          <w:p>
            <w:pPr>
              <w:spacing w:after="0"/>
              <w:rPr>
                <w:sz w:val="19"/>
                <w:szCs w:val="19"/>
                <w:color w:val="auto"/>
              </w:rPr>
            </w:pPr>
          </w:p>
        </w:tc>
        <w:tc>
          <w:tcPr>
            <w:tcW w:w="9540" w:type="dxa"/>
            <w:vAlign w:val="bottom"/>
          </w:tcPr>
          <w:p>
            <w:pPr>
              <w:ind w:left="1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 Unaudited</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5</w:t>
              </w:r>
            </w:hyperlink>
          </w:p>
        </w:tc>
      </w:tr>
      <w:tr>
        <w:trPr>
          <w:trHeight w:val="230"/>
        </w:trPr>
        <w:tc>
          <w:tcPr>
            <w:tcW w:w="840" w:type="dxa"/>
            <w:vAlign w:val="bottom"/>
          </w:tcPr>
          <w:p>
            <w:pPr>
              <w:spacing w:after="0"/>
              <w:rPr>
                <w:sz w:val="19"/>
                <w:szCs w:val="19"/>
                <w:color w:val="auto"/>
              </w:rPr>
            </w:pPr>
          </w:p>
        </w:tc>
        <w:tc>
          <w:tcPr>
            <w:tcW w:w="9540" w:type="dxa"/>
            <w:vAlign w:val="bottom"/>
          </w:tcPr>
          <w:p>
            <w:pPr>
              <w:ind w:left="1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 Unaudited</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6</w:t>
              </w:r>
            </w:hyperlink>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tc>
        <w:tc>
          <w:tcPr>
            <w:tcW w:w="9540" w:type="dxa"/>
            <w:vAlign w:val="bottom"/>
          </w:tcPr>
          <w:p>
            <w:pPr>
              <w:ind w:left="1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20</w:t>
              </w:r>
            </w:hyperlink>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w:t>
              </w:r>
            </w:hyperlink>
          </w:p>
        </w:tc>
        <w:tc>
          <w:tcPr>
            <w:tcW w:w="9540" w:type="dxa"/>
            <w:vAlign w:val="bottom"/>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Quantitative and Qualitative Disclosures About Market Risk</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36</w:t>
              </w:r>
            </w:hyperlink>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4.</w:t>
              </w:r>
            </w:hyperlink>
          </w:p>
        </w:tc>
        <w:tc>
          <w:tcPr>
            <w:tcW w:w="9540" w:type="dxa"/>
            <w:vAlign w:val="bottom"/>
          </w:tcPr>
          <w:p>
            <w:pPr>
              <w:ind w:left="1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37</w:t>
              </w:r>
            </w:hyperlink>
          </w:p>
        </w:tc>
      </w:tr>
      <w:tr>
        <w:trPr>
          <w:trHeight w:val="499"/>
        </w:trPr>
        <w:tc>
          <w:tcPr>
            <w:tcW w:w="840" w:type="dxa"/>
            <w:vAlign w:val="bottom"/>
          </w:tcPr>
          <w:p>
            <w:pPr>
              <w:spacing w:after="0"/>
              <w:rPr>
                <w:sz w:val="24"/>
                <w:szCs w:val="24"/>
                <w:color w:val="auto"/>
              </w:rPr>
            </w:pPr>
          </w:p>
        </w:tc>
        <w:tc>
          <w:tcPr>
            <w:tcW w:w="9540" w:type="dxa"/>
            <w:vAlign w:val="bottom"/>
          </w:tcPr>
          <w:p>
            <w:pPr>
              <w:ind w:left="382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Part II. Other Information</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38</w:t>
              </w:r>
            </w:hyperlink>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w:t>
              </w:r>
            </w:hyperlink>
          </w:p>
        </w:tc>
        <w:tc>
          <w:tcPr>
            <w:tcW w:w="9540" w:type="dxa"/>
            <w:vAlign w:val="bottom"/>
          </w:tcPr>
          <w:p>
            <w:pPr>
              <w:ind w:left="1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Proceedings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38</w:t>
              </w:r>
            </w:hyperlink>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1A.</w:t>
              </w:r>
            </w:hyperlink>
          </w:p>
        </w:tc>
        <w:tc>
          <w:tcPr>
            <w:tcW w:w="9540" w:type="dxa"/>
            <w:vAlign w:val="bottom"/>
          </w:tcPr>
          <w:p>
            <w:pPr>
              <w:ind w:left="1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Risk Factors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39</w:t>
              </w:r>
            </w:hyperlink>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2.</w:t>
              </w:r>
            </w:hyperlink>
          </w:p>
        </w:tc>
        <w:tc>
          <w:tcPr>
            <w:tcW w:w="9540" w:type="dxa"/>
            <w:vAlign w:val="bottom"/>
          </w:tcPr>
          <w:p>
            <w:pPr>
              <w:ind w:left="18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Unregistered Sales of Equity Securities and Use of Proceeds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81</w:t>
              </w:r>
            </w:hyperlink>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3.</w:t>
              </w:r>
            </w:hyperlink>
          </w:p>
        </w:tc>
        <w:tc>
          <w:tcPr>
            <w:tcW w:w="9540" w:type="dxa"/>
            <w:vAlign w:val="bottom"/>
          </w:tcPr>
          <w:p>
            <w:pPr>
              <w:ind w:left="18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Defaults Upon Senior Securities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85">
              <w:r>
                <w:rPr>
                  <w:rFonts w:ascii="Arial" w:cs="Arial" w:eastAsia="Arial" w:hAnsi="Arial"/>
                  <w:sz w:val="18"/>
                  <w:szCs w:val="18"/>
                  <w:u w:val="single" w:color="auto"/>
                  <w:color w:val="0000FF"/>
                  <w:w w:val="89"/>
                </w:rPr>
                <w:t>82</w:t>
              </w:r>
            </w:hyperlink>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4.</w:t>
              </w:r>
            </w:hyperlink>
          </w:p>
        </w:tc>
        <w:tc>
          <w:tcPr>
            <w:tcW w:w="9540" w:type="dxa"/>
            <w:vAlign w:val="bottom"/>
          </w:tcPr>
          <w:p>
            <w:pPr>
              <w:ind w:left="1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Mine Safety Disclosures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86">
              <w:r>
                <w:rPr>
                  <w:rFonts w:ascii="Arial" w:cs="Arial" w:eastAsia="Arial" w:hAnsi="Arial"/>
                  <w:sz w:val="18"/>
                  <w:szCs w:val="18"/>
                  <w:u w:val="single" w:color="auto"/>
                  <w:color w:val="0000FF"/>
                  <w:w w:val="89"/>
                </w:rPr>
                <w:t>83</w:t>
              </w:r>
            </w:hyperlink>
          </w:p>
        </w:tc>
      </w:tr>
      <w:tr>
        <w:trPr>
          <w:trHeight w:val="230"/>
        </w:trPr>
        <w:tc>
          <w:tcPr>
            <w:tcW w:w="840" w:type="dxa"/>
            <w:vAlign w:val="bottom"/>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5.</w:t>
              </w:r>
            </w:hyperlink>
          </w:p>
        </w:tc>
        <w:tc>
          <w:tcPr>
            <w:tcW w:w="9540" w:type="dxa"/>
            <w:vAlign w:val="bottom"/>
          </w:tcPr>
          <w:p>
            <w:pPr>
              <w:ind w:left="18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Other Information</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84</w:t>
              </w:r>
            </w:hyperlink>
          </w:p>
        </w:tc>
      </w:tr>
      <w:tr>
        <w:trPr>
          <w:trHeight w:val="229"/>
        </w:trPr>
        <w:tc>
          <w:tcPr>
            <w:tcW w:w="840" w:type="dxa"/>
            <w:vAlign w:val="bottom"/>
          </w:tcPr>
          <w:p>
            <w:pPr>
              <w:ind w:lef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6.</w:t>
              </w:r>
            </w:hyperlink>
          </w:p>
        </w:tc>
        <w:tc>
          <w:tcPr>
            <w:tcW w:w="9540" w:type="dxa"/>
            <w:vAlign w:val="bottom"/>
          </w:tcPr>
          <w:p>
            <w:pPr>
              <w:ind w:left="18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Exhibits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85</w:t>
              </w:r>
            </w:hyperlink>
          </w:p>
        </w:tc>
      </w:tr>
      <w:tr>
        <w:trPr>
          <w:trHeight w:val="230"/>
        </w:trPr>
        <w:tc>
          <w:tcPr>
            <w:tcW w:w="840" w:type="dxa"/>
            <w:vAlign w:val="bottom"/>
          </w:tcPr>
          <w:p>
            <w:pPr>
              <w:spacing w:after="0"/>
              <w:rPr>
                <w:sz w:val="20"/>
                <w:szCs w:val="20"/>
                <w:color w:val="auto"/>
              </w:rPr>
            </w:pPr>
          </w:p>
        </w:tc>
        <w:tc>
          <w:tcPr>
            <w:tcW w:w="9540" w:type="dxa"/>
            <w:vAlign w:val="bottom"/>
          </w:tcPr>
          <w:p>
            <w:pPr>
              <w:ind w:left="18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Signatures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90">
              <w:r>
                <w:rPr>
                  <w:rFonts w:ascii="Arial" w:cs="Arial" w:eastAsia="Arial" w:hAnsi="Arial"/>
                  <w:sz w:val="18"/>
                  <w:szCs w:val="18"/>
                  <w:u w:val="single" w:color="auto"/>
                  <w:color w:val="0000FF"/>
                  <w:w w:val="89"/>
                </w:rPr>
                <w:t>87</w:t>
              </w:r>
            </w:hyperlink>
          </w:p>
        </w:tc>
      </w:tr>
      <w:tr>
        <w:trPr>
          <w:trHeight w:val="1519"/>
        </w:trPr>
        <w:tc>
          <w:tcPr>
            <w:tcW w:w="84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existing customers and acquire new customers;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 adjusted gross profit, direct loss ratio, marketing costs, direct LAE ratio, quota share levels and expansion of our renewal premium base;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 that currently apply or become applicable to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16" w:lineRule="exact"/>
        <w:rPr>
          <w:sz w:val="20"/>
          <w:szCs w:val="20"/>
          <w:color w:val="auto"/>
        </w:rPr>
      </w:pPr>
    </w:p>
    <w:p>
      <w:pPr>
        <w:ind w:right="180" w:firstLine="324"/>
        <w:spacing w:after="0" w:line="235"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89"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875665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As of</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Investments: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w w:val="94"/>
              </w:rPr>
              <w:t>Fixed maturities available-for sale, at fair value (amortized cost: $216.4 and $118.7 at September 30, 2020 and</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31, 2019, respectively)</w:t>
            </w:r>
          </w:p>
        </w:tc>
        <w:tc>
          <w:tcPr>
            <w:tcW w:w="20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240"/>
              <w:spacing w:after="0" w:line="162" w:lineRule="exact"/>
              <w:rPr>
                <w:sz w:val="20"/>
                <w:szCs w:val="20"/>
                <w:color w:val="auto"/>
              </w:rPr>
            </w:pPr>
            <w:r>
              <w:rPr>
                <w:rFonts w:ascii="Arial" w:cs="Arial" w:eastAsia="Arial" w:hAnsi="Arial"/>
                <w:sz w:val="17"/>
                <w:szCs w:val="17"/>
                <w:color w:val="auto"/>
              </w:rPr>
              <w:t>Short-term investments (amortized cost: $2.5 and $3.5 at September 30, 2020 and December 31, 2019,</w:t>
            </w:r>
          </w:p>
        </w:tc>
        <w:tc>
          <w:tcPr>
            <w:tcW w:w="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respectively)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investments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391.7</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Restricted cash</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w w:val="90"/>
              </w:rPr>
              <w:t>Premiums receivable, net of allowance of $7.1 and $2.0 at September 30, 2020 and December 31, 2019, respectively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122.7</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recoverable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Prepaid reinsurance premiums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Fixed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Deferred acquisition costs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728.6</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Unearned premiums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 and warrants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Reinsurance premiums payable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542.2</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7"/>
                <w:szCs w:val="17"/>
                <w:color w:val="auto"/>
              </w:rPr>
              <w:t>Commitments and Contingencies (Note 11)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Redeemable convertible preferred stock, $0.0001 par value, 161.8 and 158.9 shares issued and outstanding at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7"/>
              </w:rPr>
              <w:t>September 30, 2020 and December 31, 2019, respectively (liquidation preference of $597.5 and $549.8 at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September 30, 2020 and December 31, 2019, respectively) (Note 8)</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560.4</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7"/>
                <w:szCs w:val="17"/>
                <w:color w:val="auto"/>
              </w:rPr>
              <w:t>Stockholders’ deficit: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w w:val="97"/>
              </w:rPr>
              <w:t>Common stock, $0.0001 par value, 42.5 and 44.4 shares issued and outstanding at September 30, 2020 and</w:t>
            </w:r>
          </w:p>
        </w:tc>
        <w:tc>
          <w:tcPr>
            <w:tcW w:w="2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December 31, 2019, respectively (Note 8)</w:t>
            </w:r>
          </w:p>
        </w:tc>
        <w:tc>
          <w:tcPr>
            <w:tcW w:w="2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Treasury stock, at cost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loss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(385.0)</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stockholders’ deficit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(374.0)</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6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400" w:type="dxa"/>
            <w:vAlign w:val="bottom"/>
            <w:gridSpan w:val="4"/>
            <w:vMerge w:val="restart"/>
          </w:tcPr>
          <w:p>
            <w:pPr>
              <w:jc w:val="right"/>
              <w:ind w:right="11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8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 on investments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 income</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(benefit) expense</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60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116.2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(85.2)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7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unrealized gain on investments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vMerge w:val="continue"/>
          </w:tcPr>
          <w:p>
            <w:pPr>
              <w:spacing w:after="0"/>
              <w:rPr>
                <w:sz w:val="17"/>
                <w:szCs w:val="17"/>
                <w:color w:val="auto"/>
              </w:rPr>
            </w:pPr>
          </w:p>
        </w:tc>
        <w:tc>
          <w:tcPr>
            <w:tcW w:w="760" w:type="dxa"/>
            <w:vAlign w:val="bottom"/>
          </w:tcPr>
          <w:p>
            <w:pPr>
              <w:jc w:val="right"/>
              <w:ind w:right="557"/>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9"/>
              </w:rPr>
              <w:t>(2.20)</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(2.88)</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(5.94)</w:t>
            </w:r>
          </w:p>
        </w:tc>
        <w:tc>
          <w:tcPr>
            <w:tcW w:w="10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ROOT, INC. AND SUBSIDIARIES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jc w:val="center"/>
        <w:ind w:right="20"/>
        <w:spacing w:after="0"/>
        <w:rPr>
          <w:sz w:val="20"/>
          <w:szCs w:val="20"/>
          <w:color w:val="auto"/>
        </w:rPr>
      </w:pPr>
      <w:r>
        <w:rPr>
          <w:rFonts w:ascii="Arial" w:cs="Arial" w:eastAsia="Arial" w:hAnsi="Arial"/>
          <w:sz w:val="18"/>
          <w:szCs w:val="18"/>
          <w:b w:val="1"/>
          <w:bCs w:val="1"/>
          <w:color w:val="auto"/>
        </w:rPr>
        <w:t>DEFICIT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3248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24866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56" w:lineRule="exact"/>
        <w:rPr>
          <w:sz w:val="20"/>
          <w:szCs w:val="20"/>
          <w:color w:val="auto"/>
        </w:rPr>
      </w:pPr>
    </w:p>
    <w:p>
      <w:pPr>
        <w:jc w:val="center"/>
        <w:ind w:left="3100"/>
        <w:spacing w:after="0"/>
        <w:rPr>
          <w:sz w:val="20"/>
          <w:szCs w:val="20"/>
          <w:color w:val="auto"/>
        </w:rPr>
      </w:pPr>
      <w:r>
        <w:rPr>
          <w:rFonts w:ascii="Arial" w:cs="Arial" w:eastAsia="Arial" w:hAnsi="Arial"/>
          <w:sz w:val="13"/>
          <w:szCs w:val="13"/>
          <w:b w:val="1"/>
          <w:bCs w:val="1"/>
          <w:color w:val="auto"/>
        </w:rPr>
        <w:t>Redeemable</w:t>
      </w:r>
    </w:p>
    <w:p>
      <w:pPr>
        <w:jc w:val="center"/>
        <w:ind w:left="3100"/>
        <w:spacing w:after="0" w:line="211" w:lineRule="auto"/>
        <w:rPr>
          <w:sz w:val="20"/>
          <w:szCs w:val="20"/>
          <w:color w:val="auto"/>
        </w:rPr>
      </w:pPr>
      <w:r>
        <w:rPr>
          <w:rFonts w:ascii="Arial" w:cs="Arial" w:eastAsia="Arial" w:hAnsi="Arial"/>
          <w:sz w:val="12"/>
          <w:szCs w:val="12"/>
          <w:b w:val="1"/>
          <w:bCs w:val="1"/>
          <w:color w:val="auto"/>
        </w:rPr>
        <w:t>Convertible Preferred</w:t>
      </w:r>
    </w:p>
    <w:p>
      <w:pPr>
        <w:jc w:val="center"/>
        <w:ind w:left="3100"/>
        <w:spacing w:after="0"/>
        <w:rPr>
          <w:sz w:val="20"/>
          <w:szCs w:val="20"/>
          <w:color w:val="auto"/>
        </w:rPr>
      </w:pPr>
      <w:r>
        <w:rPr>
          <w:rFonts w:ascii="Arial" w:cs="Arial" w:eastAsia="Arial" w:hAnsi="Arial"/>
          <w:sz w:val="13"/>
          <w:szCs w:val="13"/>
          <w:b w:val="1"/>
          <w:bCs w:val="1"/>
          <w:color w:val="auto"/>
        </w:rPr>
        <w:t>Stock</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352"/>
        </w:trPr>
        <w:tc>
          <w:tcPr>
            <w:tcW w:w="3100" w:type="dxa"/>
            <w:vAlign w:val="bottom"/>
          </w:tcPr>
          <w:p>
            <w:pPr>
              <w:spacing w:after="0"/>
              <w:rPr>
                <w:sz w:val="20"/>
                <w:szCs w:val="20"/>
                <w:color w:val="auto"/>
              </w:rPr>
            </w:pPr>
            <w:r>
              <w:rPr>
                <w:rFonts w:ascii="Arial" w:cs="Arial" w:eastAsia="Arial" w:hAnsi="Arial"/>
                <w:sz w:val="14"/>
                <w:szCs w:val="14"/>
                <w:color w:val="auto"/>
              </w:rPr>
              <w:t>Balance—July 1, 2020</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Changes in other comprehensive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Common stock—option exercises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100" w:type="dxa"/>
            <w:vAlign w:val="bottom"/>
          </w:tcPr>
          <w:p>
            <w:pPr>
              <w:ind w:left="120"/>
              <w:spacing w:after="0" w:line="147" w:lineRule="exact"/>
              <w:rPr>
                <w:sz w:val="20"/>
                <w:szCs w:val="20"/>
                <w:color w:val="auto"/>
              </w:rPr>
            </w:pPr>
            <w:r>
              <w:rPr>
                <w:rFonts w:ascii="Arial" w:cs="Arial" w:eastAsia="Arial" w:hAnsi="Arial"/>
                <w:sz w:val="14"/>
                <w:szCs w:val="14"/>
                <w:color w:val="auto"/>
              </w:rPr>
              <w:t>Reclassification of early-exercised stock option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80"/>
              <w:spacing w:after="0"/>
              <w:rPr>
                <w:sz w:val="20"/>
                <w:szCs w:val="20"/>
                <w:color w:val="auto"/>
              </w:rPr>
            </w:pPr>
            <w:r>
              <w:rPr>
                <w:rFonts w:ascii="Arial" w:cs="Arial" w:eastAsia="Arial" w:hAnsi="Arial"/>
                <w:sz w:val="14"/>
                <w:szCs w:val="14"/>
                <w:color w:val="auto"/>
              </w:rPr>
              <w:t>from liabilities</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120"/>
              <w:spacing w:after="0" w:line="142" w:lineRule="exact"/>
              <w:rPr>
                <w:sz w:val="20"/>
                <w:szCs w:val="20"/>
                <w:color w:val="auto"/>
              </w:rPr>
            </w:pPr>
            <w:r>
              <w:rPr>
                <w:rFonts w:ascii="Arial" w:cs="Arial" w:eastAsia="Arial" w:hAnsi="Arial"/>
                <w:sz w:val="14"/>
                <w:szCs w:val="14"/>
                <w:color w:val="auto"/>
              </w:rPr>
              <w:t>Common stock—share-based compensation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00" w:type="dxa"/>
            <w:vAlign w:val="bottom"/>
          </w:tcPr>
          <w:p>
            <w:pPr>
              <w:ind w:left="120"/>
              <w:spacing w:after="0"/>
              <w:rPr>
                <w:sz w:val="20"/>
                <w:szCs w:val="20"/>
                <w:color w:val="auto"/>
              </w:rPr>
            </w:pPr>
            <w:r>
              <w:rPr>
                <w:rFonts w:ascii="Arial" w:cs="Arial" w:eastAsia="Arial" w:hAnsi="Arial"/>
                <w:sz w:val="14"/>
                <w:szCs w:val="14"/>
                <w:color w:val="auto"/>
              </w:rPr>
              <w:t>expense</w:t>
            </w: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20"/>
                <w:szCs w:val="20"/>
                <w:color w:val="auto"/>
              </w:rPr>
            </w:pPr>
            <w:r>
              <w:rPr>
                <w:rFonts w:ascii="Arial" w:cs="Arial" w:eastAsia="Arial" w:hAnsi="Arial"/>
                <w:sz w:val="14"/>
                <w:szCs w:val="14"/>
                <w:color w:val="auto"/>
              </w:rPr>
              <w:t>Balance—September 30,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3100" w:type="dxa"/>
            <w:vAlign w:val="bottom"/>
          </w:tcPr>
          <w:p>
            <w:pPr>
              <w:spacing w:after="0"/>
              <w:rPr>
                <w:sz w:val="20"/>
                <w:szCs w:val="20"/>
                <w:color w:val="auto"/>
              </w:rPr>
            </w:pPr>
            <w:r>
              <w:rPr>
                <w:rFonts w:ascii="Arial" w:cs="Arial" w:eastAsia="Arial" w:hAnsi="Arial"/>
                <w:sz w:val="14"/>
                <w:szCs w:val="14"/>
                <w:color w:val="auto"/>
              </w:rPr>
              <w:t>Balance—January 1, 2020</w:t>
            </w:r>
          </w:p>
        </w:tc>
        <w:tc>
          <w:tcPr>
            <w:tcW w:w="580" w:type="dxa"/>
            <w:vAlign w:val="bottom"/>
          </w:tcPr>
          <w:p>
            <w:pPr>
              <w:jc w:val="right"/>
              <w:spacing w:after="0"/>
              <w:rPr>
                <w:sz w:val="20"/>
                <w:szCs w:val="20"/>
                <w:color w:val="auto"/>
              </w:rPr>
            </w:pPr>
            <w:r>
              <w:rPr>
                <w:rFonts w:ascii="Arial" w:cs="Arial" w:eastAsia="Arial" w:hAnsi="Arial"/>
                <w:sz w:val="14"/>
                <w:szCs w:val="14"/>
                <w:color w:val="auto"/>
              </w:rPr>
              <w:t>158.9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Changes in other comprehensive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w w:val="96"/>
              </w:rPr>
              <w:t>Tender offer and subsequent conversion (Note 9)</w:t>
            </w: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Common stock—option exercises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100" w:type="dxa"/>
            <w:vAlign w:val="bottom"/>
          </w:tcPr>
          <w:p>
            <w:pPr>
              <w:ind w:left="120"/>
              <w:spacing w:after="0" w:line="147" w:lineRule="exact"/>
              <w:rPr>
                <w:sz w:val="20"/>
                <w:szCs w:val="20"/>
                <w:color w:val="auto"/>
              </w:rPr>
            </w:pPr>
            <w:r>
              <w:rPr>
                <w:rFonts w:ascii="Arial" w:cs="Arial" w:eastAsia="Arial" w:hAnsi="Arial"/>
                <w:sz w:val="14"/>
                <w:szCs w:val="14"/>
                <w:color w:val="auto"/>
              </w:rPr>
              <w:t>Reclassification of early-exercised stock option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80"/>
              <w:spacing w:after="0"/>
              <w:rPr>
                <w:sz w:val="20"/>
                <w:szCs w:val="20"/>
                <w:color w:val="auto"/>
              </w:rPr>
            </w:pPr>
            <w:r>
              <w:rPr>
                <w:rFonts w:ascii="Arial" w:cs="Arial" w:eastAsia="Arial" w:hAnsi="Arial"/>
                <w:sz w:val="14"/>
                <w:szCs w:val="14"/>
                <w:color w:val="auto"/>
              </w:rPr>
              <w:t>from liabilities</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120"/>
              <w:spacing w:after="0" w:line="142" w:lineRule="exact"/>
              <w:rPr>
                <w:sz w:val="20"/>
                <w:szCs w:val="20"/>
                <w:color w:val="auto"/>
              </w:rPr>
            </w:pPr>
            <w:r>
              <w:rPr>
                <w:rFonts w:ascii="Arial" w:cs="Arial" w:eastAsia="Arial" w:hAnsi="Arial"/>
                <w:sz w:val="14"/>
                <w:szCs w:val="14"/>
                <w:color w:val="auto"/>
              </w:rPr>
              <w:t>Common stock—share-based compensation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120"/>
              <w:spacing w:after="0"/>
              <w:rPr>
                <w:sz w:val="20"/>
                <w:szCs w:val="20"/>
                <w:color w:val="auto"/>
              </w:rPr>
            </w:pPr>
            <w:r>
              <w:rPr>
                <w:rFonts w:ascii="Arial" w:cs="Arial" w:eastAsia="Arial" w:hAnsi="Arial"/>
                <w:sz w:val="14"/>
                <w:szCs w:val="14"/>
                <w:color w:val="auto"/>
              </w:rPr>
              <w:t>expense</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120"/>
              <w:spacing w:after="0"/>
              <w:rPr>
                <w:sz w:val="20"/>
                <w:szCs w:val="20"/>
                <w:color w:val="auto"/>
              </w:rPr>
            </w:pPr>
            <w:r>
              <w:rPr>
                <w:rFonts w:ascii="Arial" w:cs="Arial" w:eastAsia="Arial" w:hAnsi="Arial"/>
                <w:sz w:val="14"/>
                <w:szCs w:val="14"/>
                <w:color w:val="auto"/>
              </w:rPr>
              <w:t>Settlement of related party loan (Note 10)</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20"/>
                <w:szCs w:val="20"/>
                <w:color w:val="auto"/>
              </w:rPr>
            </w:pPr>
            <w:r>
              <w:rPr>
                <w:rFonts w:ascii="Arial" w:cs="Arial" w:eastAsia="Arial" w:hAnsi="Arial"/>
                <w:sz w:val="14"/>
                <w:szCs w:val="14"/>
                <w:color w:val="auto"/>
              </w:rPr>
              <w:t>Balance—September 30,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22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Total</w:t>
            </w:r>
          </w:p>
        </w:tc>
      </w:tr>
      <w:tr>
        <w:trPr>
          <w:trHeight w:val="54"/>
        </w:trPr>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Additional Paid-</w:t>
            </w:r>
          </w:p>
        </w:tc>
        <w:tc>
          <w:tcPr>
            <w:tcW w:w="1020" w:type="dxa"/>
            <w:vAlign w:val="bottom"/>
            <w:gridSpan w:val="3"/>
          </w:tcPr>
          <w:p>
            <w:pPr>
              <w:jc w:val="center"/>
              <w:ind w:right="60"/>
              <w:spacing w:after="0" w:line="54"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920" w:type="dxa"/>
            <w:vAlign w:val="bottom"/>
            <w:gridSpan w:val="2"/>
          </w:tcPr>
          <w:p>
            <w:pPr>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840" w:type="dxa"/>
            <w:vAlign w:val="bottom"/>
          </w:tcPr>
          <w:p>
            <w:pPr>
              <w:jc w:val="center"/>
              <w:ind w:right="31"/>
              <w:spacing w:after="0" w:line="54" w:lineRule="exact"/>
              <w:rPr>
                <w:sz w:val="20"/>
                <w:szCs w:val="20"/>
                <w:color w:val="auto"/>
              </w:rPr>
            </w:pPr>
            <w:r>
              <w:rPr>
                <w:rFonts w:ascii="Arial" w:cs="Arial" w:eastAsia="Arial" w:hAnsi="Arial"/>
                <w:sz w:val="6"/>
                <w:szCs w:val="6"/>
                <w:b w:val="1"/>
                <w:bCs w:val="1"/>
                <w:color w:val="auto"/>
              </w:rPr>
              <w:t>Stockholders'</w:t>
            </w:r>
          </w:p>
        </w:tc>
      </w:tr>
      <w:tr>
        <w:trPr>
          <w:trHeight w:val="177"/>
        </w:trPr>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Loss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Deficit</w:t>
            </w:r>
          </w:p>
        </w:tc>
      </w:tr>
      <w:tr>
        <w:trPr>
          <w:trHeight w:val="163"/>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8"/>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Pr>
          <w:p>
            <w:pPr>
              <w:jc w:val="center"/>
              <w:ind w:left="8"/>
              <w:spacing w:after="0"/>
              <w:rPr>
                <w:sz w:val="20"/>
                <w:szCs w:val="20"/>
                <w:color w:val="auto"/>
              </w:rPr>
            </w:pPr>
            <w:r>
              <w:rPr>
                <w:rFonts w:ascii="Arial" w:cs="Arial" w:eastAsia="Arial" w:hAnsi="Arial"/>
                <w:sz w:val="14"/>
                <w:szCs w:val="14"/>
                <w:color w:val="auto"/>
                <w:w w:val="97"/>
              </w:rPr>
              <w:t>(0.8)</w:t>
            </w:r>
          </w:p>
        </w:tc>
        <w:tc>
          <w:tcPr>
            <w:tcW w:w="1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(529.5)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(487.2)</w:t>
            </w:r>
          </w:p>
        </w:tc>
      </w:tr>
      <w:tr>
        <w:trPr>
          <w:trHeight w:val="378"/>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w:t>
            </w: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324"/>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330"/>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85"/>
        </w:trPr>
        <w:tc>
          <w:tcPr>
            <w:tcW w:w="5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7"/>
              </w:rPr>
              <w:t>(0.8)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(570.4)</w:t>
            </w:r>
          </w:p>
        </w:tc>
      </w:tr>
      <w:tr>
        <w:trPr>
          <w:trHeight w:val="24"/>
        </w:trPr>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9"/>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24"/>
                <w:szCs w:val="24"/>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4"/>
                <w:szCs w:val="24"/>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Pr>
          <w:p>
            <w:pPr>
              <w:jc w:val="center"/>
              <w:ind w:left="8"/>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(385.0)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(374.0)</w:t>
            </w:r>
          </w:p>
        </w:tc>
      </w:tr>
      <w:tr>
        <w:trPr>
          <w:trHeight w:val="378"/>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(229.7)</w:t>
            </w: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9"/>
        </w:trPr>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89"/>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24"/>
        </w:trPr>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5"/>
        </w:trPr>
        <w:tc>
          <w:tcPr>
            <w:tcW w:w="5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center"/>
              <w:ind w:left="8"/>
              <w:spacing w:after="0"/>
              <w:rPr>
                <w:sz w:val="20"/>
                <w:szCs w:val="20"/>
                <w:color w:val="auto"/>
              </w:rPr>
            </w:pPr>
            <w:r>
              <w:rPr>
                <w:rFonts w:ascii="Arial" w:cs="Arial" w:eastAsia="Arial" w:hAnsi="Arial"/>
                <w:sz w:val="14"/>
                <w:szCs w:val="14"/>
                <w:color w:val="auto"/>
                <w:w w:val="97"/>
              </w:rPr>
              <w:t>(0.7)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5"/>
        </w:trPr>
        <w:tc>
          <w:tcPr>
            <w:tcW w:w="5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7"/>
              </w:rPr>
              <w:t>(0.8)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(570.4)</w:t>
            </w:r>
          </w:p>
        </w:tc>
      </w:tr>
      <w:tr>
        <w:trPr>
          <w:trHeight w:val="24"/>
        </w:trPr>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2">
            <w:col w:w="4340" w:space="180"/>
            <w:col w:w="6700"/>
          </w:cols>
          <w:pgMar w:left="34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7" w:name="page8"/>
    <w:bookmarkEnd w:id="7"/>
    <w:p>
      <w:pPr>
        <w:spacing w:after="0" w:line="18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ROOT, INC. AND SUBSIDIARIES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jc w:val="center"/>
        <w:ind w:right="20"/>
        <w:spacing w:after="0"/>
        <w:rPr>
          <w:sz w:val="20"/>
          <w:szCs w:val="20"/>
          <w:color w:val="auto"/>
        </w:rPr>
      </w:pPr>
      <w:r>
        <w:rPr>
          <w:rFonts w:ascii="Arial" w:cs="Arial" w:eastAsia="Arial" w:hAnsi="Arial"/>
          <w:sz w:val="18"/>
          <w:szCs w:val="18"/>
          <w:b w:val="1"/>
          <w:bCs w:val="1"/>
          <w:color w:val="auto"/>
        </w:rPr>
        <w:t>DEFICIT -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3780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7801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56" w:lineRule="exact"/>
        <w:rPr>
          <w:sz w:val="20"/>
          <w:szCs w:val="20"/>
          <w:color w:val="auto"/>
        </w:rPr>
      </w:pPr>
    </w:p>
    <w:p>
      <w:pPr>
        <w:jc w:val="center"/>
        <w:ind w:left="3100"/>
        <w:spacing w:after="0"/>
        <w:rPr>
          <w:sz w:val="20"/>
          <w:szCs w:val="20"/>
          <w:color w:val="auto"/>
        </w:rPr>
      </w:pPr>
      <w:r>
        <w:rPr>
          <w:rFonts w:ascii="Arial" w:cs="Arial" w:eastAsia="Arial" w:hAnsi="Arial"/>
          <w:sz w:val="13"/>
          <w:szCs w:val="13"/>
          <w:b w:val="1"/>
          <w:bCs w:val="1"/>
          <w:color w:val="auto"/>
        </w:rPr>
        <w:t>Redeemable</w:t>
      </w:r>
    </w:p>
    <w:p>
      <w:pPr>
        <w:jc w:val="center"/>
        <w:ind w:left="3100"/>
        <w:spacing w:after="0" w:line="211" w:lineRule="auto"/>
        <w:rPr>
          <w:sz w:val="20"/>
          <w:szCs w:val="20"/>
          <w:color w:val="auto"/>
        </w:rPr>
      </w:pPr>
      <w:r>
        <w:rPr>
          <w:rFonts w:ascii="Arial" w:cs="Arial" w:eastAsia="Arial" w:hAnsi="Arial"/>
          <w:sz w:val="12"/>
          <w:szCs w:val="12"/>
          <w:b w:val="1"/>
          <w:bCs w:val="1"/>
          <w:color w:val="auto"/>
        </w:rPr>
        <w:t>Convertible Preferred</w:t>
      </w:r>
    </w:p>
    <w:p>
      <w:pPr>
        <w:jc w:val="center"/>
        <w:ind w:left="3100"/>
        <w:spacing w:after="0"/>
        <w:rPr>
          <w:sz w:val="20"/>
          <w:szCs w:val="20"/>
          <w:color w:val="auto"/>
        </w:rPr>
      </w:pPr>
      <w:r>
        <w:rPr>
          <w:rFonts w:ascii="Arial" w:cs="Arial" w:eastAsia="Arial" w:hAnsi="Arial"/>
          <w:sz w:val="13"/>
          <w:szCs w:val="13"/>
          <w:b w:val="1"/>
          <w:bCs w:val="1"/>
          <w:color w:val="auto"/>
        </w:rPr>
        <w:t>Stock</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353"/>
        </w:trPr>
        <w:tc>
          <w:tcPr>
            <w:tcW w:w="3100" w:type="dxa"/>
            <w:vAlign w:val="bottom"/>
          </w:tcPr>
          <w:p>
            <w:pPr>
              <w:spacing w:after="0"/>
              <w:rPr>
                <w:sz w:val="20"/>
                <w:szCs w:val="20"/>
                <w:color w:val="auto"/>
              </w:rPr>
            </w:pPr>
            <w:r>
              <w:rPr>
                <w:rFonts w:ascii="Arial" w:cs="Arial" w:eastAsia="Arial" w:hAnsi="Arial"/>
                <w:sz w:val="14"/>
                <w:szCs w:val="14"/>
                <w:color w:val="auto"/>
              </w:rPr>
              <w:t>Balance—July 1, 2019</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136.4</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Changes in other comprehensive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Common stock—option exercises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100" w:type="dxa"/>
            <w:vAlign w:val="bottom"/>
          </w:tcPr>
          <w:p>
            <w:pPr>
              <w:ind w:left="120"/>
              <w:spacing w:after="0" w:line="147" w:lineRule="exact"/>
              <w:rPr>
                <w:sz w:val="20"/>
                <w:szCs w:val="20"/>
                <w:color w:val="auto"/>
              </w:rPr>
            </w:pPr>
            <w:r>
              <w:rPr>
                <w:rFonts w:ascii="Arial" w:cs="Arial" w:eastAsia="Arial" w:hAnsi="Arial"/>
                <w:sz w:val="14"/>
                <w:szCs w:val="14"/>
                <w:color w:val="auto"/>
                <w:w w:val="96"/>
              </w:rPr>
              <w:t>Reclassification of early-exercised stock option to</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80"/>
              <w:spacing w:after="0"/>
              <w:rPr>
                <w:sz w:val="20"/>
                <w:szCs w:val="20"/>
                <w:color w:val="auto"/>
              </w:rPr>
            </w:pPr>
            <w:r>
              <w:rPr>
                <w:rFonts w:ascii="Arial" w:cs="Arial" w:eastAsia="Arial" w:hAnsi="Arial"/>
                <w:sz w:val="14"/>
                <w:szCs w:val="14"/>
                <w:color w:val="auto"/>
              </w:rPr>
              <w:t>liabilities</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120"/>
              <w:spacing w:after="0" w:line="142" w:lineRule="exact"/>
              <w:rPr>
                <w:sz w:val="20"/>
                <w:szCs w:val="20"/>
                <w:color w:val="auto"/>
              </w:rPr>
            </w:pPr>
            <w:r>
              <w:rPr>
                <w:rFonts w:ascii="Arial" w:cs="Arial" w:eastAsia="Arial" w:hAnsi="Arial"/>
                <w:sz w:val="14"/>
                <w:szCs w:val="14"/>
                <w:color w:val="auto"/>
              </w:rPr>
              <w:t>Common stock—shared-based compensation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120"/>
              <w:spacing w:after="0"/>
              <w:rPr>
                <w:sz w:val="20"/>
                <w:szCs w:val="20"/>
                <w:color w:val="auto"/>
              </w:rPr>
            </w:pPr>
            <w:r>
              <w:rPr>
                <w:rFonts w:ascii="Arial" w:cs="Arial" w:eastAsia="Arial" w:hAnsi="Arial"/>
                <w:sz w:val="14"/>
                <w:szCs w:val="14"/>
                <w:color w:val="auto"/>
              </w:rPr>
              <w:t>expense</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120"/>
              <w:spacing w:after="0" w:line="142" w:lineRule="exact"/>
              <w:rPr>
                <w:sz w:val="20"/>
                <w:szCs w:val="20"/>
                <w:color w:val="auto"/>
              </w:rPr>
            </w:pPr>
            <w:r>
              <w:rPr>
                <w:rFonts w:ascii="Arial" w:cs="Arial" w:eastAsia="Arial" w:hAnsi="Arial"/>
                <w:sz w:val="14"/>
                <w:szCs w:val="14"/>
                <w:color w:val="auto"/>
                <w:w w:val="94"/>
              </w:rPr>
              <w:t>Preferred stock—series E, net of issuance costs of</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349.9</w:t>
            </w:r>
          </w:p>
        </w:tc>
        <w:tc>
          <w:tcPr>
            <w:tcW w:w="0" w:type="dxa"/>
            <w:vAlign w:val="bottom"/>
          </w:tcPr>
          <w:p>
            <w:pPr>
              <w:spacing w:after="0"/>
              <w:rPr>
                <w:sz w:val="1"/>
                <w:szCs w:val="1"/>
                <w:color w:val="auto"/>
              </w:rPr>
            </w:pPr>
          </w:p>
        </w:tc>
      </w:tr>
      <w:tr>
        <w:trPr>
          <w:trHeight w:val="182"/>
        </w:trPr>
        <w:tc>
          <w:tcPr>
            <w:tcW w:w="3100" w:type="dxa"/>
            <w:vAlign w:val="bottom"/>
          </w:tcPr>
          <w:p>
            <w:pPr>
              <w:ind w:left="120"/>
              <w:spacing w:after="0"/>
              <w:rPr>
                <w:sz w:val="20"/>
                <w:szCs w:val="20"/>
                <w:color w:val="auto"/>
              </w:rPr>
            </w:pPr>
            <w:r>
              <w:rPr>
                <w:rFonts w:ascii="Arial" w:cs="Arial" w:eastAsia="Arial" w:hAnsi="Arial"/>
                <w:sz w:val="14"/>
                <w:szCs w:val="14"/>
                <w:color w:val="auto"/>
              </w:rPr>
              <w:t>$0.1</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120"/>
              <w:spacing w:after="0"/>
              <w:rPr>
                <w:sz w:val="20"/>
                <w:szCs w:val="20"/>
                <w:color w:val="auto"/>
              </w:rPr>
            </w:pPr>
            <w:r>
              <w:rPr>
                <w:rFonts w:ascii="Arial" w:cs="Arial" w:eastAsia="Arial" w:hAnsi="Arial"/>
                <w:sz w:val="14"/>
                <w:szCs w:val="14"/>
                <w:color w:val="auto"/>
              </w:rPr>
              <w:t>Preferred stock—SAFE conversion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20"/>
                <w:szCs w:val="20"/>
                <w:color w:val="auto"/>
              </w:rPr>
            </w:pPr>
            <w:r>
              <w:rPr>
                <w:rFonts w:ascii="Arial" w:cs="Arial" w:eastAsia="Arial" w:hAnsi="Arial"/>
                <w:sz w:val="14"/>
                <w:szCs w:val="14"/>
                <w:color w:val="auto"/>
              </w:rPr>
              <w:t>Balance—September 30,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3100" w:type="dxa"/>
            <w:vAlign w:val="bottom"/>
          </w:tcPr>
          <w:p>
            <w:pPr>
              <w:spacing w:after="0"/>
              <w:rPr>
                <w:sz w:val="20"/>
                <w:szCs w:val="20"/>
                <w:color w:val="auto"/>
              </w:rPr>
            </w:pPr>
            <w:r>
              <w:rPr>
                <w:rFonts w:ascii="Arial" w:cs="Arial" w:eastAsia="Arial" w:hAnsi="Arial"/>
                <w:sz w:val="14"/>
                <w:szCs w:val="14"/>
                <w:color w:val="auto"/>
              </w:rPr>
              <w:t>Balance—January 1, 2019</w:t>
            </w:r>
          </w:p>
        </w:tc>
        <w:tc>
          <w:tcPr>
            <w:tcW w:w="580" w:type="dxa"/>
            <w:vAlign w:val="bottom"/>
          </w:tcPr>
          <w:p>
            <w:pPr>
              <w:jc w:val="right"/>
              <w:spacing w:after="0"/>
              <w:rPr>
                <w:sz w:val="20"/>
                <w:szCs w:val="20"/>
                <w:color w:val="auto"/>
              </w:rPr>
            </w:pPr>
            <w:r>
              <w:rPr>
                <w:rFonts w:ascii="Arial" w:cs="Arial" w:eastAsia="Arial" w:hAnsi="Arial"/>
                <w:sz w:val="14"/>
                <w:szCs w:val="14"/>
                <w:color w:val="auto"/>
              </w:rPr>
              <w:t>136.4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Changes in other comprehensive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Tender offer</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rPr>
                <w:sz w:val="20"/>
                <w:szCs w:val="20"/>
                <w:color w:val="auto"/>
              </w:rPr>
            </w:pPr>
            <w:r>
              <w:rPr>
                <w:rFonts w:ascii="Arial" w:cs="Arial" w:eastAsia="Arial" w:hAnsi="Arial"/>
                <w:sz w:val="14"/>
                <w:szCs w:val="14"/>
                <w:color w:val="auto"/>
              </w:rPr>
              <w:t>Common stock—option exercises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100" w:type="dxa"/>
            <w:vAlign w:val="bottom"/>
          </w:tcPr>
          <w:p>
            <w:pPr>
              <w:ind w:left="120"/>
              <w:spacing w:after="0" w:line="147" w:lineRule="exact"/>
              <w:rPr>
                <w:sz w:val="20"/>
                <w:szCs w:val="20"/>
                <w:color w:val="auto"/>
              </w:rPr>
            </w:pPr>
            <w:r>
              <w:rPr>
                <w:rFonts w:ascii="Arial" w:cs="Arial" w:eastAsia="Arial" w:hAnsi="Arial"/>
                <w:sz w:val="14"/>
                <w:szCs w:val="14"/>
                <w:color w:val="auto"/>
                <w:w w:val="96"/>
              </w:rPr>
              <w:t>Reclassification of early-exercised stock option to</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80"/>
              <w:spacing w:after="0"/>
              <w:rPr>
                <w:sz w:val="20"/>
                <w:szCs w:val="20"/>
                <w:color w:val="auto"/>
              </w:rPr>
            </w:pPr>
            <w:r>
              <w:rPr>
                <w:rFonts w:ascii="Arial" w:cs="Arial" w:eastAsia="Arial" w:hAnsi="Arial"/>
                <w:sz w:val="14"/>
                <w:szCs w:val="14"/>
                <w:color w:val="auto"/>
              </w:rPr>
              <w:t>liabilities</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120"/>
              <w:spacing w:after="0" w:line="142" w:lineRule="exact"/>
              <w:rPr>
                <w:sz w:val="20"/>
                <w:szCs w:val="20"/>
                <w:color w:val="auto"/>
              </w:rPr>
            </w:pPr>
            <w:r>
              <w:rPr>
                <w:rFonts w:ascii="Arial" w:cs="Arial" w:eastAsia="Arial" w:hAnsi="Arial"/>
                <w:sz w:val="14"/>
                <w:szCs w:val="14"/>
                <w:color w:val="auto"/>
              </w:rPr>
              <w:t>Common stock—shared-based compensation</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120"/>
              <w:spacing w:after="0"/>
              <w:rPr>
                <w:sz w:val="20"/>
                <w:szCs w:val="20"/>
                <w:color w:val="auto"/>
              </w:rPr>
            </w:pPr>
            <w:r>
              <w:rPr>
                <w:rFonts w:ascii="Arial" w:cs="Arial" w:eastAsia="Arial" w:hAnsi="Arial"/>
                <w:sz w:val="14"/>
                <w:szCs w:val="14"/>
                <w:color w:val="auto"/>
              </w:rPr>
              <w:t>expense</w:t>
            </w: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120"/>
              <w:spacing w:after="0" w:line="142" w:lineRule="exact"/>
              <w:rPr>
                <w:sz w:val="20"/>
                <w:szCs w:val="20"/>
                <w:color w:val="auto"/>
              </w:rPr>
            </w:pPr>
            <w:r>
              <w:rPr>
                <w:rFonts w:ascii="Arial" w:cs="Arial" w:eastAsia="Arial" w:hAnsi="Arial"/>
                <w:sz w:val="14"/>
                <w:szCs w:val="14"/>
                <w:color w:val="auto"/>
                <w:w w:val="94"/>
              </w:rPr>
              <w:t>Preferred stock—series E, net of issuance costs of</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349.9</w:t>
            </w:r>
          </w:p>
        </w:tc>
        <w:tc>
          <w:tcPr>
            <w:tcW w:w="0" w:type="dxa"/>
            <w:vAlign w:val="bottom"/>
          </w:tcPr>
          <w:p>
            <w:pPr>
              <w:spacing w:after="0"/>
              <w:rPr>
                <w:sz w:val="1"/>
                <w:szCs w:val="1"/>
                <w:color w:val="auto"/>
              </w:rPr>
            </w:pPr>
          </w:p>
        </w:tc>
      </w:tr>
      <w:tr>
        <w:trPr>
          <w:trHeight w:val="182"/>
        </w:trPr>
        <w:tc>
          <w:tcPr>
            <w:tcW w:w="3100" w:type="dxa"/>
            <w:vAlign w:val="bottom"/>
          </w:tcPr>
          <w:p>
            <w:pPr>
              <w:ind w:left="120"/>
              <w:spacing w:after="0"/>
              <w:rPr>
                <w:sz w:val="20"/>
                <w:szCs w:val="20"/>
                <w:color w:val="auto"/>
              </w:rPr>
            </w:pPr>
            <w:r>
              <w:rPr>
                <w:rFonts w:ascii="Arial" w:cs="Arial" w:eastAsia="Arial" w:hAnsi="Arial"/>
                <w:sz w:val="14"/>
                <w:szCs w:val="14"/>
                <w:color w:val="auto"/>
              </w:rPr>
              <w:t>$0.1</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tcPr>
          <w:p>
            <w:pPr>
              <w:ind w:left="120"/>
              <w:spacing w:after="0"/>
              <w:rPr>
                <w:sz w:val="20"/>
                <w:szCs w:val="20"/>
                <w:color w:val="auto"/>
              </w:rPr>
            </w:pPr>
            <w:r>
              <w:rPr>
                <w:rFonts w:ascii="Arial" w:cs="Arial" w:eastAsia="Arial" w:hAnsi="Arial"/>
                <w:sz w:val="14"/>
                <w:szCs w:val="14"/>
                <w:color w:val="auto"/>
              </w:rPr>
              <w:t>Preferred stock—SAFE conversion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20"/>
                <w:szCs w:val="20"/>
                <w:color w:val="auto"/>
              </w:rPr>
            </w:pPr>
            <w:r>
              <w:rPr>
                <w:rFonts w:ascii="Arial" w:cs="Arial" w:eastAsia="Arial" w:hAnsi="Arial"/>
                <w:sz w:val="14"/>
                <w:szCs w:val="14"/>
                <w:color w:val="auto"/>
              </w:rPr>
              <w:t>Balance—September 30,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22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Total</w:t>
            </w:r>
          </w:p>
        </w:tc>
      </w:tr>
      <w:tr>
        <w:trPr>
          <w:trHeight w:val="54"/>
        </w:trPr>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Additional Paid-</w:t>
            </w:r>
          </w:p>
        </w:tc>
        <w:tc>
          <w:tcPr>
            <w:tcW w:w="1020" w:type="dxa"/>
            <w:vAlign w:val="bottom"/>
            <w:gridSpan w:val="3"/>
          </w:tcPr>
          <w:p>
            <w:pPr>
              <w:jc w:val="center"/>
              <w:ind w:right="60"/>
              <w:spacing w:after="0" w:line="54"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92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840" w:type="dxa"/>
            <w:vAlign w:val="bottom"/>
          </w:tcPr>
          <w:p>
            <w:pPr>
              <w:jc w:val="center"/>
              <w:ind w:right="31"/>
              <w:spacing w:after="0" w:line="54" w:lineRule="exact"/>
              <w:rPr>
                <w:sz w:val="20"/>
                <w:szCs w:val="20"/>
                <w:color w:val="auto"/>
              </w:rPr>
            </w:pPr>
            <w:r>
              <w:rPr>
                <w:rFonts w:ascii="Arial" w:cs="Arial" w:eastAsia="Arial" w:hAnsi="Arial"/>
                <w:sz w:val="6"/>
                <w:szCs w:val="6"/>
                <w:b w:val="1"/>
                <w:bCs w:val="1"/>
                <w:color w:val="auto"/>
              </w:rPr>
              <w:t>Stockholders'</w:t>
            </w:r>
          </w:p>
        </w:tc>
      </w:tr>
      <w:tr>
        <w:trPr>
          <w:trHeight w:val="177"/>
        </w:trPr>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Deficit</w:t>
            </w:r>
          </w:p>
        </w:tc>
      </w:tr>
      <w:tr>
        <w:trPr>
          <w:trHeight w:val="163"/>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w w:val="90"/>
              </w:rPr>
              <w:t>(in millions)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8"/>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Pr>
          <w:p>
            <w:pPr>
              <w:jc w:val="center"/>
              <w:ind w:left="8"/>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(199.6)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(189.5)</w:t>
            </w:r>
          </w:p>
        </w:tc>
      </w:tr>
      <w:tr>
        <w:trPr>
          <w:trHeight w:val="378"/>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(100.2)</w:t>
            </w: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5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(289.2)</w:t>
            </w:r>
          </w:p>
        </w:tc>
      </w:tr>
      <w:tr>
        <w:trPr>
          <w:trHeight w:val="24"/>
        </w:trPr>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9"/>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41.5</w:t>
            </w:r>
          </w:p>
        </w:tc>
        <w:tc>
          <w:tcPr>
            <w:tcW w:w="80" w:type="dxa"/>
            <w:vAlign w:val="bottom"/>
          </w:tcPr>
          <w:p>
            <w:pPr>
              <w:spacing w:after="0"/>
              <w:rPr>
                <w:sz w:val="24"/>
                <w:szCs w:val="24"/>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4"/>
                <w:szCs w:val="24"/>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Pr>
          <w:p>
            <w:pPr>
              <w:jc w:val="center"/>
              <w:ind w:left="8"/>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(102.7)</w:t>
            </w:r>
          </w:p>
        </w:tc>
      </w:tr>
      <w:tr>
        <w:trPr>
          <w:trHeight w:val="378"/>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(197.2)</w:t>
            </w: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89"/>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580" w:type="dxa"/>
            <w:vAlign w:val="bottom"/>
          </w:tcPr>
          <w:p>
            <w:pPr>
              <w:jc w:val="right"/>
              <w:ind w:right="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324"/>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5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7"/>
              </w:rPr>
              <w:t>(0.1)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(289.2)</w:t>
            </w:r>
          </w:p>
        </w:tc>
      </w:tr>
      <w:tr>
        <w:trPr>
          <w:trHeight w:val="24"/>
        </w:trPr>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ectPr>
          <w:pgSz w:w="11900" w:h="16838" w:orient="portrait"/>
          <w:cols w:equalWidth="0" w:num="2">
            <w:col w:w="4340" w:space="180"/>
            <w:col w:w="6700"/>
          </w:cols>
          <w:pgMar w:left="34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Borders>
              <w:top w:val="single" w:sz="8" w:color="auto"/>
            </w:tcBorders>
          </w:tcPr>
          <w:p>
            <w:pPr>
              <w:spacing w:after="0"/>
              <w:rPr>
                <w:sz w:val="15"/>
                <w:szCs w:val="15"/>
                <w:color w:val="auto"/>
              </w:rPr>
            </w:pPr>
          </w:p>
        </w:tc>
        <w:tc>
          <w:tcPr>
            <w:tcW w:w="3100" w:type="dxa"/>
            <w:vAlign w:val="bottom"/>
            <w:tcBorders>
              <w:top w:val="single" w:sz="8" w:color="auto"/>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r>
      <w:tr>
        <w:trPr>
          <w:trHeight w:val="181"/>
        </w:trPr>
        <w:tc>
          <w:tcPr>
            <w:tcW w:w="81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183"/>
        </w:trPr>
        <w:tc>
          <w:tcPr>
            <w:tcW w:w="8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(229.7)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(197.2)</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Tender offer</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Warrants fair value adjustment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Payment-in-kind interest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Realized gains on investments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SAFE fair value adjustment</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Premiums receivable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Reinsurance recoverable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reinsurance premiums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Deferred acquisition costs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Losses and loss adjustment expenses reserves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77.2</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premiums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Reinsurance premiums payable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19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Proceeds from maturities, call and pay downs of investments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of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fixed assets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(103.1)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preferred stock, net</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debt issuance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Proceeds from SAFE</w:t>
            </w:r>
          </w:p>
        </w:tc>
        <w:tc>
          <w:tcPr>
            <w:tcW w:w="9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443.7</w:t>
            </w:r>
          </w:p>
        </w:tc>
      </w:tr>
      <w:tr>
        <w:trPr>
          <w:trHeight w:val="207"/>
        </w:trPr>
        <w:tc>
          <w:tcPr>
            <w:tcW w:w="81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(197.8)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288.8</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Leasehold improvements - non-cash</w:t>
            </w:r>
          </w:p>
        </w:tc>
        <w:tc>
          <w:tcPr>
            <w:tcW w:w="9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 - non-cash</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ectPr>
          <w:pgSz w:w="11900" w:h="16838" w:orient="portrait"/>
          <w:cols w:equalWidth="0" w:num="1">
            <w:col w:w="11240"/>
          </w:cols>
          <w:pgMar w:left="320" w:top="13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type w:val="continuous"/>
        </w:sectPr>
      </w:pPr>
    </w:p>
    <w:bookmarkStart w:id="9" w:name="page10"/>
    <w:bookmarkEnd w:id="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UNAUDITED</w:t>
      </w:r>
    </w:p>
    <w:p>
      <w:pPr>
        <w:spacing w:after="0" w:line="15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Root Insurance Company, an Ohio domiciled insurance company (together with Root, Inc. “We,” “us” or “our”). We were formed in 2015 and began writing personal auto insurance in July 2016.</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 technology company revolutionizing personal insurance with a pricing model based upon fairness and a modern customer experience. We operate a direct-to-consumer model with more than 75% of our customers acquired through mobile applications. We offer auto and renters insurance products underwritten by Root Insurance Company. As of September 30, 2020, we wrote auto policies in 30 states and were licensed in six additional states and the District of Columbia. As of September 30, 2020, we offered renters insurance in nine states.</w:t>
      </w:r>
    </w:p>
    <w:p>
      <w:pPr>
        <w:spacing w:after="0" w:line="16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1"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—In our opinion, all adjustments necessary for a fair presentation of the condensed consolidated financial statements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All such adjustments are of a normal and recurring nature. These condensed consolidated financial statements are unaudited and, accordingly, should be read in conjunction with the consolidated financial statements and notes included in the final prospectus dated October 27, 2020, as filed with the SEC pursuant to Rule 424(b)(4) under the Securities Act of 1933 on October 29, 2020.</w:t>
      </w:r>
    </w:p>
    <w:p>
      <w:pPr>
        <w:spacing w:after="0" w:line="111"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Basis of Consolidation</w:t>
      </w:r>
      <w:r>
        <w:rPr>
          <w:rFonts w:ascii="Arial" w:cs="Arial" w:eastAsia="Arial" w:hAnsi="Arial"/>
          <w:sz w:val="18"/>
          <w:szCs w:val="18"/>
          <w:color w:val="auto"/>
        </w:rPr>
        <w:t>—The unaudited condensed consolidated financial statements include the accounts of Root, Inc. and its subsidiaries,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wholly owned. These financial statements have been prepared in accordance with accounting principles generally accepted in the United States, or GAAP. All intercompany accounts and transactions have been eliminated.</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the unaudited condensed consolidated financial statements requires management to make certain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premium write-offs and valuation allowances for income taxes.</w:t>
      </w:r>
    </w:p>
    <w:p>
      <w:pPr>
        <w:spacing w:after="0" w:line="16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b w:val="1"/>
          <w:bCs w:val="1"/>
          <w:color w:val="auto"/>
        </w:rPr>
        <w:t>COVID-19</w:t>
      </w:r>
      <w:r>
        <w:rPr>
          <w:rFonts w:ascii="Arial" w:cs="Arial" w:eastAsia="Arial" w:hAnsi="Arial"/>
          <w:sz w:val="17"/>
          <w:szCs w:val="17"/>
          <w:color w:val="auto"/>
        </w:rPr>
        <w:t>—In December 2019, COVID-19 was first reported in Wuhan, China and in March 2020, the World Health Organization declared a global</w:t>
      </w:r>
      <w:r>
        <w:rPr>
          <w:rFonts w:ascii="Arial" w:cs="Arial" w:eastAsia="Arial" w:hAnsi="Arial"/>
          <w:sz w:val="17"/>
          <w:szCs w:val="17"/>
          <w:b w:val="1"/>
          <w:bCs w:val="1"/>
          <w:color w:val="auto"/>
        </w:rPr>
        <w:t xml:space="preserve"> </w:t>
      </w:r>
      <w:r>
        <w:rPr>
          <w:rFonts w:ascii="Arial" w:cs="Arial" w:eastAsia="Arial" w:hAnsi="Arial"/>
          <w:sz w:val="17"/>
          <w:szCs w:val="17"/>
          <w:color w:val="auto"/>
        </w:rPr>
        <w:t>pandemic. The global pandemic has severely impacted businesses worldwide, including within the insurance industry. We have been impacted by certain individual state bulletins that outline COVID-19 premium relief efforts, including restrictions on the ability to cancel policies for non-payment, requirements to defer insurance premium payments for up to 60 days and restrictions on increasing policy premiums. COVID-19 has impacted and may further impact the broader economic environment, including negatively impacting unemployment levels, economic growth, the proper functioning of financial and capital markets and interest rates. As the COVID-19 pandemic continues to develop, there is uncertainty around the severity and duration of the pandemic and the pandemic’s potential impact on our business and our financial performance.</w:t>
      </w:r>
    </w:p>
    <w:p>
      <w:pPr>
        <w:spacing w:after="0" w:line="172"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b w:val="1"/>
          <w:bCs w:val="1"/>
          <w:color w:val="auto"/>
        </w:rPr>
        <w:t>Other Insurance Expense</w:t>
      </w:r>
      <w:r>
        <w:rPr>
          <w:rFonts w:ascii="Arial" w:cs="Arial" w:eastAsia="Arial" w:hAnsi="Arial"/>
          <w:sz w:val="18"/>
          <w:szCs w:val="18"/>
          <w:color w:val="auto"/>
        </w:rPr>
        <w:t>—Other insurance expense includes underwriting expenses; credit card and policy processing expenses; premium write-offs; insurance license expenses; and salaries, health benefits, bonuses, employee retirement plan related expenses, share-based compensation expenses, and overhead allocated based on headcount related to actuarial and certain data science activities. Other insurance expense also includes amortization of deferred acquisition costs like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These expenses are also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Under our new quota share reinsurance structure effective July 1, 2020, which is on a loss occurring basis, we began ceding approximately 70% of direct earned premiums to our third-party reinsurers. We recognize ceding commissions in proportion to recognition of the direct written premiums during the quarter, including the remaining unearned premiums on ceded policies upon the inception of our new quota share reinsurance agreement.</w:t>
      </w:r>
    </w:p>
    <w:p>
      <w:pPr>
        <w:spacing w:after="0" w:line="215" w:lineRule="exact"/>
        <w:rPr>
          <w:sz w:val="20"/>
          <w:szCs w:val="20"/>
          <w:color w:val="auto"/>
        </w:rPr>
      </w:pPr>
    </w:p>
    <w:p>
      <w:pPr>
        <w:ind w:right="440" w:firstLine="324"/>
        <w:spacing w:after="0" w:line="266"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which primarily consist of legal, accounting, and other third-party fees directly related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public offering, or IPO, are capitalized as incurred. Upon consummation of the IPO, these deferred offering costs were offset against the IPO proceeds. Deferred offering costs were $0.7 million as of September 30, 2020.</w:t>
      </w:r>
    </w:p>
    <w:p>
      <w:pPr>
        <w:spacing w:after="0" w:line="176"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auto"/>
        </w:rPr>
        <w:t>Recently Adopted Financial Accounting Standards</w:t>
      </w:r>
      <w:r>
        <w:rPr>
          <w:rFonts w:ascii="Arial" w:cs="Arial" w:eastAsia="Arial" w:hAnsi="Arial"/>
          <w:sz w:val="16"/>
          <w:szCs w:val="16"/>
          <w:color w:val="auto"/>
        </w:rPr>
        <w:t>—In August 2018, the FASB issued Accounting Standards Update No. 2018-15,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Intangibles—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Goodwill and Other—Internal-Use Software (Subtopic 350-40): Customer’s Accounting for Fees Paid in a Cloud Computing Arrangement</w:t>
      </w:r>
      <w:r>
        <w:rPr>
          <w:rFonts w:ascii="Arial" w:cs="Arial" w:eastAsia="Arial" w:hAnsi="Arial"/>
          <w:sz w:val="16"/>
          <w:szCs w:val="16"/>
          <w:color w:val="auto"/>
        </w:rPr>
        <w:t>, to help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accounting for fees paid by a customer in a cloud computing arrangement (hosting arrangement) by providing guidance for determining when the arrangement includes a software license. We early adopted ASU 2018-15 on January 1, 2020. The adoption of this standard did not have a material impact on our condensed consolidated financial statements or notes to the condensed consolidated financial statements.</w:t>
      </w:r>
    </w:p>
    <w:p>
      <w:pPr>
        <w:spacing w:after="0" w:line="158"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740)—Simplifying the Accounting for Income Taxes.</w:t>
      </w:r>
      <w:r>
        <w:rPr>
          <w:rFonts w:ascii="Arial" w:cs="Arial" w:eastAsia="Arial" w:hAnsi="Arial"/>
          <w:sz w:val="16"/>
          <w:szCs w:val="16"/>
          <w:color w:val="auto"/>
        </w:rPr>
        <w:t xml:space="preserve"> The amendments in the update simplify the accounting for income taxes by, among other things, removing the exception to the incremental approach for intraperiod tax allocation when there is a loss from continuing operations and income or a gain from other items like comprehensive income, and recognizing franchise tax that is partially based on income as an income-based tax. We early adopted ASU 2019-12 on January 1, 2020. The adoption of this standard did not have a material impact on our condensed consolidated financial statements or notes to the condensed consolidated financial statements.</w:t>
      </w:r>
    </w:p>
    <w:p>
      <w:pPr>
        <w:spacing w:after="0" w:line="157" w:lineRule="exact"/>
        <w:rPr>
          <w:sz w:val="20"/>
          <w:szCs w:val="20"/>
          <w:color w:val="auto"/>
        </w:rPr>
      </w:pPr>
    </w:p>
    <w:p>
      <w:pPr>
        <w:ind w:right="60" w:firstLine="324"/>
        <w:spacing w:after="0" w:line="314" w:lineRule="auto"/>
        <w:rPr>
          <w:sz w:val="20"/>
          <w:szCs w:val="20"/>
          <w:color w:val="auto"/>
        </w:rPr>
      </w:pPr>
      <w:r>
        <w:rPr>
          <w:rFonts w:ascii="Arial" w:cs="Arial" w:eastAsia="Arial" w:hAnsi="Arial"/>
          <w:sz w:val="16"/>
          <w:szCs w:val="16"/>
          <w:b w:val="1"/>
          <w:bCs w:val="1"/>
          <w:color w:val="auto"/>
        </w:rPr>
        <w:t>Upcoming Accounting Pronouncements—</w:t>
      </w:r>
      <w:r>
        <w:rPr>
          <w:rFonts w:ascii="Arial" w:cs="Arial" w:eastAsia="Arial" w:hAnsi="Arial"/>
          <w:sz w:val="16"/>
          <w:szCs w:val="16"/>
          <w:color w:val="auto"/>
        </w:rPr>
        <w:t>We currently qualify as an "emerging growth company" under the Jumpstart Our Business Startups Act of</w:t>
      </w:r>
      <w:r>
        <w:rPr>
          <w:rFonts w:ascii="Arial" w:cs="Arial" w:eastAsia="Arial" w:hAnsi="Arial"/>
          <w:sz w:val="16"/>
          <w:szCs w:val="16"/>
          <w:b w:val="1"/>
          <w:bCs w:val="1"/>
          <w:color w:val="auto"/>
        </w:rPr>
        <w:t xml:space="preserve"> </w:t>
      </w:r>
      <w:r>
        <w:rPr>
          <w:rFonts w:ascii="Arial" w:cs="Arial" w:eastAsia="Arial" w:hAnsi="Arial"/>
          <w:sz w:val="16"/>
          <w:szCs w:val="16"/>
          <w:color w:val="auto"/>
        </w:rPr>
        <w:t>2012, whereby we have the option to adopt new or revised accounting guidance within the same time periods as private companies. We have elected this option, but may ultimately determine it is preferable to take advantage of early adoption provisions offered within the applicable guidance.</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main provision of ASU 2016-02 requires the recognition of lease assets and lease liabilities by lessees for those leases classified as operating leases under previous GAAP. The effective date of ASU 2016-02 is for annual reporting periods beginning after December 15, 2021, and interim reporting periods beginning after December 15, 2022. We are currently evaluating the impact of this ASU.</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amends previous guidance on the impairment of financial instruments by adding an impairment model that allows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expected credit losses as an allowance rather than impairing as they are incurred. The new guidance is intended to reduce complexity of credit impairment models and result in a more timely recognition of expected credit losses. The effective date of ASU 2016-13 is for reporting periods beginning after December 15, 2022. We are currently evaluating the impact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September 30, 2020 and December 31, 2019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September 30, 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Gross Unrealized Losses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 and short-term investments: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0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2019</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Gross Unrealized Losses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 and short-term investments: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tables reflect the gross unrealized losses, fair value on bonds, aggregated by investment category and length of time that individual securities have been in a continuous unrealized loss position at September 30, 2020 and December 31,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5"/>
              <w:spacing w:after="0" w:line="130"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80"/>
              <w:spacing w:after="0" w:line="130"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5"/>
              <w:spacing w:after="0" w:line="130"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3560" w:type="dxa"/>
            <w:vAlign w:val="bottom"/>
          </w:tcPr>
          <w:p>
            <w:pPr>
              <w:ind w:left="240"/>
              <w:spacing w:after="0"/>
              <w:rPr>
                <w:sz w:val="20"/>
                <w:szCs w:val="20"/>
                <w:color w:val="auto"/>
              </w:rPr>
            </w:pPr>
            <w:r>
              <w:rPr>
                <w:rFonts w:ascii="Arial" w:cs="Arial" w:eastAsia="Arial" w:hAnsi="Arial"/>
                <w:sz w:val="18"/>
                <w:szCs w:val="18"/>
                <w:color w:val="auto"/>
              </w:rPr>
              <w:t>Total bonds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2462530</wp:posOffset>
            </wp:positionH>
            <wp:positionV relativeFrom="page">
              <wp:posOffset>1031875</wp:posOffset>
            </wp:positionV>
            <wp:extent cx="4877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35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3"/>
          </w:tcPr>
          <w:p>
            <w:pPr>
              <w:jc w:val="center"/>
              <w:ind w:left="17"/>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5"/>
                <w:szCs w:val="15"/>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12 Months or More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5"/>
              <w:spacing w:after="0" w:line="130"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b w:val="1"/>
                <w:bCs w:val="1"/>
                <w:color w:val="auto"/>
              </w:rPr>
              <w:t>Unrealized</w:t>
            </w: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5"/>
              <w:spacing w:after="0" w:line="130"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Loss</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Arial" w:cs="Arial" w:eastAsia="Arial" w:hAnsi="Arial"/>
                <w:sz w:val="18"/>
                <w:szCs w:val="18"/>
                <w:color w:val="auto"/>
              </w:rPr>
              <w:t>Other debt obligations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bonds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other-than-temporary impairments recognized in the nine months ended September 30, 2020 or 2019,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amortized cost and fair value of short-term investments and fixed maturity securities by contractual maturity at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5"/>
          </w:tcPr>
          <w:p>
            <w:pPr>
              <w:ind w:left="80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3020" w:type="dxa"/>
            <w:vAlign w:val="bottom"/>
            <w:gridSpan w:val="4"/>
          </w:tcPr>
          <w:p>
            <w:pPr>
              <w:jc w:val="right"/>
              <w:ind w:right="953"/>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47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five years through 10 years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10 years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Net realized gains on short-term investments and fixed maturity securities were $0.1 million and zero for the three months ended September 30, 2020 and 2019, respectively. Net realized gains on short-term investments and fixed maturity securities were $0.2 million and zero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net investment income for the three months and nine months ended September 30,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7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83"/>
        </w:trPr>
        <w:tc>
          <w:tcPr>
            <w:tcW w:w="4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bonds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15"/>
              <w:spacing w:after="0"/>
              <w:rPr>
                <w:sz w:val="20"/>
                <w:szCs w:val="20"/>
                <w:color w:val="auto"/>
              </w:rPr>
            </w:pPr>
            <w:r>
              <w:rPr>
                <w:rFonts w:ascii="Arial" w:cs="Arial" w:eastAsia="Arial" w:hAnsi="Arial"/>
                <w:sz w:val="18"/>
                <w:szCs w:val="18"/>
                <w:color w:val="auto"/>
                <w:w w:val="97"/>
              </w:rPr>
              <w:t>(0.8)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7"/>
              </w:rPr>
              <w:t>1.0</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deposits and cash equivalents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87"/>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5"/>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87"/>
              </w:rPr>
              <w:t>2.0</w:t>
            </w:r>
          </w:p>
        </w:tc>
      </w:tr>
      <w:tr>
        <w:trPr>
          <w:trHeight w:val="22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87"/>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7"/>
              </w:rPr>
              <w:t>3.0</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15"/>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55"/>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13"/>
              <w:spacing w:after="0"/>
              <w:rPr>
                <w:sz w:val="20"/>
                <w:szCs w:val="20"/>
                <w:color w:val="auto"/>
              </w:rPr>
            </w:pPr>
            <w:r>
              <w:rPr>
                <w:rFonts w:ascii="Arial" w:cs="Arial" w:eastAsia="Arial" w:hAnsi="Arial"/>
                <w:sz w:val="18"/>
                <w:szCs w:val="18"/>
                <w:color w:val="auto"/>
                <w:w w:val="97"/>
              </w:rPr>
              <w:t>(0.2)</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7"/>
              </w:rPr>
              <w:t>2.8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credit ratings of investments at September 30, 2020 and December 31,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6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information about our financial assets and liabilities measured and reported at fair value: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167.7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liability</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6"/>
        </w:trPr>
        <w:tc>
          <w:tcPr>
            <w:tcW w:w="4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316.6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liability</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We estimate the fair value of all our different classes of Level 2 fixed maturities and short-term investments by using a combination of an independent pricing vendor or broker/dealer, pricing models, quoted prices of securities with similar characteristics or discounted cash flows.</w:t>
      </w:r>
    </w:p>
    <w:p>
      <w:pPr>
        <w:spacing w:after="0" w:line="14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financial liabilities categorized as level 3 in the table above for warrants issued and outstanding. To calculate the fair value we utilized the Black-Scholes Merton, or BSM, approach. The significant inputs in calculating the fair value of the warrants were the current price from the most recently completed Internal Revenue Code 409a valuation, or 409a, the current risk-free rate used by the United States Treasury, the expected term and the volatility assumption. The BSM calculation yielded a fair value of $12.9699 per share for each of the 2.8 million warrants. During the three and nine months ended September 30, 2020, we recognized a $13.7 million and $16.0 million adjustment to the fair value of the warrants within interest expense of our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4"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The carrying amount of long-term debt is recorded at historical amounts. The fair value of outstanding long-term debt is classified within Level 2 of the fair value hierarchy. The fair value is based on a model referencing observable interest rates and spreads to project and discount cash flows to present value. As of September 30, 2020 and December 31, 2019 the carrying amounts and fair values of these financial instruments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Carrying amount</w:t>
            </w:r>
          </w:p>
        </w:tc>
        <w:tc>
          <w:tcPr>
            <w:tcW w:w="180" w:type="dxa"/>
            <w:vAlign w:val="bottom"/>
          </w:tcPr>
          <w:p>
            <w:pPr>
              <w:spacing w:after="0"/>
              <w:rPr>
                <w:sz w:val="14"/>
                <w:szCs w:val="14"/>
                <w:color w:val="auto"/>
              </w:rPr>
            </w:pPr>
          </w:p>
        </w:tc>
        <w:tc>
          <w:tcPr>
            <w:tcW w:w="17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4"/>
              </w:rPr>
              <w:t>Estimated Fair Value as of</w:t>
            </w:r>
          </w:p>
        </w:tc>
        <w:tc>
          <w:tcPr>
            <w:tcW w:w="300" w:type="dxa"/>
            <w:vAlign w:val="bottom"/>
          </w:tcPr>
          <w:p>
            <w:pPr>
              <w:spacing w:after="0"/>
              <w:rPr>
                <w:sz w:val="14"/>
                <w:szCs w:val="14"/>
                <w:color w:val="auto"/>
              </w:rPr>
            </w:pPr>
          </w:p>
        </w:tc>
        <w:tc>
          <w:tcPr>
            <w:tcW w:w="1640" w:type="dxa"/>
            <w:vAlign w:val="bottom"/>
          </w:tcPr>
          <w:p>
            <w:pPr>
              <w:jc w:val="center"/>
              <w:ind w:right="164"/>
              <w:spacing w:after="0"/>
              <w:rPr>
                <w:sz w:val="20"/>
                <w:szCs w:val="20"/>
                <w:color w:val="auto"/>
              </w:rPr>
            </w:pPr>
            <w:r>
              <w:rPr>
                <w:rFonts w:ascii="Arial" w:cs="Arial" w:eastAsia="Arial" w:hAnsi="Arial"/>
                <w:sz w:val="14"/>
                <w:szCs w:val="14"/>
                <w:b w:val="1"/>
                <w:bCs w:val="1"/>
                <w:color w:val="auto"/>
                <w:w w:val="96"/>
              </w:rPr>
              <w:t>Carrying amount</w:t>
            </w:r>
          </w:p>
        </w:tc>
        <w:tc>
          <w:tcPr>
            <w:tcW w:w="200" w:type="dxa"/>
            <w:vAlign w:val="bottom"/>
          </w:tcPr>
          <w:p>
            <w:pPr>
              <w:spacing w:after="0"/>
              <w:rPr>
                <w:sz w:val="14"/>
                <w:szCs w:val="14"/>
                <w:color w:val="auto"/>
              </w:rPr>
            </w:pPr>
          </w:p>
        </w:tc>
        <w:tc>
          <w:tcPr>
            <w:tcW w:w="17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Estimated Fair Value as of</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jc w:val="center"/>
              <w:ind w:right="164"/>
              <w:spacing w:after="0" w:line="135"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as of September 30, 2020</w:t>
            </w: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September 30, 2020</w:t>
            </w: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gridSpan w:val="3"/>
          </w:tcPr>
          <w:p>
            <w:pPr>
              <w:jc w:val="right"/>
              <w:ind w:right="1244"/>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207.7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r>
      <w:tr>
        <w:trPr>
          <w:trHeight w:val="187"/>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5"/>
              </w:rPr>
              <w:t>(dollars in millions)</w:t>
            </w:r>
          </w:p>
        </w:tc>
        <w:tc>
          <w:tcPr>
            <w:tcW w:w="50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Net incurred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204.4</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210.5</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Net paid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LAE reserves, September 30</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loss and LAE reserves, September 30</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110.4</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Incurred losses and LAE attributable to prior accident years was an increase of $21.3 million and $6.1 million for the nine months ended September 30, 2020 and 2019, respectively. For the nine months ended September 30, 2020, the development of incurred losses related to prior periods was primarily related to higher-than-expected reported losses on bodily injury and collision coverages from 2019. This period also includes adjustments recorded in order to effectuate management’s best estimate for determining the estimated ultimate cost of settling claims using our knowledge and experience about past and current events and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carrying value of long-term debt and warrants as of September 30, 2020 and December 31,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2019</w:t>
            </w:r>
          </w:p>
        </w:tc>
      </w:tr>
      <w:tr>
        <w:trPr>
          <w:trHeight w:val="187"/>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4"/>
          </w:tcPr>
          <w:p>
            <w:pPr>
              <w:jc w:val="right"/>
              <w:ind w:right="1092"/>
              <w:spacing w:after="0"/>
              <w:rPr>
                <w:sz w:val="20"/>
                <w:szCs w:val="20"/>
                <w:color w:val="auto"/>
              </w:rPr>
            </w:pPr>
            <w:r>
              <w:rPr>
                <w:rFonts w:ascii="Arial" w:cs="Arial" w:eastAsia="Arial" w:hAnsi="Arial"/>
                <w:sz w:val="14"/>
                <w:szCs w:val="14"/>
                <w:b w:val="1"/>
                <w:bCs w:val="1"/>
                <w:color w:val="auto"/>
              </w:rPr>
              <w:t>(dollars in millions)</w:t>
            </w:r>
          </w:p>
        </w:tc>
      </w:tr>
      <w:tr>
        <w:trPr>
          <w:trHeight w:val="231"/>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766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219.8</w:t>
            </w:r>
          </w:p>
        </w:tc>
      </w:tr>
      <w:tr>
        <w:trPr>
          <w:trHeight w:val="257"/>
        </w:trPr>
        <w:tc>
          <w:tcPr>
            <w:tcW w:w="7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766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r>
      <w:tr>
        <w:trPr>
          <w:trHeight w:val="21"/>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324"/>
        <w:spacing w:after="0" w:line="225" w:lineRule="auto"/>
        <w:rPr>
          <w:sz w:val="20"/>
          <w:szCs w:val="20"/>
          <w:color w:val="auto"/>
        </w:rPr>
      </w:pPr>
      <w:r>
        <w:rPr>
          <w:rFonts w:ascii="Arial" w:cs="Arial" w:eastAsia="Arial" w:hAnsi="Arial"/>
          <w:sz w:val="18"/>
          <w:szCs w:val="18"/>
          <w:color w:val="auto"/>
        </w:rPr>
        <w:t>In September 2020, we amended Term Loan A to add new financial institutions (Wells Fargo, Barclays, Morgan Stanley and Deutsche Bank) to the syndicate in the amount of $13.5 million and extended the maturity of Term Loan A to October 15, 2021. As a part of the amended Term Loan A, the syndicate committed, pro rata, to a new $100 million revolving loan, all of which was available to borrow as of September 30, 2020. Commitment fees accrue at 0.50% per annum on the daily amount of unused revolver and is paid quarterly. For any amounts drawn on the revolving loan, interest accrues and is paid consistent with Term Loan A. In addition, there is a letter of credit fee of 4% per annum on the average daily amount of issued letters of credit against the revolver and a 0.125% per annum fronting fee based on the average daily amount of letter of credit exposure. We have no letters of credit outstanding as of September 30, 2020.</w:t>
      </w:r>
    </w:p>
    <w:p>
      <w:pPr>
        <w:spacing w:after="0" w:line="22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order to amend Term Loan A, we also amended Term Loan B as the terms are pari passu. Notable changes to Term Loan B include removal of the pay-down requirement after the completion of our IPO, an interest rate increase of 3.5% (to 3-month LIBOR plus an applicable margin of 10.5%) starting March 2021, and elimination of payment-in-kind, or PIK, interest after October 15, 2021.</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pay interest pursuant to the terms of the loan agreements and have the option to PIK on Term Loan B until October 15, 2021. PIK interest is added to the principal balance every 3 months until we no longer PIK interest, at which point interest is paid quarterly. We have elected to PIK interest on Term Loan B from the original date of closing through September 30, 2020. Deferred PIK interest was $7.6 million and $0.8 million as of September 30, 2020 and December 31, 2019.</w:t>
      </w:r>
    </w:p>
    <w:p>
      <w:pPr>
        <w:spacing w:after="0" w:line="18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consolidated effective tax rate was 0.0% for all periods for the three months and nine months ended September 30, 2020 and 2019. The difference between these rates and the U.S. federal income tax rate of 21% was primarily due to a full valuation allowance on our U.S. deferred tax assets.</w:t>
      </w:r>
    </w:p>
    <w:p>
      <w:pPr>
        <w:spacing w:after="0" w:line="12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of September 30, 2020, we did not have any unrecognized tax benefits for uncertain tax positions and had no interest or penalties related to uncertain tax positions.</w:t>
      </w:r>
    </w:p>
    <w:p>
      <w:pPr>
        <w:spacing w:after="0" w:line="16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of September 30, 2020 and December 31, 2019, our certificate of incorporation, as amended and restated, authorized 40.5 million of Series A preferred voting stock, 41.8 million Series B preferred voting stock, 35.4 million Series C voting preferred shares, 19.6 million of Series D preferred voting stock and 32.7 million and 30.1 million of Series E preferred voting stock, respectively. All classes of stock have a par value of $0.0001 per share. The redeemable convertible preferred stock is recorded in mezzanine equity because while it is not mandatorily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redeemable, it will become redeemable at the option of the preferred stockholders upon the occurrence of a deemed liquidation event that is considered not solely within our control.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2020 and December 31, 2019, our certificate of incorporation, as amended and restated, authorized 269.0 million and</w:t>
      </w:r>
    </w:p>
    <w:p>
      <w:pPr>
        <w:spacing w:after="0" w:line="35"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266.0 million common shares of voting stock shares of par value $0.0001 per share common stock, respectively. The voting, dividend, and liquidation rights of the holders of the common stock are subject to and qualified by the rights, powers, and preferences of the holders of the preferred stock.</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displays our capital stock as of September 30, 2020 and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87"/>
              </w:rPr>
              <w:t>September 30, 2020</w:t>
            </w: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9"/>
                <w:szCs w:val="9"/>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3"/>
              </w:rPr>
              <w:t>Shares Issued</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4"/>
              </w:rPr>
              <w:t>Shares Issued and</w:t>
            </w:r>
          </w:p>
        </w:tc>
        <w:tc>
          <w:tcPr>
            <w:tcW w:w="100" w:type="dxa"/>
            <w:vAlign w:val="bottom"/>
          </w:tcPr>
          <w:p>
            <w:pPr>
              <w:spacing w:after="0"/>
              <w:rPr>
                <w:sz w:val="9"/>
                <w:szCs w:val="9"/>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Carrying</w:t>
            </w:r>
          </w:p>
        </w:tc>
        <w:tc>
          <w:tcPr>
            <w:tcW w:w="10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6"/>
              </w:rPr>
              <w:t>Common Stock</w:t>
            </w:r>
          </w:p>
        </w:tc>
        <w:tc>
          <w:tcPr>
            <w:tcW w:w="118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Conversion Price</w:t>
            </w:r>
          </w:p>
        </w:tc>
        <w:tc>
          <w:tcPr>
            <w:tcW w:w="110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4"/>
              </w:rPr>
              <w:t>Redeemable on or</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Carrying Value</w:t>
            </w:r>
          </w:p>
        </w:tc>
        <w:tc>
          <w:tcPr>
            <w:tcW w:w="8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7"/>
              </w:rPr>
              <w:t>Issuable Upon</w:t>
            </w:r>
          </w:p>
        </w:tc>
        <w:tc>
          <w:tcPr>
            <w:tcW w:w="11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Authorized</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8"/>
              </w:rPr>
              <w:t>and Outstanding</w:t>
            </w:r>
          </w:p>
        </w:tc>
        <w:tc>
          <w:tcPr>
            <w:tcW w:w="100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Authorized</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7"/>
              </w:rPr>
              <w:t>Outstanding</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7"/>
              </w:rPr>
              <w:t>Value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Conversion</w:t>
            </w: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Per Share</w:t>
            </w: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After</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8"/>
          </w:tcPr>
          <w:p>
            <w:pPr>
              <w:ind w:left="620"/>
              <w:spacing w:after="0"/>
              <w:rPr>
                <w:sz w:val="20"/>
                <w:szCs w:val="20"/>
                <w:color w:val="auto"/>
              </w:rPr>
            </w:pPr>
            <w:r>
              <w:rPr>
                <w:rFonts w:ascii="Arial" w:cs="Arial" w:eastAsia="Arial" w:hAnsi="Arial"/>
                <w:sz w:val="12"/>
                <w:szCs w:val="12"/>
                <w:b w:val="1"/>
                <w:bCs w:val="1"/>
                <w:color w:val="auto"/>
                <w:w w:val="98"/>
              </w:rPr>
              <w:t>(in millions, except per share amounts)</w:t>
            </w: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80" w:type="dxa"/>
            <w:vAlign w:val="bottom"/>
            <w:shd w:val="clear" w:color="auto" w:fill="CCEEFF"/>
          </w:tcPr>
          <w:p>
            <w:pPr>
              <w:ind w:left="20"/>
              <w:spacing w:after="0" w:line="179" w:lineRule="exact"/>
              <w:rPr>
                <w:sz w:val="20"/>
                <w:szCs w:val="20"/>
                <w:color w:val="auto"/>
              </w:rPr>
            </w:pPr>
            <w:r>
              <w:rPr>
                <w:rFonts w:ascii="Arial" w:cs="Arial" w:eastAsia="Arial" w:hAnsi="Arial"/>
                <w:sz w:val="13"/>
                <w:szCs w:val="13"/>
                <w:color w:val="auto"/>
              </w:rPr>
              <w:t>Common Stock-Voting</w:t>
            </w:r>
            <w:r>
              <w:rPr>
                <w:rFonts w:ascii="Arial" w:cs="Arial" w:eastAsia="Arial" w:hAnsi="Arial"/>
                <w:sz w:val="16"/>
                <w:szCs w:val="16"/>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5" w:lineRule="exact"/>
              <w:rPr>
                <w:sz w:val="20"/>
                <w:szCs w:val="20"/>
                <w:color w:val="auto"/>
              </w:rPr>
            </w:pPr>
            <w:r>
              <w:rPr>
                <w:rFonts w:ascii="Arial" w:cs="Arial" w:eastAsia="Arial" w:hAnsi="Arial"/>
                <w:sz w:val="13"/>
                <w:szCs w:val="13"/>
                <w:b w:val="1"/>
                <w:bCs w:val="1"/>
                <w:color w:val="auto"/>
              </w:rPr>
              <w:t>Preferred Stock</w:t>
            </w:r>
            <w:r>
              <w:rPr>
                <w:rFonts w:ascii="Arial" w:cs="Arial" w:eastAsia="Arial" w:hAnsi="Arial"/>
                <w:sz w:val="16"/>
                <w:szCs w:val="16"/>
                <w:b w:val="1"/>
                <w:bCs w:val="1"/>
                <w:color w:val="auto"/>
                <w:vertAlign w:val="superscript"/>
              </w:rPr>
              <w:t>(1)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Preferred-Series A Redeemable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78"/>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1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$0.03 - $0.29</w:t>
            </w:r>
          </w:p>
        </w:tc>
        <w:tc>
          <w:tcPr>
            <w:tcW w:w="11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80"/>
              <w:spacing w:after="0" w:line="175" w:lineRule="exact"/>
              <w:rPr>
                <w:sz w:val="20"/>
                <w:szCs w:val="20"/>
                <w:color w:val="auto"/>
              </w:rPr>
            </w:pPr>
            <w:r>
              <w:rPr>
                <w:rFonts w:ascii="Arial" w:cs="Arial" w:eastAsia="Arial" w:hAnsi="Arial"/>
                <w:sz w:val="13"/>
                <w:szCs w:val="13"/>
                <w:color w:val="auto"/>
              </w:rPr>
              <w:t>Convertible</w:t>
            </w:r>
            <w:r>
              <w:rPr>
                <w:rFonts w:ascii="Arial" w:cs="Arial" w:eastAsia="Arial" w:hAnsi="Arial"/>
                <w:sz w:val="16"/>
                <w:szCs w:val="16"/>
                <w:color w:val="auto"/>
                <w:vertAlign w:val="superscript"/>
              </w:rPr>
              <w:t>(2)</w:t>
            </w:r>
          </w:p>
        </w:tc>
        <w:tc>
          <w:tcPr>
            <w:tcW w:w="920" w:type="dxa"/>
            <w:vAlign w:val="bottom"/>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20"/>
              <w:spacing w:after="0" w:line="122" w:lineRule="exact"/>
              <w:rPr>
                <w:sz w:val="20"/>
                <w:szCs w:val="20"/>
                <w:color w:val="auto"/>
              </w:rPr>
            </w:pPr>
            <w:r>
              <w:rPr>
                <w:rFonts w:ascii="Arial" w:cs="Arial" w:eastAsia="Arial" w:hAnsi="Arial"/>
                <w:sz w:val="13"/>
                <w:szCs w:val="13"/>
                <w:color w:val="auto"/>
              </w:rPr>
              <w:t>Preferred-Series B Redeemable</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41.8</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41.8</w:t>
            </w:r>
          </w:p>
        </w:tc>
        <w:tc>
          <w:tcPr>
            <w:tcW w:w="1060" w:type="dxa"/>
            <w:vAlign w:val="bottom"/>
            <w:gridSpan w:val="3"/>
            <w:vMerge w:val="restart"/>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41.7</w:t>
            </w:r>
          </w:p>
        </w:tc>
        <w:tc>
          <w:tcPr>
            <w:tcW w:w="1180" w:type="dxa"/>
            <w:vAlign w:val="bottom"/>
            <w:vMerge w:val="restart"/>
          </w:tcPr>
          <w:p>
            <w:pPr>
              <w:jc w:val="right"/>
              <w:ind w:right="78"/>
              <w:spacing w:after="0"/>
              <w:rPr>
                <w:sz w:val="20"/>
                <w:szCs w:val="20"/>
                <w:color w:val="auto"/>
              </w:rPr>
            </w:pPr>
            <w:r>
              <w:rPr>
                <w:rFonts w:ascii="Arial" w:cs="Arial" w:eastAsia="Arial" w:hAnsi="Arial"/>
                <w:sz w:val="13"/>
                <w:szCs w:val="13"/>
                <w:color w:val="auto"/>
              </w:rPr>
              <w:t>0.81</w:t>
            </w:r>
          </w:p>
        </w:tc>
        <w:tc>
          <w:tcPr>
            <w:tcW w:w="1100" w:type="dxa"/>
            <w:vAlign w:val="bottom"/>
            <w:vMerge w:val="restart"/>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68"/>
        </w:trPr>
        <w:tc>
          <w:tcPr>
            <w:tcW w:w="2080" w:type="dxa"/>
            <w:vAlign w:val="bottom"/>
          </w:tcPr>
          <w:p>
            <w:pPr>
              <w:ind w:left="180"/>
              <w:spacing w:after="0"/>
              <w:rPr>
                <w:sz w:val="20"/>
                <w:szCs w:val="20"/>
                <w:color w:val="auto"/>
              </w:rPr>
            </w:pPr>
            <w:r>
              <w:rPr>
                <w:rFonts w:ascii="Arial" w:cs="Arial" w:eastAsia="Arial" w:hAnsi="Arial"/>
                <w:sz w:val="13"/>
                <w:szCs w:val="13"/>
                <w:color w:val="auto"/>
              </w:rPr>
              <w:t>Convertible</w:t>
            </w:r>
          </w:p>
        </w:tc>
        <w:tc>
          <w:tcPr>
            <w:tcW w:w="9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Preferred-Series C Redeemable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1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1.44</w:t>
            </w:r>
          </w:p>
        </w:tc>
        <w:tc>
          <w:tcPr>
            <w:tcW w:w="11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Convertible - Voting</w:t>
            </w:r>
          </w:p>
        </w:tc>
        <w:tc>
          <w:tcPr>
            <w:tcW w:w="920" w:type="dxa"/>
            <w:vAlign w:val="bottom"/>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20"/>
              <w:spacing w:after="0" w:line="122" w:lineRule="exact"/>
              <w:rPr>
                <w:sz w:val="20"/>
                <w:szCs w:val="20"/>
                <w:color w:val="auto"/>
              </w:rPr>
            </w:pPr>
            <w:r>
              <w:rPr>
                <w:rFonts w:ascii="Arial" w:cs="Arial" w:eastAsia="Arial" w:hAnsi="Arial"/>
                <w:sz w:val="13"/>
                <w:szCs w:val="13"/>
                <w:color w:val="auto"/>
              </w:rPr>
              <w:t>Preferred-Series D Redeemable</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19.6</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19.6</w:t>
            </w:r>
          </w:p>
        </w:tc>
        <w:tc>
          <w:tcPr>
            <w:tcW w:w="1060" w:type="dxa"/>
            <w:vAlign w:val="bottom"/>
            <w:gridSpan w:val="3"/>
            <w:vMerge w:val="restart"/>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19.3</w:t>
            </w:r>
          </w:p>
        </w:tc>
        <w:tc>
          <w:tcPr>
            <w:tcW w:w="1180" w:type="dxa"/>
            <w:vAlign w:val="bottom"/>
            <w:vMerge w:val="restart"/>
          </w:tcPr>
          <w:p>
            <w:pPr>
              <w:jc w:val="right"/>
              <w:ind w:right="78"/>
              <w:spacing w:after="0"/>
              <w:rPr>
                <w:sz w:val="20"/>
                <w:szCs w:val="20"/>
                <w:color w:val="auto"/>
              </w:rPr>
            </w:pPr>
            <w:r>
              <w:rPr>
                <w:rFonts w:ascii="Arial" w:cs="Arial" w:eastAsia="Arial" w:hAnsi="Arial"/>
                <w:sz w:val="13"/>
                <w:szCs w:val="13"/>
                <w:color w:val="auto"/>
              </w:rPr>
              <w:t>5.17</w:t>
            </w:r>
          </w:p>
        </w:tc>
        <w:tc>
          <w:tcPr>
            <w:tcW w:w="1100" w:type="dxa"/>
            <w:vAlign w:val="bottom"/>
            <w:vMerge w:val="restart"/>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68"/>
        </w:trPr>
        <w:tc>
          <w:tcPr>
            <w:tcW w:w="2080" w:type="dxa"/>
            <w:vAlign w:val="bottom"/>
          </w:tcPr>
          <w:p>
            <w:pPr>
              <w:ind w:left="180"/>
              <w:spacing w:after="0"/>
              <w:rPr>
                <w:sz w:val="20"/>
                <w:szCs w:val="20"/>
                <w:color w:val="auto"/>
              </w:rPr>
            </w:pPr>
            <w:r>
              <w:rPr>
                <w:rFonts w:ascii="Arial" w:cs="Arial" w:eastAsia="Arial" w:hAnsi="Arial"/>
                <w:sz w:val="13"/>
                <w:szCs w:val="13"/>
                <w:color w:val="auto"/>
              </w:rPr>
              <w:t>Convertible</w:t>
            </w:r>
          </w:p>
        </w:tc>
        <w:tc>
          <w:tcPr>
            <w:tcW w:w="9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Preferred-Series E Redeemable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370.8</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370.8</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1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7.78 - 16.49</w:t>
            </w:r>
          </w:p>
        </w:tc>
        <w:tc>
          <w:tcPr>
            <w:tcW w:w="110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w w:val="84"/>
              </w:rPr>
              <w:t>September 6, 2026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80"/>
              <w:spacing w:after="0" w:line="175" w:lineRule="exact"/>
              <w:rPr>
                <w:sz w:val="20"/>
                <w:szCs w:val="20"/>
                <w:color w:val="auto"/>
              </w:rPr>
            </w:pPr>
            <w:r>
              <w:rPr>
                <w:rFonts w:ascii="Arial" w:cs="Arial" w:eastAsia="Arial" w:hAnsi="Arial"/>
                <w:sz w:val="13"/>
                <w:szCs w:val="13"/>
                <w:color w:val="auto"/>
              </w:rPr>
              <w:t>Convertible</w:t>
            </w:r>
            <w:r>
              <w:rPr>
                <w:rFonts w:ascii="Arial" w:cs="Arial" w:eastAsia="Arial" w:hAnsi="Arial"/>
                <w:sz w:val="16"/>
                <w:szCs w:val="16"/>
                <w:color w:val="auto"/>
                <w:vertAlign w:val="superscript"/>
              </w:rPr>
              <w:t>(3)</w:t>
            </w:r>
          </w:p>
        </w:tc>
        <w:tc>
          <w:tcPr>
            <w:tcW w:w="920" w:type="dxa"/>
            <w:vAlign w:val="bottom"/>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140"/>
              <w:spacing w:after="0"/>
              <w:rPr>
                <w:sz w:val="20"/>
                <w:szCs w:val="20"/>
                <w:color w:val="auto"/>
              </w:rPr>
            </w:pPr>
            <w:r>
              <w:rPr>
                <w:rFonts w:ascii="Arial" w:cs="Arial" w:eastAsia="Arial" w:hAnsi="Arial"/>
                <w:sz w:val="13"/>
                <w:szCs w:val="13"/>
                <w:color w:val="auto"/>
              </w:rPr>
              <w:t>Total Preferred Stock</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170.0</w:t>
            </w:r>
          </w:p>
        </w:tc>
        <w:tc>
          <w:tcPr>
            <w:tcW w:w="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161.8</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560.4</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167.4</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560.4</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161.8</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classes of stock have a par value of $0.0001 per share.</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Shares issued for Series A-1 had a conversion price of $0.03. Shares issued for Series A-2 had a conversion price of $0.11. Shares issued for Series A-3 had a conversion price of $0.29. Collectively these shares are referred to as Series A.</w:t>
      </w: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Shares issued for Series E had a conversion price of $16.49. Shares issued for Series E-1 had a conversion price of $7.78. Collectively these shares are referred to as Series 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rPr>
              <w:t>September 30, 2020</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December 31, 2019</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Shares Issued</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Redemption</w:t>
            </w:r>
          </w:p>
        </w:tc>
        <w:tc>
          <w:tcPr>
            <w:tcW w:w="10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 Issued and</w:t>
            </w:r>
          </w:p>
        </w:tc>
        <w:tc>
          <w:tcPr>
            <w:tcW w:w="10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Carrying</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10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9"/>
              </w:rPr>
              <w:t>Authorized</w:t>
            </w:r>
          </w:p>
        </w:tc>
        <w:tc>
          <w:tcPr>
            <w:tcW w:w="10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8"/>
              </w:rPr>
              <w:t>and Outstanding</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Carrying Value</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3"/>
              </w:rPr>
              <w:t>Value</w:t>
            </w: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9"/>
              </w:rPr>
              <w:t>Authorized</w:t>
            </w: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7"/>
              </w:rPr>
              <w:t>Outstanding</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7"/>
              </w:rPr>
              <w:t>Value</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Redemption Value</w:t>
            </w: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2"/>
                <w:szCs w:val="12"/>
                <w:b w:val="1"/>
                <w:bCs w:val="1"/>
                <w:color w:val="auto"/>
                <w:w w:val="90"/>
              </w:rPr>
              <w:t>(in millions, except per share amounts)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Preferred Stock</w:t>
            </w:r>
            <w:r>
              <w:rPr>
                <w:rFonts w:ascii="Arial" w:cs="Arial" w:eastAsia="Arial" w:hAnsi="Arial"/>
                <w:sz w:val="16"/>
                <w:szCs w:val="16"/>
                <w:b w:val="1"/>
                <w:bCs w:val="1"/>
                <w:color w:val="auto"/>
                <w:vertAlign w:val="superscript"/>
              </w:rPr>
              <w:t>(1)</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100" w:type="dxa"/>
            <w:vAlign w:val="bottom"/>
          </w:tcPr>
          <w:p>
            <w:pPr>
              <w:ind w:left="20"/>
              <w:spacing w:after="0"/>
              <w:rPr>
                <w:sz w:val="20"/>
                <w:szCs w:val="20"/>
                <w:color w:val="auto"/>
              </w:rPr>
            </w:pPr>
            <w:r>
              <w:rPr>
                <w:rFonts w:ascii="Arial" w:cs="Arial" w:eastAsia="Arial" w:hAnsi="Arial"/>
                <w:sz w:val="13"/>
                <w:szCs w:val="13"/>
                <w:color w:val="auto"/>
              </w:rPr>
              <w:t>Preferred-Series A Redeemable Convertible</w:t>
            </w:r>
          </w:p>
        </w:tc>
        <w:tc>
          <w:tcPr>
            <w:tcW w:w="940" w:type="dxa"/>
            <w:vAlign w:val="bottom"/>
          </w:tcPr>
          <w:p>
            <w:pPr>
              <w:jc w:val="right"/>
              <w:spacing w:after="0"/>
              <w:rPr>
                <w:sz w:val="20"/>
                <w:szCs w:val="20"/>
                <w:color w:val="auto"/>
              </w:rPr>
            </w:pPr>
            <w:r>
              <w:rPr>
                <w:rFonts w:ascii="Arial" w:cs="Arial" w:eastAsia="Arial" w:hAnsi="Arial"/>
                <w:sz w:val="13"/>
                <w:szCs w:val="13"/>
                <w:color w:val="auto"/>
              </w:rPr>
              <w:t>40.5</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380" w:type="dxa"/>
            <w:vAlign w:val="bottom"/>
          </w:tcPr>
          <w:p>
            <w:pPr>
              <w:jc w:val="right"/>
              <w:ind w:right="239"/>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Preferred-Series B Redeemable Convertible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73"/>
        </w:trPr>
        <w:tc>
          <w:tcPr>
            <w:tcW w:w="3100" w:type="dxa"/>
            <w:vAlign w:val="bottom"/>
          </w:tcPr>
          <w:p>
            <w:pPr>
              <w:ind w:left="20"/>
              <w:spacing w:after="0"/>
              <w:rPr>
                <w:sz w:val="20"/>
                <w:szCs w:val="20"/>
                <w:color w:val="auto"/>
              </w:rPr>
            </w:pPr>
            <w:r>
              <w:rPr>
                <w:rFonts w:ascii="Arial" w:cs="Arial" w:eastAsia="Arial" w:hAnsi="Arial"/>
                <w:sz w:val="13"/>
                <w:szCs w:val="13"/>
                <w:color w:val="auto"/>
              </w:rPr>
              <w:t>Preferred-Series C Redeemable Convertible - Voting</w:t>
            </w:r>
          </w:p>
        </w:tc>
        <w:tc>
          <w:tcPr>
            <w:tcW w:w="940" w:type="dxa"/>
            <w:vAlign w:val="bottom"/>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Preferred-Series D Redeemable Convertible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Preferred-Series E Redeemable Convertible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360.0</w:t>
            </w:r>
          </w:p>
        </w:tc>
        <w:tc>
          <w:tcPr>
            <w:tcW w:w="0" w:type="dxa"/>
            <w:vAlign w:val="bottom"/>
          </w:tcPr>
          <w:p>
            <w:pPr>
              <w:spacing w:after="0"/>
              <w:rPr>
                <w:sz w:val="1"/>
                <w:szCs w:val="1"/>
                <w:color w:val="auto"/>
              </w:rPr>
            </w:pPr>
          </w:p>
        </w:tc>
      </w:tr>
      <w:tr>
        <w:trPr>
          <w:trHeight w:val="226"/>
        </w:trPr>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Preferred Stock</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classes of stock have a par value of $0.0001 per share.</w:t>
      </w:r>
    </w:p>
    <w:p>
      <w:pPr>
        <w:spacing w:after="0" w:line="15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maintain an equity incentive plan, the 2015 Equity Incentive Plan, or the 2015 Plan, for the issuance and grant of equity awards (restricted stock, restricted stock units, and incentive and nonqualified stock options) to our officers, directors, employees and certain consultants. As of September 30, 2020, the number of shares authorized under the 2015 Plan was 45.4 million authorized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for the nine months ended September 30, 2020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2"/>
          </w:tcPr>
          <w:p>
            <w:pPr>
              <w:jc w:val="right"/>
              <w:ind w:right="1081"/>
              <w:spacing w:after="0"/>
              <w:rPr>
                <w:sz w:val="20"/>
                <w:szCs w:val="20"/>
                <w:color w:val="auto"/>
              </w:rPr>
            </w:pPr>
            <w:r>
              <w:rPr>
                <w:rFonts w:ascii="Arial" w:cs="Arial" w:eastAsia="Arial" w:hAnsi="Arial"/>
                <w:sz w:val="14"/>
                <w:szCs w:val="14"/>
                <w:b w:val="1"/>
                <w:bCs w:val="1"/>
                <w:color w:val="auto"/>
              </w:rPr>
              <w:t>September 30, 2020</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5"/>
              </w:rPr>
              <w:t>Weighted-Average</w:t>
            </w:r>
          </w:p>
        </w:tc>
        <w:tc>
          <w:tcPr>
            <w:tcW w:w="178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5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78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Exercise Price</w:t>
            </w:r>
          </w:p>
        </w:tc>
        <w:tc>
          <w:tcPr>
            <w:tcW w:w="1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Term (in Years)</w:t>
            </w: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80" w:type="dxa"/>
            <w:vAlign w:val="bottom"/>
            <w:gridSpan w:val="3"/>
          </w:tcPr>
          <w:p>
            <w:pPr>
              <w:ind w:left="100"/>
              <w:spacing w:after="0"/>
              <w:rPr>
                <w:sz w:val="20"/>
                <w:szCs w:val="20"/>
                <w:color w:val="auto"/>
              </w:rPr>
            </w:pPr>
            <w:r>
              <w:rPr>
                <w:rFonts w:ascii="Arial" w:cs="Arial" w:eastAsia="Arial" w:hAnsi="Arial"/>
                <w:sz w:val="14"/>
                <w:szCs w:val="14"/>
                <w:b w:val="1"/>
                <w:bCs w:val="1"/>
                <w:color w:val="auto"/>
                <w:w w:val="95"/>
              </w:rPr>
              <w:t>(in millions, except exercise price and term amounts)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January 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1.42</w:t>
            </w:r>
          </w:p>
        </w:tc>
        <w:tc>
          <w:tcPr>
            <w:tcW w:w="17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8.22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7.76</w:t>
            </w: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0.79</w:t>
            </w:r>
          </w:p>
        </w:tc>
        <w:tc>
          <w:tcPr>
            <w:tcW w:w="1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5.05</w:t>
            </w:r>
          </w:p>
        </w:tc>
        <w:tc>
          <w:tcPr>
            <w:tcW w:w="17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September 30,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w:t>
            </w:r>
          </w:p>
        </w:tc>
        <w:tc>
          <w:tcPr>
            <w:tcW w:w="17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7.82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displays share-based compensation expense recorded in the condensed consolidated statements of operations and comprehensive loss: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700" w:type="dxa"/>
            <w:vAlign w:val="bottom"/>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83"/>
        </w:trPr>
        <w:tc>
          <w:tcPr>
            <w:tcW w:w="4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6"/>
          </w:tcPr>
          <w:p>
            <w:pPr>
              <w:ind w:left="10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Other insurance expense</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March 2020, a current investor completed a tender offer for common stock from vested shareholders, many of whom were employees or members of the Board of Directors. To encourage participation, the tender offer was made at a price in excess of the fair value of our common stock. As a result, we recognized $25.1 million of share-based compensation expense during the nine months ended September 30, 2020. As of September 30, 2020, there was $9.6 million of total unrecognized compensation cost related to share-based compensation. The remaining cost is expected to be recognized over a period of six years.</w:t>
      </w:r>
    </w:p>
    <w:p>
      <w:pPr>
        <w:spacing w:after="0" w:line="134"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2015 Plan permits the optionee to early exercise to obtain preferred tax treatment before the completion of the award’s requisite service or vesting period. If the employee terminates employment before the end of this period, the 2015 Plan requires us to repurchase the shares at the exercise price of the award. The repurchase feature is used to require the employee to remain through the requisite service or vesting period to receive the full economic benefit of the award.</w:t>
      </w:r>
    </w:p>
    <w:p>
      <w:pPr>
        <w:spacing w:after="0" w:line="13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Given the repurchase feature functions as a forfeiture provision for nonvested shares, we record the exercise cost of nonvested shares as a deposit liability for those shares settling in cash. As the shares vest, the deposit liability is reduced and additional paid-in capital is increased. As of September 30, 2020 and December 31, 2019, the early exercise deposit liability was $1.4 million and $1.5 million, respectively, and is included in other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LOANS</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of September 30, 2020 and December 31, 2019, there were related party loans outstanding with several key employees of $3.4 million with a weighted-average interest rate of 2.87% and $4.3 million with a weighted-average interest rate of 2.80%, respectively.</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May 2020, we settled a related party loan by accepting 0.3 million unvested shares and 0.1 million vested shares in exchange for the full repayment of the related $0.9 million related party loan and accrued interest. We recognized $0.7 million of treasury stock as a result.</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October 2020, our Board of Directors approved the forgiveness of all outstanding principal and accrued but unpaid interest for each of the remaining related party loans. As the exercise price had effectively been reduced to zero, the forgiveness was accounted for as a modification of the stock options. An incremental share-based compensation cost of $3.4 million was determined based on the difference in the fair value of the options immediately prior to the modification and the modified fair value. Based on 0.5 million shares having vested as of the date of forgiveness, we recognized $0.3 million of share-based compensation expense in October 2020. The remaining $3.1 million share-based compensation expense will be recognized ratably over the remaining vesting period of 6 years.</w:t>
      </w:r>
    </w:p>
    <w:p>
      <w:pPr>
        <w:spacing w:after="0" w:line="215"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litigation matters outstanding or pending that will have a material effect on our financial position or results of operations.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12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INCOME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income, or AOCI,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6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8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7"/>
        </w:trPr>
        <w:tc>
          <w:tcPr>
            <w:tcW w:w="6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183"/>
        </w:trPr>
        <w:tc>
          <w:tcPr>
            <w:tcW w:w="6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unrealized gains on investment:</w:t>
            </w: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Beginning balance</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615"/>
              <w:spacing w:after="0"/>
              <w:rPr>
                <w:sz w:val="20"/>
                <w:szCs w:val="20"/>
                <w:color w:val="auto"/>
              </w:rPr>
            </w:pPr>
            <w:r>
              <w:rPr>
                <w:rFonts w:ascii="Arial" w:cs="Arial" w:eastAsia="Arial" w:hAnsi="Arial"/>
                <w:sz w:val="18"/>
                <w:szCs w:val="18"/>
                <w:color w:val="auto"/>
                <w:w w:val="87"/>
              </w:rPr>
              <w:t>0.6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15"/>
              <w:spacing w:after="0"/>
              <w:rPr>
                <w:sz w:val="20"/>
                <w:szCs w:val="20"/>
                <w:color w:val="auto"/>
              </w:rPr>
            </w:pPr>
            <w:r>
              <w:rPr>
                <w:rFonts w:ascii="Arial" w:cs="Arial" w:eastAsia="Arial" w:hAnsi="Arial"/>
                <w:sz w:val="18"/>
                <w:szCs w:val="18"/>
                <w:color w:val="auto"/>
                <w:w w:val="87"/>
              </w:rPr>
              <w:t>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Realized gains on investments reclassified from AOCI to net income</w:t>
            </w:r>
          </w:p>
        </w:tc>
        <w:tc>
          <w:tcPr>
            <w:tcW w:w="8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center"/>
              <w:ind w:left="575"/>
              <w:spacing w:after="0"/>
              <w:rPr>
                <w:sz w:val="20"/>
                <w:szCs w:val="20"/>
                <w:color w:val="auto"/>
              </w:rPr>
            </w:pPr>
            <w:r>
              <w:rPr>
                <w:rFonts w:ascii="Arial" w:cs="Arial" w:eastAsia="Arial" w:hAnsi="Arial"/>
                <w:sz w:val="18"/>
                <w:szCs w:val="18"/>
                <w:color w:val="auto"/>
                <w:w w:val="91"/>
              </w:rPr>
              <w:t>(0.2)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center"/>
              <w:ind w:left="615"/>
              <w:spacing w:after="0"/>
              <w:rPr>
                <w:sz w:val="20"/>
                <w:szCs w:val="20"/>
                <w:color w:val="auto"/>
              </w:rPr>
            </w:pPr>
            <w:r>
              <w:rPr>
                <w:rFonts w:ascii="Arial" w:cs="Arial" w:eastAsia="Arial" w:hAnsi="Arial"/>
                <w:sz w:val="18"/>
                <w:szCs w:val="18"/>
                <w:color w:val="auto"/>
                <w:w w:val="87"/>
              </w:rPr>
              <w:t>5.0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615"/>
              <w:spacing w:after="0"/>
              <w:rPr>
                <w:sz w:val="20"/>
                <w:szCs w:val="20"/>
                <w:color w:val="auto"/>
              </w:rPr>
            </w:pPr>
            <w:r>
              <w:rPr>
                <w:rFonts w:ascii="Arial" w:cs="Arial" w:eastAsia="Arial" w:hAnsi="Arial"/>
                <w:sz w:val="18"/>
                <w:szCs w:val="18"/>
                <w:color w:val="auto"/>
                <w:w w:val="87"/>
              </w:rPr>
              <w:t>5.6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EPS is presented for both basic EPS and diluted EPS. We compute basic EPS by dividing net income (loss) attributable to common stockholders by the weighted-average number of shares of common stock outstanding during the period. In addition to common shares outstanding, the computation of basic EPS includes instruments for which the holder has (or is deemed to have) the present rights as of the end of the reporting period to share in current period earnings (loss) with common stockholders (i.e., participating securities and common shares that are currently issuable for little or no cost to the holder). We also include in the denominator of our basic EPS computation the weighted-average number of shares of common stock that would be issued upon the full exercise of the warrants. These warrants have an insignificant exercise price of $0.0001 per share and are therefore considered outstanding common shares for computation of basic EPS.</w:t>
      </w:r>
    </w:p>
    <w:p>
      <w:pPr>
        <w:spacing w:after="0" w:line="141"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Diluted EPS includes all the components of basic EPS, plus the dilutive effect of common stock equivalents such as convertible securities and stock options, but excludes those common stock equivalents from the calculation of diluted EPS when the effect of inclusion, assessed individually, would be anti-dilutive. The calculation of income available to common stockholders and EPS is based on the underlying premise that all income after payment of dividends on preferred shares is available to and will be distributed to the common stockholders.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displays the computation of basic and diluted loss per share of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 millions, except per share amounts)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common shares outstanding: basic and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38.8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diluted</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common share: basic and diluted</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260" w:type="dxa"/>
            <w:vAlign w:val="bottom"/>
            <w:tcBorders>
              <w:bottom w:val="single" w:sz="8" w:color="auto"/>
            </w:tcBorders>
            <w:gridSpan w:val="3"/>
          </w:tcPr>
          <w:p>
            <w:pPr>
              <w:jc w:val="center"/>
              <w:ind w:left="878"/>
              <w:spacing w:after="0"/>
              <w:rPr>
                <w:sz w:val="20"/>
                <w:szCs w:val="20"/>
                <w:color w:val="auto"/>
              </w:rPr>
            </w:pPr>
            <w:r>
              <w:rPr>
                <w:rFonts w:ascii="Arial" w:cs="Arial" w:eastAsia="Arial" w:hAnsi="Arial"/>
                <w:sz w:val="14"/>
                <w:szCs w:val="14"/>
                <w:b w:val="1"/>
                <w:bCs w:val="1"/>
                <w:color w:val="auto"/>
                <w:w w:val="90"/>
              </w:rPr>
              <w:t>As of September 30,</w:t>
            </w:r>
          </w:p>
        </w:tc>
        <w:tc>
          <w:tcPr>
            <w:tcW w:w="960" w:type="dxa"/>
            <w:vAlign w:val="bottom"/>
            <w:tcBorders>
              <w:bottom w:val="single" w:sz="8" w:color="auto"/>
            </w:tcBorders>
          </w:tcPr>
          <w:p>
            <w:pPr>
              <w:spacing w:after="0"/>
              <w:rPr>
                <w:sz w:val="16"/>
                <w:szCs w:val="16"/>
                <w:color w:val="auto"/>
              </w:rPr>
            </w:pPr>
          </w:p>
        </w:tc>
      </w:tr>
      <w:tr>
        <w:trPr>
          <w:trHeight w:val="187"/>
        </w:trPr>
        <w:tc>
          <w:tcPr>
            <w:tcW w:w="8020" w:type="dxa"/>
            <w:vAlign w:val="bottom"/>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8020" w:type="dxa"/>
            <w:vAlign w:val="bottom"/>
          </w:tcPr>
          <w:p>
            <w:pPr>
              <w:spacing w:after="0"/>
              <w:rPr>
                <w:sz w:val="15"/>
                <w:szCs w:val="15"/>
                <w:color w:val="auto"/>
              </w:rPr>
            </w:pPr>
          </w:p>
        </w:tc>
        <w:tc>
          <w:tcPr>
            <w:tcW w:w="2260" w:type="dxa"/>
            <w:vAlign w:val="bottom"/>
            <w:gridSpan w:val="3"/>
          </w:tcPr>
          <w:p>
            <w:pPr>
              <w:jc w:val="center"/>
              <w:ind w:left="878"/>
              <w:spacing w:after="0"/>
              <w:rPr>
                <w:sz w:val="20"/>
                <w:szCs w:val="20"/>
                <w:color w:val="auto"/>
              </w:rPr>
            </w:pPr>
            <w:r>
              <w:rPr>
                <w:rFonts w:ascii="Arial" w:cs="Arial" w:eastAsia="Arial" w:hAnsi="Arial"/>
                <w:sz w:val="14"/>
                <w:szCs w:val="14"/>
                <w:b w:val="1"/>
                <w:bCs w:val="1"/>
                <w:color w:val="auto"/>
                <w:w w:val="94"/>
              </w:rPr>
              <w:t>(in millions)</w:t>
            </w:r>
          </w:p>
        </w:tc>
        <w:tc>
          <w:tcPr>
            <w:tcW w:w="9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0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DIRECT WRITTEN PREMIUM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 written premium (“DWP”) by state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7"/>
              </w:rPr>
              <w:t>Nine Months Ended September 30,</w:t>
            </w:r>
          </w:p>
        </w:tc>
        <w:tc>
          <w:tcPr>
            <w:tcW w:w="940" w:type="dxa"/>
            <w:vAlign w:val="bottom"/>
            <w:tcBorders>
              <w:bottom w:val="single" w:sz="8" w:color="auto"/>
            </w:tcBorders>
          </w:tcPr>
          <w:p>
            <w:pPr>
              <w:spacing w:after="0"/>
              <w:rPr>
                <w:sz w:val="16"/>
                <w:szCs w:val="16"/>
                <w:color w:val="auto"/>
              </w:rPr>
            </w:pPr>
          </w:p>
        </w:tc>
      </w:tr>
      <w:tr>
        <w:trPr>
          <w:trHeight w:val="187"/>
        </w:trPr>
        <w:tc>
          <w:tcPr>
            <w:tcW w:w="2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6"/>
                <w:szCs w:val="16"/>
                <w:color w:val="auto"/>
              </w:rPr>
            </w:pPr>
          </w:p>
        </w:tc>
      </w:tr>
      <w:tr>
        <w:trPr>
          <w:trHeight w:val="181"/>
        </w:trPr>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of DWP</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 of DWP</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of DWP</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of DWP</w:t>
            </w:r>
          </w:p>
        </w:tc>
      </w:tr>
      <w:tr>
        <w:trPr>
          <w:trHeight w:val="212"/>
        </w:trPr>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Georgia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7.5</w:t>
            </w: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Kentucky</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w:t>
            </w: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Missouri</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Utah</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4.0</w:t>
            </w: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Oregon</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27.1</w:t>
            </w:r>
          </w:p>
        </w:tc>
      </w:tr>
      <w:tr>
        <w:trPr>
          <w:trHeight w:val="223"/>
        </w:trPr>
        <w:tc>
          <w:tcPr>
            <w:tcW w:w="202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October 2020, our Board of Directors approved the forgiveness of all outstanding principal and accrued but unpaid interest for each of the remaining related party loans. Refer to Note 10 for further discussion.</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October 2020, our Board of Directors authorized additional shares bringing our total authorized shares to 1,000.0 million of Class A common stock, 269.0 million shares of Class B Common Stock and 100.0 million shares of Preferred Stock. All classes of stock have a par value of $0.0001 per share. The rights of the holders of Class A common stock and Class B common stock are identical, except with respect to voting, conversion and transfer rights. Each share of Class A common stock is entitled to one vote. Each share of Class B common stock is entitled to ten votes and is convertible at any time into one share of Class A common stock. All shares of our capital stock outstanding immediately prior to our IPO, were reclassified into shares of our Class B common stock.</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October 2020,we completed our initial public offering of common stock, or IPO, which resulted in the issuance and sale of 24.2 million shares of common stock at the IPO price of $27.00, Concurrently, we issued and sold 18.5 million shares of our Class A common stock in private placements. We received net proceeds of $1.1 billion after deducting certain underwriting discounts and commissions and other offering costs of $53.4 million. In connection with the IPO, our outstanding convertible preferred stock converted into shares of Class B common stock and the 2.8 million liability classified warrants were exercised. Upon conversion of the convertible preferred stock, we reclassified the carrying value of the convertible preferred stock to common stock and additional paid-in capital. We adjusted the warrants to fair value immediately prior to their exercise which resulted in $38.7 million of interest expense recognized in October 2020. Upon exercise of the warrants, we reclassified the carrying value of the warrants from long-term debt and warrants to common stock and additional paid-in capital.</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October 2020, our board of directors adopted and our stockholders approved the 2020 Equity Incentive Plan (the “2020 Plan”), which became effective as of October 28, 2020, our IPO date. The 2020 Plan provides for the issuance of incentive stock options, nonstatutory stock options, stock appreciation rights, restricted stock awards, restricted stock unit awards, performance awards, and other awards. The number of shares initially reserved for issuance under the 2020 Plan is 41.2 million shares, inclusive of available shares previously reserved for issuance under the 2015 Plan. In addition, the number of shares reserved for issuance under the 2020 Plan is subject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annual increase on the first day of each calendar year beginning on January 1, 2021 and ending on and including January 1, 2030, in an amount equal to 4% of the total number of shares of capital stock outstanding on December 31st of the preceding year. Our board of directors may act prior to January 1st of a given year to provide that the increase for such year will be a lesser number of shares of Class A common stock. The aggregate maximum number of shares of Class A common stock that may be issued pursuant to the exercise of incentive stock options is 120.0 million shares.</w:t>
      </w:r>
    </w:p>
    <w:p>
      <w:pPr>
        <w:spacing w:after="0" w:line="11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October 2020, our board of directors adopted and our stockholders approved the 2020 Employee Stock Purchase Plan (the “ESPP”), which became effective immediately prior to our IPO date. The number of shares of Class A common stock initially reserved for issuance under the ESPP is limited to</w:t>
      </w:r>
    </w:p>
    <w:p>
      <w:pPr>
        <w:jc w:val="both"/>
        <w:spacing w:after="0" w:line="295" w:lineRule="auto"/>
        <w:rPr>
          <w:sz w:val="20"/>
          <w:szCs w:val="20"/>
          <w:color w:val="auto"/>
        </w:rPr>
      </w:pPr>
      <w:r>
        <w:rPr>
          <w:rFonts w:ascii="Arial" w:cs="Arial" w:eastAsia="Arial" w:hAnsi="Arial"/>
          <w:sz w:val="16"/>
          <w:szCs w:val="16"/>
          <w:color w:val="auto"/>
        </w:rPr>
        <w:t>5.0 million shares. In addition, the number of shares reserved for issuance under the ESPP is subject to an annual increase on the first day of each calendar year beginning on January 1, 2021 and ending on and including January 1, 2030, in an amount equal to the lesser of (i) 1% of the total number of shares of capital stock outstanding on December 31st of the preceding year and (ii) 7.5 million shares of Class A common stock. Our board of directors may act prior to January 1st of a given year to provide that the increase for such year will be a lesser number of shares of Class A common stock.</w:t>
      </w:r>
    </w:p>
    <w:p>
      <w:pPr>
        <w:spacing w:after="0" w:line="10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November 2020, we acquired a shell insurance company for $22.8 million, which included cash, cash equivalents, and accrued investment income of $14.4 million and insurance license indefinite-lived intangibles of $8.4 million. This acquisition will expand our ability to sell personal auto insurance in 48 states and the District of Columbia.</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Subsequent events have been evaluated through December 2, 2020, which is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324"/>
        <w:spacing w:after="0" w:line="25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 Q and our audited consolidated financial statements and the related notes and the discussion under the heading “Management’s Discussion and Analysis of Financial Condition and Results of Operations” for the fiscal year ended December 31, 2019 included in the Final Prospectus for our initial public offering, or our IPO, dated as of October 27, 2020 and filed with the Securities and Exchange Commission, or the SEC, pursuant to Rule 424(b)(4) on October 29, 2020.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Root is a technology company revolutionizing personal insurance with a pricing model based upon fairness and a modern customer experience.</w:t>
      </w:r>
    </w:p>
    <w:p>
      <w:pPr>
        <w:spacing w:after="0" w:line="183"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We believe the $266 billion U.S. auto insurance market is ripe for disruption. 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Our strategy has also established the technological foundation for an enterprise software offering, diversifying our revenue streams over time.</w:t>
      </w:r>
    </w:p>
    <w:p>
      <w:pPr>
        <w:spacing w:after="0" w:line="11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Root advantage is derived from our unique ability to segment individual risk based on complex behavioral data, a customer experience built for ease of use and a product offering made possible with our full-stack insurance structure, all uniquely integrated into a single cloud-based technology platform that captures the entire insurance value chain – from customer acquisition to underwriting to claims and administration to ongoing customer engagement.</w:t>
      </w:r>
    </w:p>
    <w:p>
      <w:pPr>
        <w:spacing w:after="0" w:line="133" w:lineRule="exact"/>
        <w:rPr>
          <w:sz w:val="20"/>
          <w:szCs w:val="20"/>
          <w:color w:val="auto"/>
        </w:rPr>
      </w:pPr>
    </w:p>
    <w:p>
      <w:pPr>
        <w:ind w:left="660" w:right="4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Behavioral Data and Proprietary Telematics. </w:t>
      </w:r>
      <w:r>
        <w:rPr>
          <w:rFonts w:ascii="Arial" w:cs="Arial" w:eastAsia="Arial" w:hAnsi="Arial"/>
          <w:sz w:val="18"/>
          <w:szCs w:val="18"/>
          <w:color w:val="auto"/>
        </w:rPr>
        <w:t>Today, our core product is automobile insurance, and we believe we are the only P&amp;C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carrier with a scaled proprietary telematics solution designed to price an entire book of business. By collecting and synthesizing massive amounts of rich, sensory behavioral data across thousands of driving variables, including distracted driving, we strive to price based more on causality than correlation. This allows us to price our customers’ policies more fairly—and in turn they pay premiums commensurate with their individual risk profile.</w:t>
      </w:r>
    </w:p>
    <w:p>
      <w:pPr>
        <w:spacing w:after="0" w:line="133"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Root Customer Experience. </w:t>
      </w:r>
      <w:r>
        <w:rPr>
          <w:rFonts w:ascii="Arial" w:cs="Arial" w:eastAsia="Arial" w:hAnsi="Arial"/>
          <w:sz w:val="18"/>
          <w:szCs w:val="18"/>
          <w:color w:val="auto"/>
        </w:rPr>
        <w:t>Our mobile-first customer experience is designed to make insurance simple. Our customers can on-board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mobile phone in as little as 47 seconds, without touching their keyboard. Our customers can manage policy adjustments digitally, including through intelligent chat functions.</w:t>
      </w:r>
    </w:p>
    <w:p>
      <w:pPr>
        <w:spacing w:after="0" w:line="129"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Full-Stack Insurance Structure. </w:t>
      </w:r>
      <w:r>
        <w:rPr>
          <w:rFonts w:ascii="Arial" w:cs="Arial" w:eastAsia="Arial" w:hAnsi="Arial"/>
          <w:sz w:val="18"/>
          <w:szCs w:val="18"/>
          <w:color w:val="auto"/>
        </w:rPr>
        <w:t>We are a full-stack insurance carrier, which affords us complete autonomy with regards to the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features differentiating our product as well as our pace of innovation. We own and control nearly every aspect of policy design, origination, underwriting, claims and back-end processing, which enables us to iterate constantly and move quickly devoid of major third-party dependencies and inefficiencies. Additionally, we have the flexibility to adjust our use of reinsurance in response to market conditions, optimizing to a “capital-light” business model. We are licensed in 36 states.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launch, our model has delivered rapid growth and continuously improving operating results. Our DWP grew to $471.1 million for the nine months ended September 30, 2020 from $307.4 million for the same period in 2019. For the three months ended September 30, 2020, our DWP was $164.6 million compared to $119.6 million for the same period in 2019. Our revenue was $295.9 million and $183.7 million and our net losses were $229.7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and $197.2 million for the nine months ended September 30, 2020, and 2019, respectively. For the three months ended September 30, 2020, and 2019, our revenue was $50.5 million and $79.6 million while our net losses were $85.2 million and $100.2 million, respectively. See the section titled “Management's Discussion and Analysis of Financial Condition and Results of Operations — Components of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75"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In October 2020,we completed our initial public offering of common stock, or IPO, which resulted in the issuance and sale of 24.2 million shares of common stock at the IPO price of $27.00, Concurrently, we issued and sold 18.5 million shares of our Class A common stock in private placements. We received net proceeds of $1.1 billion after deducting certain underwriting discounts and commissions and other offering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December 2019, COVID-19 was first reported in Wuhan, China and in March 2020, the World Health Organization declared a global pandemic. The global pandemic has severely impacted businesses worldwide, including within the insurance industry. We have been impacted by certain individual state bulletins that outline COVID-19 premium relief efforts, including restrictions on the ability to cancel policies for non-payment, requiring deferral of insurance premium payments for up to 60 days and restrictions on increasing policy premiums. COVID-19 has impacted and may further impact the broader economic environment, including negatively impacting unemployment levels, economic growth, the proper functioning of financial and capital markets and interest rates. As the COVID-19 pandemic continues to persist, there is uncertainty around the severity and duration of the pandemic and the pandemic’s potential change on our business and our financial performance. See the section titled “Risk Factors” for more details.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Comprehensive Reinsurance</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While third party quota share reinsurance has been core to our strategy since inception, beginning on July 1, 2020, we increased our use of third-party quota share reinsurance with the implementation of a staggered multi-treaty approach to our program.</w:t>
      </w:r>
    </w:p>
    <w:p>
      <w:pPr>
        <w:spacing w:after="0" w:line="19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With the effective July 1, 2020 quota share treaty in place, our reinsurance program proceeds with an initial two percent cession of direct earned premium to satisfy catastrophe and excess of loss treaties. From the remaining 98% of total direct earned premiums we quota share approximately 70% to third-party reinsurers with a sequence of inception and maturity dates, and the majority of the ceded premiums covered on a cohort basis for four year duration. From the 30% retained net of catastrophe and excess of loss, we cede one percent to our stop loss insurer to provide frequency protection across the net retained book. Of this retained net earned premium, approximately half is ceded to our Cayman captive reinsurance subsidiary, Root Re, and half remain in the domestic insurance entity. We believe this comprehensive reinsurance program delivers optimal capital efficiency given our current level of scale. We may alter components of the program from time to time as market conditions for reinsurance or our own internal business changes.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generate revenue primarily from the sale of auto insurance policies within the United States and to a lesser extent from the sale of renters insurance policies. We have agency operations that generate commission revenue by selling homeowners insurance policies on behalf of a third-party insurance company. We also generate revenue through fee income from our customers paying on installment and from net investment income earned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Investment Income</w:t>
      </w:r>
    </w:p>
    <w:p>
      <w:pPr>
        <w:spacing w:after="0" w:line="17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Net investment income represents interest earned from our fixed maturity and short-term investments and cash and cash equivalents less investment expenses. Net investment income is directly correlated with the overall size of our investment portfolio and with the market level of interest rates. Net investment income will vary with both the size of our investment portfolio and the investment strategy.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 Income</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For those policyholders who pay premiums on an installment basis, we charge a flat fee for each installment related to the additional administrative costs associated with processing more frequent billing. In addition, we have agency operations that generate commission revenues by selling a policy to a customer on behalf of a third-party insurance company.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operating expenses consist of loss and loss adjustment expenses, sales and marketing, other insurance expense, technology and development, and general and administrative expenses.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Loss and loss adjustment expenses, or LAE, include an amount determined using adjuster determined case-base estimates for reported claims and actuarial determined unpaid claim estimates using past experience and historical emergence patterns for unreported losses and loss adjustment expenses. These reserves are a liability established to cover the estimated ultimate cost to settle insured losses. The unpaid loss reserve estimates consider loss trends, mix of business, and other risk factors impacting claims settlement. The method used to estimate unpaid LAE reserves is based on claims transaction data, including the relative cost of adjusting and settling a range of claim types from express material damage claims to more complex injury cases.</w:t>
      </w:r>
    </w:p>
    <w:p>
      <w:pPr>
        <w:spacing w:after="0" w:line="10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5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Various other expenses incurred during claims processing are allocated to Loss and LAE. These amounts include claims salaries, health benefits, bonuses, employee retirement plan related expenses and share-based compensation expense, or Personnel Costs; software expense; internally developed software amortization; and overhead allocated based on headcount, or Overhead.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Sales and marketing includes spend related to performance and partnership channels, channel media, advertising, branding, public relations, consumer insights and referral fees. These expenses also include related Personnel Costs and Overhead. We incur sales and marketing activities for all product offerings including our newly introduced Enterprise product. Sales and marketing are expensed as incurred.</w:t>
      </w:r>
    </w:p>
    <w:p>
      <w:pPr>
        <w:spacing w:after="0" w:line="1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plan to continue investing in marketing to attract and acquire new customers, increase our brand awareness, and expand our Enterprise product offering. We expect that sales and marketing will increase in absolute dollars in future periods and vary from period-to-period as a percentage of revenue in the near-term. We expect that, in the long-term, our sales and marketing will decrease as a percentage of revenue as the proportion of renewals to our total business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Insurance Expense</w:t>
      </w:r>
    </w:p>
    <w:p>
      <w:pPr>
        <w:spacing w:after="0" w:line="17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Other insurance expense includes underwriting expenses, credit card and policy processing expenses, premium write-offs, insurance license expenses, and Personnel Costs and Overhead related to actuarial and certain data science activities. Other insurance expense also includes amortization of deferred acquisition costs like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Technology and development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144"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General and administrative expenses primarily relate to external professional service expenses; Personnel Costs and Overhead for corporate functions; and depreciation expense for computers, furniture and other fixed assets. General and administrative expenses are expensed as incurred.</w:t>
      </w:r>
    </w:p>
    <w:p>
      <w:pPr>
        <w:spacing w:after="0" w:line="1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expect general and administrative expenses to continue to increase in the near term, both in absolute dollars and as a percentage of total revenue, and then decrease as a percentage of revenue over time.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Interest expense is not an operating expense; therefore, we include these expenses below operating expenses. Interest expense primarily relates to interest incurred on our long term debt; certain fees that are expensed as incurred; and the amortization of debt issuance costs, and the issuance of warrants. In addition, changes in the fair value of warrant liabilities that are associated with our long term debt and changes in the fair value of our former Simple Agreement for Future Equity, or SAFE,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 for additional information regarding our use of adjusted gross profit/(loss) and its reconciliation to the most comparable GAAP measures.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Nine Months Ended September 30,</w:t>
            </w:r>
          </w:p>
        </w:tc>
      </w:tr>
      <w:tr>
        <w:trPr>
          <w:trHeight w:val="190"/>
        </w:trPr>
        <w:tc>
          <w:tcPr>
            <w:tcW w:w="4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6"/>
        </w:trPr>
        <w:tc>
          <w:tcPr>
            <w:tcW w:w="4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2"/>
              </w:rPr>
              <w:t>(dollars in millions, except Premiums per Policy)</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 Force</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4400" w:type="dxa"/>
            <w:vAlign w:val="bottom"/>
          </w:tcPr>
          <w:p>
            <w:pPr>
              <w:ind w:left="240"/>
              <w:spacing w:after="0"/>
              <w:rPr>
                <w:sz w:val="20"/>
                <w:szCs w:val="20"/>
                <w:color w:val="auto"/>
              </w:rPr>
            </w:pPr>
            <w:r>
              <w:rPr>
                <w:rFonts w:ascii="Arial" w:cs="Arial" w:eastAsia="Arial" w:hAnsi="Arial"/>
                <w:sz w:val="18"/>
                <w:szCs w:val="18"/>
                <w:color w:val="auto"/>
              </w:rPr>
              <w:t>Auto</w:t>
            </w:r>
          </w:p>
        </w:tc>
        <w:tc>
          <w:tcPr>
            <w:tcW w:w="34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322,423</w:t>
            </w:r>
          </w:p>
        </w:tc>
        <w:tc>
          <w:tcPr>
            <w:tcW w:w="200" w:type="dxa"/>
            <w:vAlign w:val="bottom"/>
          </w:tcPr>
          <w:p>
            <w:pPr>
              <w:spacing w:after="0"/>
              <w:rPr>
                <w:sz w:val="21"/>
                <w:szCs w:val="21"/>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242,631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322,423</w:t>
            </w:r>
          </w:p>
        </w:tc>
        <w:tc>
          <w:tcPr>
            <w:tcW w:w="4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242,631</w:t>
            </w:r>
          </w:p>
        </w:tc>
      </w:tr>
      <w:tr>
        <w:trPr>
          <w:trHeight w:val="26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7,367</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7,367</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825</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Premiums per Policy</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929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877</w:t>
            </w:r>
          </w:p>
        </w:tc>
      </w:tr>
      <w:tr>
        <w:trPr>
          <w:trHeight w:val="250"/>
        </w:trPr>
        <w:tc>
          <w:tcPr>
            <w:tcW w:w="4400" w:type="dxa"/>
            <w:vAlign w:val="bottom"/>
          </w:tcPr>
          <w:p>
            <w:pPr>
              <w:ind w:left="240"/>
              <w:spacing w:after="0"/>
              <w:rPr>
                <w:sz w:val="20"/>
                <w:szCs w:val="20"/>
                <w:color w:val="auto"/>
              </w:rPr>
            </w:pPr>
            <w:r>
              <w:rPr>
                <w:rFonts w:ascii="Arial" w:cs="Arial" w:eastAsia="Arial" w:hAnsi="Arial"/>
                <w:sz w:val="18"/>
                <w:szCs w:val="18"/>
                <w:color w:val="auto"/>
              </w:rPr>
              <w:t>Renters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139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139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122</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in Force</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4400" w:type="dxa"/>
            <w:vAlign w:val="bottom"/>
          </w:tcPr>
          <w:p>
            <w:pPr>
              <w:ind w:left="240"/>
              <w:spacing w:after="0"/>
              <w:rPr>
                <w:sz w:val="20"/>
                <w:szCs w:val="20"/>
                <w:color w:val="auto"/>
              </w:rPr>
            </w:pPr>
            <w:r>
              <w:rPr>
                <w:rFonts w:ascii="Arial" w:cs="Arial" w:eastAsia="Arial" w:hAnsi="Arial"/>
                <w:sz w:val="18"/>
                <w:szCs w:val="18"/>
                <w:color w:val="auto"/>
              </w:rPr>
              <w:t>Auto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599.1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599.1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425.6</w:t>
            </w:r>
          </w:p>
        </w:tc>
      </w:tr>
      <w:tr>
        <w:trPr>
          <w:trHeight w:val="26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Direct Written Premium</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164.6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471.1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307.4</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450.2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233.3</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86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ind w:left="760"/>
              <w:spacing w:after="0"/>
              <w:rPr>
                <w:sz w:val="20"/>
                <w:szCs w:val="20"/>
                <w:color w:val="auto"/>
              </w:rPr>
            </w:pPr>
            <w:r>
              <w:rPr>
                <w:rFonts w:ascii="Arial" w:cs="Arial" w:eastAsia="Arial" w:hAnsi="Arial"/>
                <w:sz w:val="18"/>
                <w:szCs w:val="18"/>
                <w:color w:val="auto"/>
              </w:rPr>
              <w:t>(7.7)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ind w:left="660"/>
              <w:spacing w:after="0"/>
              <w:rPr>
                <w:sz w:val="20"/>
                <w:szCs w:val="20"/>
                <w:color w:val="auto"/>
              </w:rPr>
            </w:pPr>
            <w:r>
              <w:rPr>
                <w:rFonts w:ascii="Arial" w:cs="Arial" w:eastAsia="Arial" w:hAnsi="Arial"/>
                <w:sz w:val="18"/>
                <w:szCs w:val="18"/>
                <w:color w:val="auto"/>
              </w:rPr>
              <w:t>(60.9)</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(45.9)%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(33.2)%</w:t>
            </w: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92"/>
              <w:spacing w:after="0"/>
              <w:rPr>
                <w:sz w:val="20"/>
                <w:szCs w:val="20"/>
                <w:color w:val="auto"/>
              </w:rPr>
            </w:pPr>
            <w:r>
              <w:rPr>
                <w:rFonts w:ascii="Arial" w:cs="Arial" w:eastAsia="Arial" w:hAnsi="Arial"/>
                <w:sz w:val="18"/>
                <w:szCs w:val="18"/>
                <w:color w:val="auto"/>
              </w:rPr>
              <w:t>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86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17.1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ind w:left="660"/>
              <w:spacing w:after="0"/>
              <w:rPr>
                <w:sz w:val="20"/>
                <w:szCs w:val="20"/>
                <w:color w:val="auto"/>
              </w:rPr>
            </w:pPr>
            <w:r>
              <w:rPr>
                <w:rFonts w:ascii="Arial" w:cs="Arial" w:eastAsia="Arial" w:hAnsi="Arial"/>
                <w:sz w:val="18"/>
                <w:szCs w:val="18"/>
                <w:color w:val="auto"/>
              </w:rPr>
              <w:t>(40.0)</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(34.2)%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(21.8)%</w:t>
            </w:r>
          </w:p>
        </w:tc>
      </w:tr>
      <w:tr>
        <w:trPr>
          <w:trHeight w:val="215"/>
        </w:trPr>
        <w:tc>
          <w:tcPr>
            <w:tcW w:w="4400" w:type="dxa"/>
            <w:vAlign w:val="bottom"/>
          </w:tcPr>
          <w:p>
            <w:pPr>
              <w:ind w:left="20"/>
              <w:spacing w:after="0"/>
              <w:rPr>
                <w:sz w:val="20"/>
                <w:szCs w:val="20"/>
                <w:color w:val="auto"/>
              </w:rPr>
            </w:pPr>
            <w:r>
              <w:rPr>
                <w:rFonts w:ascii="Arial" w:cs="Arial" w:eastAsia="Arial" w:hAnsi="Arial"/>
                <w:sz w:val="18"/>
                <w:szCs w:val="18"/>
                <w:color w:val="auto"/>
              </w:rPr>
              <w:t>Ratio of Adjusted Gross Profit/(Loss) to Direct Earned</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4400" w:type="dxa"/>
            <w:vAlign w:val="bottom"/>
          </w:tcPr>
          <w:p>
            <w:pPr>
              <w:ind w:left="180"/>
              <w:spacing w:after="0"/>
              <w:rPr>
                <w:sz w:val="20"/>
                <w:szCs w:val="20"/>
                <w:color w:val="auto"/>
              </w:rPr>
            </w:pPr>
            <w:r>
              <w:rPr>
                <w:rFonts w:ascii="Arial" w:cs="Arial" w:eastAsia="Arial" w:hAnsi="Arial"/>
                <w:sz w:val="18"/>
                <w:szCs w:val="18"/>
                <w:color w:val="auto"/>
              </w:rPr>
              <w:t>Premium</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6.3 %</w:t>
            </w:r>
          </w:p>
        </w:tc>
        <w:tc>
          <w:tcPr>
            <w:tcW w:w="200" w:type="dxa"/>
            <w:vAlign w:val="bottom"/>
          </w:tcPr>
          <w:p>
            <w:pPr>
              <w:spacing w:after="0"/>
              <w:rPr>
                <w:sz w:val="20"/>
                <w:szCs w:val="20"/>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w w:val="95"/>
              </w:rPr>
              <w:t>(27.2)%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3.8 %</w:t>
            </w:r>
          </w:p>
        </w:tc>
        <w:tc>
          <w:tcPr>
            <w:tcW w:w="440" w:type="dxa"/>
            <w:vAlign w:val="bottom"/>
          </w:tcPr>
          <w:p>
            <w:pPr>
              <w:spacing w:after="0"/>
              <w:rPr>
                <w:sz w:val="20"/>
                <w:szCs w:val="20"/>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w w:val="91"/>
              </w:rPr>
              <w:t>(17.1)%</w:t>
            </w:r>
          </w:p>
        </w:tc>
      </w:tr>
      <w:tr>
        <w:trPr>
          <w:trHeight w:val="26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Loss Ratio</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89.8 %</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103.6 %</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Direct LAE Ratio</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9.9 %</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11.4 %</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Policies in Force</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Premiums per Policy</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define premiums per policy as the ratio of direct written premium on policies in force divided by policies in force. We view premiums per policy as an important metric since the higher the premiums per policy the greater the amount of earned premium we expect from each policy.</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Premiums in Force</w:t>
      </w:r>
    </w:p>
    <w:p>
      <w:pPr>
        <w:spacing w:after="0" w:line="17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define premiums in force as premiums per policy multiplied by policies in force multiplied by two. We view premiums in force as an estimate of annualized run rate of direct written premium as of a given period. Since our auto policies are six 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Written Premium</w:t>
      </w:r>
    </w:p>
    <w:p>
      <w:pPr>
        <w:spacing w:after="0" w:line="17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define direct written premium, as the total amount of direct premium on policies that were bound during the period. We view direct written premium as an important metric because it is the metric that most closely correlates with our growth in direct earned premium. We use direct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Earned Premium</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define direct earned premium as the amount of direct premium that was earned during the period. Premiums are earned over the period in which insurance protection is provided, which is typically 6 months. We view direct earned premium as an important metric as it allows us to evaluate our growth prior to the impacts of reinsurance. It is the primary driver of our consolidated GAAP revenues. As with direct written premium, we use direct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Profit/(Loss)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define gross profit/(loss) as total revenue minus net loss and LAE expense and other insurance expense inclusive of depreciation and amortization.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view gross profit/(loss) as an important metric because we believe it is informative of the financial performance of our core insurance business.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define adjusted gross profit/(loss), a non-GAAP financial measure, as gross profit/(loss) excluding net investment income, and report costs, personnel costs, allocated overhead, licenses, professional fees and other expenses, which are included in other insurance expense.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 Non-GAAP Financial Measure” for a reconciliation of total revenue to adjusted gross profit/(loss).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Ratio of Adjusted Gross Profit/(Loss) to Direct Earned Premium</w:t>
      </w:r>
    </w:p>
    <w:p>
      <w:pPr>
        <w:spacing w:after="0" w:line="17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ratio of adjusted gross profit/(loss) to direct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 w:name="page30"/>
    <w:bookmarkEnd w:id="29"/>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underlying profitability trends with respect to our customer base. We use direct earned premium as the denominator in calculating this ratio because it reflects business volume free of elective capital efficiency choices related to our reinsurance programs.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42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6"/>
                <w:szCs w:val="16"/>
                <w:color w:val="auto"/>
              </w:rPr>
            </w:pPr>
          </w:p>
        </w:tc>
        <w:tc>
          <w:tcPr>
            <w:tcW w:w="278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4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ind w:left="28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100" w:type="dxa"/>
            <w:vAlign w:val="bottom"/>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6"/>
        </w:trPr>
        <w:tc>
          <w:tcPr>
            <w:tcW w:w="4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gridSpan w:val="2"/>
          </w:tcPr>
          <w:p>
            <w:pPr>
              <w:ind w:left="700"/>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Adjusted Gross Profit/(Loss)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(27.2)</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17.1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(40.0)</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Denominator: Total Direct Earned Premium</w:t>
            </w:r>
          </w:p>
        </w:tc>
        <w:tc>
          <w:tcPr>
            <w:tcW w:w="98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w w:val="93"/>
              </w:rPr>
              <w:t>154.4</w:t>
            </w:r>
          </w:p>
        </w:tc>
        <w:tc>
          <w:tcPr>
            <w:tcW w:w="440" w:type="dxa"/>
            <w:vAlign w:val="bottom"/>
          </w:tcPr>
          <w:p>
            <w:pPr>
              <w:spacing w:after="0"/>
              <w:rPr>
                <w:sz w:val="23"/>
                <w:szCs w:val="23"/>
                <w:color w:val="auto"/>
              </w:rPr>
            </w:pPr>
          </w:p>
        </w:tc>
        <w:tc>
          <w:tcPr>
            <w:tcW w:w="1300" w:type="dxa"/>
            <w:vAlign w:val="bottom"/>
          </w:tcPr>
          <w:p>
            <w:pPr>
              <w:ind w:left="700"/>
              <w:spacing w:after="0"/>
              <w:rPr>
                <w:sz w:val="20"/>
                <w:szCs w:val="20"/>
                <w:color w:val="auto"/>
              </w:rPr>
            </w:pPr>
            <w:r>
              <w:rPr>
                <w:rFonts w:ascii="Arial" w:cs="Arial" w:eastAsia="Arial" w:hAnsi="Arial"/>
                <w:sz w:val="18"/>
                <w:szCs w:val="18"/>
                <w:color w:val="auto"/>
              </w:rPr>
              <w:t>99.9</w:t>
            </w:r>
          </w:p>
        </w:tc>
        <w:tc>
          <w:tcPr>
            <w:tcW w:w="620" w:type="dxa"/>
            <w:vAlign w:val="bottom"/>
          </w:tcPr>
          <w:p>
            <w:pPr>
              <w:spacing w:after="0"/>
              <w:rPr>
                <w:sz w:val="23"/>
                <w:szCs w:val="23"/>
                <w:color w:val="auto"/>
              </w:rPr>
            </w:pP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450.2</w:t>
            </w:r>
          </w:p>
        </w:tc>
        <w:tc>
          <w:tcPr>
            <w:tcW w:w="440" w:type="dxa"/>
            <w:vAlign w:val="bottom"/>
          </w:tcPr>
          <w:p>
            <w:pPr>
              <w:spacing w:after="0"/>
              <w:rPr>
                <w:sz w:val="23"/>
                <w:szCs w:val="23"/>
                <w:color w:val="auto"/>
              </w:rPr>
            </w:pPr>
          </w:p>
        </w:tc>
        <w:tc>
          <w:tcPr>
            <w:tcW w:w="1240" w:type="dxa"/>
            <w:vAlign w:val="bottom"/>
          </w:tcPr>
          <w:p>
            <w:pPr>
              <w:ind w:left="620"/>
              <w:spacing w:after="0"/>
              <w:rPr>
                <w:sz w:val="20"/>
                <w:szCs w:val="20"/>
                <w:color w:val="auto"/>
              </w:rPr>
            </w:pPr>
            <w:r>
              <w:rPr>
                <w:rFonts w:ascii="Arial" w:cs="Arial" w:eastAsia="Arial" w:hAnsi="Arial"/>
                <w:sz w:val="18"/>
                <w:szCs w:val="18"/>
                <w:color w:val="auto"/>
              </w:rPr>
              <w:t>233.3</w:t>
            </w: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(27.2)%</w:t>
            </w: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(17.1)%</w:t>
            </w: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Loss Ratio</w:t>
      </w:r>
    </w:p>
    <w:p>
      <w:pPr>
        <w:spacing w:after="0" w:line="17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We define direct loss ratio expressed as a percentage, as the ratio of direct losses to direct earned premium. Direct loss ratio excludes LAE. We view direct loss ratio as an important metric because it allows us to evaluate incurred losses and LAE separately prior to the impact of reinsurance.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LAE Ratio</w:t>
      </w:r>
    </w:p>
    <w:p>
      <w:pPr>
        <w:spacing w:after="0" w:line="17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define direct LAE ratio expressed as a percentage, as the ratio of direct LAE to direct earned premium. We view direct LAE ratio as an important metric because it allows us to evaluate incurred losses and LAE separately. Currently, we do not cede any of our LAE to third-party reinsurers; therefore, we actively monitor LAE ratio as it has a direct impact on our results regardless of our reinsurance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32385</wp:posOffset>
            </wp:positionV>
            <wp:extent cx="3326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49"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32385</wp:posOffset>
            </wp:positionV>
            <wp:extent cx="33261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premiums earned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investment income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realized gains on investments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Fee income</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Loss and loss adjustment expenses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insurance (benefit) expense</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63.0 %</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777"/>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84.3 %</w:t>
            </w:r>
          </w:p>
        </w:tc>
      </w:tr>
      <w:tr>
        <w:trPr>
          <w:trHeight w:val="268"/>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-1712595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-1369695</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-1026795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-683895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-340995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6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unrealized gain on investments</w:t>
            </w: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60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N.M. - Percentage change not meaningful</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Net premiums earned decreased $30.9 million, or 40.8%, to $44.9 million for the three months ended September 30, 2020 compared to the same period ended in 2019. The decrease was primarily due to higher cessions of earned premium as a result of a change in third-party reinsurance structure, partially offset by growth in direct earned premium.</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During the three months ended September 30, 2020 and September 30, 2019, we ceded approximately 70.9% and 24.1%, respectively, of direct earned premiums to third-party reinsurers. The change in ceding percentage was driven by a new quota share reinsurance treaty that became effective on July 1, 2020.</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4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following table presents direct written premium, ceded written premium, net written premium, direct earned premium, ceded earned premium and net earned premium for the three months ended September 30, 2020 and 2019:</w:t>
      </w: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Three Months Ended September 30,</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(dollars in millions)</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written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1127.9 %</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57"/>
        </w:trPr>
        <w:tc>
          <w:tcPr>
            <w:tcW w:w="6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54.6 %</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354.4 %</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Direct earned premium growth was primarily due to a 33% increase in net added policies in force driven by increased market share in served U.S. states and expansion of our U.S. state footprint. Since September 30, 2019, we began writing auto insurance policies in four additional U.S. States. We also saw a 6% increase in premium per policy for automobile insurance primary resulting from pricing increases in several U.S. states.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Loss and LAE decreased $24.8 million, or 24.6%, to $76.1 million for the three months ended September 30, 2020 compared to the same period ended in 2019. The decrease was primarily due to higher cessions of incurred losses as a result of a change in third-party reinsurance structure which was offset by increased claims and reserves in congruence with the growth of policies in force. Direct accident period loss ratios were 85% and 101% for the three months ended September 30, 2020 and 2019, respectively. This improvement between the periods is primarily attributable to deployment of improved and additional underwriting and rating criteria for the three months ended September 30, 2020 compared to the same period ended in 2019.</w:t>
      </w:r>
    </w:p>
    <w:p>
      <w:pPr>
        <w:spacing w:after="0" w:line="10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loss and LAE for the three months ended September 30, 2020 includes an increase to held reserves for accident periods prior to July 2020 of $7.0 million, before reinsurance, and net of subrogation and salvage anticipated recoveries. Substantially all of this increase to held reserves relates to accident years 2019 and prior as a result of a change in estimate. The adjustments recorded in the three month period ended September 30, 2020 were necessary in order to effectuate management’s best estimate for determining the estimated ultimate cost of settling claims using our knowledge and experience about past and current events and developments.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Sales and marketing increased $2.5 million, or 7.3%, to $36.9 million for the three months ended September 30, 2020 compared to the same period ended in 2019. The increase was primarily due to increased investment in digital and partnership marketing channels to support growth.</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Insurance (Benefit) Expense</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Other insurance expense decreased $41.5 million, or 273.0%, to a benefit of $26.3 million for the three months ended September 30, 2020 compared to the same period ended in 2019. The decrease was primarily due to higher ceding commission contra-expense of $49.2 million related to our increased use of third-party quota share reinsurance compared to $3.1 million of ceding commission contra-expense net of sliding scale commission expense for the three months ended September 30, 2019. Under the new quota share reinsurance agreement effective July 1, 2020, which is on a loss occurring basis, we recognized ceding commissions under the agreement in proportion to the recognition of the direct written premiums during the quarter, including the remaining unearned premiums on ceded policies at the inception of the agreement. This was partially offset by a $3.2 million increase in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taxes driven by growth in direct written premiums and a $0.7 million increase in payment processing fee expense from collected premiums.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Technology and development increased $5.9 million, or 84.3%, to $12.9 million for the three months ended September 30, 2020 compared to the same period ended in 2019. This was primarily driven by a $4.4 million increase in personnel costs, including stock-based compensation expense between the periods as headcount grew among the engineering and product teams. In addition, we incurred an $1.5 million increase in external software and amortization of internally developed software expense during the three months ended September 30, 2020 compared to the same period in 2019, as we continued to invest in developing and improving our technology platforms and infrastructure.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General and administrative increased $7.6 million, or 84.4%, to $16.6 million for the three months ended September 30, 2020 compared to the same period ended in 2019. This was primarily driven by a $5.1 million increase in legal and other professional costs and an $2.4 million increase in personnel and overhead cost across finance, legal, and administrative teams to support our overall growth and expanded compliance initiatives.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Interest expense increased $6.2 million, or 46.6%, to $19.5 million for the three months ended September 30, 2020 compared to the same period ended in 2019. The increase was primarily due to the warrant fair value adjustment of $13.7 million. In addition, there was a $3.7 million increase in payment-in-kind, or PIK, interest expense net of interest paid, debt issuance cost and discount amortization as a result of higher outstanding debt at higher average interest rates during the three months ended September 30, 2020 compared to the same period in 2019. This was partially offset by a $11.2 million SAFE instrument fair value adjustment recognized during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32385</wp:posOffset>
            </wp:positionV>
            <wp:extent cx="33261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9"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32385</wp:posOffset>
            </wp:positionV>
            <wp:extent cx="33261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premiums earned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investment income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realized gains on investments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Fee income</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Loss and loss adjustment expenses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insurance expense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53.6 %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61.1 %</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777"/>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44.1 %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161.0 %</w:t>
            </w:r>
          </w:p>
        </w:tc>
      </w:tr>
      <w:tr>
        <w:trPr>
          <w:trHeight w:val="268"/>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-1712595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-1369695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-1026795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-683895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-340995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6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106.9 %</w:t>
            </w:r>
          </w:p>
        </w:tc>
        <w:tc>
          <w:tcPr>
            <w:tcW w:w="0" w:type="dxa"/>
            <w:vAlign w:val="bottom"/>
          </w:tcPr>
          <w:p>
            <w:pPr>
              <w:spacing w:after="0"/>
              <w:rPr>
                <w:sz w:val="1"/>
                <w:szCs w:val="1"/>
                <w:color w:val="auto"/>
              </w:rPr>
            </w:pPr>
          </w:p>
        </w:tc>
      </w:tr>
      <w:tr>
        <w:trPr>
          <w:trHeight w:val="236"/>
        </w:trPr>
        <w:tc>
          <w:tcPr>
            <w:tcW w:w="60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unrealized gain on investments</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525.0 %</w:t>
            </w:r>
          </w:p>
        </w:tc>
        <w:tc>
          <w:tcPr>
            <w:tcW w:w="0" w:type="dxa"/>
            <w:vAlign w:val="bottom"/>
          </w:tcPr>
          <w:p>
            <w:pPr>
              <w:spacing w:after="0"/>
              <w:rPr>
                <w:sz w:val="1"/>
                <w:szCs w:val="1"/>
                <w:color w:val="auto"/>
              </w:rPr>
            </w:pPr>
          </w:p>
        </w:tc>
      </w:tr>
      <w:tr>
        <w:trPr>
          <w:trHeight w:val="263"/>
        </w:trPr>
        <w:tc>
          <w:tcPr>
            <w:tcW w:w="60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N.M. - Percentage change not meaningful</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Net premiums earned increased $104.0 million, or 59.6%, to $278.4 million for the nine months ended September 30, 2020, compared to the same period ended in 2019. The increase was primarily due to growth in direct earned premium net of higher cessions of direct earned premium as a result of a change in third-party reinsurance structure.</w:t>
      </w:r>
    </w:p>
    <w:p>
      <w:pPr>
        <w:spacing w:after="0" w:line="13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During the nine months ended September 30, 2020 and September 30, 2019, we ceded approximately 38.2% and 25.2% of our direct earned premiums to third-party reinsurers, respectively. The change in ceding percentage was driven by a new quota share reinsurance treaty that became effective on July 1, 2020.</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4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following table presents direct written premium, ceded written premium, net written premium, direct earned premium, ceded earned premium and net earned premium for the nine months ended September 30,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written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471.1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1"/>
              </w:rPr>
              <w:t>(274.7)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3"/>
              </w:rPr>
              <w:t>(65.1)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322.0 %</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196.4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450.2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93.0 %</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1"/>
                <w:szCs w:val="21"/>
                <w:color w:val="auto"/>
              </w:rPr>
            </w:pPr>
          </w:p>
        </w:tc>
        <w:tc>
          <w:tcPr>
            <w:tcW w:w="920" w:type="dxa"/>
            <w:vAlign w:val="bottom"/>
          </w:tcPr>
          <w:p>
            <w:pPr>
              <w:jc w:val="center"/>
              <w:ind w:left="273"/>
              <w:spacing w:after="0"/>
              <w:rPr>
                <w:sz w:val="20"/>
                <w:szCs w:val="20"/>
                <w:color w:val="auto"/>
              </w:rPr>
            </w:pPr>
            <w:r>
              <w:rPr>
                <w:rFonts w:ascii="Arial" w:cs="Arial" w:eastAsia="Arial" w:hAnsi="Arial"/>
                <w:sz w:val="18"/>
                <w:szCs w:val="18"/>
                <w:color w:val="auto"/>
                <w:w w:val="91"/>
              </w:rPr>
              <w:t>(171.8)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w w:val="93"/>
              </w:rPr>
              <w:t>(58.9)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191.7 %</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278.4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59.6 %</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Direct earned premium growth was primarily due to a 53% increase in direct written premium from increased market share in served U.S. states and expansion of our U.S. state footprint. Since September 30, 2019, we began writing auto insurance policies in one additional U.S. state. We also saw a 6% increase in Premium per Policy for automobile insurance primarily resulting from pricing increases in several U.S. states.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 Income</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Fee income increased $6.5 million, or 100.0%, to $13.0 million for the nine months ended September 30, 2020 compared to the same period ended in 2019. The increase was primarily due to increased customer volumes and an increase in customers paying in installments.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Loss and LAE increased $92.8 million, or 44.1%, to $303.3 million for the nine months ended September 30, 2020 compared to the same period ended in 2019. The increase was primarily due to higher claims volume and reserves related to the growth in policies in force, net of higher cessions of incurred losses as a result of a change in third-party reinsurance structure. Direct accident period loss ratios were 78% and 105% for the nine months ended September 30, 2020 and 2019, respectively. This decline was driven by deployment of improved and additional underwriting and rating criteria as well as a decrease in our customers driving in the second quarter of 2020 as a result of COVID-19.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loss and LAE for the nine months ended September 30, 2020 includes an increase to held reserves for prior accident periods of</w:t>
      </w:r>
    </w:p>
    <w:p>
      <w:pPr>
        <w:spacing w:after="0" w:line="3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$21.3 million. This increase to held reserves relates to higher than expected reported losses on bodily injury and collision claims from 2019. This period also includes development of incurred losses related to prior periods accident years 2019 and prior as a result of a change in estimate. The adjustments recorded in the nine months ended September 30, 2020 were necessary in order to effectuate management’s best estimate for determining the estimated ultimate cost of settling claims using our knowledge and experience about past and current events and developments.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Sales and marketing increased $16.5 million, or 22.4%, to $90.1 million for the nine months ended September 30, 2020 compared to the same period ended in 2019. The increase was primarily due to increased investment in digital advertising and partnership marketing channels to support growth and market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Insurance Expense</w:t>
      </w:r>
    </w:p>
    <w:p>
      <w:pPr>
        <w:spacing w:after="0" w:line="17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Other insurance expense decreased $33.8 million, or 99.1%, to $0.3 million for the nine months ended September 30, 2020 compared to the same period ended in 2019. The decrease was primarily due to increased ceding commission contra-expense of $66.1 million related to our increased use of third-party quota share reinsurance compared to $5.6 million of ceding commission contra-expense net of sliding scale commission expense for the nine months ended September 30, 2019. Under the new quota share reinsurance agreement effective July 1, 2020, which is on a loss occurring basis, we recognized ceding commissions under the agreement in proportion to the recognition of the direct written premiums during the quarter, including the remaining unearned premiums on ceded policies at the inception of the agreement. The ceding commission provides for reimbursement of both direct and other periodic acquisition costs, including certain underwriting and marketing costs, and is presented as a reduction of other insurance expense. This was partially offset by a $11.3 million increase in premium write-offs, $5.2 million increase in amortization of deferred acquisition costs due to increased customer volumes, $4.6 million increase in premium taxes driven by growth in direct written premiums and a $2.8 million increase in payment processing fee expense for collected premiums between periods.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Technology and development increased $24.8 million, or 161.0%, to $40.2 million for the nine months ended September 30, 2020 compared to the same period ended in 2019. The increase was primarily driven by a $13.7 million increase in personnel and overhead costs due to headcount growth of engineering and product teams and a $5.4 million increase in share-based compensation expense related to the secondary tender offer completed in the first quarter of 2020. In addition, we incurred a $5.7 million increase in external software and amortization of internally developed software expense for the nine months ended September 30, 2020 compared to the same period ended in 2019, as we continued to invest in developing and improving our technology platforms and infrastructure.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General and administrative increased $27.4 million, or 87.3%, to $58.8 million for the nine months ended September 30, 2020 compared to the same period ended in 2019. The increase was primarily driven by a $9.7 million increase in share-based compensation expense mainly due to the secondary tender offer completed in the first quarter of 2020. In addition, a $9.0 million increase in personnel costs across finance, legal, and administrative teams as of result of an increase in headcount and a $7.5 million increase in legal and other professional costs to support our overall growth and emerging compliance initiatives.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Interest expense increased $17.0 million, or 106.9%, to $32.9 million for the nine months ended September 30, 2020 compared to the same period ended in 2019. The increase was primarily due to a $16.0 million fair value adjustment of warrants, $7.0 million increase in PIK and interest paid, and a $5.0 million increase in amortization of debt discount and debt and warrants issuance costs as a result of issuing debt and warrants during the nine months ended September 30, 2020 compared to same period ended in 2019. This was partially offset by a $11.2 million SAFE instrument fair value adjustment recognized during the nine months ended September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non-GAAP financial measure below has not been calculated in accordance with generally accepted accounting principles in the United States, or GAAP, and should be considered in addition to results prepared in accordance with GAAP and should not be considered as a substitute for, or superior to, GAAP results. In addition, adjusted gross profit/(loss) should not be construed as an indicator of our operating performance, liquidity or cash flows generated by operating, investing and financing activities, as there may be significant factors or trends that it fails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management uses this non-GAAP financial measure,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define adjusted gross profit/(loss) as gross profit/(loss) excluding net investment income, net realized gains (losses) on investments, report costs, Personnel Costs, allocated Overhead, licenses, professional fees and other expenses which are included in other insurance expense. We define the ratio of adjusted gross profit/(loss) to total revenue as adjusted gross profit/(loss) divided by total revenue. We define the ratio of adjusted gross profit/(loss) to direct earned premium as adjusted gross profit/(loss) divided by direct earned premium.</w:t>
      </w:r>
    </w:p>
    <w:p>
      <w:pPr>
        <w:spacing w:after="0" w:line="11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a reconciliation of total revenue to adjusted gross profit/(loss) for three and nine months ended September 30,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20" w:type="dxa"/>
            <w:vAlign w:val="bottom"/>
          </w:tcPr>
          <w:p>
            <w:pPr>
              <w:spacing w:after="0"/>
              <w:rPr>
                <w:sz w:val="17"/>
                <w:szCs w:val="17"/>
                <w:color w:val="auto"/>
              </w:rPr>
            </w:pPr>
          </w:p>
        </w:tc>
        <w:tc>
          <w:tcPr>
            <w:tcW w:w="346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7"/>
                <w:szCs w:val="17"/>
                <w:color w:val="auto"/>
              </w:rPr>
            </w:pPr>
          </w:p>
        </w:tc>
        <w:tc>
          <w:tcPr>
            <w:tcW w:w="27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0"/>
        </w:trPr>
        <w:tc>
          <w:tcPr>
            <w:tcW w:w="44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6"/>
        </w:trPr>
        <w:tc>
          <w:tcPr>
            <w:tcW w:w="4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295.9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183.7</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980" w:type="dxa"/>
            <w:vAlign w:val="bottom"/>
          </w:tcPr>
          <w:p>
            <w:pPr>
              <w:spacing w:after="0"/>
              <w:rPr>
                <w:sz w:val="23"/>
                <w:szCs w:val="23"/>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(76.1)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(303.3)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(210.5)</w:t>
            </w: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benefit (expense)</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(34.1)</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98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(60.9)</w:t>
            </w: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Less:</w:t>
            </w: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980" w:type="dxa"/>
            <w:vAlign w:val="bottom"/>
          </w:tcPr>
          <w:p>
            <w:pPr>
              <w:spacing w:after="0"/>
              <w:rPr>
                <w:sz w:val="23"/>
                <w:szCs w:val="23"/>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benefit (expense)</w:t>
            </w:r>
            <w:r>
              <w:rPr>
                <w:rFonts w:ascii="Arial" w:cs="Arial" w:eastAsia="Arial" w:hAnsi="Arial"/>
                <w:sz w:val="23"/>
                <w:szCs w:val="23"/>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23.7</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154.4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450.2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233.3</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5.8 %</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9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8"/>
        </w:trPr>
        <w:tc>
          <w:tcPr>
            <w:tcW w:w="4420" w:type="dxa"/>
            <w:vAlign w:val="bottom"/>
          </w:tcPr>
          <w:p>
            <w:pPr>
              <w:spacing w:after="0"/>
              <w:rPr>
                <w:sz w:val="20"/>
                <w:szCs w:val="20"/>
                <w:color w:val="auto"/>
              </w:rPr>
            </w:pPr>
            <w:r>
              <w:rPr>
                <w:rFonts w:ascii="Arial" w:cs="Arial" w:eastAsia="Arial" w:hAnsi="Arial"/>
                <w:sz w:val="18"/>
                <w:szCs w:val="18"/>
                <w:color w:val="auto"/>
              </w:rPr>
              <w:t>______________</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4"/>
          <w:szCs w:val="14"/>
          <w:color w:val="auto"/>
        </w:rPr>
        <w:t>(1) Adjustments from other insurance benefit (expense) includes report costs, personnel costs, allocated overhead, licenses, professional fees and other</w:t>
      </w:r>
      <w:r>
        <w:rPr>
          <w:rFonts w:ascii="Arial" w:cs="Arial" w:eastAsia="Arial" w:hAnsi="Arial"/>
          <w:sz w:val="17"/>
          <w:szCs w:val="17"/>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Since inception, we have financed operations primarily through sales of insurance policies and the net proceeds we have received from our issuance of preferred stock, debt, and sales of investments. As of September 30, 2020, we had $217.8 million in cash and cash equivalents, of which $79.0 million was held at Root, Inc. and outside of regulated insurance entities, and $224.5 million was held in marketable securities.</w:t>
      </w:r>
    </w:p>
    <w:p>
      <w:pPr>
        <w:spacing w:after="0" w:line="111"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Our cash and cash equivalents primarily consist of bank deposits and money market funds. Our marketable securities consist of U.S. treasury securities, municipal securities, corporate debt securities, residential and commercial mortgage-backed securities, and other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October 2020, we completed our IPO, which resulted in the issuance and sale of 24.2 million shares of common stock at the IPO price of $27.00. Concurrently, we issued and sold 18.5 million shares of our Class A common stock in private placements. We received net proceeds of $1.1 billion after deducting underwriting discounts and other offering costs. We believe that our existing cash and cash equivalents, marketable securities, cash flow from operations, along with the net proceeds from our IPO, will be sufficient to support working capital and capital expenditure requirements for at least the next 12 months.</w:t>
      </w:r>
    </w:p>
    <w:p>
      <w:pPr>
        <w:spacing w:after="0" w:line="13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are organized as a holding company, but our primary operations are conducted by our wholly-owned insurance subsidiary, Root Insurance Company, an Ohio-domiciled insurance company. The payment of dividends by our insurance subsidiary is subject to restrictions set forth in the insurance laws and regulations of the State of Ohio. To date, our insurance subsidiary has not paid any dividends and as of September 30, 2020, it was not permitted to pay any dividends to us without approval of the superintendent of the Ohio DOI.</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our insurance subsidiary’s business grows, the amount of capital we are required to maintain to satisfy our risk-based capital requirements may increase significantly. To comply with these regulations, we may be required to maintain capital in the insurance subsidiary that we would otherwise invest in our growth and operations. As of September 30, 2020, our insurance subsidiary maintained a risk-based capital level that is in excess of an amount that would require any corrective actions on our part.</w:t>
      </w:r>
    </w:p>
    <w:p>
      <w:pPr>
        <w:spacing w:after="0" w:line="133"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Our wholly-owned, Cayman Islands-based reinsurance subsidiary, Root Re, maintains a Class B(iii) insurer license under CIMA. At September 30, 2020, Root Re was subject to compliance with certain capital levels and a net earned premium to capital ratio of 8:1, which was maintained as of September 30,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2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2"/>
              </w:rPr>
              <w:t>Nine Months Ended September 30,</w:t>
            </w:r>
          </w:p>
        </w:tc>
        <w:tc>
          <w:tcPr>
            <w:tcW w:w="50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12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(72.6)</w:t>
            </w:r>
          </w:p>
        </w:tc>
      </w:tr>
      <w:tr>
        <w:trPr>
          <w:trHeight w:val="25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(103.1)</w:t>
            </w:r>
          </w:p>
        </w:tc>
        <w:tc>
          <w:tcPr>
            <w:tcW w:w="112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w w:val="93"/>
              </w:rPr>
              <w:t>(82.3)</w:t>
            </w:r>
          </w:p>
        </w:tc>
      </w:tr>
      <w:tr>
        <w:trPr>
          <w:trHeight w:val="26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443.7</w:t>
            </w:r>
          </w:p>
        </w:tc>
      </w:tr>
    </w:tbl>
    <w:p>
      <w:pPr>
        <w:spacing w:after="0" w:line="148"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Net cash used in operating activities for the nine months ended September 30, 2020 was $94.8 million compared to $72.6 million of net cash used in operating activities for the nine months ended September 30, 2019. The increase was primarily due to the volume and timing of premium receipts, claims payments and reinsurance activity as well as the non-cash impact of the tender offer, warrant fair value adjustment and bad debt expense.</w:t>
      </w:r>
    </w:p>
    <w:p>
      <w:pPr>
        <w:spacing w:after="0" w:line="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2020 was $103.1 million compared to $82.3 million of net cash used in investing activities for the nine months ended September 30, 2019. The increase was primarily due to an increase in the purchases of corporate debt securities, commercial mortgage-backed securities, residential mortgage-backed securities and other debt obligations for the nine months ended September 30, 2020 compared to nine months ended September 30, 2019.</w:t>
      </w:r>
    </w:p>
    <w:p>
      <w:pPr>
        <w:spacing w:after="0" w:line="1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2020 was $0.1 million, primarily due to proceeds from amending our Term Loan A agreement, which was offset by a partial repayment of Term Loan A. Net cash provided by financing activities for the nine months ended September 30, 2019 was $443.7 million primarily due to the proceeds from issuing preferred stock, our Term Loan A and SAFE agreements, which was partially offset by the repayment of long-term debt.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the final prospectus dated October 27, 2020, as filed with the SEC pursuant to Rule 424(b)(4) under the Securities Act of 1933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 except for the change in maturity of Term Loan A as discussed in the Financing Arrangements section below.</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Arrangements</w:t>
      </w:r>
    </w:p>
    <w:p>
      <w:pPr>
        <w:spacing w:after="0" w:line="162" w:lineRule="exact"/>
        <w:rPr>
          <w:sz w:val="20"/>
          <w:szCs w:val="20"/>
          <w:color w:val="auto"/>
        </w:rPr>
      </w:pPr>
    </w:p>
    <w:p>
      <w:pPr>
        <w:ind w:right="60" w:firstLine="324"/>
        <w:spacing w:after="0" w:line="235" w:lineRule="auto"/>
        <w:rPr>
          <w:sz w:val="20"/>
          <w:szCs w:val="20"/>
          <w:color w:val="auto"/>
        </w:rPr>
      </w:pPr>
      <w:r>
        <w:rPr>
          <w:rFonts w:ascii="Arial" w:cs="Arial" w:eastAsia="Arial" w:hAnsi="Arial"/>
          <w:sz w:val="18"/>
          <w:szCs w:val="18"/>
          <w:color w:val="auto"/>
        </w:rPr>
        <w:t>In September 2020, we amended Term Loan A to add financial institutions (Barclays, Deutsche Bank, Morgan Stanley and Wells Fargo) to the syndication, upsize the outstanding facility by $13.5 million, and extend its maturity to October 15, 2021. We also opened a $100 million revolving line of credit with members of the Term Loan A syndication.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loss adjustment expense, premium write-offs, share-based compensation, and valuation allowance on our deferred tax asset.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24" w:lineRule="exact"/>
        <w:rPr>
          <w:sz w:val="20"/>
          <w:szCs w:val="20"/>
          <w:color w:val="auto"/>
        </w:rPr>
      </w:pPr>
    </w:p>
    <w:p>
      <w:pPr>
        <w:ind w:firstLine="324"/>
        <w:spacing w:after="0" w:line="228"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our final prospectus for our IPO filed with the SEC on October 29, 2020 pursuant to Rule 424(b)(4) under the Securities Act and the notes to the unaudited interim consolidated financial statements appearing elsewhere in this Quarterly Report on Form 10-Q. During the three months ended September 30, 2020, there were no material changes to our critical accounting policies from those discussed in our final prospectus filed on October 29,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See Note 2, Summary of Significant Accounting Policies, in the Notes to the Condensed Consolidated Financial Statements - Unaudited included in this Quarterly Report on Form 10-Q for a discussion of accounting pronouncements recently adopted and recently issued accounting pronouncements not yet adopted and their potential impact to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Under the Jumpstart Our Business Startups Act of 2012</w:t>
      </w:r>
    </w:p>
    <w:p>
      <w:pPr>
        <w:spacing w:after="0" w:line="175"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We currently qualify as an “emerging growth company” under the JOBS Act. Accordingly, we are provided the option to adopt new or revised accounting guidance either (1) within the same periods as those otherwise applicable to non-emerging growth companies or (2) within the same time periods as private companies.</w:t>
      </w:r>
    </w:p>
    <w:p>
      <w:pPr>
        <w:spacing w:after="0" w:line="143"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We have elected to adopt new or revised accounting guidance within the same time period as private companies, unless, as indicated below,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9" w:name="page40"/>
    <w:bookmarkEnd w:id="3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in the quantitative and qualitative market risk disclosures included in the final prospectus dated October 27, 2020, as filed with the SEC pursuant to Rule 424(b)(4) under the Securities Act of 1933 on 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bookmarkStart w:id="40" w:name="page41"/>
    <w:bookmarkEnd w:id="4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principal executive officer and principal financial officer concluded that our disclosure controls and procedures were effective at the reasonable assurance level as of September 30, 2020.</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quarter ended September 30, 2020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42" w:name="page43"/>
    <w:bookmarkEnd w:id="4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62" w:lineRule="exact"/>
        <w:rPr>
          <w:sz w:val="20"/>
          <w:szCs w:val="20"/>
          <w:color w:val="auto"/>
        </w:rPr>
      </w:pPr>
    </w:p>
    <w:p>
      <w:pPr>
        <w:ind w:right="160" w:firstLine="324"/>
        <w:spacing w:after="0" w:line="258" w:lineRule="auto"/>
        <w:rPr>
          <w:sz w:val="20"/>
          <w:szCs w:val="20"/>
          <w:color w:val="auto"/>
        </w:rPr>
      </w:pPr>
      <w:r>
        <w:rPr>
          <w:rFonts w:ascii="Arial" w:cs="Arial" w:eastAsia="Arial" w:hAnsi="Arial"/>
          <w:sz w:val="17"/>
          <w:szCs w:val="17"/>
          <w:color w:val="auto"/>
        </w:rPr>
        <w:t>Investing in our Class A common stock involves numerous risks and uncertainties, as more fully described below. You should read these risks before you invest in our Class A common stock. In particular, risks associated with our business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history of net losses and could continue to incur substantial net losses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lose our existing customers or fail to acquire new customers.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COVID-19 pandemic has caused disruption to our operations and may negatively impact our business, key metrics, and results of operations in numerous ways that remain unpredictable.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future growth and profitability depend in part on our ability to successfully operate in an insurance industry that is highly competitive.</w:t>
      </w:r>
    </w:p>
    <w:p>
      <w:pPr>
        <w:spacing w:after="0" w:line="182" w:lineRule="exact"/>
        <w:rPr>
          <w:rFonts w:ascii="Arial" w:cs="Arial" w:eastAsia="Arial" w:hAnsi="Arial"/>
          <w:sz w:val="17"/>
          <w:szCs w:val="17"/>
          <w:color w:val="auto"/>
        </w:rPr>
      </w:pPr>
    </w:p>
    <w:p>
      <w:pPr>
        <w:ind w:left="660" w:right="2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spacing w:after="0" w:line="129"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 with them deteriorates or terminates, or due to other factors beyond our control, we may be unable to attract new customers rapidly and cost-effectively, which would adversely affect our business and results of operations.</w:t>
      </w:r>
    </w:p>
    <w:p>
      <w:pPr>
        <w:spacing w:after="0" w:line="117" w:lineRule="exact"/>
        <w:rPr>
          <w:rFonts w:ascii="Arial" w:cs="Arial" w:eastAsia="Arial" w:hAnsi="Arial"/>
          <w:sz w:val="17"/>
          <w:szCs w:val="17"/>
          <w:color w:val="auto"/>
        </w:rPr>
      </w:pPr>
    </w:p>
    <w:p>
      <w:pPr>
        <w:ind w:left="660" w:right="22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systems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69"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unable to expand our product offerings, maintain the quality of our products and levels of customer service or continue technological innovation and improvements, our prospects for future growth may be materially adversely affected.</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expansion within the United States and any future international expansion strategy will subject us to additional costs and risks, and our plans may not be successful.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technology platform may not operate properly or as we expect it to operate.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expect a number of factors to cause our results of operations to fluctuate on a quarterly and annual basis, which may make it difficult to predict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4" w:lineRule="exact"/>
        <w:rPr>
          <w:sz w:val="20"/>
          <w:szCs w:val="20"/>
          <w:color w:val="auto"/>
        </w:rPr>
      </w:pPr>
    </w:p>
    <w:p>
      <w:pPr>
        <w:ind w:left="660" w:right="100" w:hanging="328"/>
        <w:spacing w:after="0" w:line="31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subject to a full scope examination by our primary state insurance regulator, which could result in adverse examination findings and necessitate remedial actions. We are currently undergoing, but have not completed, our five-year financial examination with the Ohio Department of Insurance, which includes a specific examination of our pricing and underwriting methodologies as well as our regulatory capital.</w:t>
      </w:r>
    </w:p>
    <w:p>
      <w:pPr>
        <w:spacing w:after="0" w:line="94"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exposure to loss activity and regulation may be greater in states where we currently have most of our customers: Texas, Georgia and Kentucky. Approximately 39.2% of our gross written premium for the nine months ended September 30, 2020 originated from customers in Texas, Georgia and Kentucky.</w:t>
      </w:r>
    </w:p>
    <w:p>
      <w:pPr>
        <w:spacing w:after="0" w:line="129" w:lineRule="exact"/>
        <w:rPr>
          <w:rFonts w:ascii="Arial" w:cs="Arial" w:eastAsia="Arial" w:hAnsi="Arial"/>
          <w:sz w:val="18"/>
          <w:szCs w:val="18"/>
          <w:color w:val="auto"/>
        </w:rPr>
      </w:pPr>
    </w:p>
    <w:p>
      <w:pPr>
        <w:ind w:left="660" w:right="340" w:hanging="328"/>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69" w:lineRule="exact"/>
        <w:rPr>
          <w:rFonts w:ascii="Arial" w:cs="Arial" w:eastAsia="Arial" w:hAnsi="Arial"/>
          <w:sz w:val="16"/>
          <w:szCs w:val="16"/>
          <w:color w:val="auto"/>
        </w:rPr>
      </w:pPr>
    </w:p>
    <w:p>
      <w:pPr>
        <w:ind w:left="660" w:right="3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Reinsurance may be unavailable at current levels and prices, which may limit our ability to underwrite new policies. Furthermore, reinsurance subjects us to counterparty risk and may not be adequate to protect us against losses, which could have a material effect on our results of operations and financial condition.</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Reinsurance subjects us to risks of our reinsurers and may not be adequate to protect us against losses arising from ceded insurance, which could have a material effect on our results of operations and financial condition.</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could continue to incur substantial net losses in the future.</w:t>
      </w:r>
    </w:p>
    <w:p>
      <w:pPr>
        <w:spacing w:after="0" w:line="171"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We have incurred net losses on an annual basis since our incorporation in 2015. We incurred net losses of $69.1 million and $282.4 million for the years ended December 31, 2018 and 2019, respectively, and a net loss of $229.7 million for the nine months ended September 30, 2020. We had an accumulated loss of $385.0 million and $614.7 million as of December 31, 2019 and September 30, 2020, respectively.</w:t>
      </w:r>
    </w:p>
    <w:p>
      <w:pPr>
        <w:spacing w:after="0" w:line="11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principal driver of our losses to date is our loss ratios associated with accidents by our customers. Establishing adequate premium rates is necessary, together with investment income, if any, to generate sufficient revenue to offset losses, loss adjustments expenses, or LAE, and other costs. If we do not accurately assess the risks that we underwrite, the premiums that we charge may not be adequate to cover our losses and expenses, which would adversely affect our results of operations and our profitability. Moreover, as we continue to invest in our business, we expect expenses to continue to increase in the near term. Such expenses may occur in the areas of telematics, digital marketing, brand advertising, consumer-facing technologies, core insurance operations services and lines of insurance not presently offered by Root. These investments may not result in increased revenue or growth in our business. If we fail to manage our losses or to grow our revenue sufficiently to keep pace with our investments and other expenses, our business will be seriously harmed.</w:t>
      </w:r>
    </w:p>
    <w:p>
      <w:pPr>
        <w:spacing w:after="0" w:line="13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In addition, we will incur additional expenses to support our growth, and we will continue to incur significant expenses in connection with the repayment of the outstanding principal and accrued interest on our credit facilities, under which we had approximately $199.8 million of borrowings outstanding as of September 30, 2020. As a public company, we will also incur significant legal, accounting and other expenses that we did not incur as a private company. We may encounter unforeseen or unpredictable factors, including unforeseen operating expenses, complications or delays, which may also result in increased costs. Further, it is difficult to predict the size and growth rate of our market or demand for our services and success of current or potential future competitors. As a result, we may not achieve or maintain profitability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existing customers or fail to acquire new customers.</w:t>
      </w:r>
    </w:p>
    <w:p>
      <w:pPr>
        <w:spacing w:after="0" w:line="17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believe that growth of our business and revenue depends upon our ability to continue to grow our business in the geographic markets that we currently serve by retaining our existing customers and adding new customers in our current as well as new geographic markets. Expanding into new geographic markets takes time, requires us to navigate and comply with extensive regulations and may occur more slowly than we expect or than it has occurred in the past. If we lose customers, our value will diminish. In particular, while loss performance has improved over time as more customers renew their policies and remain policyholders for longer periods of time, a future loss of customers could lead to higher loss ratios or loss ratios that cease to decline, which would adversely impact our profitability. If we fail to remain competitive on customer experience, pricing, and insurance coverage options, our ability to grow our business may also be adversely affected. In addition, we may fail to accurately predict risk segmentation of new customers or potential customers, which could also reduce our profitability.</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While a key part of our business strategy is to retain and add customers in our existing markets, we also intend to expand our operations into new markets. In doing so, we may incur losses or otherwise fail to enter new markets successfully. Our expansion into new markets may place us in unfamiliar competitive environments and involve various risks, including competition, government regulation, the need to invest significant resources and the possibility that returns on such investments will not be achieved for several years or at all.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many factors that could negatively affect our ability to grow our customer base, including if:</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lose customers to new market entrants and/or existing competitors;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obtain regulatory approvals necessary for expansion into new markets or in relation to our products (such as underwriting and rating requirements);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website and our mobile app;</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digital platform experiences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fail to expand geographically;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fail to offer new and competitive products, provide effective updates to our existing products or keep pace with technological improvements in our industry;</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customers have difficulty installing, updating or otherwise accessing our app or website on mobile devices or web browsers as a result of actions by us or third parties;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customers are unable or unwilling to adopt or embrace new technology;</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perception emerges that purchasing insurance products online is not as effective as purchasing those products through traditional offline methods;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technical or other problems frustrate the customer experience, particularly if those problems prevent us from generating quotes or paying claims in a fast and reliable manner;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unable to address customer concerns regarding the content, privacy, and security of our digital platform.</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inability to overcome these challenges could impair our ability to attract new customers and retain existing customers, and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and products or enhance our existing products and services, satisfy our regulatory capital and surplus requirements, cover losses, improve our operating infrastructure or acquire complementary businesses and technologies. Many factors will affect our capital needs as well as their amount and timing, including our growth and profitability, regulatory requirements, market disruptions and other developments. If our present capital and surplus is insufficient to meet our current or future operating requirements, including regulatory capital and surplus requirements, or to cover losses, we may need to raise additional funds through financings or curtail our growth. We evaluate financing opportunities from time to time, and our ability to obtain financing will depend, among other things, on our development efforts, business plans and operating performance, as well as the condition of the capital markets at the time we seek financing. We cannot be certain that additional financing will be available to us on favorable terms, or at all.</w:t>
      </w:r>
    </w:p>
    <w:p>
      <w:pPr>
        <w:spacing w:after="0" w:line="14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As an insurance company, we are subject to extensive laws and regulations in every jurisdiction in which we conduct business, and any such issuances of equity or convertible debt securities to secure additional funds may be impeded by regulatory approvals or requirements imposed by such regulatory authorities if such issuances are deemed to result in a person acquiring “control” of our company under applicable insurance laws and regulations. Such regulatory requirements may require potential investors to disclose their organizational structure and detailed financial statements as well as require managing partners, directors and/or senior officers to submit biographical affidavits which may deter investment in our company.</w:t>
      </w:r>
    </w:p>
    <w:p>
      <w:pPr>
        <w:spacing w:after="0" w:line="11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Further, we are restricted by covenants in our credit agreements. These covenants restrict, among other things, our ability to incur additional debt without lender consent or grant liens over our assets, which may limit our ability to obtain additional funds. Moreover, any additional debt financing that we secure in the future could subject us to restrictive covenants relating to our capital raising activities, our ability to make certain types of investments or payments, and other financial and operational matters, which may increase the difficulty we face obtaining additional capital or pursuing business opportunities, including new product offerings and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impaired, and our business, revenue, results of operations and financial condition may be materially harmed.</w:t>
      </w:r>
    </w:p>
    <w:p>
      <w:pPr>
        <w:spacing w:after="0" w:line="1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COVID-19 pandemic has caused disruption to our operations and may negatively impact our business, key metrics, and results of operations in numerous ways that remain unpredictable.</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Our business has been and may continue to be impacted by the effects of the outbreak of the novel strain of coronavirus, or COVID-19, which was declared a global pandemic in March 2020. This pandemic and related measures taken to contain the spread of COVID-19, such as government-mandated business closures, orders to “shelter in place,” or SIPs, and travel and transportation restrictions, have negatively affected the U.S. and global economies, disrupted global supply chains, and led to unprecedented levels of unemployment. In the second quarter of 2020, our business was favorably impacted by the SIPs as our customers drove less and we had a resulting material decline in loss costs during this quarter, which have now returned to near pre-COVID-19 levels. Our business has also been impacted by certain state regulations related to COVID-19 relief efforts, including restrictions on the ability to cancel policies for non-payment, requirements to defer insurance premium payments for up to 60 days and restrictions on increasing policy premiums. We continue to assess and update our business continuity plans in the context of this pandemic, including taking steps to help keep our employees healthy and safe. The spread of COVID-19 has caused us to modify our business practices (including employee travel, employee work locations in certain cases, and cancellation of physical participation in meetings, events, and conferences), and we expect to take further actions as may be required or recommended by government authorities or as we determine are in the best interests of our employees and customers. Furthermore, COVID-19 has impacted and may further impact the broader economies of affected countries, including negatively impacting economic growth, the proper functioning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financial and capital markets, foreign currency exchange rates, and interest rates. It is possible that the pandemic will cause an economic slowdown of potentially extended duration, as well as a global recession. This could result in an increase in costs associated with claims under our policies, as well as an increase in the number of customers experiencing difficulty paying premiums, either of which could have a material adverse effect on our business and results of operations. Furthermore, due to COVID-19 causing consumers to drive less, regulators in many states are either mandating or requesting that auto insurance companies refund a portion of their premium to their policyholders to reflect the insurer’s decrease in projected loss exposure. In all of the states in which we operate, state insurance regulators have either encouraged, strongly suggested or mandated insurers to provide COVID-19-related consumer relief. Regulators in 13 states in which we operate placed a mandatory moratorium on non-pay cancellations, providing consumers grace periods ranging from 30 days to 120 days, during which premium did not need to be paid in a timely fashion. These moratoriums resulted in increases of premium write-offs from 2.8% during the quarter ended March 31, 2020 to 5.4% for the quarter ended June 30, 2020 to 2.8% for the quarter ended September 30, 2020. Premium write-offs have been immaterial to date, but could be significant in the future. These mandates and similar regulations or requests could negatively impact our ability to charge or increase premiums to adequately cover our losses and could result in continued increased premium write-offs.</w:t>
      </w:r>
    </w:p>
    <w:p>
      <w:pPr>
        <w:spacing w:after="0" w:line="19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Though we continue to monitor the COVID-19 pandemic closely, due to the speed with which it continues to develop, the global breadth of its spread, the range of governmental and community reactions thereto and the unknown timing or effectiveness of any vaccine or treatment, there is considerable uncertainty around its duration and ultimate impact. The impact of the pandemic may also exacerbate the other risks described in these Risk Factors, and additional impacts may arise that we are not currently aware of, any of which could have a material effect on us. In addition, if there is a future resurgence of COVID-19, these negative impacts on our business may be further exacerbated. As a result, the full extent of the impact of the pandemic on our overall financial and operating results, whether in the near or long term, cannot be reasonably estimated at this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and profitability depend in part on our ability to successfully operate in an insurance industry that is highly competitive.</w:t>
      </w:r>
    </w:p>
    <w:p>
      <w:pPr>
        <w:spacing w:after="0" w:line="183"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Many of our primary competitors have well-established national brands and market similar products. Our competitors include large national insurance companies as well as up-and-coming companies in the insurtech industry. Several of these established national insurance companies are larger than us and have significant competitive advantages, including better name recognition, higher financial ratings, greater resources, additional access to capital, and more types of insurance coverage to offer, such as health and life, than we currently do. Our business model and technology is also still nascent compared to the established business models of the well-established incumbents in the insurance market. In addition, the insurance industry consistently attracts well-capitalized new entrants to the market. Our future growth will depend in large part on our ability to grow our insurance business in a market in which traditional insurance companies retain certain advantages. In particular, many of our competitors offer consumers the ability to purchase multiple other types of insurance coverage and “bundle” them together into one policy and, in certain circumstances, include an umbrella liability policy for additional coverage at competitive prices. While we may in the future expand into new lines of business and offer additional products beyond automobile, renters and homeowners insurance, as we do so, we could face intense competition from traditional insurance companies that are already established in such markets. New lines of business or additional insurance products could take months to be approved by regulatory authorities or may not be approved at all. We have invested in growth strategies by utilizing unique customer value propositions, differentiated product offerings and distinctive advertising campaigns. If we are unsuccessful through these strategies in generating new business, retaining a sufficient number of customers or retaining or acquiring key relationships, our ability to maintain or increase premiums written or the ability to sell our products could be adversely impacted. Because of the competitive nature of the insurance industry, there can be no assurance that we will continue to compete effectively within our industry, or that competitive pressures will not have a material effect on our business, results of operations or financial condition.</w:t>
      </w:r>
    </w:p>
    <w:p>
      <w:pPr>
        <w:spacing w:after="0" w:line="1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telematics, mobile technology and our digital platform to collect data points that we evaluate in pricing and underwriting our insurance policies, managing claims and customer support, and improving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processes. To the extent regulators prohibit or restrict our collection or use of this data, our business could be harmed.</w:t>
      </w:r>
    </w:p>
    <w:p>
      <w:pPr>
        <w:spacing w:after="0" w:line="171"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We use telematics, mobile technology and our digital platform to collect data points that we evaluate in pricing and underwriting certain of our insurance policies, managing claims and customer support, and improving business processes. Our business model is dependent on our ability to collect driving behavior data and utilize telematics. If legislation were to restrict our ability to collect driving behavior data, it could impair our capacity to underwrite insurance cost effectively, negatively impacting our revenue and earnings. In addition, if federal, state or international regulators were to determine that the type of data we collect, the process we use for collecting this data or how we use it unfairly discriminates against a protected class of people, regulators could move to prohibit or restrict our collection or use of this data.</w:t>
      </w:r>
    </w:p>
    <w:p>
      <w:pPr>
        <w:spacing w:after="0" w:line="124"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Due to Proposition 103 in California, we are currently limited in our ability to use telematics data beyond miles-driven to underwrite insurance, including data on how the car is driven. This has significantly hindered our ability to offer cost-competitive insurance policies in California and could impede our ability to offer insurance policies in other states if they were to pass similar laws or regulations.</w:t>
      </w:r>
    </w:p>
    <w:p>
      <w:pPr>
        <w:spacing w:after="0" w:line="130"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Although there is currently limited federal and state legislation outside of California restricting our ability to collect driving behavior data, private organizations are implementing principles and guidelines to protect driver privacy. The Alliance of Automobile Manufacturers and Global Automakers established their Consumer Privacy Protection Principles to provide member automobile manufacturers with a framework with which to consider privacy and build privacy into their products and services while the National Automobile Dealers Association has partnered with the Future of Privacy Forum to produce consumer education guidelines that explain the kinds of information that may be collected by consumers’ cars, the guidelines that governs how it is collected and used, and the options consumers may have to protect their vehicle data. The Global Alliance for Vehicle Data Access is another organization that was formed to advocate for driver ownership of all vehicle data, particularly for insurance underwriting purposes. If federal or state legislators pass laws limiting our ability to collect driver data, particularly through driver’s smartphones, such legislation could have a material adverse effect on our business, financial condition or results of operations.</w:t>
      </w:r>
    </w:p>
    <w:p>
      <w:pPr>
        <w:spacing w:after="0" w:line="12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Some regulators have expressed interest in the use of external data sources, algorithms and/or predictive models in insurance underwriting or rating. Specifically, regulators have raised questions about the potential for unfair discrimination and lack of transparency associated with the use of external consumer data. A determination by federal or state regulators that the data points we collect and the process we use for collecting data unfairly discriminates against a protected class of people could subject us to fines and other sanctions, including, but not limited to, disciplinary action, revocation and suspension of licenses, and withdrawal of product forms. Any such event could, in turn, materially and adversely affect our business, financial condition, results of operations and prospects. Although we have implemented policies and procedures into our business operations that we feel are appropriately calibrated to our machine learning and automation-driven operations, these policies and procedures may prove inadequate to manage our use of this nascent technology, resulting in a greater likelihood of inadvertent legal or compliance failures.</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the National Association of Insurance Commissioners, or NAIC, recently announced on July 23, 2020 the formation of a new Race and Insurance Special Committee, or the Special Committee. The Special Committee is tasked with analyzing the level of diversity and inclusion within the insurance sector, identifying current practices in the insurance industry that disadvantage minorities and making recommendations to increase diversity and inclusion within the insurance sector and address practices that disadvantage minorities. The Special Committee may look into strengthening unfair discrimination laws, such as prohibiting the use of credit scores in the underwriting of auto insurance. Any new unfair discrimination legislation that would prohibit us from using data that we currently use or plan to use in the future to underwrite insurance could negatively impact our business.</w:t>
      </w:r>
    </w:p>
    <w:p>
      <w:pPr>
        <w:spacing w:after="0" w:line="11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Regulators may also require us to disclose the external data we use, algorithms and/or predictive models prior to approving our underwriting models and rates. Such disclosures could put our intellectual property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existing laws, such as the California Consumer Privacy Act, or the CCPA, future laws, and evolving attitudes about privacy protection may impair our ability to collect, use, and maintain data points of sufficient type or quantity to develop and train our algorithms. If such laws or regulations were enacted federally or in a large number of states in which we operate, it could impact the integrity and quality of our pricing and underwriting processes.</w:t>
      </w:r>
    </w:p>
    <w:p>
      <w:pPr>
        <w:spacing w:after="0" w:line="133" w:lineRule="exact"/>
        <w:rPr>
          <w:sz w:val="20"/>
          <w:szCs w:val="20"/>
          <w:color w:val="auto"/>
        </w:rPr>
      </w:pPr>
    </w:p>
    <w:p>
      <w:pPr>
        <w:ind w:right="240"/>
        <w:spacing w:after="0" w:line="327" w:lineRule="auto"/>
        <w:rPr>
          <w:sz w:val="20"/>
          <w:szCs w:val="20"/>
          <w:color w:val="auto"/>
        </w:rPr>
      </w:pPr>
      <w:r>
        <w:rPr>
          <w:rFonts w:ascii="Arial" w:cs="Arial" w:eastAsia="Arial" w:hAnsi="Arial"/>
          <w:sz w:val="15"/>
          <w:szCs w:val="15"/>
          <w:b w:val="1"/>
          <w:bCs w:val="1"/>
          <w:i w:val="1"/>
          <w:iCs w:val="1"/>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 with them deteriorates or terminates, or if other factors related to these third parties arise which are beyond our control, we may be unable to attract new customers rapidly and cost-effectively, which would adversely affect our business and results of operations.</w:t>
      </w:r>
    </w:p>
    <w:p>
      <w:pPr>
        <w:spacing w:after="0" w:line="8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success depends on our ability to attract consumers to our website and convert them into customers in a rapid and cost-effective manner through our mobile app. We depend in large part on search engines, social media platforms, digital app stores, content-based online advertising and other online sources for traffic to our website and our mobile app, which are material sources for new consumers.</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With respect to search engines, we are included in search results as a result of both paid search listings, where we purchase specific search terms that result in the inclusion of our advertisement, and free search listings, which depend on algorithms used by search engines. For paid search listings, if one or more of the search engines or other online sources on which we rely modifies or terminates its relationship with us, our expenses could rise if we have to pay a higher price for such listings or if the alternatives we find are more expensive, or we could lose consumers and traffic to our website, any of which could have a material adverse effect on our business, results of operations and financial condition. For free search listings, if search engines on which we rely for algorithmic listings modify their algorithms, our websites may appear less prominently or not at all in search results, which could result in reduced traffic to our websites, and fewer new customers.</w:t>
      </w:r>
    </w:p>
    <w:p>
      <w:pPr>
        <w:spacing w:after="0" w:line="12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ability to maintain or increase the number of consumers who purchase our products after being directed to our website or our mobile app from other digital platforms depends on many factors that are not within our control. Search engines, social media platforms and other online sources often revise their algorithms and introduce new advertising products. If one or more of the search engines or other online sources on which we rely for traffic to our website and our mobile app were to modify its general methodology for how it displays our advertisements or keyword search results, resulting in fewer consumers clicking through to our website and our mobile app, our business and operating results are likely to suffer. In addition, if our online display advertisements are no longer effective or are not able to reach certain consumers due to consumers’ use of ad-blocking software, our business and operating results could suffer.</w:t>
      </w:r>
    </w:p>
    <w:p>
      <w:pPr>
        <w:spacing w:after="0" w:line="14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or DASHBOARD, Act would mandate annual disclosure to the SEC of the type and “aggregate value” of user data used by harvesting companies, such as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 Similarly, changes to regulations applicable to the insurance brokerage and distribution business may limit our ability to rely on key distribution platforms, such as the Root API, if the third-party distribution platforms are unable to continue to distribute our insurance products without an insurance producer license pursuant to applicable insurance laws and regulations.</w:t>
      </w:r>
    </w:p>
    <w:p>
      <w:pPr>
        <w:spacing w:after="0" w:line="11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marketing of our insurance products depends on our ability to cultivate and maintain cost-effective and otherwise satisfactory relationships with digital app stores, in particular, those operated by Google and Apple. As we grow, we may struggle to maintain cost-effective marketing strategies, and our customer acquisition costs could 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substantially. Furthermore, because many of our customers access our insurance products through a mobile app, we depend on the Apple App Store and the Google Play Store to distribute our mobile app.</w:t>
      </w:r>
    </w:p>
    <w:p>
      <w:pPr>
        <w:spacing w:after="0" w:line="1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subject to the terms of service and policies governing the operating system platforms on which our mobile app runs and the application stores through which we distribute our mobile app, such as those operated by Apple and Google. These terms of service and policies govern the distribution, operation and promotion of applications on such platforms and stores. These platforms and stores have broad discretion to change and interpret their terms of service and policies in a manner that may adversely affect our business. For example, an operating system platform or application store may increase its access fees, restrict the collection of data through mobile apps that run on those platforms, restrict how that data is used and shared, and limit how mobile app publishers advertise online.</w:t>
      </w:r>
    </w:p>
    <w:p>
      <w:pPr>
        <w:spacing w:after="0" w:line="13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Additionally, limitations on our ability to collect, use or share telematics and other data derived from customer activities on smartphones, as well as new technologies that block our ability to collect, use or share such data, could significantly diminish the value of our platform and have an adverse effect on our ability to generate revenue.</w:t>
      </w:r>
    </w:p>
    <w:p>
      <w:pPr>
        <w:spacing w:after="0" w:line="130"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Limitations or blockages on our ability to collect, use or share data derived from use of our mobile app may also restrict our ability to analyze such data to facilitate our product improvement, research and development and advertising activities. For example, in June 2020, Apple announced plans to require applications using its mobile operating systems to obtain an end-user’s permission to track them or access their device’s advertising identifier for advertising and advertising measurement purposes, as well as other restrictions that could adversely affect our business.</w:t>
      </w:r>
    </w:p>
    <w:p>
      <w:pPr>
        <w:spacing w:after="0" w:line="10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we were to violate, or be perceived to have violated, the terms of service or policies of an operating system platform or application store, the provider may limit or block our access to it. It is possible that an operating system platform or application store might limit, eliminate or otherwise interfere with the distribution of our mobile app, the features we provide and the manner in which we market our mobile app, or give preferential treatment on their platforms or stores to a competitor. To the extent either of these occur, our business, results of operations and financial condition could be adversely affected.</w:t>
      </w:r>
    </w:p>
    <w:p>
      <w:pPr>
        <w:spacing w:after="0" w:line="13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Furthermore, one of the factors we use to evaluate our customer satisfaction and market position is our Apple App Store ratings. This rating, however, may not be a reliable indicator of our customer satisfaction relative to other companies who are rated on the Apple App Store since, to date, we have received a fraction of the number of reviews of some of the companies we benchmark against, and thus our number of positive reviews may not be as meaningful.</w:t>
      </w:r>
    </w:p>
    <w:p>
      <w:pPr>
        <w:spacing w:after="0" w:line="13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If we are unable to expand our product offerings, maintain the quality of our products and levels of customer service or continue technological innovation and improvements, our prospects for future growth may be materially adversely affected.</w:t>
      </w:r>
    </w:p>
    <w:p>
      <w:pPr>
        <w:spacing w:after="0" w:line="9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attract and retain customers depends, in part, on our ability to successfully expand our product offerings. For example, we introduced our renters insurance product offering in July 2019 and our homeowners’ insurance product offering in May 2020. Our success in the automobile insurance market depends on our deep understanding of this industry. To penetrate new vertical markets,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insurance regulation could limit our ability to introduce new product offerings. These new insurance products could take months to be approved by regulatory authorities, or may not be approved at all. If we fail to penetrate new vertical markets successfully, our revenue may grow at a slower rate than we anticipate, and our business, results of operations and financial condition could be materially adversely affected. In addition, our decision to expand our insurance product offerings beyond the automobile, renters and homeowners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insurance markets would subject us to additional regulatory requirements specific to those insurance products, which, in turn, could require us to incur additional costs or devote additional resources to compliance.</w:t>
      </w:r>
    </w:p>
    <w:p>
      <w:pPr>
        <w:spacing w:after="0" w:line="11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Furthermore, if we are unable to continue to provide high levels of customer service, our reputation as well as our future growth could be materially adversely affected. We must also maintain the quality of our product offerings by continuing to innovate and improve on our technology in order to continue future growth and successfully compete with other companies that are currently in, or may enter, the insurance space, or our reputation and future growth could be materially adversely affected.</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expansion within the United States and any future international expansion strategy will subject us to additional costs and risks, and our plans may not be successful.</w:t>
      </w:r>
    </w:p>
    <w:p>
      <w:pPr>
        <w:spacing w:after="0" w:line="116" w:lineRule="exact"/>
        <w:rPr>
          <w:sz w:val="20"/>
          <w:szCs w:val="20"/>
          <w:color w:val="auto"/>
        </w:rPr>
      </w:pPr>
    </w:p>
    <w:p>
      <w:pPr>
        <w:ind w:firstLine="324"/>
        <w:spacing w:after="0" w:line="266" w:lineRule="auto"/>
        <w:rPr>
          <w:sz w:val="20"/>
          <w:szCs w:val="20"/>
          <w:color w:val="auto"/>
        </w:rPr>
      </w:pPr>
      <w:r>
        <w:rPr>
          <w:rFonts w:ascii="Arial" w:cs="Arial" w:eastAsia="Arial" w:hAnsi="Arial"/>
          <w:sz w:val="16"/>
          <w:szCs w:val="16"/>
          <w:color w:val="auto"/>
        </w:rPr>
        <w:t>Our success depends in significant part on our ability to expand into additional markets in the United States and abroad. We are currently licensed in 36 states of the United States and operate in 30 of those states. We plan to have a presence in all 50 states in the near term, but cannot guarantee that we will be able to provide nationwide coverage on that timeline or at all. Moreover, one or more states could revoke our license to operate, or implement additional regulatory hurdles that could preclude or inhibit our ability to obtain or maintain our license in such states. We have applied for licenses in twelve states that have not been approved or were withdrawn. Root Insurance Company has one pending certificate of authority application with the Massachusetts Division of Insurance and has not had a license application denied by any insurance regulators. Generally, regulators in states in which our applications were withdrawn preferred that Root Insurance Company seek approval at such time that we demonstrated an underwriting profit and/or willingness to commit to a risk-based capital position greater than what has been required by the Ohio Department of Insurance. In addition to growing our domestic business, we may also seek to expand outside of the United States. If we are successful in our efforts to expand abroad,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w:t>
      </w:r>
    </w:p>
    <w:p>
      <w:pPr>
        <w:ind w:right="80" w:firstLine="324"/>
        <w:spacing w:after="0" w:line="258" w:lineRule="auto"/>
        <w:rPr>
          <w:sz w:val="20"/>
          <w:szCs w:val="20"/>
          <w:color w:val="auto"/>
        </w:rPr>
      </w:pPr>
      <w:r>
        <w:rPr>
          <w:rFonts w:ascii="Arial" w:cs="Arial" w:eastAsia="Arial" w:hAnsi="Arial"/>
          <w:sz w:val="18"/>
          <w:szCs w:val="18"/>
          <w:color w:val="auto"/>
        </w:rPr>
        <w:t>As we seek to expand in the United States and abroad, we may incur significant operating expenses, although our expansion may not be successful for a variety of reasons, including because of:</w:t>
      </w:r>
    </w:p>
    <w:p>
      <w:pPr>
        <w:spacing w:after="0" w:line="13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barriers to obtaining the required government approvals, licenses or other authorizations;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failures in identifying and entering into joint ventures with strategic partners, both domestically and internationally, or entering into joint ventures that do not produce the desired results;</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and the cost of, complying with various laws and regulatory standards, including with respect to the insurance business and insurance distribution, capital and outsourcing requirements, data privacy, tax and local regulatory restrictions;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recruiting and retaining licensed, talented and capable employees in foreign countries;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local incumbents that already own market share, better understand the local market,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demand dynamics, which may make our product offerings less successful;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exchange restrictions or costs and exchange rate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lack of experience in operating our business internationally;</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the United States, and mechanisms for enforcement of intellectual property rights in some foreign countries may be inadequate;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 as well as foreign currency exchange restrictions.</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Expansion into new markets in the United States and abroad will also require additional investments by us both in marketing and with respect to securing applicable regulatory approvals. These incremental costs may result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hiring additional personnel, from engaging third-party service providers and from incurring other research and development costs. If we invest substantial time and resources to expand our operations while our revenues from those additional operations do not exceed the expense of establishing and maintaining them, or if we are unable to manage these risks effectively, our business, results of operations and financial condition could be adversely affected. In addition, international expansion may increase our risks in complying with various laws and standards, including with respect to anti-corruption, anti-bribery, anti-money laundering, export controls, and trade and economic sanctions.</w:t>
      </w:r>
    </w:p>
    <w:p>
      <w:pPr>
        <w:spacing w:after="0" w:line="13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If we fail to grow our geographic footprint or geographic growth occurs at a slower rate than expected, our business, results of operations and financial condition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platform may not operate properly or as we expect it to operate.</w:t>
      </w:r>
    </w:p>
    <w:p>
      <w:pPr>
        <w:spacing w:after="0" w:line="1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utilize our technology platform to gather customer data in order to determine whether or not to write and how to price our insurance products. Similarly, we use our technology platform to process many of our claims. Our technology platform is expensive and complex, its continuous development, maintenance and operation may encounter unforeseen difficulties including material performance problems or undetected defects or errors. We may encounter technical obstacles, and it is possible that we may discover additional problems that prevent our technology from operating properly. If our platform does not function reliably, we may incorrectly select our customers, price insurance products for our customers or incorrectly pay or deny claims made by our customers. These errors could cause us to select an uneconomic mix of customers, encounter customer dissatisfaction, which could lead customers to cancel or fail to renew their insurance policies with us or make it less likely that prospective customers obtain new insurance policies, underprice policies or overpay claims, or incorrectly deny policyholder claims and become subject to liability. Additionally, technology platform errors may lead to unintentional bias and discrimination in the underwriting process, which could subject us to legal or regulatory liability and harm our brand and reputation. Any of these eventualities could result in a material adverse effect on our business, results of operations and financial condition.</w:t>
      </w:r>
    </w:p>
    <w:p>
      <w:pPr>
        <w:spacing w:after="0" w:line="11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While we believe our telematics-based pricing model to be more fair to consumers, it may yield results that customers find unfair. For instance, we may quote certain drivers higher premiums than our competitors, if our model determines that the driver is higher risk even though their higher-risk driving has not resulted in a claim. Such perception of unfairness could negatively impact our brand and reputation.</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Regulators may limit our ability to develop or implement our telematics-based pricing model and/or may eliminate or restrict the confidentiality of our proprietary technology.</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future success depends on our ability to continue to develop and implement our telematics-based pricing model, and to maintain the confidentiality of our proprietary technology. Changes to existing regulations, their interpretation or implementation, or new regulations could impede our use of this technology, or require that we disclose our proprietary technology to our competitors, which could negatively impact our competitive position and result in a material adverse effect on our business, results of operations, and financial condition. For example, California voters recently approved the California Privacy Rights and Enforcement Act, or the CPRA, which will become effective January 1, 2023, and which affords California residents significantly more control over their personal information, including the right to information about the logic of certain algorithmic decisions about them and the right to opt-out of such decisions, imposes heightened compliance obligations on covered businesses and establishes a new enforcement agency dedicated to consumer privacy. The CPRA mandates issuance of regulations which could require disclosure of our proprietary technology, limit the effectiveness of our products and reduce demand for them.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brand may not become as widely known or accepted as incumbents’ brands or the brand may become tarnished.</w:t>
      </w:r>
    </w:p>
    <w:p>
      <w:pPr>
        <w:spacing w:after="0" w:line="171"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Many of our competitors have brands that are well-recognized. As a relatively new entrant into the insurance market, we have spent, and expect that we will for the foreseeable future continue to spend, considerable amounts of money and other resources on creating brand awareness and building our reputation. We may not be able to build brand awareness to levels matching our competitors, and our efforts at building, maintaining and enhancing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reputation could fail and/or may not be cost-effective. Complaints or negative publicity about our business practices, our marketing and advertising campaigns (including marketing affiliations or partnerships), our compliance with applicable laws and regulations, the integrity of the data that we provide to consumers or business partners, data privacy and security issues, and other aspects of our business, whether real or perceived, could diminish confidence in our brand, which could adversely affect our reputation and business. As we expand our product offerings and enter new markets, we will need to establish our reputation with new customers, and to the extent we are not successful in creating positive impressions, our business in these newer markets could be adversely affected. While we may choose to engage in a broader marketing campaign to further promote our brand, this effort may not be successful or cost effective. If we are unable to maintain or enhance our reputation or enhance consumer awareness of our brand in a cost-effective manner, our business, results of operations and financial condition could be materially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at historical rates or achieve or maintain profitability in the future.</w:t>
      </w:r>
    </w:p>
    <w:p>
      <w:pPr>
        <w:spacing w:after="0" w:line="17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limited operating history may make it difficult to evaluate our current business and our future prospects. While our revenue has grown in recent periods, this growth rate may not be sustainable and should not be considered indicative of future performance, and 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 and our failure to capitalize on growth opportunities or the maturation of our business. We have incurred net losses on an annual basis since our inception, and may incur significant losses in the future for a number of reasons, including insufficient growth in our number of customers, a failure to retain our existing customers, and increasing competition, as well as other risks described in these Risk Factors, and we may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effectively.</w:t>
      </w:r>
    </w:p>
    <w:p>
      <w:pPr>
        <w:spacing w:after="0" w:line="17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rapid growth has placed and may continue to place significant demands on our management and our operational and financial resources. For example, we grew our employee base from 254 as of December 31, 2018 to 977 as of September 30, 2020. We have hired and expect to continue hiring additional personnel to support our rapid growth. Our organizational structure is becoming more complex as we add staff, and we will need to enhance our operational, financial and management controls as well as our reporting systems and procedures as we transition from being a private company to a public company. We will require significant capital expenditures and the allocation of valuable management resources to grow and change in these areas without undermining our corporate culture of rapid innovation, teamwork and attention to the insurance-buying experience for the customer. If we cannot manage our growth effectively to maintain the quality and efficiency of our customers’ insurance-buying experience as well as the cost-effectiveness of our insurance products, as well as their experience as ongoing customers, our business could be harmed as a result, and our results of operations and financial condition could be materially and adversely affected.</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to fluctuate on a quarterly and annual basis, which may make it difficult to predict our future performance.</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customers purchasing our insurance products and renewing their agreements with us as well as fluctuations in the timing and amount of our expenses. In addition, the insurance industry is subject to its own cyclical trends and uncertainties, including extreme weather which is often seasonal and may result in volatility in claims reporting and payment patterns. Fluctuations and variability across the industry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discussed in this “Risk Factors” section and elsewhere in this Quarterly Report on Form 10-Q, factors that may contribute to the variability of our quarterly and annual results include:</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 including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the insurance, mobile and automobile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identify and engage in joint ventures and strategic partnerships, both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71"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spacing w:after="0" w:line="4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performance largely depends on the talents and efforts of highly-skilled individuals. Our future success depends on our continuing ability to identify, hire, develop, motivate and retain highly skilled and experienced personnel and, if we are unable to hire and train a sufficient number of qualified employees for any reason, we may not be able to maintain or implement our current initiatives or grow, or our business may contract and we may lose market share. Moreover, certain of our competitors or other insurance or technology businesses may seek to hire our employees. We cannot assure you that our equity incentives and other compensation will provide adequate incentives to attract, retain and motivate employees in the future, particularly if the market price of our Class A common stock does not increase or declines. If we do not succeed in attracting, retaining and motivating highly qualified personnel, our business may be seriously harmed.</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depend on our senior management, including Alexander Timm and Dan Manges, our co-founders, and Daniel Rosenthal, our Chief Financial Officer, as well as other key personnel. We may not be able to retain the services of any of our senior management or other key personnel, as their employment is at-will and they could leave at any time. If we lose the services of one or more of our senior management and other key personnel, including as a result of the COVID-19 pandemic, we may not be able to successfully manage our business,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New legislation or legal requirements may affect how we communicate with our customers, which could have a material adverse effect on our business model, financial condition, and results of operations.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State and federal lawmakers and insurance regulators are focusing on the use of artificial intelligence broadly, including concerns about transparency, deception, and fairness in particular. Changes in laws or regulations, or changes in the interpretation of laws or regulations by a regulatory authority, specific to the use of artificial intelligence, may decrease our revenues and earnings and may require us to change the manner in which we conduct some aspects of our business. We may also be required to disclose our proprietary software to regulators, putting our intellectual property at risk, in order to receive regulatory approval to use such artificial intelligence in the underwriting of insurance and/or the payment of claims. In addition, our business and operations are subject to various U.S. federal, state, and local consumer protection laws, including laws which place restrictions on the use of automated tools and technologies to communicate with wireless telephone subscribers or consumers generally. For example, a California law, effective as of July 2019, makes it unlawful for any person to use a bot to communicate with a person in California online with the intent to mislead the other person about its artificial identity for the purpose of knowingly deceiving the person about the content of the communication in order to incentivize a purchase of goods or services in a commercial transaction. Although we have taken steps to mitigate our liability for violations of this and other laws restricting the use of electronic communication tools, no assurances can be given that we will not be exposed to civil litigation or regulatory enforcement. Further, to the extent that any changes in law or regulation further restrict the ways in which we communicate with prospective or current customers before or during onboarding, customer care, or claims management, these restrictions could result in a material reduction in our customer acquisition and retention, reducing the growth prospects of our business, and adversely affecting our financial condition and future cash flows.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Severe weather events and other catastrophes, including the effects of climate change, are inherently unpredictable and may have a material adverse effect on our financial results and financial condition.</w:t>
      </w:r>
    </w:p>
    <w:p>
      <w:pPr>
        <w:spacing w:after="0" w:line="116"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Our business may be exposed to catastrophic events such as tornadoes, tsunamis, tropical storms (including hurricanes), earthquakes, windstorms, hailstorms, severe thunderstorms, wildfires and other fires, as well as non-natural events such as explosions, riots, terrorism, or war, which could cause operating results to vary significantly from one period to the next. We may incur catastrophe losses in our business in excess of: (1) those experienced in prior years, (2) the average expected level used in pricing, (3) current reinsurance coverage limits, or (4) loss estimates from external tornado, hail, hurricane and earthquake models at various levels of probability. In addition, we are subject to claims arising from weather events such as winter storms, rain, hail and high winds. The incidence and severity of weather conditions are largely unpredictable. There is generally an increase in the frequency and severity of claims when severe weather conditions occur.</w:t>
      </w:r>
    </w:p>
    <w:p>
      <w:pPr>
        <w:spacing w:after="0" w:line="12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incidence and severity of severe weather conditions and catastrophes are inherently unpredictable and the occurrence of one catastrophe does not render the possibility of another catastrophe greater or lower. The extent of losses from a catastrophe is a function of both the total amount of insured exposure in the area affected by the event and the severity of the event. In particular, severe weather and other catastrophes could significantly increase our costs due to a surge in claims following such events and/or legal and regulatory changes in response to catastrophes that may impair our ability to limit our liability under our policies. Severe weather conditions and catastrophes can cause greater losses for us, which can cause our liquidity and financial condition to deteriorate. We carry event reinsurance coverage for severe weather events, however, very large events, or multiple large events, could exhaust the coverage limits. In addition, reinsurance placed in the market also carries some counterparty credit risk.</w:t>
      </w:r>
    </w:p>
    <w:p>
      <w:pPr>
        <w:spacing w:after="0" w:line="11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Climate change may affect the occurrence of certain natural events, such as an increase in the frequency or severity of wind and thunderstorm events, eruptions of volcanoes, and tornado or hailstorm events due to increased convection in the atmosphere; more frequent wildfires in certain geographies; higher incidence of deluge flooding and the potential for an increase in severity of hurricane events due to higher sea surface temperatures.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climate change may cause an impact on the demand, price and availability of insurance, as well as the value of our investment portfolio. Due to significant variability associated with future changing climate conditions, we are unable to predict the impact climate change will have on our business.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Denial of claims or our failure to accurately and timely pay claims could materially and adversely affect our business, financial condition, results of operations, and prospects.</w:t>
      </w:r>
    </w:p>
    <w:p>
      <w:pPr>
        <w:spacing w:after="0" w:line="11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Under the terms of our policies, we are required to accurately and timely evaluate and pay claims. Our ability to do so depends on a number of factors, including the efficacy of our claims processing, the training and experience of our claims adjusters, including our third-party claims administrators, and our ability to develop or select and implement appropriate procedures and systems to support our claims functions.</w:t>
      </w:r>
    </w:p>
    <w:p>
      <w:pPr>
        <w:spacing w:after="0" w:line="1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believe that the speed at which our technology-based claims processing platform allows us to process and pay claims is a differentiating factor for our business relative to our competitors, and an increase in the average time to process claims could lead to customer dissatisfaction and undermine our reputation and position in the insurance marketplace. If our claims adjusters or third party claims administrators are unable to effectively process our volume of claims, our ability to grow our business while maintaining high levels of customer satisfaction could be compromised, which in turn, could adversely affect our operating margins. Any failure to pay claims accurately or timely could also lead to regulatory and administrative actions or other legal proceedings and litigation against us, or result in damage to our reputation, any one of which could materially and adversely affect our business, financial condition, results of operations,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Unexpected increases in the frequency or severity of claims may adversely affect our results of operations and financial condition.</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business may experience volatility in claim frequency from time to time, and short-term trends may not continue over the longer term. Changes in claim frequency may result from changes in mix of business, miles driven, distracted driving, macroeconomic or other factors. A significant increase in claim frequency could have an adverse effect on our results of operations and financial condition.</w:t>
      </w:r>
    </w:p>
    <w:p>
      <w:pPr>
        <w:spacing w:after="0" w:line="13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Changes in bodily injury claim severity are impacted by inflation in medical costs, litigation trends and precedents, regulation and the overall safety of automobile travel. Changes in auto property damage claim severity are driven primarily by inflation in the cost to repair vehicles, including parts and labor rates, the mix of vehicles that are declared total losses, model year mix as well as used car values. While actuarial models for pricing and reserving typically include an expected level of inflation, unanticipated increases in claim severity can arise from events that are inherently difficult to predict such as inflationary shocks or surges in health care costs. Although we pursue various loss management initiatives to mitigate future increases in claim severity, there can be no assurances that these initiatives will successfully identify or reduce the effect of future increases in claim severity.</w:t>
      </w:r>
    </w:p>
    <w:p>
      <w:pPr>
        <w:spacing w:after="0" w:line="1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maintain our risk-based capital at the required levels could adversely affect our ability to maintain regulatory authority to conduct our business.</w:t>
      </w:r>
    </w:p>
    <w:p>
      <w:pPr>
        <w:spacing w:after="0" w:line="11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required to have sufficient capital and surplus in order to comply with insurance regulatory requirements, support our business operations and minimize our risk of insolvency. The NAIC has developed a system to test the adequacy of statutory capital and surplus of U.S.-based insurers, known as risk-based capital, that all states have adopted. This system establishes the minimum amount of capital and surplus necessary for an insurance company to support its overall business operations in consideration of its size and risk profile. It identifies insurers that may be inadequately capitalized by looking at certain risk factors, including asset risk, credit risk and underwriting risk with respect to the insurer’s business in order to determine an insurer’s authorized control level risk-based capital. An insurer’s risk-based capital ratio measures the relationship between its total adjusted capital and its authorized control level risk-based capital.</w:t>
      </w:r>
    </w:p>
    <w:p>
      <w:pPr>
        <w:spacing w:after="0" w:line="14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Insurers with a ratio falling below certain calculated thresholds may be subject to varying degrees of regulatory action, including heightened supervision, examination, rehabilitation or liquidation. An insurance company with total adjusted capital that is less than 200% of its authorized control level risk-based capital is at a company action level, which would require the insurance company to file a risk-based capital plan that, among other things, contains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Lower percentages trigger increasingly severe regulatory responses. In the event of a mandatory control level event (triggered when an insurer’s total adjusted capital falls below 70% of its authorized control level risk-based capital), an insurer’s primary regulator is required to take steps to place the insurer into receivership.</w:t>
      </w:r>
    </w:p>
    <w:p>
      <w:pPr>
        <w:spacing w:after="0" w:line="13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the NAIC Insurance Regulatory Information System, or the IRIS, is a collection of analytical tools designed to provide state insurance regulators with an integrated approach to screening and analyzing the financial condition of insurance companies operating in their respective states. If our ratios fall outside of the usual range for one or more ratios set forth by the IRIS for any number of reasons, it could subject us to heightened regulatory scrutiny or measures, or create investor uncertainty around the stability of our financial condition, which could harm our business. We have disclosed to the Ohio Department of Insurance, or the Ohio DOI, that certain of our ratios fall outside the usual range for one or more IRIS ratio factors. The Ohio DOI has acknowledged this and taken no regulatory action.</w:t>
      </w:r>
    </w:p>
    <w:p>
      <w:pPr>
        <w:spacing w:after="0" w:line="13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Further, the NAIC has promulgated a Model Regulation to Define Standards and Commissioner's Authority for Companies Deemed to be in Hazardous Financial Condition, or the Hazardous Financial Condition Standards, which has been adopted by states in whole or part. If our financial condition is deemed by state insurance regulators to meet the Hazardous Financial Conditions Standards, it could subject us to heightened regulatory scrutiny or measures, or create uncertainty around the stability of our financial condition, which could harm our business. The Ohio DOI has determined that our financial condition does meet certain of those standards and requires us to provide the DOI with monthly financial reports.</w:t>
      </w:r>
    </w:p>
    <w:p>
      <w:pPr>
        <w:spacing w:after="0" w:line="122"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Similarly, our wholly-owned, Cayman Islands-based captive reinsurer, Root Re, is subject to additional capital and other regulatory requirements imposed by the Cayman Islands Monetary Authority, or CIMA. Although these capital requirements are generally less constraining than U.S. capital requirements, failure to satisfy these requirements could result in regulatory actions from the CIMA or loss of or modification of Root Re’s Class B(iii) insurer license, which could adversely impact our ability to improve our overall capital efficiency and support our “capital-light” model.</w:t>
      </w:r>
    </w:p>
    <w:p>
      <w:pPr>
        <w:spacing w:after="0" w:line="103"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As a new entrant to the insurance industry, we may face additional capital and surplus requirements as compared to those of our larger and more established competitors. Failure to maintain adequate risk-based capital at the required levels could result in increasingly onerous reporting and examination requirements and could adversely affect our ability to maintain regulatory authority to conduct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assessments and other surcharges from state guaranty funds, which may reduce our profitability.</w:t>
      </w:r>
    </w:p>
    <w:p>
      <w:pPr>
        <w:spacing w:after="0" w:line="171"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We are subject to statutory property and casualty guaranty fund assessments in many states in which we do business, and during the year ended December 31, 2019, we contributed an aggregate of approximately $6,000 to such funds. The purpose of a guaranty fund is to protect customers in a particular state by requiring that solvent property and casualty insurers pay the insurance claims of insolvent insurers in such state. These guaranty associations generally pay these claims by assessing solvent insurers proportionately based on each insurer's share of voluntary premiums written in the state.</w:t>
      </w:r>
    </w:p>
    <w:p>
      <w:pPr>
        <w:spacing w:after="0" w:line="13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Maximum contributions required by law in any one year vary by state. We cannot predict with certainty the amount of future assessments because they depend on factors outside our control, such as insolvencies of other insurance companies. Significant assessments due to a rise in insurance insolvencies could have a material adverse effect on our financial condition and results of operations.</w:t>
      </w:r>
    </w:p>
    <w:p>
      <w:pPr>
        <w:spacing w:after="0" w:line="13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New or changing technologies, including those impacting personal transportation, could cause a disruption in our business model, which may materially impact our results of operations and financial condition.</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we fail to anticipate the impact on our business of changing technology, including automotive technology, our ability to successfully operate may be materially impaired. Our business could also be affected by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technological changes, such as autonomous or partially autonomous vehicles or technologies that facilitate ride, car or home sharing, or vehicles with built-in telematics features. Such changes could disrupt the demand for products from current customers, create coverage issues or impact the frequency or severity of losses, or reduce the size of the automobile insurance market, causing our business to decline. Since auto insurance constitutes substantially all of our business, we are more sensitive than other insurers and more adversely affected by trends that could decrease auto insurance rates or reduce demand for auto insurance over time. We may not be able to respond effectively to these changes, which could have a material effect on our results of operations and financial condition.</w:t>
      </w:r>
    </w:p>
    <w:p>
      <w:pPr>
        <w:spacing w:after="0" w:line="1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Security incidents, or real or perceived errors, failures or bugs in our systems, website or app could impair our operations, compromise our confidential information or our customers’ personal information, damage our reputation and brand, and harm our business and operating results.</w:t>
      </w:r>
    </w:p>
    <w:p>
      <w:pPr>
        <w:spacing w:after="0" w:line="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and mobile app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mobile app shutdowns.</w:t>
      </w:r>
    </w:p>
    <w:p>
      <w:pPr>
        <w:spacing w:after="0" w:line="14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Operating our business and products involves the collection, storage, use and transmission of sensitive, proprietary and confidential information, including personal information, pertaining to our current, prospective and past customers, employees, contractors, and business partners. The security measures we take to protect this information may be breached as a result of computer malware, viruses, social engineering, ransomware attacks, hacking and cyberattacks, including by state-sponsored and other sophisticated organizations. Such incidents have become more prevalent in recent years. For example, attempts to fraudulently induce our personnel into disclosing usernames, passwords or other information that can be used to access our systems and the information in them have increased and could be successful. Our security measures could also be compromised by our personnel, theft or errors, or be insufficient to prevent exploitation of security vulnerabilities in software or systems on which we rely. Such incidents have in the past resulted in unauthorized access to certain personal information, and may in the future result in unauthorized, unlawful or inappropriate use, destruction or disclosure of, access to, or inability to access the sensitive, proprietary and confidential information that we handle. These incidents may remain undetected for extended periods of time.</w:t>
      </w:r>
    </w:p>
    <w:p>
      <w:pPr>
        <w:spacing w:after="0" w:line="13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We rely on third-party service providers to provide critical services that help us deliver our solutions and operate our business. These providers may support or operate critical business systems for us or store or process the same sensitive, proprietary and confidential information that we handle. These service providers may not have adequate security measures and could experience a 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third-party service providers for the resulting liability we incur.</w:t>
      </w:r>
    </w:p>
    <w:p>
      <w:pPr>
        <w:spacing w:after="0" w:line="13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Because there are many different cybercrime and hacking techniques and such techniques continue to evolve, we may be unable to anticipate attempted security breaches, react in a timely manner or implement adequate preventative measures. While we have developed systems and processes designed to protect the integrity, confidentiality and security of our and our customers’ confidential and personal information under our control, we cannot assure you that any security measures that we or our third party service providers have implemented will be effective against current or future security threats.</w:t>
      </w:r>
    </w:p>
    <w:p>
      <w:pPr>
        <w:spacing w:after="0" w:line="103"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 security breach or other security incident, or the perception that one has occurred, could result in a loss of customer confidence in the security of our platform and damage our reputation and brand; reduce demand for our insurance products; disrupt normal business operations; require us to expend significant capital and resources to investigate and remedy the incident and prevent recurrence; and subject us to litigation, regulatory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action, fines, penalties, and other liability, which could adversely affect our business, financial condition and results of operations. Even if we take steps that we believe are adequate to protect us from cyber threats, hacking against our competitors or other companies in our industry could create the perception among our customers or potential customers that our digital platform is not safe to use. Security incidents could also damage our IT systems and our ability to make the financial reports and other public disclosures required of public companies. These risks are likely to increase as we continue to grow and process, store and transmit an increasingly large volume of data.</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prevent, monitor or detect fraudulent activity, including policy acquisitions or payments of claims that are fraudulent in nature.</w:t>
      </w:r>
    </w:p>
    <w:p>
      <w:pPr>
        <w:spacing w:after="0" w:line="20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If we fail to maintain adequate systems and processes to prevent, monitor and detect fraud, including fraudulent policy acquisitions or claims activity, or if inadvertent errors occur with such prevention, monitoring and detection systems due to human or computer error, our business could be materially adversely impacted. While we believe past incidents of fraudulent activity have been relatively isolated, we cannot be certain that our systems and processes will always be adequate in the face of increasingly sophisticated and ever-changing fraud schemes. We use a variety of tools to protect against fraud, but these tools may not always be successful at preventing such fraud. Instances of fraud may result in increased costs, including possible settlement and litigation expenses, and could have a material adverse effect on our business and reputation.</w:t>
      </w:r>
    </w:p>
    <w:p>
      <w:pPr>
        <w:spacing w:after="0" w:line="12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are subject to a full scope examination by our primary state insurance regulator, which could result in adverse examination findings and necessitate remedial actions.</w:t>
      </w:r>
    </w:p>
    <w:p>
      <w:pPr>
        <w:spacing w:after="0" w:line="11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Periodically, our domiciliary regulator, the Ohio DOI, performs examinations of insurance companies under its jurisdiction to assess compliance with applicable laws and regulations, financial condition and the conduct of regulated activities. We are currently undergoing, but have not completed, our five-year financial examination with the Ohio DOI, which includes a specific examination of our pricing and underwriting methodologies as well as our regulatory capital. If, as a result of this examination, the Ohio DOI determines that our financial condition, capital resources or other aspects of any of our operations are not satisfactory, or that we have violated applicable laws or regulations, the Ohio DOI may subject us to fines or other penalties and/or require us to take one or more remedial actions or otherwise subject us to regulatory scrutiny, such as pursuant to an enforcement action or, in the case of regulatory capital, require us to maintain additional capital. The results of the examinations are a matter of public record, and our reputation may also be harmed by such penalties.</w:t>
      </w:r>
    </w:p>
    <w:p>
      <w:pPr>
        <w:spacing w:after="0" w:line="138"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addition, insurance regulators of other states in which we are licensed to operate may also conduct periodic financial examinations or other targeted investigations or inquiries. We are currently subject to market conduct examinations in the states of Delaware and Virginia. Any regulatory or enforcement action or any regulatory order imposing remedial, injunctive, or other corrective action against us resulting from these examinations could have a material adverse effect on our business, reputation, financial condition or results of operations.</w:t>
      </w:r>
    </w:p>
    <w:p>
      <w:pPr>
        <w:spacing w:after="0" w:line="13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and data security laws, regulations, and standards related to data privacy and security. Our actual or perceived failure to comply with such obligations could harm our reputation, subject us to significant fines and liability, or adversely affect our business.</w:t>
      </w:r>
    </w:p>
    <w:p>
      <w:pPr>
        <w:spacing w:after="0" w:line="130"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In the United States, insurance companies are subject to the privacy provisions of the federal Gramm-Leach-Bliley Act and the NAIC Insurance Information and Privacy Protection Model Act, as adopted and implemented by certain state legislatures and insurance regulators. The regulations implementing these laws require insurance companies to disclose their privacy practices to consumers, allow them to opt-in or opt-out, depending on the state, of the sharing of certain personal information with unaffiliated third parties, and maintain certain security controls to protect their information. Violators of these laws face regulatory enforcement action, substantial civil penalties, injunctions, and in some states, private lawsuits for damages.</w:t>
      </w:r>
    </w:p>
    <w:p>
      <w:pPr>
        <w:spacing w:after="0" w:line="10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Privacy and data security regulation in the United States is rapidly evolving. For example, California recently enacted the CCPA, which became effective January 1, 2020.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certain data breaches, which is expected to increase the volume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success of class action data breach litigation. In addition to increasing our compliance costs and potential liability, the CCPA’s restrictions on “sales” of personal information may restrict our use of cookies and similar technologies for advertising purposes. The CCPA excludes information covered by Gramm-Leach-Bliley Act, the Driver’s Privacy Protection Act or the California Financial Information Privacy Act from the CCPA’s scope, but the CCPA’s definition of “personal information” is broad and may encompass other information that we maintain. Some observers have noted that the CCPA could mark the beginning of a trend toward more stringent privacy legislation in the United States, and multiple states have enacted or proposed similar laws. There is also discussion in Congress of new comprehensive federal data protection and privacy law to which we likely would be subject if it is enacted.</w:t>
      </w:r>
    </w:p>
    <w:p>
      <w:pPr>
        <w:spacing w:after="0" w:line="11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addition, with California voters recently approving the CPRA, the requirements of the CCPA itself will expand substantially. The Act gives consumers the ability to limit use of precise geolocation information and other categories of information classified as “sensitive”; add e-mail addresses and passwords to the list of personal information that, if lost or breached, would give the affected consumers the right to bring private lawsuits; increase the maximum penalties threefold for violations concerning consumers under age 16; and establish the California Privacy Protection Agency to implement and enforce the new law, as well as impose administrative fines. The effects of the CCPA, and other similar state or federal laws, are potentially significant and may require us to modify our data processing practices and policies, incur substantial compliance costs and subject us to increased potential liability.</w:t>
      </w:r>
    </w:p>
    <w:p>
      <w:pPr>
        <w:spacing w:after="0" w:line="110"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addition to privacy and data security requirements under applicable laws, we are subject to the Payment Card Industry Data Security Standard, or PCI DSS, a self-regulatory standard that requires companies that process payment card data to implement certain data security measures. If we or our payment processors fail to comply with the PCI DSS, we may incur significant fines or liability and lose access to major payment card systems. Industry groups may in the future adopt additional self-regulatory standards by which we are legally or contractually bound.</w:t>
      </w:r>
    </w:p>
    <w:p>
      <w:pPr>
        <w:spacing w:after="0" w:line="10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If we expand into Europe, we may also face particular privacy, data security, and data protection risks in connection with requirements of the General Data Protection Regulation (E.U.) 2016/679, or GDPR, and other data protection regulations. Among other stringent requirements, the GDPR restricts transfers of data outside of the E.U. to third countries deemed to lack adequate privacy protections (such as the U.S.), unless an appropriate safeguard specified by the GDPR is implemented. A July 16, 2020 decision of the Court of Justice of the European Union invalidated a key mechanism for lawful data transfer to the U.S. and called into question the viability of its primary alternative. As such, the ability of companies to lawfully transfer personal data from the E.U. to the U.S. is presently uncertain. Other countries have enacted or are considering enacting similar cross-border data transfer rules or data localization requirements. These developments could limit our ability to deliver our products in the E.U. and other foreign markets. In addition, any failure or perceived failure to comply with these rules may result in regulatory fines or penalties including orders that require us to change the way we process data.</w:t>
      </w:r>
    </w:p>
    <w:p>
      <w:pPr>
        <w:spacing w:after="0" w:line="142"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Additionally, we are subject to the terms of our privacy policies, privacy-related disclosures, and contractual and other privacy-related obligations to our customers and other third parties. Any failure or perceived failure by us or third parties we work with to comply with these policies, disclosures, and obligations to customers or other third parties, or privacy or data security laws may result in governmental or regulatory investigations, enforcement actions, regulatory fines, criminal compliance orders, litigation or public statements against us by consumer advocacy groups or others, and could cause customers to lose trust in us, all of which could be costly and have an adverse effect on our business.</w:t>
      </w:r>
    </w:p>
    <w:p>
      <w:pPr>
        <w:spacing w:after="0" w:line="12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rely on our mobile application to execute our business strategy. Government regulation of the internet and the use of mobile applications in particular is evolving, and unfavorable changes could seriously harm our business.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rely on our mobile application to execute our business strategy. We are subject to general business regulations and laws as well as federal and state regulations and laws specifically governing the internet and the use of mobile applications in particular. Existing and future laws and regulations may impede the growth of the internet or other online services, and increase the cost of providing online services. These regulations and laws may involve taxes, tariffs, privacy and data security, anti-spam, content protection, electronic contracts and communications, electronic signatures and consents, consumer protection and social media marketing. It is at times not clear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existing laws governing issues such as property ownership, sales and other taxes and consumer privacy apply to the internet and the use of mobile applications in particular, as the vast majority of these laws were adopted prior to the advent of the internet and the use of mobile applications and do not contemplate or address the unique issues raised by the internet. It is possible that general business regulations and laws, or those specifically governing the internet and the use of mobile applications in particular, may be interpreted and applied in a manner that is inconsistent from one jurisdiction to another and may conflict with other rules or our practices. We cannot be sure that our practices have complied, currently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mobile application or website by consumers and suppliers and may result in the imposition of monetary liability. We may also be contractually liable to indemnify and hold harmless third parties from the costs or consequences of non-compliance with any such laws or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services and brand.</w:t>
      </w:r>
    </w:p>
    <w:p>
      <w:pPr>
        <w:spacing w:after="0" w:line="18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trade secrets, trademarks, copyrights and other intellectual property rights are important assets for us. We rely on, and expect to continue to rely on, various agreements with our employees, independent contractors, consultants and third parties with whom we have relationships, as well as trademark, trade dress, domain name, copyright, and trade secret laws, to protect our brand and other intellectual property rights. Such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and we may fail to consistently obtain, police and enforce such agreements. Additionally, various factors outside our control pose a threat to our intellectual property rights, as well as to our products, services and technologies. For example, we may fail to obtain effective intellectual property protection, or effective intellectual property protection may not be available in every country in which our products and services are available. Also, the efforts we have taken to protect our intellectual property rights may not be sufficient or effective, and any of our intellectual property rights may be challenged, which could result in them being narrowed in scope or declared invalid or unenforceable. Despite our efforts to protect our proprietary rights, there can be no assurance our intellectual property rights will be sufficient to protect against others offering products or services that are substantially similar to ours and compete with our business or that unauthorized parties may attempt to copy aspects of our technology and use information that we consider proprietary.</w:t>
      </w:r>
    </w:p>
    <w:p>
      <w:pPr>
        <w:spacing w:after="0" w:line="11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addition to registered intellectual property rights such as trademark registrations, we rely on non-registered proprietary information and technology, such as trade secrets, confidential information, know-how and technical information. Certain information or technology that we endeavor to protect as trade secrets may not be eligible for trade secret protection in all jurisdictions, or the measures we undertake to establish and maintain such trade secret protection may be inadequate. In order to protect our proprietary information and technology, we rely in part on agreements with our employees, investors, independent contractors and other third parties that place restrictions on the use and disclosure of this intellectual property. These agreements may not adequately protect our trade secrets, these agreements may be breached, or this intellectual property, including trade secrets, may otherwise be disclosed or become known to our competitors, which could cause us to lose any competitive advantage resulting from this intellectual property. To the extent that our employees, independent contractors or other third parties with whom we do business use intellectual property owned by others in their work for us, disputes may arise as to the rights in related or resulting know-how and inventions. Current or future legal requirements may require us to disclose certain proprietary information or technology, such as our proprietary algorithms, to regulators or other third parties, including our competitors, which could impair or result in the loss of trade secret protection for such information or technology. The loss of trade secret protection could make it easier for third parties to compete with our products and services by copying functionality.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failure to obtain or maintain protection of our trade secrets or other proprietary information could harm our business, results of operations and competitive position.</w:t>
      </w:r>
    </w:p>
    <w:p>
      <w:pPr>
        <w:spacing w:after="0" w:line="11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have filed, and may continue in the future to file, applications to protect certain of our innovations and intellectual property. We do not know whether any of our applications will result in the issuance of a patent, trademark or copyright, as applicable, or whether the examination process will require us to narrow our claims or otherwise limit the scope of such intellectual property.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Because obtaining patent protection requires disclosing our inventions to the public, such disclosure may facilitate our competitors developing improvements to our innovations.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w:t>
      </w:r>
    </w:p>
    <w:p>
      <w:pPr>
        <w:spacing w:after="0" w:line="13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currently hold various domain names relating to our brand, including joinroot.com and rootinsurance.com. Failure to protect our domain names could adversely affect our reputation and brand and make it more difficult for users to find our website and our mobile app. We may be unable, without significant cost or at all, to prevent third parties from acquiring domain names that are similar to, infringe upon or otherwise decrease the value of our trademarks and other proprietary rights.</w:t>
      </w:r>
    </w:p>
    <w:p>
      <w:pPr>
        <w:spacing w:after="0" w:line="13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may be required to spend significant resources in order to monitor and protect our intellectual property rights, and some violations may be difficult or impossible to detect. Litigation to protect and enforce our intellectual property rights could be costly, time-consuming and distracting to management and could result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or harm our reputation or brand. In addition, we may be required to license additional technology from third parties to develop and market new offerings or platform features, which may not be on commercially reasonable terms or at all and could adversely affect our ability to compete.</w:t>
      </w:r>
    </w:p>
    <w:p>
      <w:pPr>
        <w:spacing w:after="0" w:line="11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Although we take measures to protect our intellectual property, if we are unable to prevent the unauthorized use or exploitation of our intellectual property, the value of our brand, content, and other intangible assets may be diminished, competitors may be able to more effectively mimic our service and methods of operations, the perception of our business and service to customers and potential customers may become confused, and our ability to attract customers may be adversely affected. Any inability or failure to protect our intellectual property could adversely impact our business, results of operations and financial condition. While we take precautions designed to protect our intellectual property, it may still be possible for competitors and other unauthorized third parties to copy our technology and use our proprietary brand, content and information to create or enhance competing solutions and services, which could adversely affect our competitive position in our rapidly evolving and highly competitive industry. Some license provisions that protect against unauthorized use, copying, transfer and disclosure of our technology may be unenforceable under the laws of certain jurisdictions and foreign countries. While we enter into confidentiality and invention assignment agreements with our employees and consultants and enter into confidentiality agreements with our third-party providers and strategic partners, we cannot assure you that these agreements will be effective in controlling access to, and use and distribution of, our products and proprietary information. Further, these agreements do not prevent our competitors from independently developing technologies that are substantially equivalent or superior to our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use open source software in our products and services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have established processes to help alleviate these risks, including a review process for screening requests from our development teams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 negative effect on our business, financial condition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their proprietary technology or other intellectual property rights could harm our business.</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Companies in the internet and technology industries are frequently subject to litigation based on allegations of infringement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From time to time, third parties may assert claims of infringement of intellectual property rights against us. Although we believe that we will likely have meritorious defenses, there can be no assurance that we will be successful in defending against these allegations or in reaching a business resolution that is satisfactory to us. Our competitors and others may now and in the future have significantly larger and more mature patent portfolios than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13"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compliance obligations arising from medical information privacy regulations.</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By processing certain personal injury data on behalf of our clients, we may be subject to compliance obligations under privacy and data security-related laws specific to the protection of healthcare or medical information. Although we may be subject to the Health Insurance Portability and Accountability Act, or HIPAA, the Health Information Technology for Economic and Clinical Health Act, or HITECH Act, and comparable state laws, we do not have a process in place to assess or align our privacy and security practices specifically against requirements for protecting medical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prevent or address the misappropriation of our data.</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From time to time, third parties may misappropriate our data through website scraping, bots or other means and aggregate this data on their websites with data from other companies. In addition, copycat websites or mobile apps may misappropriate data and attempt to imitate our brand or the functionality of our website or our mobile app. If we become aware of such websites or mobile apps, we intend to employ technological or legal measures in an attempt to halt their operations. However, we may be unable to detect all such websites or mobile apps in a timely manner and, even if we could, technological and legal measures may be insufficient to halt their operations. In some cases, particularly in the case of websites or mobile apps operating outside of the United States,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customers were to claim that the policies they purchased failed to provide adequate or appropriate coverage, we could face claims that could harm our business, results of operations and financial condition.</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Although we aim to provide adequate and appropriate coverage under each of our policies, customers could purchase policies that prove to be inadequate or inappropriate. If such customers were to bring a claim or claims alleging that we failed in our responsibilities to provide them with the type or amount of coverage that they sought to purchase, we could be found liable for amounts significantly in excess of the policy limit, resulting in an adverse effect on our business, results of operations and financial condition. While we maintain agents errors and omissions insurance coverage to protect us against such liability, such coverage may be insufficient or inadequate.</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underwrite risks accurately or charge competitive yet profitable rates to our customers, our business, results of operations and financial condition will be adversely affected.</w:t>
      </w:r>
    </w:p>
    <w:p>
      <w:pPr>
        <w:spacing w:after="0" w:line="116"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general, the premiums for our insurance policies are established at the time a policy is issued and, therefore, before all of our underlying costs are known. The accuracy of our pricing depends on our ability to adequately assess risks, estimate losses and comply with state insurance regulations. Like other insurance companies, we rely on estimates and assumptions in setting our premium rates. We also utilize the data that we gather through our interactions with our customers, as evaluated and curated by our technology-based pricing platform.</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Establishing adequate premium rates is necessary, together with investment income, if any, to generate sufficient revenue to offset losses, LAE, and other costs. If we do not accurately assess the risks that we underwrite, the premiums that we charge may not be adequate to cover our losses and expenses, which would adversely affect our results of operations and our profitability. Moreover, if we determine that our prices are too low, insurance regulations may preclude us from being able to cancel insurance contracts, non-renew customers, or raise premiums. Alternatively, we could set our premiums too high, which could reduce our competitiveness and lead to fewer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customers and lower revenues, which could have a material adverse effect on our business, results of operations and financial condition.</w:t>
      </w:r>
    </w:p>
    <w:p>
      <w:pPr>
        <w:spacing w:after="0" w:line="17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spacing w:after="0" w:line="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collect and properly analyze a substantial volume of data from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test and apply appropriate actuarial projections and rating formulas;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evaluate competitive product offerings and pricing dynamics;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closely monitor and timely recognize changes in trends;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project both frequency and severity of our customers’ losses with reasonable accuracy.</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are no assurances that we will have success in implementing our pricing methodology accurately in accordance with our assumptions. Our ability to accurately price our policies is subject to a number of risks and uncertainties, including:</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insufficient or unreliable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implement appropriate actuarial projections and rating formulas or other pricing methodologies;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incorrect or incomplete analysis of the competitive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constraints on rate increases; and</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accurately estimate investment yields and the duration of our liability for loss and loss adjustment expenses, as well as unanticipated court decisions, legislation or regulatory action.</w:t>
      </w:r>
    </w:p>
    <w:p>
      <w:pPr>
        <w:spacing w:after="0" w:line="11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To address the potential inadequacy of our current business model, we may be compelled to increase the amount allocated to cover policy claims, increase premium rates or adopt tighter underwriting standards, any of which may result in a decline in new business and renewals and, as a result,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loss activity and regulation may be greater in states where we currently have most of our customers: Texas, Georgia and Kentucky.</w:t>
      </w:r>
    </w:p>
    <w:p>
      <w:pPr>
        <w:spacing w:after="0" w:line="206"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Approximately 39.2% of our gross written premium for the nine months ended September 30, 2020 originated from customers in Texas, Georgia and Kentucky. As a result of this concentration, if a significant catastrophe event or series of catastrophe events occur, such as the recent outbreak of COVID-19, and cause material losses in Texas, Georgia or Kentucky, our business, financial condition and results of operation could be materially adversely affected. Further, as compared to our competitors who operate on a wider geographic scale, any adverse changes in the regulatory environment affecting property and casualty insurance in Texas, Georgia or Kentucky may expose us to more significant risks.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development cycles are complex and subject to regulatory approval, and we may incur significant expenses before we generate revenues, if any, from new products.</w:t>
      </w:r>
    </w:p>
    <w:p>
      <w:pPr>
        <w:spacing w:after="0" w:line="11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Because our products are highly technical and require rigorous testing and regulatory approvals, development cycles can be complex. Moreover, development projects can be technically challenging and expensive, and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delayed or defeated by the inability to obtain licensing or other regulatory approvals. The nature of these development cycles may cause us to experience delays between the time we incur expenses associated with research and development and the time we generate revenues, if any, from such expenses. If we expend a significant amount of resources on research and development and our efforts do not lead to the successful introduction or improvement of products that are competitive in the marketplace, this could materially and adversely affect our business and results of operations. Additionally, anticipated customer demand for a product we are developing could decrease after the development cycle has commenced. Such decreased customer demand may cause us to fall short of our sales targets, and we may nonetheless be unable to avoid substantial costs associated with the product’s development. If we are unable to complete product development cycles successfully and in a timely fashion and generate revenues from such future products, the growth of our business may be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From time to time, we may implement or may acquire new lines of business, including those outside of the insurance industry, or offer new products and services within existing lines of business. There are risks and uncertainties associated with these efforts, particularly in instances where the markets are not fully developed or are evolving. In developing and marketing new lines of business and new products and services, we may invest significant time and resources. In addition, new business ventures may require different strategic management competencies and risk considerations compared to those of a traditional insurance company or compared to those of our existing management team. External factors, such as regulatory compliance obligations, competitive alternatives, and shifting market preferences, may also impact the successful implementation of a new line of business or a new product or service. Failure to successfully manage these risks in the development and implementation of new lines of business or new products or services could have an adverse effect on our business, results of operations and financial condition.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Litigation and legal proceedings filed by or against us and our subsidiaries could have a material adverse effect on our business, results of operations and financial condition.</w:t>
      </w:r>
    </w:p>
    <w:p>
      <w:pPr>
        <w:spacing w:after="0" w:line="11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From time to time, we are subject to allegations, and may be party to litigation and legal proceedings relating to our business operations. Litigation and other proceedings may include complaints from or litigation by customers or reinsurers, related to alleged breaches of contract or otherwise. We expect that as our market share increases, competitors may pursue litigation to require us to change our business practices or offerings and limit our ability to compete effectively.</w:t>
      </w:r>
    </w:p>
    <w:p>
      <w:pPr>
        <w:spacing w:after="0" w:line="1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Although we are not currently involved in any material litigation with our customers, members of the insurance industry are periodically the target of class action lawsuits and other types of litigation, some of which involve claims for substantial or indeterminate amounts, and the outcomes of which are unpredictable. This litigation is based on a variety of issues, including sale of insurance and claim settlement practices. In addition, because we employ a technology platform to collect customer data, it is possible that customers or consumer groups could bring individual or class action claims alleging that our methods of collecting data and pricing risk are impermissibly discriminatory. We cannot predict with any certainty whether we will be involved in such litigation in the future or what impact such litigation would have on our business. If we were to be involved in litigation and it was determined adversely, it could require us to pay significant damages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also adversely affect our brand and reputation, regardless of whether such allegations have merit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December 31, 2019, we had federal income tax net operating losses, or NOLs, of approximately $320.0 million available to offset our future taxable income, if any, prior to consideration of annual limitations that may be imposed under Section 382 of the Code, or otherwise. Of our NOLs, $208.8 million of losses will begin to expire in 2035 and $111.2 million of losses can be carried forward indefinitely.</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We have experienced ownership changes in the past, and we may experience ownership changes in the future as a result of subsequent shifts in our stock ownership, some of which may be outside of our control. If we undergo an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spacing w:after="0" w:line="12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NOL carryforwards in taxable years beginning after December 31, 2020 to 80% of taxable income. In addition, federal NOLs arising in tax years beginning after December 31, 2017 can be carried forward indefinitely, but carryback of NOLs are generally permitted to the prior five taxable years only for NOLs arising in taxable years beginning before 2021 and after 2017. Deferred tax assets for NOLs will need to be measured at the applicable tax rate in effect when the NOLs are expected to be utilized. The new limitation on use of NOLs may significantly impact our ability to utilize our NOLs to offset taxable income in the future. In addition,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after 2019 and before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investments could disrupt our business and harm our financial condition.</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future we may pursue acquisitions or investments that we believe will help us achieve our strategic objectives. There is no assurance that such acquisitions or investments will perform as expected or will be successfully integrated into our business or generate substantial revenue, and we may overestimate cash flow, underestimate costs or fail to understand the risks of or of related to any investment or acquired business. The process of acquiring a business, product or technology can also cause us to incur various expenses and create unforeseen operating difficulties, expenditures and other challenges, whether or not those acquisitions are consummated, such as:</w:t>
      </w:r>
    </w:p>
    <w:p>
      <w:pPr>
        <w:spacing w:after="0" w:line="122" w:lineRule="exact"/>
        <w:rPr>
          <w:sz w:val="20"/>
          <w:szCs w:val="20"/>
          <w:color w:val="auto"/>
        </w:rPr>
      </w:pPr>
    </w:p>
    <w:p>
      <w:pPr>
        <w:ind w:left="660" w:right="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intense competition for suitable acquisition targets, which could increase prices and adversely affect our ability to consummate deals on favorable or acceptable terms;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inadequacy of reserves for losses and loss adjustment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or material delay in closing a transaction, including as a result of regulatory review and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conditions attached to the approval of the acquisition and other regulatory hurdles;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need for additional capital that was not anticipated at the time of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benefits not materializing or being lower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transition of the acquired company’s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integrating the technologies, operations, existing contracts and personnel of an acquired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of employees or business partners of an acquired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theft of our trade secrets or confidential information that we share with potential acquisition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 that an acquired company or investment in new offerings cannibalizes a portion of our existing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market reaction to an acquisition;</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users, former stockholders or other third parties.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we are unable to address these difficulties and challenges or other problems encountered in connection with any future acquisition or investment, we might not realize the anticipated benefits of that acquisition or investment and we might incur unanticipated liabilities or otherwise suffer harm to our business generally.</w:t>
      </w:r>
    </w:p>
    <w:p>
      <w:pPr>
        <w:spacing w:after="0" w:line="13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To the extent that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increased interest expenses or impairment charges against goodwill on our consolidated balance sheet, any of which could seriously harm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Industry</w:t>
      </w:r>
    </w:p>
    <w:p>
      <w:pPr>
        <w:spacing w:after="0" w:line="17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Historically, insurers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 premium levels.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14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and financial condition.</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underwrite new policies. Furthermore, reinsurance subjects us to counterparty risk and may not be adequate to protect us against losses, which could have a material effect on our results of operations and financial condition.</w:t>
      </w:r>
    </w:p>
    <w:p>
      <w:pPr>
        <w:spacing w:after="0" w:line="13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Reinsurance is a contract by which an insurer, which may be referred to as the ceding insurer, agrees with a second insurer, called a reinsurer, that the reinsurer will cover a portion of the losses incurred by the ceding insurer in the event a claim is made under a policy issued by the ceding insurer, in exchange for a premium. Our regulated insurance subsidiary, Root Insurance Company, obtains reinsurance to help manage its exposure to property and casualty insurance risks. Although our reinsurance counterparties are liable to us according to the terms of the reinsurance policies, we remain primarily liable to our policyholders as the direct insurers on all risks reinsured. As a result, reinsurance does not eliminate the obligation of our regulated insurance subsidiary to pay all claims, and we are subject to the risk that one or more of our reinsurers will be unable or unwilling to honor its obligations, that the reinsurers will not pay in a timely fashion, or that our losses are so large that they exceed the limits inherent in our reinsurance contracts, limiting recovery. We are also subject to the risk that under applicable insurance laws and regulations we may not be able to take credit for the reinsurance on our financial statements and instead would be required to hold separate admitted assets as reserves to cover claims on the risks that we have ceded to the reinsurer. Reinsurers may become financially unsound by the time that they are called upon to pay amounts due, which may not occur for many years, in which case we may have no legal ability to recover what is due to us under our agreement with such reinsurer. Any disputes with reinsurers regarding coverage under reinsurance contracts could be time consuming, costly, and uncertain of success.</w:t>
      </w:r>
    </w:p>
    <w:p>
      <w:pPr>
        <w:spacing w:after="0" w:line="11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Market conditions beyond our control impact the availability and cost of the reinsurance we purchase. No assurances can be made that reinsurance will remain continuously available to us to the same extent and on the same terms and rates as is currently available, as such availability depends in part on factors outside of our control. A new contract may not provide sufficient reinsurance protection. Market forces and external factors, such as significant losses from hurricanes or terrorist attacks or an increase in capital and surplus requirements, impact the availability and cost of the reinsurance we purchase. If we were unable to maintain our current level of reinsurance or purchase new reinsurance protection in amounts that we consider sufficient at acceptable prices, we would have to either accept an increase in our catastrophe exposure, reduce our insurance underwritings, or develop or seek other alternatives.</w:t>
      </w:r>
    </w:p>
    <w:p>
      <w:pPr>
        <w:spacing w:after="0" w:line="14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unavailability of acceptable reinsurance protection would have a materially adverse impact on our business model, which depends on reinsurance companies to absorb any unfavorable variance from the level of losses anticipated at underwriting. If we are unable to obtain adequate reinsurance at reasonable rates, we would have to increase our risk exposure or reduce the level of our underwriting commitments, each of which could have a material adverse effect upon our business volume and profitability. Alternatively, we could elect to pay higher than reasonable rates for reinsurance coverage, which could have a material adverse effect upon our profitability unless policy premium rates could be raised, in most cases subject to approval by state regulators, to offset this additional cost.</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Reinsurance subjects us to risks of our reinsurers and may not be adequate to protect us against losses arising from ceded insurance, which could have a material effect on our results of operations and financial condition.</w:t>
      </w:r>
    </w:p>
    <w:p>
      <w:pPr>
        <w:spacing w:after="0" w:line="116"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collectability of reinsurance recoverables is subject to uncertainty arising from a number of factors, including changes in market conditions, whether insured losses meet the qualifying conditions of the reinsurance contract and whether reinsurers, their affiliates, or certain regulatory bodies have the financial capacity and willingness to make payments under the terms of a reinsurance treaty or contract. Any disruption, volatility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uncertainty in the financial reinsurance markets may decrease our ability to access such markets on favorable terms or at all. In addition, we are subject to the risk that one or more of our reinsurers will not honor its obligations, that the reinsurers will not pay in a timely fashion, or that our losses are so large that they exceed the limits inherent in our reinsurance contracts, limiting recovery. Reinsurers may become financially unsound by the time that they are called upon to pay amounts due, which may not occur for many years, in which case we may have no legal ability to recover what is due to us under our agreement with such reinsurer. In addition, any disputes with reinsurers regarding coverage under reinsurance contracts could be time consuming, costly, and uncertain of success. Our inability to collect a material recovery from a reinsurer could have a material effect on our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extensive regulation and potential further restrictive regulation may increase our operating costs and limit our growth.</w:t>
      </w:r>
    </w:p>
    <w:p>
      <w:pPr>
        <w:spacing w:after="0" w:line="18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subject to extensive laws and regulations by the individual state insurance departments in the states in which we transact business and the Cayman Island Monetary Authority as it pertains to our captive reinsurance company. These laws and regulations are complex and subject to change. Changes may sometimes lead to additional expenses, increased legal exposure, increased required reserves or capital and surplus, and additional limits on our ability to grow or to achieve targeted profitability. Regulations to which our licensed insurance carriers and producer subsidiaries are subject include, but are not limited to:</w:t>
      </w:r>
    </w:p>
    <w:p>
      <w:pPr>
        <w:spacing w:after="0" w:line="13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approval of transactions resulting in a change of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of policy forms and premiums;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of intercompany service agreements;</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statutory and risk-based capital solvency requirements, including the minimum capital and surplus our regulated insurance subsidiary must maintain;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minimum reserves that insurance carriers must hold to pay projected insurance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required participation by our regulated insurance subsidiary in state guaranty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type and concentration of our regulated insurance subsidiary’s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advertising and marketing of 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adjustment and settlement of insurance claims;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use of rebates to induce a policyholder to purchase 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sale, solicitation and negotiation of 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sharing of insurance commissions and payment of referral fees;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prohibitions on the underwriting of insurance on the basis of race, sex, religion and other protected classes;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our ability to use telematics to underwrite and price insurance policies, such as in California;</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ability of our regulated insurance subsidiary to pay dividends to us or enter into certain related party transactions without prior regulatory approval;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rules requiring the maintenance of statutory deposits for the benefit of policyholders;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privacy regulation and data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regulation of corporate governance and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0" w:name="page71"/>
    <w:bookmarkEnd w:id="70"/>
    <w:p>
      <w:pPr>
        <w:spacing w:after="0" w:line="14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periodic examinations of operations, finances, market conduct and claims practices; and required periodic financial reporting.</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the extent we decide to expand our current product offerings to include other insurance products, this would subject us to additional regulatory requirements and scrutiny in each state in which we elect to offer such products. Several states have also adopted legislation prohibiting unfair methods of competition and unfair or deceptive acts and practices in the business of insurance as well as unfair claims practices. Prohibited practices include, but are not limited to, misrepresentations, false advertising, coercion, disparaging other insurers, unfair claims settlement procedures, and discrimination in the business of insurance. Noncompliance with any of such state statutes may subject us to regulatory action by the relevant state insurance regulator, and possibly private litigation. States also regulate various aspects of the contractual relationships between insurers and independent agents as well as, in certain states, insurers and third-party administrators.</w:t>
      </w:r>
    </w:p>
    <w:p>
      <w:pPr>
        <w:spacing w:after="0" w:line="14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Although state insurance regulators have primary responsibility for administering and enforcing insurance regulations in the United States, such laws and regulations are further administered and enforced by a number of additional governmental authorities, each of which exercises a degree of interpretive latitude, including state securities administrators; state attorneys general as well as federal agencies including the SEC, the Financial Industry Regulatory Authority, the Federal Reserve Board, the Federal Insurance Office, the U.S. Department of Labor, the U.S. Department of Justice and the National Labor Relations Board. Consequently, compliance with any particular regulator’s or enforcement authority’s interpretation of a legal issue may not result in compliance with another’s interpretation of the same issue, particularly when compliance is judged in hindsight. Such regulations or enforcement actions are often responsive to current consumer and political sensitivities, which may arise after a major event. Such rules and regulations may result in rate suppression, limit our ability to manage our exposure to unprofitable or volatile risks, or lead to fines, premium refunds or other adverse consequences. The federal government also may regulate aspects of our businesses, such as the protection of consumer confidential information or the use of consumer insurance (credit) scores to underwrite and assess the risk of customers under the Fair Credit Reporting Act, or FCRA. Among other things, the FCRA requires that insurance companies (i) have a permissible purpose before obtaining and using a consumer report for underwriting purposes and (ii) comply with related notice and recordkeeping requirements. Failure to comply with federal requirements under the FCRA or any other applicable federal laws could subject us to regulatory fines and other sanctions. In addition, given our short operating history to-date and rapid rate of growth, we are vulnerable to regulators identifying errors in the policy forms we use, the rates we charge, with respect to our customer communications. As a result of such noncompliance, regulators could impose fines, rebates or other penalties, including cease-and-desist orders with respect to our operations in an individual state, or all states, until the identified noncompliance is rectified.</w:t>
      </w:r>
    </w:p>
    <w:p>
      <w:pPr>
        <w:spacing w:after="0" w:line="12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there is risk that any particular regulator’s or enforcement authority’s interpretation of a legal issue or the scope of a regulator’s authority may change over time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 constituency rather than a range of constituencies. State insurance laws and regulations are generally intended to protect the interests of purchasers or users of insurance products, rather than the holders of securities that we issue. For example, state insurance laws are generally prescriptive with respect to the content and timeliness of notices we must provide policyholders. We recently became aware that we failed to comply with certain notice period timeliness requirements when cancelling a number of policies for nonpayment, as a result of which we could be liable for claims made under those policies. We are currently working to determine the exact extent to which cancellations were affected, and currently cannot predict with any certainty the impact these non-cancellations may have on our business, results of operations and financial condition, although this impact could be material. Failure to comply with other state insurance laws and regulations in the future could also have a material adverse effect on our business, operating results and financial condition. As another example, the federal government could pass a law expanding its authority to regulate the insurance industry, expanding federal regulation over our business to our detriment. These laws and regulations may limit our ability to grow, raise additional capital or improve the profitability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ability to retain state licenses depends on our ability to meet licensing requirements established by the NAIC and adopted by each state, subject to variations across states. If we are unable to satisfy the applicable licensing requirements of any particular state, we could lose our license to do business in that state, which would result in the temporary or permanent cessation of our operations in that state. Alternatively, if we are unable to satisfy applicable state licensing requirements, we may be subject to additional regulatory oversight, have our license suspended, or be subject to the seizure of assets. Any such events could adversely affect our business, results of operations or financial condition. See the sections titled (i) “Regulation — Insurance Regulation”, (ii) “Regulation — Insurance Holding Company Regulation” and (iii) “Regulation — Required Licensing” for additional information.</w:t>
      </w:r>
    </w:p>
    <w:p>
      <w:pPr>
        <w:spacing w:after="0" w:line="1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regulatory environment that requires rate increases to be approved and that can dictate underwriting practices and mandate participation in loss sharing arrangements may adversely affect our results of operations and financial condition.</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From time to time, political events and pressures affect the insurance market, including efforts to suppress rates to a level that may not allow us to reach targeted levels of profitability. For example, if our loss ratio compares favorably to that of the industry, state or provincial regulatory authorities may impose rate rollbacks, require us to pay premium refunds to policyholders, or challenge or otherwise delay our efforts to raise rates even if the property and casualty industry generally is not experiencing regulatory challenges to rate increases. Such challenges affect our ability to obtain approval for rate changes that may be required to achieve targeted levels of profitability and returns on equity. In particular due to the COVID-19 pandemic, state regulators and legislators are under increased political pressure to provide financial relief to policyholders through premium rebates or requiring insurers to pay claims arising from COVID-19 related losses, regardless of the applicable policy’s exclusions.</w:t>
      </w:r>
    </w:p>
    <w:p>
      <w:pPr>
        <w:spacing w:after="0" w:line="12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certain states have enacted laws that require an insurer conducting business in that state to participate in assigned risk plans, reinsurance facilities and joint underwriting associations. Certain states also require insurers to offer coverage to all consumers, often restricting an insurer’s ability to charge the price it might otherwise charge. In these markets, we may be compelled to underwrite significant amounts of business at lower-than-desired rates, possibly leading to an unacceptable return on equity. Laws and regulations of many states also limit an insurer’s ability to withdraw from one or more lines of insurance there, except pursuant to a plan that is approved by the state insurance department. Additionally, as addressed above, certain states require insurers to participate in guaranty funds for impaired or insolvent insurance companies. These funds periodically assess losses against all insurance companies doing business in the state. Our results of operations and financial condition could be adversely affected by any of these factors.</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State insurance regulators impose additional reporting requirements regarding enterprise risk on insurance holding company systems, with which we must comply as an insurance holding company.</w:t>
      </w:r>
    </w:p>
    <w:p>
      <w:pPr>
        <w:spacing w:after="0" w:line="11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the past decade, various state insurance regulators have increased their focus on risks within an insurer’s holding company system that may pose enterprise risk to the insurer. In 2012, the NAIC adopted significant amendments to the Insurance Holding Company Act and related regulations, or NAIC Amendments. The NAIC Amendments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As the ultimate controlling person in the insurance holding company system, we are required to file an annual enterprise risk report. Other changes include the requirement that a controlling person submit prior notice to its domiciliary insurance regulator of a divestiture of control, having detailed minimum requirements for cost sharing and management agreements between an insurer and its affiliates and expansion of the agreements between an insurer and its affiliates to be filed with its domiciliary insurance regulator. The NAIC Amendments must be adopted by the individual state legislatures and insurance regulators in order to be effective.</w:t>
      </w:r>
    </w:p>
    <w:p>
      <w:pPr>
        <w:spacing w:after="0" w:line="12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2012, the NAIC also adopted the Risk Management and Own Risk and Solvency Assessment Model Act, or the ORSA Model Act. The ORSA Model Act, as adopted by the various states, requires an insurance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company system’s Chief Risk Officer to submit annually to its lead state insurance regulator an Own Risk and Solvency Assessment Summary Report, or ORSA. The ORSA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The ORSA Model Act must be adopted by individual state legislatures and insurance regulators in order to be effective. We cannot predict the impact, if any, that any other regulatory requirements may have on our business, financial condition or results of operations.</w:t>
      </w:r>
    </w:p>
    <w:p>
      <w:pPr>
        <w:spacing w:after="0" w:line="10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There is also risk that insurance holding company systems may become subject to group capital requirements at the holding company level. The NAIC is currently working to develop a group capital calculation framework that regulators may use for informational purposes. As envisioned, the framework is intended to complement the current holding company analytics framework by providing additional information to the lead state regulator for use in assessing group risks and capital adequacy. The NAIC has not promulgated a model law or regulation on this subject.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increasing adoption by states of cybersecurity regulations could impose additional compliance burdens on us and expose us to additional liability.</w:t>
      </w:r>
    </w:p>
    <w:p>
      <w:pPr>
        <w:spacing w:after="0" w:line="20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response to the growing threat of cyber-attacks in the insurance industry, certain jurisdictions have begun to consider new cybersecurity measures, including the adoption of cybersecurity regulations. On October 24, 2017, the NAIC adopted its Insurance Data Security Model Law, or the Insurance Data Security Model Law, intended to serve as model legislation for states to enact in order to govern cybersecurity and data protection practices of insurers, insurance agents, and other licensed entities registered under state insurance laws. Alabama, Connecticut, Delaware, Louisiana, Michigan, Mississippi, New Hampshire, Ohio, Indiana, South Carolina and Virginia have adopted versions of the Insurance Data Security Model Law, each with a different effective date, and other states may adopt versions of the Insurance Data Security Model Law in the future. The New York Department of Financial Services has promulgated its own Cybersecurity Requirements for Financial Services Companies that is not based upon the Insurance Data Security Model Law and requires insurance companies to establish and maintain a cybersecurity program and implement and maintain cybersecurity policies and procedures with specific requirements. In addition, some jurisdictions, such as Massachusetts, Nevada and California have enacted more generalized data security laws that apply to certain data that we process. Although we take steps to comply with financial industry cybersecurity regulations and other data security laws and believe we are materially compliant with their requirements, our failure to comply with new or existing cybersecurity regulations could result in material regulatory actions and other penalties. In addition, efforts to comply with new or existing cybersecurity regulations could impose significant costs on our business, which could materially and adversely affect our business, financial condition or results of operations.</w:t>
      </w:r>
    </w:p>
    <w:p>
      <w:pPr>
        <w:spacing w:after="0" w:line="120" w:lineRule="exact"/>
        <w:rPr>
          <w:sz w:val="20"/>
          <w:szCs w:val="20"/>
          <w:color w:val="auto"/>
        </w:rPr>
      </w:pPr>
    </w:p>
    <w:p>
      <w:pPr>
        <w:ind w:right="840"/>
        <w:spacing w:after="0" w:line="381" w:lineRule="auto"/>
        <w:rPr>
          <w:sz w:val="20"/>
          <w:szCs w:val="20"/>
          <w:color w:val="auto"/>
        </w:rPr>
      </w:pPr>
      <w:r>
        <w:rPr>
          <w:rFonts w:ascii="Arial" w:cs="Arial" w:eastAsia="Arial" w:hAnsi="Arial"/>
          <w:sz w:val="15"/>
          <w:szCs w:val="15"/>
          <w:b w:val="1"/>
          <w:bCs w:val="1"/>
          <w:i w:val="1"/>
          <w:iCs w:val="1"/>
          <w:color w:val="auto"/>
        </w:rPr>
        <w:t>We rely on technology and intellectual property from third parties for pricing and underwriting our insurance policies, handling claims and maximizing automation, the unavailability or inaccuracy of which could limit the functionality of our products and disrupt our business.</w:t>
      </w:r>
    </w:p>
    <w:p>
      <w:pPr>
        <w:spacing w:after="0" w:line="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w:t>
      </w:r>
    </w:p>
    <w:p>
      <w:pPr>
        <w:spacing w:after="0" w:line="133"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Further, although we believe that there are currently adequate replacements for the third-party technology and intellectual property we presently use,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or prices. In either case, we would be required either to attempt to redesign our products to function with technology and intellectual property available from other parties or to develop these components ourselves, which would result in increased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could result in delays in product sales and the release of new product offerings. Alternatively, we might be forced to limit the features available in affected products. Any of these results could harm our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 processing risk.</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currently rely exclusively on one third-party vendor to provide payment processing services, including the processing of payments from credit cards and debit cards, and our business would be disrupted if this vendor refuses to provide these services to us and we are unable to find a suitable replacement on a timely basis or at all. If we or our processing vendor fail to maintain adequate systems for the authorization and processing of credit card transactions, it could cause one or more of the major credit card companies to disallow our continued use of their payment products. In addition, if these systems fail to work properly and, as a result, we do not charge our customers’ credit cards on a timely basis or at all, our business, revenue, results of operations and financial condition could be harmed.</w:t>
      </w:r>
    </w:p>
    <w:p>
      <w:pPr>
        <w:spacing w:after="0" w:line="13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payment methods that we offer also subject us to potential fraud and theft by criminals, who are becoming increasingly more sophisticated, seeking to obtain unauthorized access to or exploit weaknesses that may exist in payment systems. If we fail to comply with applicable rules or requirements for the payment methods we accept,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success depends upon the insurance industry continuing to move online at its current pace and the continued growth and acceptance of online and mobile app-based products and services as effective alternatives to traditional offline products and services.</w:t>
      </w:r>
    </w:p>
    <w:p>
      <w:pPr>
        <w:spacing w:after="0" w:line="9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provide automobile, renters and homeowners insurance products through our website and our online and mobile apps that compete with traditional offline counterparts. We do not offer insurance through traditional, offline brokers. We believe that the continued growth and acceptance of online products and services as well as those offered through mobile devices generally will depend, to a large extent, on the continued growth in commercial use of the internet and mobile apps, and the continued migration of traditional offline markets and industries online.</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Purchasers of insurance may develop the perception that purchasing insurance products online or through a mobile app is not as effective as purchasing such products through a broker or other traditional offline methods, and the insurance market may not migrate online as quickly as (or at the levels that) we expect. Moreover, if, for any reason, an unfavorable perception develops that telematics, mobile engagement, a technology-based platform and/or bots are less efficacious than traditional offline methods of purchasing insurance, underwriting, claims processing, and other functions that do not use data automation, artificial intelligence and/or bots, or that our processes lead to unfair outcomes, our business, results of operations and financial condition could be adversely affected.</w:t>
      </w:r>
    </w:p>
    <w:p>
      <w:pPr>
        <w:spacing w:after="0" w:line="1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incurred losses may be greater than our loss and loss adjustment expense reserves, which could have a material adverse effect on our financial condition and results of operations.</w:t>
      </w:r>
    </w:p>
    <w:p>
      <w:pPr>
        <w:spacing w:after="0" w:line="11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Our financial condition and results of operations depend on our ability to accurately price risk and assess potential losses and loss adjustment expenses under the terms of the policies we underwrite. Reserves do not represent an exact calculation of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since we may underestimate the cost of claims and claims administration.</w:t>
      </w:r>
    </w:p>
    <w:p>
      <w:pPr>
        <w:spacing w:after="0" w:line="10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base our estimates on our assessment of known facts and circumstances, as well as estimates of future trends in claim severity, claim frequency, judicial theories of liability, and other factors. These variables are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by both internal and external events that could increase our exposure to losses, including changes in actuarial projections, claims handling procedures, inflation, severe weather, climate change, economic and judicial trends and legislative and regulatory changes. We regularly monitor reserves using new information on reported claims and a variety of statistical techniques to update our current estimate. Our estimates could prove to be inadequate, and this underestimation could have a material adverse effect on our financial condition.</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Recorded claim reserves, including case reserves and incurred but not reported, or IBNR, claims reserves, are based on our estimates of losses after considering known facts and interpretations of the circumstances, including settlement agreements. Additionally, models that rely on the assumption that past loss development patterns will persist into the future are used. Internal factors are considered including our experience with similar cases, actual claims paid, historical trends involving claim payment patterns, pending levels of unpaid claims, loss management programs, product mix, state mix, contractual terms industry payment and reporting patterns, and changes in claim reporting, and settlement practices. External factors are also considered, such as court decisions, changes in law and litigation imposing unintended coverage. We also consider benefits, such as requiring the availability of multiple limits for a single loss occurrence. Regulatory requirements and economic conditions are also considered.</w:t>
      </w:r>
    </w:p>
    <w:p>
      <w:pPr>
        <w:spacing w:after="0" w:line="123"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Since reserves are estimates of the unpaid portion of losses and expenses for events that have occurred, including IBNR losses, the establishment of appropriate reserves, including reserves for catastrophes, is an inherently uncertain and complex process that is regularly refined to reflect current estimation processes and practices. The ultimate cost of losses may vary materially from recorded reserves and such variance may adversely affect our results of operations and financial condition as the reserves and reinsurance recoverables are reestimated.</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If any of our insurance reserves should prove to be inadequate for the reasons discussed above, or for any other reason, we will be required to increase reserves, resulting in a reduction in our net income and stockholders’ equity in the period in which the deficiency is identified. Future loss experience substantially in excess of established reserves could also have a material adverse effect on future earnings and liquidity and financial rating, which would affect our ability to attract new business or to retain existing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of our investment portfolio is subject to a variety of investment risks that may adversely affect our financial results.</w:t>
      </w:r>
    </w:p>
    <w:p>
      <w:pPr>
        <w:spacing w:after="0" w:line="171"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Our results of operations depend, in part, on the performance of our investment portfolio. We seek to hold a diversified portfolio of investments in accordance with our investment policy, which is routinely reviewed by the Audit Committee of our regulated insurance subsidiary, Root Insurance Company. However, our investments are subject to general economic and market risks as well as risks inherent to particular securities.</w:t>
      </w:r>
    </w:p>
    <w:p>
      <w:pPr>
        <w:spacing w:after="0" w:line="95"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Our primary market risk exposures are to changes in interest rates. See the section titled “Management’s Discussion and Analysis of Financial Condition and Results of Operations — Quantitative and Qualitative Disclosures about Market Risk.” In recent years, interest rates have been at or near historic lows. A protracted low interest rate environment would continue to place pressure on our net investment income, particularly as it relates to fixed income securities and short-term investments, which, in turn, may adversely affect our operating results. Future increases in interest rates could cause the values of our fixed income securities portfolios to decline, with the magnitude of the decline depending on the maturity of the securities included in our portfolio and the amount by which interest rates increase. Some fixed income securities have call or prepayment options, which create possible reinvestment risk in declining rate environments. Other fixed income securities, such as mortgage-backed and asset-backed securities, carry prepayment risk or, in a rising interest rate environment, may not prepay as quickly as expected.</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Such factors could reduce our net investment income and result in realized investment losses. Our investment portfolio is subject to increased valuation uncertainties when investment markets are illiquid. The valuation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maximum percentage and types of securities we may invest in are subject to insurance laws and regulations, which may change. Failure to comply with these laws and regulations would cause non-conforming investments to be treated as non-admitted assets for purposes of measuring statutory surplus and, in certain circumstances, we would be required to dispose of such investments.</w:t>
      </w:r>
    </w:p>
    <w:p>
      <w:pPr>
        <w:spacing w:after="0" w:line="10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1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There can be no assurances that specifically negotiated loss limitations or exclusions in our policies will be enforceable in the manner we intend, or at all.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 Under insurance laws, the insurer typically has the burden of proving an exclusion applies and any ambiguities in the terms of a loss limitation or exclusion provision are typically construed against the insurer. 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holding company, we rely on dividends and payments from our subsidiaries to operate our business. Our ability to receive dividends and permitted payments from our insurance company subsidiaries is subject to regulatory constraints.</w:t>
      </w:r>
    </w:p>
    <w:p>
      <w:pPr>
        <w:spacing w:after="0" w:line="11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are a holding company and, as such, have no direct operations of our own. We do not expect to have any significant assets other than our ownership of equity interests in our operating subsidiaries. We accordingly depend on the payment of funds from our subsidiaries in the form of dividends, distributions or otherwise to meet our obligations and to pay our expenses. The ability of our subsidiaries to make any payments to us depends on their earnings, the terms of their indebtedness, including the terms of any credit facilities, and legal restrictions.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the payment of any extraordinary dividend by Root Insurance Company, our regulated insurance subsidiary, requires the prior approval of the superintendent of the Ohio DOI. For purposes of determining whether such prior approval must be sought, an “extraordinary dividend” constitutes: (i) any distribution whose fair market value, together with that of other dividends or distributions made within the preceding twelve months, exceeds the greater of (a) ten per cent of Root Insurance Company’s policyholder surplus as of December 31 of the preceding year, or (b) Root Insurance Company’s net income for the twelve-month period ending December 31 of the preceding year or (ii) any dividend or distribution paid by Root Insurance Company from other than earned surplus.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6" w:name="page77"/>
    <w:bookmarkEnd w:id="76"/>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2019, Root Insurance Company was not permitted to pay any dividends to us without approval of the superintendent of the Ohio DOI. Our operating subsidiaries, including Root Insurance Company, may be unable to pay dividends in the future, and the limitations of such dividends could adversely affect our business, liquidity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171"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Prior to the closing of our IPO in October 2020,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2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1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As of November 24, 2020, holders of our Class B common stock collectively beneficially own shares representing approximately 97.0% of the voting power of our outstanding capital stock. Our directors and executive officers and their affiliates collectively beneficially own, in the aggregate, shares representing approximately 69.9% of the voting power of our outstanding capital stock. As a result,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The following factors, in addition to other factors described in this “Risk Factors” section and included elsewhere in this Quarterly Report on Form 10-Q, may have a significant impact on the market price of our Class A common stock:</w:t>
      </w:r>
    </w:p>
    <w:p>
      <w:pPr>
        <w:spacing w:after="0" w:line="13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severe weather events and other catastrophes;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 quarterly or annual earnings relative to similar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Class A common stock by us, our directors, executive officers, principal shareholders,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refinance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Class A common stock;</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dividend policy and whether dividends on our Class A common stock have been, and are likely to be, declared and paid from time to time;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Class A common stock relative to other investment alternatives;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or trends in our industry, geographies 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threatened or actual litigation or government investigations.</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applicable state insurance laws and regulations, no person may acquire “control” of a domestic insurer until written approval is obtained from the state insurance commissioner. Root Insurance Company is domiciled in Ohio. Applicable Ohio law provides for a rebuttable presumption of “control” by any person which owns or acquires, directly or indirectly, 10% or more of the voting stock of the insurance company. Under applicable Ohio law, a person must seek regulatory approval from the superintendent of the Ohio DOI prior to acquiring direct or indirect “control” of a domestic insurer by filing a Form A Statement Regarding the Acquisition of Control of or Merger with a Domestic Insurer, or Form A.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Would-be acquirors may find these requirements burdensome, which could deter potential acquisition proposals and may serve to delay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1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completed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Class A common stock that is held by non-affiliates to exceed $700 million as of the prior June 30</w:t>
      </w:r>
      <w:r>
        <w:rPr>
          <w:rFonts w:ascii="Arial" w:cs="Arial" w:eastAsia="Arial" w:hAnsi="Arial"/>
          <w:sz w:val="20"/>
          <w:szCs w:val="20"/>
          <w:color w:val="auto"/>
          <w:vertAlign w:val="superscript"/>
        </w:rPr>
        <w:t>th</w:t>
      </w:r>
      <w:r>
        <w:rPr>
          <w:rFonts w:ascii="Arial" w:cs="Arial" w:eastAsia="Arial" w:hAnsi="Arial"/>
          <w:sz w:val="16"/>
          <w:szCs w:val="16"/>
          <w:color w:val="auto"/>
        </w:rPr>
        <w:t>, and (2) the date on which we have issued more than $1 billion in non-convertible debt during the prior three-year period.</w:t>
      </w:r>
    </w:p>
    <w:p>
      <w:pPr>
        <w:spacing w:after="0" w:line="2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are subject to more stringent federal and state law requirements.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w:t>
      </w:r>
    </w:p>
    <w:p>
      <w:pPr>
        <w:spacing w:after="0" w:line="13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a result of disclosure of information in connection with our IPO and in filings required of a public company, our business and financial condition are more visible, which we believe may result in threatened or actual litigation, including by competitors and other third parties. If such claims are successful, our business, results of operations, financial condition and prospects could be harmed, and even if the claims do not result in litigation or are resolved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4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favor, these claims, and the time and resources necessary to resolve them, could divert the resources of our management and adversely affect our brand and reputation, business, results of operations, financial condition and prospects. Being a public company and the associated rules and regulations will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committee and compensation committee, and qualified executive officers.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so any returns will be limited to the value of our stock.</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Additionally, we are a holding company that transacts a majority of our business through operating subsidiaries. Consequently, our ability to pay dividends to stockholders is largely dependent on receipt of dividends and other distributions from our subsidiaries. As addressed above, applicable insurance laws restrict the ability of our regulated insurance subsidiary to declare extraordinary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Any return to stockholders will therefore be limited to the appreciation of their stock.</w:t>
      </w:r>
    </w:p>
    <w:p>
      <w:pPr>
        <w:spacing w:after="0" w:line="1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w:t>
      </w:r>
    </w:p>
    <w:p>
      <w:pPr>
        <w:spacing w:after="0" w:line="127"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4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or, if required, our auditors, are unable to conclude that our internal control over financial reporting is effective, investors may lose confidence in our financial reporting and the trading price of our Class A common stock may decline.</w:t>
      </w:r>
    </w:p>
    <w:p>
      <w:pPr>
        <w:spacing w:after="0" w:line="11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in the public market could cause our stock price to fall.</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our existing stockholders sell, or indicate an intention to sell, substantial amounts of our Class A common stock in the public market after the lock-up and other legal restrictions on resale lapse, the trading price of our Class A common stock could decline. As of November 24, 2020, we have outstanding a total of 59,443,588 shares of Class A common stock and 191,354,938 shares of Class B common stock. Of these shares, only the shares of Class A common stock sold in our IPO are freely tradable without restriction in the public market. The underwriters, however, may, in their sole discretion, permit our officers, directors and other stockholders who are subject to these lock-up agreements to sell shares prior to the expiration of the lock-up agreements.</w:t>
      </w:r>
    </w:p>
    <w:p>
      <w:pPr>
        <w:spacing w:after="0" w:line="1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lock-up agreements pertaining to our IPO will expire on April 25, 2021. In addition, shares of Class A common stock that are either subject to outstanding options or reserved for future issuance under the 2020 Plan will become eligible for sale in the public market to the extent permitted by the provisions of various vesting schedules, the lock-up agreements and Rule 144 and Rule 701 under the Securities Act of 1933, as amended, or the Securities Act. If these additional shares of Class A common stock are sold, or if it is perceived that they will be sold, in the public market, the trading price of our Class A common stock could decline.</w:t>
      </w:r>
    </w:p>
    <w:p>
      <w:pPr>
        <w:spacing w:after="0" w:line="13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holders of 181.1 million shares of our capital stock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1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our stockholders;</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1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1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2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1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95"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5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claim or cause of action seeking to interpret, apply, enforce or determine the validity of our certificate of incorporation or our bylaws;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30"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7"/>
          <w:szCs w:val="17"/>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44"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3"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From June 1, 2020 through October 5, 2020 (the date of the filing of our registration statement on Form S-1), we granted to our directors, officers, employees, consultants and other service providers restricted stock units for an aggregate 76,000 shares of our common stock under our 2015 Equity Incentive Plan.</w:t>
      </w:r>
    </w:p>
    <w:p>
      <w:pPr>
        <w:spacing w:after="0" w:line="13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On October 30, 2020, we issued and sold an aggregate of 18,518,518 shares (the “Private Placement Shares”) of our Class A common stock, par value $0.0001 per share (the “Class A Common Stock”), to funds affiliated with Dragoneer Investment Group, LLC (“Dragoneer”) and Silver Lake Technology Management, L.L.C (“Silver Lake”) in private placements that occurred concurrently with the closing of our IPO.</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aggregate cash purchase price of the Private Placement Shares was $500.0 million, representing a per share price of $27.00, the same price at which shares of Common Stock were sold to the public in the IPO.</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foregoing transactions did not involve any underwriters, any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sale and issuance of the Private Placement Shares to Dragoneer and Silver Lake were not registered under the Securities Act or any state securities laws. We relied on the exemption from the registration requirements of the Securities Act by virtue of Section 4(a)(2) thereof and the rules and regulations promulgated thereunder relating to transactions not involving any public offering.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October 30, 2020, we closed our IPO, in which we sold 24,249,330 million shares of our common stock at a price of $27.00 per share. The offer and sale of the shares in the IPO were registered under the Securities Act pursuant to a registration statement on Form S-1 (File No. 333-249692), which was declared effective by the SEC on October 27, 2020. We raised approximately $614.7 million in net proceeds after deducting underwriting discounts and commissions of $36.0 million and offering expenses. We intend to use the net proceeds we received from our IPO for general corporate purposes, including working capital, operating expenses and capital expenditures. Additionally, we may use a portion of the net proceeds we received from our IPO for acquisitions and/or strategic investments in complementary businesses, products, services or technologies. The representatives of the underwriters of our IPO were Goldman Sachs &amp; Co. LLC, Morgan Stanley &amp; Co. LLC, Barclays Capital Inc. and Wells Fargo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6" w:name="page87"/>
    <w:bookmarkEnd w:id="8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7" w:name="page88"/>
    <w:bookmarkEnd w:id="8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8" w:name="page89"/>
    <w:bookmarkEnd w:id="88"/>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ind w:left="340"/>
              <w:spacing w:after="0"/>
              <w:rPr>
                <w:sz w:val="20"/>
                <w:szCs w:val="20"/>
                <w:color w:val="auto"/>
              </w:rPr>
            </w:pPr>
            <w:r>
              <w:rPr>
                <w:rFonts w:ascii="Arial" w:cs="Arial" w:eastAsia="Arial" w:hAnsi="Arial"/>
                <w:sz w:val="18"/>
                <w:szCs w:val="18"/>
                <w:color w:val="auto"/>
              </w:rPr>
              <w:t>(a)</w:t>
            </w: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gridSpan w:val="2"/>
          </w:tcPr>
          <w:p>
            <w:pPr>
              <w:ind w:left="840"/>
              <w:spacing w:after="0"/>
              <w:rPr>
                <w:sz w:val="20"/>
                <w:szCs w:val="20"/>
                <w:color w:val="auto"/>
              </w:rPr>
            </w:pPr>
            <w:r>
              <w:rPr>
                <w:rFonts w:ascii="Arial" w:cs="Arial" w:eastAsia="Arial" w:hAnsi="Arial"/>
                <w:sz w:val="14"/>
                <w:szCs w:val="14"/>
                <w:b w:val="1"/>
                <w:bCs w:val="1"/>
                <w:color w:val="auto"/>
              </w:rPr>
              <w:t>Incorporation by Reference</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60" w:type="dxa"/>
            <w:vAlign w:val="bottom"/>
            <w:gridSpan w:val="4"/>
            <w:vMerge w:val="restart"/>
          </w:tcPr>
          <w:p>
            <w:pPr>
              <w:jc w:val="center"/>
              <w:ind w:right="840"/>
              <w:spacing w:after="0"/>
              <w:rPr>
                <w:sz w:val="20"/>
                <w:szCs w:val="20"/>
                <w:color w:val="auto"/>
              </w:rPr>
            </w:pPr>
            <w:r>
              <w:rPr>
                <w:rFonts w:ascii="Arial" w:cs="Arial" w:eastAsia="Arial" w:hAnsi="Arial"/>
                <w:sz w:val="14"/>
                <w:szCs w:val="14"/>
                <w:b w:val="1"/>
                <w:bCs w:val="1"/>
                <w:color w:val="auto"/>
                <w:w w:val="98"/>
              </w:rPr>
              <w:t>Exhibit</w:t>
            </w:r>
          </w:p>
        </w:tc>
        <w:tc>
          <w:tcPr>
            <w:tcW w:w="3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860" w:type="dxa"/>
            <w:vAlign w:val="bottom"/>
            <w:gridSpan w:val="4"/>
            <w:vMerge w:val="continue"/>
          </w:tcPr>
          <w:p>
            <w:pPr>
              <w:spacing w:after="0"/>
              <w:rPr>
                <w:sz w:val="12"/>
                <w:szCs w:val="12"/>
                <w:color w:val="auto"/>
              </w:rPr>
            </w:pPr>
          </w:p>
        </w:tc>
        <w:tc>
          <w:tcPr>
            <w:tcW w:w="3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8"/>
              </w:rPr>
              <w:t>Number</w:t>
            </w:r>
          </w:p>
        </w:tc>
        <w:tc>
          <w:tcPr>
            <w:tcW w:w="3140" w:type="dxa"/>
            <w:vAlign w:val="bottom"/>
          </w:tcPr>
          <w:p>
            <w:pPr>
              <w:ind w:left="520"/>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SEC File Number</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540" w:type="dxa"/>
            <w:vAlign w:val="bottom"/>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26"/>
        </w:trPr>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ind w:right="160"/>
        <w:spacing w:after="0" w:line="235" w:lineRule="auto"/>
        <w:rPr>
          <w:rFonts w:ascii="Arial" w:cs="Arial" w:eastAsia="Arial" w:hAnsi="Arial"/>
          <w:sz w:val="18"/>
          <w:szCs w:val="18"/>
          <w:color w:val="0000FF"/>
        </w:rPr>
      </w:pPr>
      <w:hyperlink r:id="rId124">
        <w:r>
          <w:rPr>
            <w:rFonts w:ascii="Arial" w:cs="Arial" w:eastAsia="Arial" w:hAnsi="Arial"/>
            <w:sz w:val="18"/>
            <w:szCs w:val="18"/>
            <w:u w:val="single" w:color="auto"/>
            <w:color w:val="0000FF"/>
          </w:rPr>
          <w:t>Amended and Restated Certificate of Incorporation</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of Root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Inc.</w:t>
        </w:r>
      </w:hyperlink>
    </w:p>
    <w:p>
      <w:pPr>
        <w:spacing w:after="0" w:line="54" w:lineRule="exact"/>
        <w:rPr>
          <w:sz w:val="20"/>
          <w:szCs w:val="20"/>
          <w:color w:val="auto"/>
        </w:rPr>
      </w:pPr>
    </w:p>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Amended and Restated Bylaws of Root, Inc.</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Form of Class A common stock certificate.</w:t>
        </w:r>
      </w:hyperlink>
    </w:p>
    <w:p>
      <w:pPr>
        <w:spacing w:after="0" w:line="117"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Root, Inc. 2020 Equity Incentive Plan, and forms of</w:t>
        </w:r>
      </w:hyperlink>
      <w:r>
        <w:rPr>
          <w:rFonts w:ascii="Arial" w:cs="Arial" w:eastAsia="Arial" w:hAnsi="Arial"/>
          <w:sz w:val="18"/>
          <w:szCs w:val="18"/>
          <w:u w:val="single" w:color="auto"/>
          <w:color w:val="0000FF"/>
        </w:rPr>
        <w:t xml:space="preserve"> </w:t>
      </w:r>
      <w:hyperlink w:anchor="page92">
        <w:r>
          <w:rPr>
            <w:rFonts w:ascii="Arial" w:cs="Arial" w:eastAsia="Arial" w:hAnsi="Arial"/>
            <w:sz w:val="18"/>
            <w:szCs w:val="18"/>
            <w:u w:val="single" w:color="auto"/>
            <w:color w:val="0000FF"/>
          </w:rPr>
          <w:t>agreements thereunder.</w:t>
        </w:r>
      </w:hyperlink>
    </w:p>
    <w:p>
      <w:pPr>
        <w:spacing w:after="0" w:line="54" w:lineRule="exact"/>
        <w:rPr>
          <w:sz w:val="20"/>
          <w:szCs w:val="20"/>
          <w:color w:val="auto"/>
        </w:rPr>
      </w:pPr>
    </w:p>
    <w:p>
      <w:pPr>
        <w:spacing w:after="0" w:line="271" w:lineRule="auto"/>
        <w:rPr>
          <w:rFonts w:ascii="Arial" w:cs="Arial" w:eastAsia="Arial" w:hAnsi="Arial"/>
          <w:sz w:val="15"/>
          <w:szCs w:val="15"/>
          <w:u w:val="single" w:color="auto"/>
          <w:color w:val="0000FF"/>
        </w:rPr>
      </w:pPr>
      <w:hyperlink r:id="rId127">
        <w:r>
          <w:rPr>
            <w:rFonts w:ascii="Arial" w:cs="Arial" w:eastAsia="Arial" w:hAnsi="Arial"/>
            <w:sz w:val="15"/>
            <w:szCs w:val="15"/>
            <w:u w:val="single" w:color="auto"/>
            <w:color w:val="0000FF"/>
          </w:rPr>
          <w:t>Amended and Restated Term Loan Agreement by</w:t>
        </w:r>
      </w:hyperlink>
      <w:r>
        <w:rPr>
          <w:rFonts w:ascii="Arial" w:cs="Arial" w:eastAsia="Arial" w:hAnsi="Arial"/>
          <w:sz w:val="15"/>
          <w:szCs w:val="15"/>
          <w:u w:val="single" w:color="auto"/>
          <w:color w:val="0000FF"/>
        </w:rPr>
        <w:t xml:space="preserve"> </w:t>
      </w:r>
      <w:hyperlink r:id="rId127">
        <w:r>
          <w:rPr>
            <w:rFonts w:ascii="Arial" w:cs="Arial" w:eastAsia="Arial" w:hAnsi="Arial"/>
            <w:sz w:val="15"/>
            <w:szCs w:val="15"/>
            <w:u w:val="single" w:color="auto"/>
            <w:color w:val="0000FF"/>
          </w:rPr>
          <w:t>and among the Registrant, Caret Holdings, Inc.,</w:t>
        </w:r>
      </w:hyperlink>
      <w:r>
        <w:rPr>
          <w:rFonts w:ascii="Arial" w:cs="Arial" w:eastAsia="Arial" w:hAnsi="Arial"/>
          <w:sz w:val="15"/>
          <w:szCs w:val="15"/>
          <w:u w:val="single" w:color="auto"/>
          <w:color w:val="0000FF"/>
        </w:rPr>
        <w:t xml:space="preserve"> </w:t>
      </w:r>
      <w:hyperlink r:id="rId127">
        <w:r>
          <w:rPr>
            <w:rFonts w:ascii="Arial" w:cs="Arial" w:eastAsia="Arial" w:hAnsi="Arial"/>
            <w:sz w:val="15"/>
            <w:szCs w:val="15"/>
            <w:u w:val="single" w:color="auto"/>
            <w:color w:val="0000FF"/>
          </w:rPr>
          <w:t>SunTrust Bank, and the lenders from time to time</w:t>
        </w:r>
      </w:hyperlink>
      <w:r>
        <w:rPr>
          <w:rFonts w:ascii="Arial" w:cs="Arial" w:eastAsia="Arial" w:hAnsi="Arial"/>
          <w:sz w:val="15"/>
          <w:szCs w:val="15"/>
          <w:u w:val="single" w:color="auto"/>
          <w:color w:val="0000FF"/>
        </w:rPr>
        <w:t xml:space="preserve"> </w:t>
      </w:r>
      <w:hyperlink r:id="rId127">
        <w:r>
          <w:rPr>
            <w:rFonts w:ascii="Arial" w:cs="Arial" w:eastAsia="Arial" w:hAnsi="Arial"/>
            <w:sz w:val="15"/>
            <w:szCs w:val="15"/>
            <w:u w:val="single" w:color="auto"/>
            <w:color w:val="0000FF"/>
          </w:rPr>
          <w:t>party thereto, dated November 25, 2019, as amended.</w:t>
        </w:r>
      </w:hyperlink>
    </w:p>
    <w:p>
      <w:pPr>
        <w:spacing w:after="0" w:line="31" w:lineRule="exact"/>
        <w:rPr>
          <w:rFonts w:ascii="Arial" w:cs="Arial" w:eastAsia="Arial" w:hAnsi="Arial"/>
          <w:sz w:val="15"/>
          <w:szCs w:val="15"/>
          <w:u w:val="single" w:color="auto"/>
          <w:color w:val="0000FF"/>
        </w:rPr>
      </w:pPr>
    </w:p>
    <w:p>
      <w:pPr>
        <w:ind w:right="80"/>
        <w:spacing w:after="0" w:line="216"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Note Purchase Agreement by and among the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Registrant, Caret Holdings, Inc., Wilmington Trust,</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National Association, and the noteholders from time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to time party thereto, dated November 25, 2019, as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amended.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1"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001-39568</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540" w:type="dxa"/>
            <w:vAlign w:val="bottom"/>
          </w:tcPr>
          <w:p>
            <w:pPr>
              <w:jc w:val="center"/>
              <w:ind w:right="690"/>
              <w:spacing w:after="0"/>
              <w:rPr>
                <w:sz w:val="20"/>
                <w:szCs w:val="20"/>
                <w:color w:val="auto"/>
              </w:rPr>
            </w:pPr>
            <w:r>
              <w:rPr>
                <w:rFonts w:ascii="Arial" w:cs="Arial" w:eastAsia="Arial" w:hAnsi="Arial"/>
                <w:sz w:val="18"/>
                <w:szCs w:val="18"/>
                <w:color w:val="auto"/>
                <w:w w:val="89"/>
              </w:rPr>
              <w:t>October 30, 2020</w:t>
            </w:r>
          </w:p>
        </w:tc>
      </w:tr>
      <w:tr>
        <w:trPr>
          <w:trHeight w:val="392"/>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333-249332</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540" w:type="dxa"/>
            <w:vAlign w:val="bottom"/>
          </w:tcPr>
          <w:p>
            <w:pPr>
              <w:jc w:val="center"/>
              <w:ind w:right="690"/>
              <w:spacing w:after="0"/>
              <w:rPr>
                <w:sz w:val="20"/>
                <w:szCs w:val="20"/>
                <w:color w:val="auto"/>
              </w:rPr>
            </w:pPr>
            <w:r>
              <w:rPr>
                <w:rFonts w:ascii="Arial" w:cs="Arial" w:eastAsia="Arial" w:hAnsi="Arial"/>
                <w:sz w:val="18"/>
                <w:szCs w:val="18"/>
                <w:color w:val="auto"/>
                <w:w w:val="89"/>
              </w:rPr>
              <w:t>October 20, 2020</w:t>
            </w:r>
          </w:p>
        </w:tc>
      </w:tr>
      <w:tr>
        <w:trPr>
          <w:trHeight w:val="3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333-249332</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540" w:type="dxa"/>
            <w:vAlign w:val="bottom"/>
          </w:tcPr>
          <w:p>
            <w:pPr>
              <w:jc w:val="center"/>
              <w:ind w:right="690"/>
              <w:spacing w:after="0"/>
              <w:rPr>
                <w:sz w:val="20"/>
                <w:szCs w:val="20"/>
                <w:color w:val="auto"/>
              </w:rPr>
            </w:pPr>
            <w:r>
              <w:rPr>
                <w:rFonts w:ascii="Arial" w:cs="Arial" w:eastAsia="Arial" w:hAnsi="Arial"/>
                <w:sz w:val="18"/>
                <w:szCs w:val="18"/>
                <w:color w:val="auto"/>
                <w:w w:val="89"/>
              </w:rPr>
              <w:t>October 20, 2020</w:t>
            </w:r>
          </w:p>
        </w:tc>
      </w:tr>
      <w:tr>
        <w:trPr>
          <w:trHeight w:val="391"/>
        </w:trPr>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40" w:type="dxa"/>
            <w:vAlign w:val="bottom"/>
          </w:tcPr>
          <w:p>
            <w:pPr>
              <w:ind w:left="2400"/>
              <w:spacing w:after="0"/>
              <w:rPr>
                <w:sz w:val="20"/>
                <w:szCs w:val="20"/>
                <w:color w:val="auto"/>
              </w:rPr>
            </w:pPr>
            <w:r>
              <w:rPr>
                <w:rFonts w:ascii="Arial" w:cs="Arial" w:eastAsia="Arial" w:hAnsi="Arial"/>
                <w:sz w:val="18"/>
                <w:szCs w:val="18"/>
                <w:color w:val="auto"/>
                <w:w w:val="99"/>
              </w:rPr>
              <w:t>X</w:t>
            </w:r>
          </w:p>
        </w:tc>
      </w:tr>
      <w:tr>
        <w:trPr>
          <w:trHeight w:val="635"/>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333-249332</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540" w:type="dxa"/>
            <w:vAlign w:val="bottom"/>
          </w:tcPr>
          <w:p>
            <w:pPr>
              <w:jc w:val="center"/>
              <w:ind w:right="690"/>
              <w:spacing w:after="0"/>
              <w:rPr>
                <w:sz w:val="20"/>
                <w:szCs w:val="20"/>
                <w:color w:val="auto"/>
              </w:rPr>
            </w:pPr>
            <w:r>
              <w:rPr>
                <w:rFonts w:ascii="Arial" w:cs="Arial" w:eastAsia="Arial" w:hAnsi="Arial"/>
                <w:sz w:val="18"/>
                <w:szCs w:val="18"/>
                <w:color w:val="auto"/>
                <w:w w:val="89"/>
              </w:rPr>
              <w:t>October 5, 2020</w:t>
            </w:r>
          </w:p>
        </w:tc>
      </w:tr>
      <w:tr>
        <w:trPr>
          <w:trHeight w:val="90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333-249332</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540" w:type="dxa"/>
            <w:vAlign w:val="bottom"/>
          </w:tcPr>
          <w:p>
            <w:pPr>
              <w:jc w:val="center"/>
              <w:ind w:right="690"/>
              <w:spacing w:after="0"/>
              <w:rPr>
                <w:sz w:val="20"/>
                <w:szCs w:val="20"/>
                <w:color w:val="auto"/>
              </w:rPr>
            </w:pPr>
            <w:r>
              <w:rPr>
                <w:rFonts w:ascii="Arial" w:cs="Arial" w:eastAsia="Arial" w:hAnsi="Arial"/>
                <w:sz w:val="18"/>
                <w:szCs w:val="18"/>
                <w:color w:val="auto"/>
                <w:w w:val="89"/>
              </w:rPr>
              <w:t>October 5, 2020</w:t>
            </w:r>
          </w:p>
        </w:tc>
      </w:tr>
    </w:tbl>
    <w:p>
      <w:pPr>
        <w:spacing w:after="0" w:line="400" w:lineRule="exact"/>
        <w:rPr>
          <w:rFonts w:ascii="Arial" w:cs="Arial" w:eastAsia="Arial" w:hAnsi="Arial"/>
          <w:sz w:val="18"/>
          <w:szCs w:val="18"/>
          <w:u w:val="single" w:color="auto"/>
          <w:color w:val="0000FF"/>
        </w:rPr>
      </w:pPr>
    </w:p>
    <w:p>
      <w:pPr>
        <w:sectPr>
          <w:pgSz w:w="11900" w:h="16838" w:orient="portrait"/>
          <w:cols w:equalWidth="0" w:num="3">
            <w:col w:w="420" w:space="720"/>
            <w:col w:w="3840" w:space="160"/>
            <w:col w:w="610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3840" w:type="dxa"/>
            <w:vAlign w:val="bottom"/>
            <w:gridSpan w:val="9"/>
          </w:tcPr>
          <w:p>
            <w:pPr>
              <w:spacing w:after="0"/>
              <w:rPr>
                <w:rFonts w:ascii="Arial" w:cs="Arial" w:eastAsia="Arial" w:hAnsi="Arial"/>
                <w:sz w:val="18"/>
                <w:szCs w:val="18"/>
                <w:color w:val="0000FF"/>
                <w:w w:val="93"/>
              </w:rPr>
            </w:pPr>
            <w:hyperlink w:anchor="page123">
              <w:r>
                <w:rPr>
                  <w:rFonts w:ascii="Arial" w:cs="Arial" w:eastAsia="Arial" w:hAnsi="Arial"/>
                  <w:sz w:val="18"/>
                  <w:szCs w:val="18"/>
                  <w:color w:val="0000FF"/>
                  <w:w w:val="93"/>
                </w:rPr>
                <w:t>Certification of Principal Executive Officer Pursuant</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w:anchor="page123">
              <w:r>
                <w:rPr>
                  <w:rFonts w:ascii="Arial" w:cs="Arial" w:eastAsia="Arial" w:hAnsi="Arial"/>
                  <w:sz w:val="18"/>
                  <w:szCs w:val="18"/>
                  <w:color w:val="0000FF"/>
                  <w:w w:val="89"/>
                </w:rPr>
                <w:t>to Rules 13a-14(a) and 15d-14(a) under the</w:t>
              </w:r>
            </w:hyperlink>
          </w:p>
        </w:tc>
        <w:tc>
          <w:tcPr>
            <w:tcW w:w="6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40" w:type="dxa"/>
            <w:vAlign w:val="bottom"/>
            <w:gridSpan w:val="9"/>
          </w:tcPr>
          <w:p>
            <w:pPr>
              <w:spacing w:after="0" w:line="182" w:lineRule="exact"/>
              <w:rPr>
                <w:rFonts w:ascii="Arial" w:cs="Arial" w:eastAsia="Arial" w:hAnsi="Arial"/>
                <w:sz w:val="18"/>
                <w:szCs w:val="18"/>
                <w:color w:val="0000FF"/>
              </w:rPr>
            </w:pPr>
            <w:hyperlink w:anchor="page123">
              <w:r>
                <w:rPr>
                  <w:rFonts w:ascii="Arial" w:cs="Arial" w:eastAsia="Arial" w:hAnsi="Arial"/>
                  <w:sz w:val="18"/>
                  <w:szCs w:val="18"/>
                  <w:color w:val="0000FF"/>
                </w:rPr>
                <w:t>Securities Exchange Act of 1934, as Adopted</w:t>
              </w:r>
            </w:hyperlink>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260" w:type="dxa"/>
            <w:vAlign w:val="bottom"/>
            <w:tcBorders>
              <w:top w:val="single" w:sz="8" w:color="0000FF"/>
            </w:tcBorders>
            <w:gridSpan w:val="4"/>
          </w:tcPr>
          <w:p>
            <w:pPr>
              <w:spacing w:after="0" w:line="195" w:lineRule="exact"/>
              <w:rPr>
                <w:rFonts w:ascii="Arial" w:cs="Arial" w:eastAsia="Arial" w:hAnsi="Arial"/>
                <w:sz w:val="18"/>
                <w:szCs w:val="18"/>
                <w:u w:val="single" w:color="auto"/>
                <w:color w:val="0000FF"/>
                <w:w w:val="86"/>
              </w:rPr>
            </w:pPr>
            <w:hyperlink w:anchor="page123">
              <w:r>
                <w:rPr>
                  <w:rFonts w:ascii="Arial" w:cs="Arial" w:eastAsia="Arial" w:hAnsi="Arial"/>
                  <w:sz w:val="18"/>
                  <w:szCs w:val="18"/>
                  <w:u w:val="single" w:color="auto"/>
                  <w:color w:val="0000FF"/>
                  <w:w w:val="86"/>
                </w:rPr>
                <w:t>Pursuant to Section 302 of the Sarbanes-Oxley</w:t>
              </w:r>
            </w:hyperlink>
          </w:p>
        </w:tc>
        <w:tc>
          <w:tcPr>
            <w:tcW w:w="580" w:type="dxa"/>
            <w:vAlign w:val="bottom"/>
            <w:gridSpan w:val="5"/>
          </w:tcPr>
          <w:p>
            <w:pPr>
              <w:ind w:left="140"/>
              <w:spacing w:after="0" w:line="195" w:lineRule="exact"/>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Act</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840" w:type="dxa"/>
            <w:vAlign w:val="bottom"/>
            <w:gridSpan w:val="9"/>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of 2002.</w:t>
              </w:r>
            </w:hyperlink>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840" w:type="dxa"/>
            <w:vAlign w:val="bottom"/>
            <w:gridSpan w:val="9"/>
          </w:tcPr>
          <w:p>
            <w:pPr>
              <w:spacing w:after="0"/>
              <w:rPr>
                <w:rFonts w:ascii="Arial" w:cs="Arial" w:eastAsia="Arial" w:hAnsi="Arial"/>
                <w:sz w:val="18"/>
                <w:szCs w:val="18"/>
                <w:color w:val="0000FF"/>
                <w:w w:val="95"/>
              </w:rPr>
            </w:pPr>
            <w:hyperlink w:anchor="page124">
              <w:r>
                <w:rPr>
                  <w:rFonts w:ascii="Arial" w:cs="Arial" w:eastAsia="Arial" w:hAnsi="Arial"/>
                  <w:sz w:val="18"/>
                  <w:szCs w:val="18"/>
                  <w:color w:val="0000FF"/>
                  <w:w w:val="95"/>
                </w:rPr>
                <w:t>Certification of Principal Financial Officer Pursuant</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w:anchor="page124">
              <w:r>
                <w:rPr>
                  <w:rFonts w:ascii="Arial" w:cs="Arial" w:eastAsia="Arial" w:hAnsi="Arial"/>
                  <w:sz w:val="18"/>
                  <w:szCs w:val="18"/>
                  <w:color w:val="0000FF"/>
                  <w:w w:val="89"/>
                </w:rPr>
                <w:t>to Rules 13a-14(a) and 15d-14(a) under the</w:t>
              </w:r>
            </w:hyperlink>
          </w:p>
        </w:tc>
        <w:tc>
          <w:tcPr>
            <w:tcW w:w="620" w:type="dxa"/>
            <w:vAlign w:val="bottom"/>
            <w:tcBorders>
              <w:top w:val="single" w:sz="8" w:color="0000FF"/>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40" w:type="dxa"/>
            <w:vAlign w:val="bottom"/>
            <w:gridSpan w:val="9"/>
          </w:tcPr>
          <w:p>
            <w:pPr>
              <w:spacing w:after="0" w:line="182" w:lineRule="exact"/>
              <w:rPr>
                <w:rFonts w:ascii="Arial" w:cs="Arial" w:eastAsia="Arial" w:hAnsi="Arial"/>
                <w:sz w:val="18"/>
                <w:szCs w:val="18"/>
                <w:color w:val="0000FF"/>
              </w:rPr>
            </w:pPr>
            <w:hyperlink w:anchor="page124">
              <w:r>
                <w:rPr>
                  <w:rFonts w:ascii="Arial" w:cs="Arial" w:eastAsia="Arial" w:hAnsi="Arial"/>
                  <w:sz w:val="18"/>
                  <w:szCs w:val="18"/>
                  <w:color w:val="0000FF"/>
                </w:rPr>
                <w:t>Securities Exchange Act of 1934, as Adopted</w:t>
              </w:r>
            </w:hyperlink>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260" w:type="dxa"/>
            <w:vAlign w:val="bottom"/>
            <w:tcBorders>
              <w:top w:val="single" w:sz="8" w:color="0000FF"/>
            </w:tcBorders>
            <w:gridSpan w:val="4"/>
          </w:tcPr>
          <w:p>
            <w:pPr>
              <w:spacing w:after="0" w:line="195" w:lineRule="exact"/>
              <w:rPr>
                <w:rFonts w:ascii="Arial" w:cs="Arial" w:eastAsia="Arial" w:hAnsi="Arial"/>
                <w:sz w:val="18"/>
                <w:szCs w:val="18"/>
                <w:u w:val="single" w:color="auto"/>
                <w:color w:val="0000FF"/>
                <w:w w:val="86"/>
              </w:rPr>
            </w:pPr>
            <w:hyperlink w:anchor="page124">
              <w:r>
                <w:rPr>
                  <w:rFonts w:ascii="Arial" w:cs="Arial" w:eastAsia="Arial" w:hAnsi="Arial"/>
                  <w:sz w:val="18"/>
                  <w:szCs w:val="18"/>
                  <w:u w:val="single" w:color="auto"/>
                  <w:color w:val="0000FF"/>
                  <w:w w:val="86"/>
                </w:rPr>
                <w:t>Pursuant to Section 302 of the Sarbanes-Oxley</w:t>
              </w:r>
            </w:hyperlink>
          </w:p>
        </w:tc>
        <w:tc>
          <w:tcPr>
            <w:tcW w:w="580" w:type="dxa"/>
            <w:vAlign w:val="bottom"/>
            <w:gridSpan w:val="5"/>
          </w:tcPr>
          <w:p>
            <w:pPr>
              <w:ind w:left="140"/>
              <w:spacing w:after="0" w:line="195" w:lineRule="exact"/>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Act</w:t>
              </w:r>
            </w:hyperlink>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840" w:type="dxa"/>
            <w:vAlign w:val="bottom"/>
            <w:gridSpan w:val="9"/>
          </w:tcPr>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of 2002.</w:t>
              </w:r>
            </w:hyperlink>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3840" w:type="dxa"/>
            <w:vAlign w:val="bottom"/>
            <w:gridSpan w:val="9"/>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Certification of Principal Executive Officer and</w:t>
              </w:r>
            </w:hyperlink>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3840" w:type="dxa"/>
            <w:vAlign w:val="bottom"/>
            <w:gridSpan w:val="9"/>
          </w:tcPr>
          <w:p>
            <w:pPr>
              <w:spacing w:after="0" w:line="190" w:lineRule="exact"/>
              <w:rPr>
                <w:rFonts w:ascii="Arial" w:cs="Arial" w:eastAsia="Arial" w:hAnsi="Arial"/>
                <w:sz w:val="18"/>
                <w:szCs w:val="18"/>
                <w:color w:val="0000FF"/>
                <w:w w:val="99"/>
              </w:rPr>
            </w:pPr>
            <w:hyperlink w:anchor="page125">
              <w:r>
                <w:rPr>
                  <w:rFonts w:ascii="Arial" w:cs="Arial" w:eastAsia="Arial" w:hAnsi="Arial"/>
                  <w:sz w:val="18"/>
                  <w:szCs w:val="18"/>
                  <w:u w:val="single" w:color="auto"/>
                  <w:color w:val="0000FF"/>
                  <w:w w:val="99"/>
                </w:rPr>
                <w:t>Principal Financial Officer</w:t>
              </w:r>
              <w:r>
                <w:rPr>
                  <w:rFonts w:ascii="Arial" w:cs="Arial" w:eastAsia="Arial" w:hAnsi="Arial"/>
                  <w:sz w:val="18"/>
                  <w:szCs w:val="18"/>
                  <w:color w:val="0000FF"/>
                  <w:w w:val="99"/>
                </w:rPr>
                <w:t xml:space="preserve"> Pursuant to 18 U.S.C.</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920" w:type="dxa"/>
            <w:vAlign w:val="bottom"/>
            <w:vMerge w:val="restart"/>
          </w:tcPr>
          <w:p>
            <w:pPr>
              <w:spacing w:after="0" w:line="202" w:lineRule="exact"/>
              <w:rPr>
                <w:rFonts w:ascii="Arial" w:cs="Arial" w:eastAsia="Arial" w:hAnsi="Arial"/>
                <w:sz w:val="18"/>
                <w:szCs w:val="18"/>
                <w:color w:val="0000FF"/>
                <w:w w:val="92"/>
              </w:rPr>
            </w:pPr>
            <w:hyperlink w:anchor="page125">
              <w:r>
                <w:rPr>
                  <w:rFonts w:ascii="Arial" w:cs="Arial" w:eastAsia="Arial" w:hAnsi="Arial"/>
                  <w:sz w:val="18"/>
                  <w:szCs w:val="18"/>
                  <w:color w:val="0000FF"/>
                  <w:w w:val="92"/>
                </w:rPr>
                <w:t>Section 1350, as Adopted</w:t>
              </w:r>
            </w:hyperlink>
          </w:p>
        </w:tc>
        <w:tc>
          <w:tcPr>
            <w:tcW w:w="4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920" w:type="dxa"/>
            <w:vAlign w:val="bottom"/>
            <w:gridSpan w:val="8"/>
          </w:tcPr>
          <w:p>
            <w:pPr>
              <w:spacing w:after="0" w:line="182" w:lineRule="exact"/>
              <w:rPr>
                <w:rFonts w:ascii="Arial" w:cs="Arial" w:eastAsia="Arial" w:hAnsi="Arial"/>
                <w:sz w:val="18"/>
                <w:szCs w:val="18"/>
                <w:color w:val="0000FF"/>
                <w:w w:val="89"/>
              </w:rPr>
            </w:pPr>
            <w:hyperlink w:anchor="page125">
              <w:r>
                <w:rPr>
                  <w:rFonts w:ascii="Arial" w:cs="Arial" w:eastAsia="Arial" w:hAnsi="Arial"/>
                  <w:sz w:val="18"/>
                  <w:szCs w:val="18"/>
                  <w:color w:val="0000FF"/>
                  <w:w w:val="89"/>
                </w:rPr>
                <w:t>Pursuant to Section 906 of</w:t>
              </w:r>
            </w:hyperlink>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9"/>
              </w:rPr>
            </w:pPr>
            <w:hyperlink w:anchor="page125">
              <w:r>
                <w:rPr>
                  <w:rFonts w:ascii="Arial" w:cs="Arial" w:eastAsia="Arial" w:hAnsi="Arial"/>
                  <w:sz w:val="18"/>
                  <w:szCs w:val="18"/>
                  <w:color w:val="0000FF"/>
                  <w:w w:val="89"/>
                </w:rPr>
                <w:t>the Sarbanes-Oxley Act of 2002.</w:t>
              </w:r>
            </w:hyperlink>
          </w:p>
        </w:tc>
        <w:tc>
          <w:tcPr>
            <w:tcW w:w="14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384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38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84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207" w:lineRule="exact"/>
        <w:rPr>
          <w:sz w:val="20"/>
          <w:szCs w:val="20"/>
          <w:color w:val="auto"/>
        </w:rPr>
      </w:pPr>
    </w:p>
    <w:p>
      <w:pPr>
        <w:sectPr>
          <w:pgSz w:w="11900" w:h="16838" w:orient="portrait"/>
          <w:cols w:equalWidth="0" w:num="2">
            <w:col w:w="9760" w:space="720"/>
            <w:col w:w="76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600" w:type="dxa"/>
            <w:vAlign w:val="bottom"/>
          </w:tcPr>
          <w:p>
            <w:pPr>
              <w:ind w:left="220"/>
              <w:spacing w:after="0"/>
              <w:rPr>
                <w:sz w:val="20"/>
                <w:szCs w:val="20"/>
                <w:color w:val="auto"/>
              </w:rPr>
            </w:pPr>
            <w:r>
              <w:rPr>
                <w:rFonts w:ascii="Arial" w:cs="Arial" w:eastAsia="Arial" w:hAnsi="Arial"/>
                <w:sz w:val="18"/>
                <w:szCs w:val="18"/>
                <w:color w:val="auto"/>
                <w:w w:val="92"/>
              </w:rPr>
              <w:t>Inline XBRL Taxonomy Extension Calculation</w:t>
            </w:r>
          </w:p>
        </w:tc>
      </w:tr>
      <w:tr>
        <w:trPr>
          <w:trHeight w:val="230"/>
        </w:trPr>
        <w:tc>
          <w:tcPr>
            <w:tcW w:w="900" w:type="dxa"/>
            <w:vAlign w:val="bottom"/>
          </w:tcPr>
          <w:p>
            <w:pPr>
              <w:spacing w:after="0"/>
              <w:rPr>
                <w:sz w:val="20"/>
                <w:szCs w:val="20"/>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9" w:name="page90"/>
    <w:bookmarkEnd w:id="89"/>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0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w:t>
            </w:r>
          </w:p>
        </w:tc>
      </w:tr>
      <w:tr>
        <w:trPr>
          <w:trHeight w:val="230"/>
        </w:trPr>
        <w:tc>
          <w:tcPr>
            <w:tcW w:w="90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Linkbase Document</w:t>
            </w: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00" w:type="dxa"/>
            <w:vAlign w:val="bottom"/>
          </w:tcPr>
          <w:p>
            <w:pPr>
              <w:ind w:left="220"/>
              <w:spacing w:after="0"/>
              <w:rPr>
                <w:sz w:val="20"/>
                <w:szCs w:val="20"/>
                <w:color w:val="auto"/>
              </w:rPr>
            </w:pPr>
            <w:r>
              <w:rPr>
                <w:rFonts w:ascii="Arial" w:cs="Arial" w:eastAsia="Arial" w:hAnsi="Arial"/>
                <w:sz w:val="18"/>
                <w:szCs w:val="18"/>
                <w:color w:val="auto"/>
                <w:w w:val="92"/>
              </w:rPr>
              <w:t>Inline XBRL Taxonomy Extension Label Linkbase</w:t>
            </w:r>
          </w:p>
        </w:tc>
      </w:tr>
      <w:tr>
        <w:trPr>
          <w:trHeight w:val="230"/>
        </w:trPr>
        <w:tc>
          <w:tcPr>
            <w:tcW w:w="90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Document</w:t>
            </w: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00" w:type="dxa"/>
            <w:vAlign w:val="bottom"/>
          </w:tcPr>
          <w:p>
            <w:pPr>
              <w:ind w:left="220"/>
              <w:spacing w:after="0"/>
              <w:rPr>
                <w:sz w:val="20"/>
                <w:szCs w:val="20"/>
                <w:color w:val="auto"/>
              </w:rPr>
            </w:pPr>
            <w:r>
              <w:rPr>
                <w:rFonts w:ascii="Arial" w:cs="Arial" w:eastAsia="Arial" w:hAnsi="Arial"/>
                <w:sz w:val="18"/>
                <w:szCs w:val="18"/>
                <w:color w:val="auto"/>
                <w:w w:val="97"/>
              </w:rPr>
              <w:t>Inline XBRL Taxonomy Extension Presentation</w:t>
            </w:r>
          </w:p>
        </w:tc>
      </w:tr>
      <w:tr>
        <w:trPr>
          <w:trHeight w:val="230"/>
        </w:trPr>
        <w:tc>
          <w:tcPr>
            <w:tcW w:w="90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Linkbase Document</w:t>
            </w:r>
          </w:p>
        </w:tc>
      </w:tr>
    </w:tbl>
    <w:p>
      <w:pPr>
        <w:spacing w:after="0" w:line="39" w:lineRule="exact"/>
        <w:rPr>
          <w:sz w:val="20"/>
          <w:szCs w:val="20"/>
          <w:color w:val="auto"/>
        </w:rPr>
      </w:pPr>
    </w:p>
    <w:p>
      <w:pPr>
        <w:ind w:left="1120" w:right="6020" w:hanging="1114"/>
        <w:spacing w:after="0" w:line="235" w:lineRule="auto"/>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78" w:lineRule="exact"/>
        <w:rPr>
          <w:rFonts w:ascii="Arial" w:cs="Arial" w:eastAsia="Arial" w:hAnsi="Arial"/>
          <w:sz w:val="18"/>
          <w:szCs w:val="18"/>
          <w:color w:val="auto"/>
        </w:rPr>
      </w:pPr>
    </w:p>
    <w:p>
      <w:pPr>
        <w:ind w:left="160" w:hanging="162"/>
        <w:spacing w:after="0" w:line="273" w:lineRule="auto"/>
        <w:rPr>
          <w:rFonts w:ascii="Arial" w:cs="Arial" w:eastAsia="Arial" w:hAnsi="Arial"/>
          <w:sz w:val="18"/>
          <w:szCs w:val="18"/>
          <w:color w:val="auto"/>
        </w:rPr>
      </w:pPr>
      <w:r>
        <w:rPr>
          <w:rFonts w:ascii="Arial" w:cs="Arial" w:eastAsia="Arial" w:hAnsi="Arial"/>
          <w:sz w:val="14"/>
          <w:szCs w:val="14"/>
          <w:color w:val="auto"/>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40" w:top="1440" w:right="599" w:bottom="1440" w:gutter="0" w:footer="0" w:header="0"/>
        </w:sectPr>
      </w:pPr>
    </w:p>
    <w:bookmarkStart w:id="90" w:name="page91"/>
    <w:bookmarkEnd w:id="90"/>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Columbus, State of Ohio, on December 2, 2020.</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1800" w:type="dxa"/>
            <w:vAlign w:val="bottom"/>
          </w:tcPr>
          <w:p>
            <w:pPr>
              <w:ind w:left="100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540"/>
        </w:trPr>
        <w:tc>
          <w:tcPr>
            <w:tcW w:w="2780" w:type="dxa"/>
            <w:vAlign w:val="bottom"/>
          </w:tcPr>
          <w:p>
            <w:pPr>
              <w:spacing w:after="0"/>
              <w:rPr>
                <w:sz w:val="20"/>
                <w:szCs w:val="20"/>
                <w:color w:val="auto"/>
              </w:rPr>
            </w:pPr>
            <w:r>
              <w:rPr>
                <w:rFonts w:ascii="Arial" w:cs="Arial" w:eastAsia="Arial" w:hAnsi="Arial"/>
                <w:sz w:val="18"/>
                <w:szCs w:val="18"/>
                <w:color w:val="auto"/>
              </w:rPr>
              <w:t>Date: December 2, 2020</w:t>
            </w:r>
          </w:p>
        </w:tc>
        <w:tc>
          <w:tcPr>
            <w:tcW w:w="1800" w:type="dxa"/>
            <w:vAlign w:val="bottom"/>
          </w:tcPr>
          <w:p>
            <w:pPr>
              <w:ind w:left="10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Alexander Timm</w:t>
            </w:r>
          </w:p>
        </w:tc>
      </w:tr>
      <w:tr>
        <w:trPr>
          <w:trHeight w:val="237"/>
        </w:trPr>
        <w:tc>
          <w:tcPr>
            <w:tcW w:w="2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Alexander Timm</w:t>
            </w:r>
          </w:p>
        </w:tc>
      </w:tr>
      <w:tr>
        <w:trPr>
          <w:trHeight w:val="257"/>
        </w:trPr>
        <w:tc>
          <w:tcPr>
            <w:tcW w:w="2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93"/>
        </w:trPr>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i w:val="1"/>
                <w:iCs w:val="1"/>
                <w:color w:val="auto"/>
              </w:rPr>
              <w:t>Principal Executive Officer</w:t>
            </w:r>
            <w:r>
              <w:rPr>
                <w:rFonts w:ascii="Arial" w:cs="Arial" w:eastAsia="Arial" w:hAnsi="Arial"/>
                <w:sz w:val="18"/>
                <w:szCs w:val="18"/>
                <w:color w:val="auto"/>
              </w:rPr>
              <w:t>)</w:t>
            </w:r>
          </w:p>
        </w:tc>
      </w:tr>
      <w:tr>
        <w:trPr>
          <w:trHeight w:val="530"/>
        </w:trPr>
        <w:tc>
          <w:tcPr>
            <w:tcW w:w="2780" w:type="dxa"/>
            <w:vAlign w:val="bottom"/>
          </w:tcPr>
          <w:p>
            <w:pPr>
              <w:spacing w:after="0"/>
              <w:rPr>
                <w:sz w:val="24"/>
                <w:szCs w:val="24"/>
                <w:color w:val="auto"/>
              </w:rPr>
            </w:pPr>
          </w:p>
        </w:tc>
        <w:tc>
          <w:tcPr>
            <w:tcW w:w="1800" w:type="dxa"/>
            <w:vAlign w:val="bottom"/>
          </w:tcPr>
          <w:p>
            <w:pPr>
              <w:ind w:left="100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540"/>
        </w:trPr>
        <w:tc>
          <w:tcPr>
            <w:tcW w:w="2780" w:type="dxa"/>
            <w:vAlign w:val="bottom"/>
          </w:tcPr>
          <w:p>
            <w:pPr>
              <w:spacing w:after="0"/>
              <w:rPr>
                <w:sz w:val="20"/>
                <w:szCs w:val="20"/>
                <w:color w:val="auto"/>
              </w:rPr>
            </w:pPr>
            <w:r>
              <w:rPr>
                <w:rFonts w:ascii="Arial" w:cs="Arial" w:eastAsia="Arial" w:hAnsi="Arial"/>
                <w:sz w:val="18"/>
                <w:szCs w:val="18"/>
                <w:color w:val="auto"/>
              </w:rPr>
              <w:t>Date: December 2, 2020</w:t>
            </w:r>
          </w:p>
        </w:tc>
        <w:tc>
          <w:tcPr>
            <w:tcW w:w="1800" w:type="dxa"/>
            <w:vAlign w:val="bottom"/>
          </w:tcPr>
          <w:p>
            <w:pPr>
              <w:ind w:left="100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Daniel Rosenthal</w:t>
            </w:r>
          </w:p>
        </w:tc>
      </w:tr>
      <w:tr>
        <w:trPr>
          <w:trHeight w:val="237"/>
        </w:trPr>
        <w:tc>
          <w:tcPr>
            <w:tcW w:w="2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Daniel Rosenthal</w:t>
            </w:r>
          </w:p>
        </w:tc>
      </w:tr>
      <w:tr>
        <w:trPr>
          <w:trHeight w:val="257"/>
        </w:trPr>
        <w:tc>
          <w:tcPr>
            <w:tcW w:w="2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293"/>
        </w:trPr>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i w:val="1"/>
                <w:iCs w:val="1"/>
                <w:color w:val="auto"/>
              </w:rPr>
              <w:t>Principal Financial Officer</w:t>
            </w:r>
            <w:r>
              <w:rPr>
                <w:rFonts w:ascii="Arial" w:cs="Arial" w:eastAsia="Arial" w:hAnsi="Arial"/>
                <w:sz w:val="18"/>
                <w:szCs w:val="18"/>
                <w:color w:val="auto"/>
              </w:rPr>
              <w:t>)</w:t>
            </w:r>
          </w:p>
        </w:tc>
      </w:tr>
      <w:tr>
        <w:trPr>
          <w:trHeight w:val="530"/>
        </w:trPr>
        <w:tc>
          <w:tcPr>
            <w:tcW w:w="2780" w:type="dxa"/>
            <w:vAlign w:val="bottom"/>
          </w:tcPr>
          <w:p>
            <w:pPr>
              <w:spacing w:after="0"/>
              <w:rPr>
                <w:sz w:val="24"/>
                <w:szCs w:val="24"/>
                <w:color w:val="auto"/>
              </w:rPr>
            </w:pPr>
          </w:p>
        </w:tc>
        <w:tc>
          <w:tcPr>
            <w:tcW w:w="1800" w:type="dxa"/>
            <w:vAlign w:val="bottom"/>
          </w:tcPr>
          <w:p>
            <w:pPr>
              <w:ind w:left="100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540"/>
        </w:trPr>
        <w:tc>
          <w:tcPr>
            <w:tcW w:w="2780" w:type="dxa"/>
            <w:vAlign w:val="bottom"/>
          </w:tcPr>
          <w:p>
            <w:pPr>
              <w:spacing w:after="0"/>
              <w:rPr>
                <w:sz w:val="20"/>
                <w:szCs w:val="20"/>
                <w:color w:val="auto"/>
              </w:rPr>
            </w:pPr>
            <w:r>
              <w:rPr>
                <w:rFonts w:ascii="Arial" w:cs="Arial" w:eastAsia="Arial" w:hAnsi="Arial"/>
                <w:sz w:val="18"/>
                <w:szCs w:val="18"/>
                <w:color w:val="auto"/>
              </w:rPr>
              <w:t>Date: December 2, 2020</w:t>
            </w:r>
          </w:p>
        </w:tc>
        <w:tc>
          <w:tcPr>
            <w:tcW w:w="1800" w:type="dxa"/>
            <w:vAlign w:val="bottom"/>
          </w:tcPr>
          <w:p>
            <w:pPr>
              <w:ind w:left="100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Megan Binkley</w:t>
            </w:r>
          </w:p>
        </w:tc>
      </w:tr>
      <w:tr>
        <w:trPr>
          <w:trHeight w:val="237"/>
        </w:trPr>
        <w:tc>
          <w:tcPr>
            <w:tcW w:w="2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Megan Binkley</w:t>
            </w:r>
          </w:p>
        </w:tc>
      </w:tr>
      <w:tr>
        <w:trPr>
          <w:trHeight w:val="257"/>
        </w:trPr>
        <w:tc>
          <w:tcPr>
            <w:tcW w:w="2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r>
        <w:trPr>
          <w:trHeight w:val="293"/>
        </w:trPr>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i w:val="1"/>
                <w:iCs w:val="1"/>
                <w:color w:val="auto"/>
              </w:rPr>
              <w:t>Principal Accounting Officer</w:t>
            </w:r>
            <w:r>
              <w:rPr>
                <w:rFonts w:ascii="Arial" w:cs="Arial" w:eastAsia="Arial" w:hAnsi="Arial"/>
                <w:sz w:val="18"/>
                <w:szCs w:val="18"/>
                <w:color w:val="auto"/>
              </w:rPr>
              <w:t>)</w:t>
            </w:r>
          </w:p>
        </w:tc>
      </w:tr>
    </w:tbl>
    <w:p>
      <w:pPr>
        <w:sectPr>
          <w:pgSz w:w="11900" w:h="16838" w:orient="portrait"/>
          <w:cols w:equalWidth="0" w:num="1">
            <w:col w:w="10980"/>
          </w:cols>
          <w:pgMar w:left="320" w:top="1417" w:right="59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Root,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Adopted by the Board of Directors: October 18, 2020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Approved by the Stockholders: October 19, 2020</w:t>
      </w:r>
    </w:p>
    <w:p>
      <w:pPr>
        <w:spacing w:after="0" w:line="22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15" w:lineRule="exact"/>
        <w:rPr>
          <w:rFonts w:ascii="Arial" w:cs="Arial" w:eastAsia="Arial" w:hAnsi="Arial"/>
          <w:sz w:val="20"/>
          <w:szCs w:val="20"/>
          <w:b w:val="1"/>
          <w:bCs w:val="1"/>
          <w:color w:val="auto"/>
        </w:rPr>
      </w:pPr>
    </w:p>
    <w:p>
      <w:pPr>
        <w:jc w:val="both"/>
        <w:ind w:firstLine="656"/>
        <w:spacing w:after="0" w:line="259" w:lineRule="auto"/>
        <w:tabs>
          <w:tab w:leader="none" w:pos="1284" w:val="left"/>
        </w:tabs>
        <w:numPr>
          <w:ilvl w:val="1"/>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Successor to and Continuation of Prior Plan. </w:t>
      </w:r>
      <w:r>
        <w:rPr>
          <w:rFonts w:ascii="Arial" w:cs="Arial" w:eastAsia="Arial" w:hAnsi="Arial"/>
          <w:sz w:val="19"/>
          <w:szCs w:val="19"/>
          <w:color w:val="auto"/>
        </w:rPr>
        <w:t>The Plan is the successor to and continuation of the Prior Plan.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(i) no additional awards may be granted under the Prior Plan; (ii) the Prior Plan’s Available Reserve (plus any Returning Shares) will become available for issuance pursuant to Awards granted under this Plan (provided, however, that any such shares that are shares of Class B Common Stock shall instead be added to the Share Reserve as shares of Class A Common Stock as described in Section 2(a));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2" w:lineRule="exact"/>
        <w:rPr>
          <w:rFonts w:ascii="Arial" w:cs="Arial" w:eastAsia="Arial" w:hAnsi="Arial"/>
          <w:sz w:val="19"/>
          <w:szCs w:val="19"/>
          <w:b w:val="1"/>
          <w:bCs w:val="1"/>
          <w:color w:val="auto"/>
        </w:rPr>
      </w:pPr>
    </w:p>
    <w:p>
      <w:pPr>
        <w:jc w:val="both"/>
        <w:ind w:firstLine="656"/>
        <w:spacing w:after="0" w:line="248" w:lineRule="auto"/>
        <w:tabs>
          <w:tab w:leader="none" w:pos="1295" w:val="left"/>
        </w:tabs>
        <w:numPr>
          <w:ilvl w:val="1"/>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Purpose. </w:t>
      </w:r>
      <w:r>
        <w:rPr>
          <w:rFonts w:ascii="Arial" w:cs="Arial" w:eastAsia="Arial" w:hAnsi="Arial"/>
          <w:sz w:val="20"/>
          <w:szCs w:val="20"/>
          <w:color w:val="auto"/>
        </w:rPr>
        <w:t>The Company, by means of the Plan, seeks to secure and retain the services of Employees, Directors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Consultants, to provide incentives for such persons to exert maximum efforts for the success of the Company and any Affiliate and to provide a means by which such persons may be given an opportunity to benefit from increases in value of the Class A Common Stock through the granting of Awards.</w:t>
      </w:r>
    </w:p>
    <w:p>
      <w:pPr>
        <w:spacing w:after="0" w:line="183" w:lineRule="exact"/>
        <w:rPr>
          <w:rFonts w:ascii="Arial" w:cs="Arial" w:eastAsia="Arial" w:hAnsi="Arial"/>
          <w:sz w:val="20"/>
          <w:szCs w:val="20"/>
          <w:b w:val="1"/>
          <w:bCs w:val="1"/>
          <w:color w:val="auto"/>
        </w:rPr>
      </w:pPr>
    </w:p>
    <w:p>
      <w:pPr>
        <w:ind w:firstLine="656"/>
        <w:spacing w:after="0" w:line="323" w:lineRule="auto"/>
        <w:tabs>
          <w:tab w:leader="none" w:pos="1286"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(iii) SARs; (iv) Restricted Stock Awards; (v) RSU Awards; (vi) Performance Awards; and (vii) Other Awards.</w:t>
      </w:r>
    </w:p>
    <w:p>
      <w:pPr>
        <w:spacing w:after="0" w:line="117" w:lineRule="exact"/>
        <w:rPr>
          <w:rFonts w:ascii="Arial" w:cs="Arial" w:eastAsia="Arial" w:hAnsi="Arial"/>
          <w:sz w:val="18"/>
          <w:szCs w:val="18"/>
          <w:b w:val="1"/>
          <w:bCs w:val="1"/>
          <w:color w:val="auto"/>
        </w:rPr>
      </w:pPr>
    </w:p>
    <w:p>
      <w:pPr>
        <w:ind w:firstLine="656"/>
        <w:spacing w:after="0" w:line="267" w:lineRule="auto"/>
        <w:tabs>
          <w:tab w:leader="none" w:pos="1295" w:val="left"/>
        </w:tabs>
        <w:numPr>
          <w:ilvl w:val="1"/>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Adoption Date; Effective Date. </w:t>
      </w:r>
      <w:r>
        <w:rPr>
          <w:rFonts w:ascii="Arial" w:cs="Arial" w:eastAsia="Arial" w:hAnsi="Arial"/>
          <w:sz w:val="20"/>
          <w:szCs w:val="20"/>
          <w:color w:val="auto"/>
        </w:rPr>
        <w:t>The Plan will come into existence on the Adoption Date, but no Award may be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the Effective Date.</w:t>
      </w:r>
    </w:p>
    <w:p>
      <w:pPr>
        <w:spacing w:after="0" w:line="163" w:lineRule="exact"/>
        <w:rPr>
          <w:rFonts w:ascii="Arial" w:cs="Arial" w:eastAsia="Arial" w:hAnsi="Arial"/>
          <w:sz w:val="20"/>
          <w:szCs w:val="20"/>
          <w:b w:val="1"/>
          <w:bCs w:val="1"/>
          <w:color w:val="auto"/>
        </w:rPr>
      </w:pPr>
    </w:p>
    <w:p>
      <w:pPr>
        <w:ind w:left="660" w:hanging="652"/>
        <w:spacing w:after="0"/>
        <w:tabs>
          <w:tab w:leader="none" w:pos="6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Shares Subject to the Plan.</w:t>
      </w:r>
    </w:p>
    <w:p>
      <w:pPr>
        <w:spacing w:after="0" w:line="215" w:lineRule="exact"/>
        <w:rPr>
          <w:rFonts w:ascii="Arial" w:cs="Arial" w:eastAsia="Arial" w:hAnsi="Arial"/>
          <w:sz w:val="20"/>
          <w:szCs w:val="20"/>
          <w:b w:val="1"/>
          <w:bCs w:val="1"/>
          <w:color w:val="auto"/>
        </w:rPr>
      </w:pPr>
    </w:p>
    <w:p>
      <w:pPr>
        <w:jc w:val="both"/>
        <w:ind w:firstLine="656"/>
        <w:spacing w:after="0" w:line="275" w:lineRule="auto"/>
        <w:tabs>
          <w:tab w:leader="none" w:pos="1284"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adjustment in accordance with Section 2(c) and any adjustments as necessary to implement any</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Capitalization Adjustments, the aggregate number of shares of Class A Common Stock that may be issued pursuant to Awards will not exceed 41,247,840 shares, which number is the sum of: (i) 25,000,000 new shares, plus (ii) a number of shares of Class A Common Stock equal to the Prior Plan’s Available Reserve, plus (iii) a number of shares of Class A Common Stock equal to the number of Returning Shares, if any, as such shares become available from time to time. In addition, subject to any adjustments as necessary to implement any Capitalization Adjustments, such aggregate number of shares of Class A Common Stock will automatically increase on January 1 of each year for a period of ten years commencing on January 1, 2021 and ending on (and including) January 1, 2030, in an amount equal to 4%) of the total number of shares of Capital Stock outstanding on December 31 of the preceding year; provided, however, that the Board may act prior to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a given year to provide that the increase for such year will be a lesser number of shares of Class A Common Stock.</w:t>
      </w:r>
    </w:p>
    <w:p>
      <w:pPr>
        <w:spacing w:after="0" w:line="81" w:lineRule="exact"/>
        <w:rPr>
          <w:rFonts w:ascii="Arial" w:cs="Arial" w:eastAsia="Arial" w:hAnsi="Arial"/>
          <w:sz w:val="18"/>
          <w:szCs w:val="18"/>
          <w:b w:val="1"/>
          <w:bCs w:val="1"/>
          <w:color w:val="auto"/>
        </w:rPr>
      </w:pPr>
    </w:p>
    <w:p>
      <w:pPr>
        <w:ind w:firstLine="656"/>
        <w:spacing w:after="0" w:line="267" w:lineRule="auto"/>
        <w:tabs>
          <w:tab w:leader="none" w:pos="1295" w:val="left"/>
        </w:tabs>
        <w:numPr>
          <w:ilvl w:val="1"/>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Aggregate Incentive Stock Option Limit. </w:t>
      </w:r>
      <w:r>
        <w:rPr>
          <w:rFonts w:ascii="Arial" w:cs="Arial" w:eastAsia="Arial" w:hAnsi="Arial"/>
          <w:sz w:val="20"/>
          <w:szCs w:val="20"/>
          <w:color w:val="auto"/>
        </w:rPr>
        <w:t>Notwithstanding anything to the contrary in Section 2(a) and subject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adjustments as necessary to implement any Capitalization Adjustments,</w:t>
      </w:r>
    </w:p>
    <w:p>
      <w:pPr>
        <w:sectPr>
          <w:pgSz w:w="11900" w:h="16838" w:orient="portrait"/>
          <w:cols w:equalWidth="0" w:num="1">
            <w:col w:w="11240"/>
          </w:cols>
          <w:pgMar w:left="320" w:top="1413" w:right="339" w:bottom="1440" w:gutter="0" w:footer="0" w:header="0"/>
        </w:sectPr>
      </w:pPr>
    </w:p>
    <w:bookmarkStart w:id="92" w:name="page93"/>
    <w:bookmarkEnd w:id="92"/>
    <w:p>
      <w:pPr>
        <w:spacing w:after="0" w:line="260" w:lineRule="auto"/>
        <w:rPr>
          <w:sz w:val="20"/>
          <w:szCs w:val="20"/>
          <w:color w:val="auto"/>
        </w:rPr>
      </w:pPr>
      <w:r>
        <w:rPr>
          <w:rFonts w:ascii="Arial" w:cs="Arial" w:eastAsia="Arial" w:hAnsi="Arial"/>
          <w:sz w:val="20"/>
          <w:szCs w:val="20"/>
          <w:color w:val="auto"/>
        </w:rPr>
        <w:t>the aggregate maximum number of shares of Class A Common Stock that may be issued pursuant to the exercise of Incentive Stock Options is 120,000,000 shares.</w:t>
      </w:r>
    </w:p>
    <w:p>
      <w:pPr>
        <w:spacing w:after="0" w:line="171" w:lineRule="exact"/>
        <w:rPr>
          <w:sz w:val="20"/>
          <w:szCs w:val="20"/>
          <w:color w:val="auto"/>
        </w:rPr>
      </w:pPr>
    </w:p>
    <w:p>
      <w:pPr>
        <w:ind w:left="1300" w:hanging="644"/>
        <w:spacing w:after="0"/>
        <w:tabs>
          <w:tab w:leader="none" w:pos="1300" w:val="left"/>
        </w:tabs>
        <w:numPr>
          <w:ilvl w:val="1"/>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Share Reserve Operation.</w:t>
      </w:r>
    </w:p>
    <w:p>
      <w:pPr>
        <w:spacing w:after="0" w:line="215" w:lineRule="exact"/>
        <w:rPr>
          <w:rFonts w:ascii="Arial" w:cs="Arial" w:eastAsia="Arial" w:hAnsi="Arial"/>
          <w:sz w:val="20"/>
          <w:szCs w:val="20"/>
          <w:b w:val="1"/>
          <w:bCs w:val="1"/>
          <w:color w:val="auto"/>
        </w:rPr>
      </w:pPr>
    </w:p>
    <w:p>
      <w:pPr>
        <w:jc w:val="both"/>
        <w:ind w:left="80" w:firstLine="1305"/>
        <w:spacing w:after="0" w:line="277" w:lineRule="auto"/>
        <w:tabs>
          <w:tab w:leader="none" w:pos="1941" w:val="left"/>
        </w:tabs>
        <w:numPr>
          <w:ilvl w:val="2"/>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Class A Common Stock Issued Pursuant to Awards. </w:t>
      </w:r>
      <w:r>
        <w:rPr>
          <w:rFonts w:ascii="Arial" w:cs="Arial" w:eastAsia="Arial" w:hAnsi="Arial"/>
          <w:sz w:val="18"/>
          <w:szCs w:val="18"/>
          <w:color w:val="auto"/>
        </w:rPr>
        <w:t>For clarity, the Share Reserve is a limit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Class A Common Stock that may be issued pursuant to Awards and does not limit the granting of Awards, except that the Company will keep available at all times the number of shares of Class A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59" w:lineRule="exact"/>
        <w:rPr>
          <w:rFonts w:ascii="Arial" w:cs="Arial" w:eastAsia="Arial" w:hAnsi="Arial"/>
          <w:sz w:val="18"/>
          <w:szCs w:val="18"/>
          <w:b w:val="1"/>
          <w:bCs w:val="1"/>
          <w:color w:val="auto"/>
        </w:rPr>
      </w:pPr>
    </w:p>
    <w:p>
      <w:pPr>
        <w:jc w:val="both"/>
        <w:ind w:left="80" w:firstLine="1305"/>
        <w:spacing w:after="0" w:line="259" w:lineRule="auto"/>
        <w:tabs>
          <w:tab w:leader="none" w:pos="1942" w:val="left"/>
        </w:tabs>
        <w:numPr>
          <w:ilvl w:val="2"/>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Actions that Do Not Constitute Issuance of Class A Common Stock and Do Not Reduce Share Reserve.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Class A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2" w:lineRule="exact"/>
        <w:rPr>
          <w:rFonts w:ascii="Arial" w:cs="Arial" w:eastAsia="Arial" w:hAnsi="Arial"/>
          <w:sz w:val="19"/>
          <w:szCs w:val="19"/>
          <w:b w:val="1"/>
          <w:bCs w:val="1"/>
          <w:color w:val="auto"/>
        </w:rPr>
      </w:pPr>
    </w:p>
    <w:p>
      <w:pPr>
        <w:jc w:val="both"/>
        <w:ind w:left="80" w:firstLine="1305"/>
        <w:spacing w:after="0" w:line="260" w:lineRule="auto"/>
        <w:tabs>
          <w:tab w:leader="none" w:pos="1943" w:val="left"/>
        </w:tabs>
        <w:numPr>
          <w:ilvl w:val="2"/>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Reversion of Previously Issued Shares of Class A Common Stock to Share Reserve. </w:t>
      </w:r>
      <w:r>
        <w:rPr>
          <w:rFonts w:ascii="Arial" w:cs="Arial" w:eastAsia="Arial" w:hAnsi="Arial"/>
          <w:sz w:val="19"/>
          <w:szCs w:val="19"/>
          <w:color w:val="auto"/>
        </w:rPr>
        <w:t>The following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Class A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2" w:lineRule="exact"/>
        <w:rPr>
          <w:rFonts w:ascii="Arial" w:cs="Arial" w:eastAsia="Arial" w:hAnsi="Arial"/>
          <w:sz w:val="19"/>
          <w:szCs w:val="19"/>
          <w:b w:val="1"/>
          <w:bCs w:val="1"/>
          <w:color w:val="auto"/>
        </w:rPr>
      </w:pPr>
    </w:p>
    <w:p>
      <w:pPr>
        <w:ind w:left="660" w:hanging="652"/>
        <w:spacing w:after="0"/>
        <w:tabs>
          <w:tab w:leader="none" w:pos="66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 and Limitations.</w:t>
      </w:r>
    </w:p>
    <w:p>
      <w:pPr>
        <w:spacing w:after="0" w:line="215" w:lineRule="exact"/>
        <w:rPr>
          <w:rFonts w:ascii="Arial" w:cs="Arial" w:eastAsia="Arial" w:hAnsi="Arial"/>
          <w:sz w:val="20"/>
          <w:szCs w:val="20"/>
          <w:b w:val="1"/>
          <w:bCs w:val="1"/>
          <w:color w:val="auto"/>
        </w:rPr>
      </w:pPr>
    </w:p>
    <w:p>
      <w:pPr>
        <w:ind w:left="1300" w:hanging="644"/>
        <w:spacing w:after="0"/>
        <w:tabs>
          <w:tab w:leader="none" w:pos="130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Subject to the terms of the Plan, Employees, Directors and Consultants are eligible to receive</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Awards.</w:t>
      </w:r>
    </w:p>
    <w:p>
      <w:pPr>
        <w:spacing w:after="0" w:line="193"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Specific Award Limitations.</w:t>
      </w:r>
    </w:p>
    <w:p>
      <w:pPr>
        <w:spacing w:after="0" w:line="215" w:lineRule="exact"/>
        <w:rPr>
          <w:rFonts w:ascii="Arial" w:cs="Arial" w:eastAsia="Arial" w:hAnsi="Arial"/>
          <w:sz w:val="20"/>
          <w:szCs w:val="20"/>
          <w:b w:val="1"/>
          <w:bCs w:val="1"/>
          <w:color w:val="auto"/>
        </w:rPr>
      </w:pPr>
    </w:p>
    <w:p>
      <w:pPr>
        <w:jc w:val="both"/>
        <w:ind w:left="80" w:firstLine="1305"/>
        <w:spacing w:after="0" w:line="253" w:lineRule="auto"/>
        <w:tabs>
          <w:tab w:leader="none" w:pos="1941" w:val="left"/>
        </w:tabs>
        <w:numPr>
          <w:ilvl w:val="2"/>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Limitations on Incentive Stock Option Recipients. </w:t>
      </w:r>
      <w:r>
        <w:rPr>
          <w:rFonts w:ascii="Arial" w:cs="Arial" w:eastAsia="Arial" w:hAnsi="Arial"/>
          <w:sz w:val="20"/>
          <w:szCs w:val="20"/>
          <w:color w:val="auto"/>
        </w:rPr>
        <w:t>Incentive Stock Options may be granted only to Employees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or a “parent corporation” or “subsidiary corporation” thereof (as such terms are defined in Sections 424(e) and (f) of the Code).</w:t>
      </w:r>
    </w:p>
    <w:p>
      <w:pPr>
        <w:spacing w:after="0" w:line="177" w:lineRule="exact"/>
        <w:rPr>
          <w:rFonts w:ascii="Arial" w:cs="Arial" w:eastAsia="Arial" w:hAnsi="Arial"/>
          <w:sz w:val="20"/>
          <w:szCs w:val="20"/>
          <w:b w:val="1"/>
          <w:bCs w:val="1"/>
          <w:color w:val="auto"/>
        </w:rPr>
      </w:pPr>
    </w:p>
    <w:p>
      <w:pPr>
        <w:jc w:val="both"/>
        <w:ind w:left="80" w:firstLine="1305"/>
        <w:spacing w:after="0" w:line="262" w:lineRule="auto"/>
        <w:tabs>
          <w:tab w:leader="none" w:pos="1942" w:val="left"/>
        </w:tabs>
        <w:numPr>
          <w:ilvl w:val="2"/>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Incentive Stock Option $100,000 Limitation. </w:t>
      </w:r>
      <w:r>
        <w:rPr>
          <w:rFonts w:ascii="Arial" w:cs="Arial" w:eastAsia="Arial" w:hAnsi="Arial"/>
          <w:sz w:val="19"/>
          <w:szCs w:val="19"/>
          <w:color w:val="auto"/>
        </w:rPr>
        <w:t>To the extent that the aggregate Fair Market Value (determined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of grant) of Class A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93" w:name="page94"/>
    <w:bookmarkEnd w:id="93"/>
    <w:p>
      <w:pPr>
        <w:ind w:left="80" w:right="20"/>
        <w:spacing w:after="0" w:line="260" w:lineRule="auto"/>
        <w:rPr>
          <w:sz w:val="20"/>
          <w:szCs w:val="20"/>
          <w:color w:val="auto"/>
        </w:rPr>
      </w:pPr>
      <w:r>
        <w:rPr>
          <w:rFonts w:ascii="Arial" w:cs="Arial" w:eastAsia="Arial" w:hAnsi="Arial"/>
          <w:sz w:val="20"/>
          <w:szCs w:val="20"/>
          <w:color w:val="auto"/>
        </w:rPr>
        <w:t>do not comply with such rules will be treated as Nonstatutory Stock Options, notwithstanding any contrary provision of the applicable Option Agreement(s).</w:t>
      </w:r>
    </w:p>
    <w:p>
      <w:pPr>
        <w:spacing w:after="0" w:line="171" w:lineRule="exact"/>
        <w:rPr>
          <w:sz w:val="20"/>
          <w:szCs w:val="20"/>
          <w:color w:val="auto"/>
        </w:rPr>
      </w:pPr>
    </w:p>
    <w:p>
      <w:pPr>
        <w:jc w:val="both"/>
        <w:ind w:left="80" w:firstLine="1305"/>
        <w:spacing w:after="0" w:line="294" w:lineRule="auto"/>
        <w:tabs>
          <w:tab w:leader="none" w:pos="1943" w:val="left"/>
        </w:tabs>
        <w:numPr>
          <w:ilvl w:val="2"/>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Options Granted to Ten Percent Stockholders. </w:t>
      </w:r>
      <w:r>
        <w:rPr>
          <w:rFonts w:ascii="Arial" w:cs="Arial" w:eastAsia="Arial" w:hAnsi="Arial"/>
          <w:sz w:val="18"/>
          <w:szCs w:val="18"/>
          <w:color w:val="auto"/>
        </w:rPr>
        <w:t>A Ten Percent Stockholder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43" w:lineRule="exact"/>
        <w:rPr>
          <w:rFonts w:ascii="Arial" w:cs="Arial" w:eastAsia="Arial" w:hAnsi="Arial"/>
          <w:sz w:val="18"/>
          <w:szCs w:val="18"/>
          <w:b w:val="1"/>
          <w:bCs w:val="1"/>
          <w:color w:val="auto"/>
        </w:rPr>
      </w:pPr>
    </w:p>
    <w:p>
      <w:pPr>
        <w:jc w:val="both"/>
        <w:ind w:left="80" w:firstLine="1305"/>
        <w:spacing w:after="0" w:line="246" w:lineRule="auto"/>
        <w:tabs>
          <w:tab w:leader="none" w:pos="1932" w:val="left"/>
        </w:tabs>
        <w:numPr>
          <w:ilvl w:val="2"/>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Limitations on Nonstatutory Stock Options and SARs. </w:t>
      </w:r>
      <w:r>
        <w:rPr>
          <w:rFonts w:ascii="Arial" w:cs="Arial" w:eastAsia="Arial" w:hAnsi="Arial"/>
          <w:sz w:val="20"/>
          <w:szCs w:val="20"/>
          <w:color w:val="auto"/>
        </w:rPr>
        <w:t>Nonstatutory Stock Options and SARs may not be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84" w:lineRule="exact"/>
        <w:rPr>
          <w:rFonts w:ascii="Arial" w:cs="Arial" w:eastAsia="Arial" w:hAnsi="Arial"/>
          <w:sz w:val="20"/>
          <w:szCs w:val="20"/>
          <w:b w:val="1"/>
          <w:bCs w:val="1"/>
          <w:color w:val="auto"/>
        </w:rPr>
      </w:pPr>
    </w:p>
    <w:p>
      <w:pPr>
        <w:ind w:firstLine="656"/>
        <w:spacing w:after="0" w:line="267" w:lineRule="auto"/>
        <w:tabs>
          <w:tab w:leader="none" w:pos="1286" w:val="left"/>
        </w:tabs>
        <w:numPr>
          <w:ilvl w:val="1"/>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Aggregate Incentive Stock Option Limit. </w:t>
      </w:r>
      <w:r>
        <w:rPr>
          <w:rFonts w:ascii="Arial" w:cs="Arial" w:eastAsia="Arial" w:hAnsi="Arial"/>
          <w:sz w:val="20"/>
          <w:szCs w:val="20"/>
          <w:color w:val="auto"/>
        </w:rPr>
        <w:t>The aggregate maximum number of shares of Class A Common Stock that may</w:t>
      </w:r>
      <w:r>
        <w:rPr>
          <w:rFonts w:ascii="Arial" w:cs="Arial" w:eastAsia="Arial" w:hAnsi="Arial"/>
          <w:sz w:val="20"/>
          <w:szCs w:val="20"/>
          <w:b w:val="1"/>
          <w:bCs w:val="1"/>
          <w:color w:val="auto"/>
        </w:rPr>
        <w:t xml:space="preserve"> </w:t>
      </w:r>
      <w:r>
        <w:rPr>
          <w:rFonts w:ascii="Arial" w:cs="Arial" w:eastAsia="Arial" w:hAnsi="Arial"/>
          <w:sz w:val="20"/>
          <w:szCs w:val="20"/>
          <w:color w:val="auto"/>
        </w:rPr>
        <w:t>be issued pursuant to the exercise of Incentive Stock Options is the number of shares specified in Section 2(b).</w:t>
      </w:r>
    </w:p>
    <w:p>
      <w:pPr>
        <w:spacing w:after="0" w:line="163" w:lineRule="exact"/>
        <w:rPr>
          <w:rFonts w:ascii="Arial" w:cs="Arial" w:eastAsia="Arial" w:hAnsi="Arial"/>
          <w:sz w:val="20"/>
          <w:szCs w:val="20"/>
          <w:b w:val="1"/>
          <w:bCs w:val="1"/>
          <w:color w:val="auto"/>
        </w:rPr>
      </w:pPr>
    </w:p>
    <w:p>
      <w:pPr>
        <w:jc w:val="both"/>
        <w:ind w:firstLine="656"/>
        <w:spacing w:after="0" w:line="280" w:lineRule="auto"/>
        <w:tabs>
          <w:tab w:leader="none" w:pos="1295"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IPO Date, to any individual for service as a Non-Employee Director with respect to any calendar year, including Awards granted and cash fees paid by the Company to such Non-Employee Director, will not exceed (i) $650,000 in total value or (ii) in the event such Non-Employee Director is first appointed or elected to the Board during such calendar year, $900,000 in total value, in each case calculating the value of any equity awards based on the grant date fair value of such equity awards for financial reporting purposes.</w:t>
      </w:r>
    </w:p>
    <w:p>
      <w:pPr>
        <w:spacing w:after="0" w:line="156" w:lineRule="exact"/>
        <w:rPr>
          <w:rFonts w:ascii="Arial" w:cs="Arial" w:eastAsia="Arial" w:hAnsi="Arial"/>
          <w:sz w:val="18"/>
          <w:szCs w:val="18"/>
          <w:b w:val="1"/>
          <w:bCs w:val="1"/>
          <w:color w:val="auto"/>
        </w:rPr>
      </w:pPr>
    </w:p>
    <w:p>
      <w:pPr>
        <w:ind w:left="660" w:hanging="652"/>
        <w:spacing w:after="0"/>
        <w:tabs>
          <w:tab w:leader="none" w:pos="66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Options and Stock Appreciation Rights.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Class A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59" w:lineRule="exact"/>
        <w:rPr>
          <w:sz w:val="20"/>
          <w:szCs w:val="20"/>
          <w:color w:val="auto"/>
        </w:rPr>
      </w:pPr>
    </w:p>
    <w:p>
      <w:pPr>
        <w:ind w:firstLine="656"/>
        <w:spacing w:after="0" w:line="267" w:lineRule="auto"/>
        <w:tabs>
          <w:tab w:leader="none" w:pos="1284"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Subject to Section 3(b) regarding Ten Percent Stockholders, no Option or SAR will be exercisable after the 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ten years from the date of grant of such Award or such shorter period specified in the Award Agreement.</w:t>
      </w:r>
    </w:p>
    <w:p>
      <w:pPr>
        <w:spacing w:after="0" w:line="163" w:lineRule="exact"/>
        <w:rPr>
          <w:rFonts w:ascii="Arial" w:cs="Arial" w:eastAsia="Arial" w:hAnsi="Arial"/>
          <w:sz w:val="20"/>
          <w:szCs w:val="20"/>
          <w:b w:val="1"/>
          <w:bCs w:val="1"/>
          <w:color w:val="auto"/>
        </w:rPr>
      </w:pPr>
    </w:p>
    <w:p>
      <w:pPr>
        <w:jc w:val="both"/>
        <w:ind w:firstLine="656"/>
        <w:spacing w:after="0" w:line="265" w:lineRule="auto"/>
        <w:tabs>
          <w:tab w:leader="none" w:pos="1295"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or Strike Price. </w:t>
      </w:r>
      <w:r>
        <w:rPr>
          <w:rFonts w:ascii="Arial" w:cs="Arial" w:eastAsia="Arial" w:hAnsi="Arial"/>
          <w:sz w:val="19"/>
          <w:szCs w:val="19"/>
          <w:color w:val="auto"/>
        </w:rPr>
        <w:t>Subject to Section 3(b) regarding Ten Percent Stockholders, the exercise or strike price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94" w:name="page95"/>
    <w:bookmarkEnd w:id="94"/>
    <w:p>
      <w:pPr>
        <w:spacing w:after="0" w:line="260" w:lineRule="auto"/>
        <w:rPr>
          <w:sz w:val="20"/>
          <w:szCs w:val="20"/>
          <w:color w:val="auto"/>
        </w:rPr>
      </w:pPr>
      <w:r>
        <w:rPr>
          <w:rFonts w:ascii="Arial" w:cs="Arial" w:eastAsia="Arial" w:hAnsi="Arial"/>
          <w:sz w:val="20"/>
          <w:szCs w:val="20"/>
          <w:color w:val="auto"/>
        </w:rPr>
        <w:t>appreciation right pursuant to a Corporate Transaction and in a manner consistent with the provisions of Sections 409A and, if applicable, 424(a) of the Code.</w:t>
      </w:r>
    </w:p>
    <w:p>
      <w:pPr>
        <w:spacing w:after="0" w:line="171" w:lineRule="exact"/>
        <w:rPr>
          <w:sz w:val="20"/>
          <w:szCs w:val="20"/>
          <w:color w:val="auto"/>
        </w:rPr>
      </w:pPr>
    </w:p>
    <w:p>
      <w:pPr>
        <w:jc w:val="both"/>
        <w:ind w:firstLine="656"/>
        <w:spacing w:after="0" w:line="260" w:lineRule="auto"/>
        <w:tabs>
          <w:tab w:leader="none" w:pos="1286" w:val="left"/>
        </w:tabs>
        <w:numPr>
          <w:ilvl w:val="1"/>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Exercise Price for Options. </w:t>
      </w:r>
      <w:r>
        <w:rPr>
          <w:rFonts w:ascii="Arial" w:cs="Arial" w:eastAsia="Arial" w:hAnsi="Arial"/>
          <w:sz w:val="19"/>
          <w:szCs w:val="19"/>
          <w:color w:val="auto"/>
        </w:rPr>
        <w:t>In order to exercise an Option, the Participant must</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78" w:lineRule="exact"/>
        <w:rPr>
          <w:rFonts w:ascii="Arial" w:cs="Arial" w:eastAsia="Arial" w:hAnsi="Arial"/>
          <w:sz w:val="19"/>
          <w:szCs w:val="19"/>
          <w:b w:val="1"/>
          <w:bCs w:val="1"/>
          <w:color w:val="auto"/>
        </w:rPr>
      </w:pPr>
    </w:p>
    <w:p>
      <w:pPr>
        <w:ind w:left="1940" w:hanging="555"/>
        <w:spacing w:after="0"/>
        <w:tabs>
          <w:tab w:leader="none" w:pos="1940" w:val="left"/>
        </w:tabs>
        <w:numPr>
          <w:ilvl w:val="2"/>
          <w:numId w:val="47"/>
        </w:numPr>
        <w:rPr>
          <w:rFonts w:ascii="Arial" w:cs="Arial" w:eastAsia="Arial" w:hAnsi="Arial"/>
          <w:sz w:val="20"/>
          <w:szCs w:val="20"/>
          <w:b w:val="1"/>
          <w:bCs w:val="1"/>
          <w:color w:val="auto"/>
        </w:rPr>
      </w:pPr>
      <w:r>
        <w:rPr>
          <w:rFonts w:ascii="Arial" w:cs="Arial" w:eastAsia="Arial" w:hAnsi="Arial"/>
          <w:sz w:val="20"/>
          <w:szCs w:val="20"/>
          <w:color w:val="auto"/>
        </w:rPr>
        <w:t>by cash or check, bank draft or money order payable to the Company;</w:t>
      </w:r>
    </w:p>
    <w:p>
      <w:pPr>
        <w:spacing w:after="0" w:line="215" w:lineRule="exact"/>
        <w:rPr>
          <w:rFonts w:ascii="Arial" w:cs="Arial" w:eastAsia="Arial" w:hAnsi="Arial"/>
          <w:sz w:val="20"/>
          <w:szCs w:val="20"/>
          <w:b w:val="1"/>
          <w:bCs w:val="1"/>
          <w:color w:val="auto"/>
        </w:rPr>
      </w:pPr>
    </w:p>
    <w:p>
      <w:pPr>
        <w:jc w:val="both"/>
        <w:ind w:left="80" w:firstLine="1305"/>
        <w:spacing w:after="0" w:line="269" w:lineRule="auto"/>
        <w:tabs>
          <w:tab w:leader="none" w:pos="1942" w:val="left"/>
        </w:tabs>
        <w:numPr>
          <w:ilvl w:val="2"/>
          <w:numId w:val="47"/>
        </w:numPr>
        <w:rPr>
          <w:rFonts w:ascii="Arial" w:cs="Arial" w:eastAsia="Arial" w:hAnsi="Arial"/>
          <w:sz w:val="19"/>
          <w:szCs w:val="19"/>
          <w:b w:val="1"/>
          <w:bCs w:val="1"/>
          <w:color w:val="auto"/>
        </w:rPr>
      </w:pPr>
      <w:r>
        <w:rPr>
          <w:rFonts w:ascii="Arial" w:cs="Arial" w:eastAsia="Arial" w:hAnsi="Arial"/>
          <w:sz w:val="19"/>
          <w:szCs w:val="19"/>
          <w:color w:val="auto"/>
        </w:rPr>
        <w:t>pursuant to a “cashless exercise” program developed under Regulation T as promulgated by the Federal Reserve Board that, prior to the issuance of the Class A Common Stock subject to the Option, results in either the receipt of cash (or check) by the Company or the receipt of irrevocable instructions to pay the exercise price to the Company from the sales proceeds;</w:t>
      </w:r>
    </w:p>
    <w:p>
      <w:pPr>
        <w:spacing w:after="0" w:line="169" w:lineRule="exact"/>
        <w:rPr>
          <w:rFonts w:ascii="Arial" w:cs="Arial" w:eastAsia="Arial" w:hAnsi="Arial"/>
          <w:sz w:val="19"/>
          <w:szCs w:val="19"/>
          <w:b w:val="1"/>
          <w:bCs w:val="1"/>
          <w:color w:val="auto"/>
        </w:rPr>
      </w:pPr>
    </w:p>
    <w:p>
      <w:pPr>
        <w:jc w:val="both"/>
        <w:ind w:left="80" w:firstLine="1305"/>
        <w:spacing w:after="0" w:line="306" w:lineRule="auto"/>
        <w:tabs>
          <w:tab w:leader="none" w:pos="1943" w:val="left"/>
        </w:tabs>
        <w:numPr>
          <w:ilvl w:val="2"/>
          <w:numId w:val="47"/>
        </w:numPr>
        <w:rPr>
          <w:rFonts w:ascii="Arial" w:cs="Arial" w:eastAsia="Arial" w:hAnsi="Arial"/>
          <w:sz w:val="16"/>
          <w:szCs w:val="16"/>
          <w:b w:val="1"/>
          <w:bCs w:val="1"/>
          <w:color w:val="auto"/>
        </w:rPr>
      </w:pPr>
      <w:r>
        <w:rPr>
          <w:rFonts w:ascii="Arial" w:cs="Arial" w:eastAsia="Arial" w:hAnsi="Arial"/>
          <w:sz w:val="16"/>
          <w:szCs w:val="16"/>
          <w:color w:val="auto"/>
        </w:rPr>
        <w:t>by delivery to the Company (either by actual delivery or attestation) of shares of Class A Common Stock that are already owned by the Participant free and clear of any liens, claims, encumbrances or security interests, with a Fair Market Value on the date of exercise that does not exceed the exercise price, provided that (1) at the time of exercise the Class A Common Stock is publicly traded,</w:t>
      </w:r>
    </w:p>
    <w:p>
      <w:pPr>
        <w:jc w:val="both"/>
        <w:ind w:left="80" w:firstLine="9"/>
        <w:spacing w:after="0" w:line="266" w:lineRule="auto"/>
        <w:tabs>
          <w:tab w:leader="none" w:pos="3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remaining balance of the exercise price not satisfied by such delivery is paid by the Participant in cash or other permitted form of payment, (3) such delivery would not violate any Applicable Law or agreement restricting the redemption of the Class A Common Stock,</w:t>
      </w:r>
    </w:p>
    <w:p>
      <w:pPr>
        <w:ind w:left="80" w:firstLine="9"/>
        <w:spacing w:after="0" w:line="297" w:lineRule="auto"/>
        <w:tabs>
          <w:tab w:leader="none" w:pos="3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46" w:lineRule="exact"/>
        <w:rPr>
          <w:rFonts w:ascii="Arial" w:cs="Arial" w:eastAsia="Arial" w:hAnsi="Arial"/>
          <w:sz w:val="18"/>
          <w:szCs w:val="18"/>
          <w:color w:val="auto"/>
        </w:rPr>
      </w:pPr>
    </w:p>
    <w:p>
      <w:pPr>
        <w:jc w:val="both"/>
        <w:ind w:left="80" w:firstLine="1305"/>
        <w:spacing w:after="0" w:line="244" w:lineRule="auto"/>
        <w:tabs>
          <w:tab w:leader="none" w:pos="1932" w:val="left"/>
        </w:tabs>
        <w:numPr>
          <w:ilvl w:val="2"/>
          <w:numId w:val="49"/>
        </w:numPr>
        <w:rPr>
          <w:rFonts w:ascii="Arial" w:cs="Arial" w:eastAsia="Arial" w:hAnsi="Arial"/>
          <w:sz w:val="20"/>
          <w:szCs w:val="20"/>
          <w:b w:val="1"/>
          <w:bCs w:val="1"/>
          <w:color w:val="auto"/>
        </w:rPr>
      </w:pPr>
      <w:r>
        <w:rPr>
          <w:rFonts w:ascii="Arial" w:cs="Arial" w:eastAsia="Arial" w:hAnsi="Arial"/>
          <w:sz w:val="20"/>
          <w:szCs w:val="20"/>
          <w:color w:val="auto"/>
        </w:rPr>
        <w:t>if the Option is a Nonstatutory Stock Option, by a “net exercise” arrangement pursuant to which the Company will reduce the number of shares of Class A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94" w:lineRule="exact"/>
        <w:rPr>
          <w:rFonts w:ascii="Arial" w:cs="Arial" w:eastAsia="Arial" w:hAnsi="Arial"/>
          <w:sz w:val="20"/>
          <w:szCs w:val="20"/>
          <w:b w:val="1"/>
          <w:bCs w:val="1"/>
          <w:color w:val="auto"/>
        </w:rPr>
      </w:pPr>
    </w:p>
    <w:p>
      <w:pPr>
        <w:ind w:left="1940" w:hanging="555"/>
        <w:spacing w:after="0"/>
        <w:tabs>
          <w:tab w:leader="none" w:pos="1940" w:val="left"/>
        </w:tabs>
        <w:numPr>
          <w:ilvl w:val="2"/>
          <w:numId w:val="49"/>
        </w:numPr>
        <w:rPr>
          <w:rFonts w:ascii="Arial" w:cs="Arial" w:eastAsia="Arial" w:hAnsi="Arial"/>
          <w:sz w:val="19"/>
          <w:szCs w:val="19"/>
          <w:b w:val="1"/>
          <w:bCs w:val="1"/>
          <w:color w:val="auto"/>
        </w:rPr>
      </w:pPr>
      <w:r>
        <w:rPr>
          <w:rFonts w:ascii="Arial" w:cs="Arial" w:eastAsia="Arial" w:hAnsi="Arial"/>
          <w:sz w:val="19"/>
          <w:szCs w:val="19"/>
          <w:color w:val="auto"/>
        </w:rPr>
        <w:t>in any other form of consideration that may be acceptable to the Board and permissible under Applicable Law.</w:t>
      </w:r>
    </w:p>
    <w:p>
      <w:pPr>
        <w:spacing w:after="0" w:line="221" w:lineRule="exact"/>
        <w:rPr>
          <w:rFonts w:ascii="Arial" w:cs="Arial" w:eastAsia="Arial" w:hAnsi="Arial"/>
          <w:sz w:val="19"/>
          <w:szCs w:val="19"/>
          <w:b w:val="1"/>
          <w:bCs w:val="1"/>
          <w:color w:val="auto"/>
        </w:rPr>
      </w:pPr>
    </w:p>
    <w:p>
      <w:pPr>
        <w:jc w:val="both"/>
        <w:ind w:firstLine="656"/>
        <w:spacing w:after="0" w:line="259" w:lineRule="auto"/>
        <w:tabs>
          <w:tab w:leader="none" w:pos="1295" w:val="left"/>
        </w:tabs>
        <w:numPr>
          <w:ilvl w:val="1"/>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Appreciation Distribution for SARs. </w:t>
      </w:r>
      <w:r>
        <w:rPr>
          <w:rFonts w:ascii="Arial" w:cs="Arial" w:eastAsia="Arial" w:hAnsi="Arial"/>
          <w:sz w:val="19"/>
          <w:szCs w:val="19"/>
          <w:color w:val="auto"/>
        </w:rPr>
        <w:t>In order to exercise any SAR,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Class A Common Stock equal to the number of Class A Common Stock equivalents that are vested and being exercised under such SAR, over (ii) the strike price of such SAR. Such appreciation distribution may be paid to the Participant in the form of Class A Common Stock or cash (or any combination of Class A Common Stock and cash) or in any other form of payment, as determined by the Board and specified in the SAR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95" w:name="page96"/>
    <w:bookmarkEnd w:id="95"/>
    <w:p>
      <w:pPr>
        <w:jc w:val="both"/>
        <w:ind w:firstLine="656"/>
        <w:spacing w:after="0" w:line="262" w:lineRule="auto"/>
        <w:tabs>
          <w:tab w:leader="none" w:pos="1286"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Transferability. </w:t>
      </w:r>
      <w:r>
        <w:rPr>
          <w:rFonts w:ascii="Arial" w:cs="Arial" w:eastAsia="Arial" w:hAnsi="Arial"/>
          <w:sz w:val="19"/>
          <w:szCs w:val="19"/>
          <w:color w:val="auto"/>
        </w:rPr>
        <w:t>Options and SARs may not be transferred to third party financial institutions for value. The Board may</w:t>
      </w:r>
      <w:r>
        <w:rPr>
          <w:rFonts w:ascii="Arial" w:cs="Arial" w:eastAsia="Arial" w:hAnsi="Arial"/>
          <w:sz w:val="19"/>
          <w:szCs w:val="19"/>
          <w:b w:val="1"/>
          <w:bCs w:val="1"/>
          <w:color w:val="auto"/>
        </w:rPr>
        <w:t xml:space="preserve"> </w:t>
      </w:r>
      <w:r>
        <w:rPr>
          <w:rFonts w:ascii="Arial" w:cs="Arial" w:eastAsia="Arial" w:hAnsi="Arial"/>
          <w:sz w:val="19"/>
          <w:szCs w:val="19"/>
          <w:color w:val="auto"/>
        </w:rPr>
        <w:t>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spacing w:after="0" w:line="170" w:lineRule="exact"/>
        <w:rPr>
          <w:rFonts w:ascii="Arial" w:cs="Arial" w:eastAsia="Arial" w:hAnsi="Arial"/>
          <w:sz w:val="19"/>
          <w:szCs w:val="19"/>
          <w:b w:val="1"/>
          <w:bCs w:val="1"/>
          <w:color w:val="auto"/>
        </w:rPr>
      </w:pPr>
    </w:p>
    <w:p>
      <w:pPr>
        <w:jc w:val="both"/>
        <w:ind w:left="80" w:firstLine="1305"/>
        <w:spacing w:after="0" w:line="260" w:lineRule="auto"/>
        <w:tabs>
          <w:tab w:leader="none" w:pos="1941"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Transfer. </w:t>
      </w:r>
      <w:r>
        <w:rPr>
          <w:rFonts w:ascii="Arial" w:cs="Arial" w:eastAsia="Arial" w:hAnsi="Arial"/>
          <w:sz w:val="19"/>
          <w:szCs w:val="19"/>
          <w:color w:val="auto"/>
        </w:rPr>
        <w:t>An Option or SAR will not be transferable, except by will or by the laws of descent and</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2" w:lineRule="exact"/>
        <w:rPr>
          <w:rFonts w:ascii="Arial" w:cs="Arial" w:eastAsia="Arial" w:hAnsi="Arial"/>
          <w:sz w:val="19"/>
          <w:szCs w:val="19"/>
          <w:b w:val="1"/>
          <w:bCs w:val="1"/>
          <w:color w:val="auto"/>
        </w:rPr>
      </w:pPr>
    </w:p>
    <w:p>
      <w:pPr>
        <w:jc w:val="both"/>
        <w:ind w:left="80" w:firstLine="1305"/>
        <w:spacing w:after="0" w:line="253" w:lineRule="auto"/>
        <w:tabs>
          <w:tab w:leader="none" w:pos="1942" w:val="left"/>
        </w:tabs>
        <w:numPr>
          <w:ilvl w:val="1"/>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Domestic Relations Orders. </w:t>
      </w:r>
      <w:r>
        <w:rPr>
          <w:rFonts w:ascii="Arial" w:cs="Arial" w:eastAsia="Arial" w:hAnsi="Arial"/>
          <w:sz w:val="20"/>
          <w:szCs w:val="20"/>
          <w:color w:val="auto"/>
        </w:rPr>
        <w:t>Notwithstanding the foregoing, subject to the execution of transfer documentation in a</w:t>
      </w:r>
      <w:r>
        <w:rPr>
          <w:rFonts w:ascii="Arial" w:cs="Arial" w:eastAsia="Arial" w:hAnsi="Arial"/>
          <w:sz w:val="20"/>
          <w:szCs w:val="20"/>
          <w:b w:val="1"/>
          <w:bCs w:val="1"/>
          <w:color w:val="auto"/>
        </w:rPr>
        <w:t xml:space="preserve"> </w:t>
      </w:r>
      <w:r>
        <w:rPr>
          <w:rFonts w:ascii="Arial" w:cs="Arial" w:eastAsia="Arial" w:hAnsi="Arial"/>
          <w:sz w:val="20"/>
          <w:szCs w:val="20"/>
          <w:color w:val="auto"/>
        </w:rPr>
        <w:t>format acceptable to the Company and subject to the approval of the Board or a duly authorized Officer, an Option or SAR may be transferred pursuant to a domestic relations order.</w:t>
      </w:r>
    </w:p>
    <w:p>
      <w:pPr>
        <w:spacing w:after="0" w:line="177" w:lineRule="exact"/>
        <w:rPr>
          <w:rFonts w:ascii="Arial" w:cs="Arial" w:eastAsia="Arial" w:hAnsi="Arial"/>
          <w:sz w:val="20"/>
          <w:szCs w:val="20"/>
          <w:b w:val="1"/>
          <w:bCs w:val="1"/>
          <w:color w:val="auto"/>
        </w:rPr>
      </w:pPr>
    </w:p>
    <w:p>
      <w:pPr>
        <w:jc w:val="both"/>
        <w:ind w:firstLine="656"/>
        <w:spacing w:after="0" w:line="294" w:lineRule="auto"/>
        <w:tabs>
          <w:tab w:leader="none" w:pos="1291"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43" w:lineRule="exact"/>
        <w:rPr>
          <w:rFonts w:ascii="Arial" w:cs="Arial" w:eastAsia="Arial" w:hAnsi="Arial"/>
          <w:sz w:val="18"/>
          <w:szCs w:val="18"/>
          <w:b w:val="1"/>
          <w:bCs w:val="1"/>
          <w:color w:val="auto"/>
        </w:rPr>
      </w:pPr>
    </w:p>
    <w:p>
      <w:pPr>
        <w:jc w:val="both"/>
        <w:ind w:firstLine="656"/>
        <w:spacing w:after="0" w:line="260" w:lineRule="auto"/>
        <w:tabs>
          <w:tab w:leader="none" w:pos="1284"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for Cause. </w:t>
      </w:r>
      <w:r>
        <w:rPr>
          <w:rFonts w:ascii="Arial" w:cs="Arial" w:eastAsia="Arial" w:hAnsi="Arial"/>
          <w:sz w:val="19"/>
          <w:szCs w:val="19"/>
          <w:color w:val="auto"/>
        </w:rPr>
        <w:t>Except as explicitly otherwise provided in the Award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Class A Common Stock subject to the forfeited Award, or any consideration in respect of the forfeited Award.</w:t>
      </w:r>
    </w:p>
    <w:p>
      <w:pPr>
        <w:spacing w:after="0" w:line="172" w:lineRule="exact"/>
        <w:rPr>
          <w:rFonts w:ascii="Arial" w:cs="Arial" w:eastAsia="Arial" w:hAnsi="Arial"/>
          <w:sz w:val="19"/>
          <w:szCs w:val="19"/>
          <w:b w:val="1"/>
          <w:bCs w:val="1"/>
          <w:color w:val="auto"/>
        </w:rPr>
      </w:pPr>
    </w:p>
    <w:p>
      <w:pPr>
        <w:jc w:val="both"/>
        <w:ind w:firstLine="656"/>
        <w:spacing w:after="0" w:line="280" w:lineRule="auto"/>
        <w:tabs>
          <w:tab w:leader="none" w:pos="129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62" w:lineRule="exact"/>
        <w:rPr>
          <w:rFonts w:ascii="Arial" w:cs="Arial" w:eastAsia="Arial" w:hAnsi="Arial"/>
          <w:sz w:val="18"/>
          <w:szCs w:val="18"/>
          <w:b w:val="1"/>
          <w:bCs w:val="1"/>
          <w:color w:val="auto"/>
        </w:rPr>
      </w:pPr>
    </w:p>
    <w:p>
      <w:pPr>
        <w:ind w:left="80" w:firstLine="1305"/>
        <w:spacing w:after="0" w:line="260" w:lineRule="auto"/>
        <w:tabs>
          <w:tab w:leader="none" w:pos="1941" w:val="left"/>
        </w:tabs>
        <w:numPr>
          <w:ilvl w:val="1"/>
          <w:numId w:val="50"/>
        </w:numPr>
        <w:rPr>
          <w:rFonts w:ascii="Arial" w:cs="Arial" w:eastAsia="Arial" w:hAnsi="Arial"/>
          <w:sz w:val="20"/>
          <w:szCs w:val="20"/>
          <w:b w:val="1"/>
          <w:bCs w:val="1"/>
          <w:color w:val="auto"/>
        </w:rPr>
      </w:pPr>
      <w:r>
        <w:rPr>
          <w:rFonts w:ascii="Arial" w:cs="Arial" w:eastAsia="Arial" w:hAnsi="Arial"/>
          <w:sz w:val="20"/>
          <w:szCs w:val="20"/>
          <w:color w:val="auto"/>
        </w:rPr>
        <w:t>three months following the date of such termination if such termination is a termination without Cause (other than any termination due to the Participant’s Disability or death);</w:t>
      </w:r>
    </w:p>
    <w:p>
      <w:pPr>
        <w:spacing w:after="0" w:line="176" w:lineRule="exact"/>
        <w:rPr>
          <w:rFonts w:ascii="Arial" w:cs="Arial" w:eastAsia="Arial" w:hAnsi="Arial"/>
          <w:sz w:val="20"/>
          <w:szCs w:val="20"/>
          <w:b w:val="1"/>
          <w:bCs w:val="1"/>
          <w:color w:val="auto"/>
        </w:rPr>
      </w:pPr>
    </w:p>
    <w:p>
      <w:pPr>
        <w:ind w:left="1960" w:hanging="575"/>
        <w:spacing w:after="0"/>
        <w:tabs>
          <w:tab w:leader="none" w:pos="1960" w:val="left"/>
        </w:tabs>
        <w:numPr>
          <w:ilvl w:val="1"/>
          <w:numId w:val="50"/>
        </w:numPr>
        <w:rPr>
          <w:rFonts w:ascii="Arial" w:cs="Arial" w:eastAsia="Arial" w:hAnsi="Arial"/>
          <w:sz w:val="20"/>
          <w:szCs w:val="20"/>
          <w:b w:val="1"/>
          <w:bCs w:val="1"/>
          <w:color w:val="auto"/>
        </w:rPr>
      </w:pPr>
      <w:r>
        <w:rPr>
          <w:rFonts w:ascii="Arial" w:cs="Arial" w:eastAsia="Arial" w:hAnsi="Arial"/>
          <w:sz w:val="20"/>
          <w:szCs w:val="20"/>
          <w:color w:val="auto"/>
        </w:rPr>
        <w:t>12 months following the date of such termination if such termination is due to the Participant’s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3" w:right="339" w:bottom="1440" w:gutter="0" w:footer="0" w:header="0"/>
        </w:sectPr>
      </w:pPr>
    </w:p>
    <w:bookmarkStart w:id="96" w:name="page97"/>
    <w:bookmarkEnd w:id="96"/>
    <w:p>
      <w:pPr>
        <w:ind w:left="1960" w:hanging="575"/>
        <w:spacing w:after="0"/>
        <w:tabs>
          <w:tab w:leader="none" w:pos="196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18 months following the date of such termination if such termination is due to the Participant’s death; or</w:t>
      </w:r>
    </w:p>
    <w:p>
      <w:pPr>
        <w:spacing w:after="0" w:line="215" w:lineRule="exact"/>
        <w:rPr>
          <w:rFonts w:ascii="Arial" w:cs="Arial" w:eastAsia="Arial" w:hAnsi="Arial"/>
          <w:sz w:val="20"/>
          <w:szCs w:val="20"/>
          <w:b w:val="1"/>
          <w:bCs w:val="1"/>
          <w:color w:val="auto"/>
        </w:rPr>
      </w:pPr>
    </w:p>
    <w:p>
      <w:pPr>
        <w:ind w:left="80" w:right="20" w:firstLine="1305"/>
        <w:spacing w:after="0" w:line="260" w:lineRule="auto"/>
        <w:tabs>
          <w:tab w:leader="none" w:pos="1932"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18 months following the date of the Participant’s death if such death occurs following the date of such termination but during the period such Award is otherwise exercisable (as provided in (i) or (ii) above).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Class A Common Stock subject to the terminated Award, or any consideration in respect of the terminated Award.</w:t>
      </w:r>
    </w:p>
    <w:p>
      <w:pPr>
        <w:spacing w:after="0" w:line="185" w:lineRule="exact"/>
        <w:rPr>
          <w:sz w:val="20"/>
          <w:szCs w:val="20"/>
          <w:color w:val="auto"/>
        </w:rPr>
      </w:pPr>
    </w:p>
    <w:p>
      <w:pPr>
        <w:jc w:val="both"/>
        <w:ind w:firstLine="656"/>
        <w:spacing w:after="0" w:line="306" w:lineRule="auto"/>
        <w:tabs>
          <w:tab w:leader="none" w:pos="1294"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shares of Class A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w:t>
      </w:r>
    </w:p>
    <w:p>
      <w:pPr>
        <w:spacing w:after="0" w:line="1" w:lineRule="exact"/>
        <w:rPr>
          <w:rFonts w:ascii="Arial" w:cs="Arial" w:eastAsia="Arial" w:hAnsi="Arial"/>
          <w:sz w:val="16"/>
          <w:szCs w:val="16"/>
          <w:b w:val="1"/>
          <w:bCs w:val="1"/>
          <w:color w:val="auto"/>
        </w:rPr>
      </w:pPr>
    </w:p>
    <w:p>
      <w:pPr>
        <w:jc w:val="both"/>
        <w:ind w:firstLine="8"/>
        <w:spacing w:after="0" w:line="271" w:lineRule="auto"/>
        <w:tabs>
          <w:tab w:leader="none" w:pos="2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exercise of the Participant’s Option or SAR would be prohibited solely because the issuance of shares of Class A Common Stock upon such exercise would violate Applicable Law, or (ii) the immediate sale of any shares of Class A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64" w:lineRule="exact"/>
        <w:rPr>
          <w:rFonts w:ascii="Arial" w:cs="Arial" w:eastAsia="Arial" w:hAnsi="Arial"/>
          <w:sz w:val="18"/>
          <w:szCs w:val="18"/>
          <w:color w:val="auto"/>
        </w:rPr>
      </w:pPr>
    </w:p>
    <w:p>
      <w:pPr>
        <w:jc w:val="both"/>
        <w:ind w:firstLine="656"/>
        <w:spacing w:after="0" w:line="273" w:lineRule="auto"/>
        <w:tabs>
          <w:tab w:leader="none" w:pos="1291"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No Option or SAR, whether or not vested, granted to an Employee who is a non-exempt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for purposes of the Fair Labor Standards Act of 1938, as amended, will be first exercisable for any shares of Class A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Whole Shares</w:t>
      </w:r>
      <w:r>
        <w:rPr>
          <w:rFonts w:ascii="Arial" w:cs="Arial" w:eastAsia="Arial" w:hAnsi="Arial"/>
          <w:sz w:val="18"/>
          <w:szCs w:val="18"/>
          <w:color w:val="auto"/>
        </w:rPr>
        <w:t>. Options and SARs may be exercised only with respect to whole shares of Class A Common Stock or their</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equivalents.</w:t>
      </w:r>
    </w:p>
    <w:p>
      <w:pPr>
        <w:spacing w:after="0" w:line="194"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Awards Other Than Options and Stock Appreciation Rights.</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284" w:val="left"/>
        </w:tabs>
        <w:numPr>
          <w:ilvl w:val="1"/>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Restricted Stock Awards and RSU Awards. </w:t>
      </w:r>
      <w:r>
        <w:rPr>
          <w:rFonts w:ascii="Arial" w:cs="Arial" w:eastAsia="Arial" w:hAnsi="Arial"/>
          <w:sz w:val="20"/>
          <w:szCs w:val="20"/>
          <w:color w:val="auto"/>
        </w:rPr>
        <w:t>Each Restricted Stock Award and RSU Award will have such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as determined by the Board; provided, however, that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97" w:name="page98"/>
    <w:bookmarkEnd w:id="97"/>
    <w:p>
      <w:pPr>
        <w:spacing w:after="0" w:line="260" w:lineRule="auto"/>
        <w:rPr>
          <w:sz w:val="20"/>
          <w:szCs w:val="20"/>
          <w:color w:val="auto"/>
        </w:rPr>
      </w:pPr>
      <w:r>
        <w:rPr>
          <w:rFonts w:ascii="Arial" w:cs="Arial" w:eastAsia="Arial" w:hAnsi="Arial"/>
          <w:sz w:val="20"/>
          <w:szCs w:val="20"/>
          <w:color w:val="auto"/>
        </w:rPr>
        <w:t>Restricted Stock Award Agreement and RSU Award Agreement will conform (through incorporation of the provisions hereof by reference in the Award Agreement or otherwise) to the substance of each of the following provisions:</w:t>
      </w:r>
    </w:p>
    <w:p>
      <w:pPr>
        <w:spacing w:after="0" w:line="171" w:lineRule="exact"/>
        <w:rPr>
          <w:sz w:val="20"/>
          <w:szCs w:val="20"/>
          <w:color w:val="auto"/>
        </w:rPr>
      </w:pPr>
    </w:p>
    <w:p>
      <w:pPr>
        <w:ind w:left="1940" w:hanging="555"/>
        <w:spacing w:after="0"/>
        <w:tabs>
          <w:tab w:leader="none" w:pos="194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Form of Award.</w:t>
      </w:r>
    </w:p>
    <w:p>
      <w:pPr>
        <w:spacing w:after="0" w:line="248" w:lineRule="exact"/>
        <w:rPr>
          <w:rFonts w:ascii="Arial" w:cs="Arial" w:eastAsia="Arial" w:hAnsi="Arial"/>
          <w:sz w:val="20"/>
          <w:szCs w:val="20"/>
          <w:b w:val="1"/>
          <w:bCs w:val="1"/>
          <w:color w:val="auto"/>
        </w:rPr>
      </w:pPr>
    </w:p>
    <w:p>
      <w:pPr>
        <w:jc w:val="both"/>
        <w:ind w:firstLine="1952"/>
        <w:spacing w:after="0" w:line="239" w:lineRule="auto"/>
        <w:tabs>
          <w:tab w:leader="none" w:pos="2587" w:val="left"/>
        </w:tabs>
        <w:numPr>
          <w:ilvl w:val="1"/>
          <w:numId w:val="55"/>
        </w:numPr>
        <w:rPr>
          <w:rFonts w:ascii="Arial" w:cs="Arial" w:eastAsia="Arial" w:hAnsi="Arial"/>
          <w:sz w:val="22"/>
          <w:szCs w:val="22"/>
          <w:b w:val="1"/>
          <w:bCs w:val="1"/>
          <w:color w:val="auto"/>
        </w:rPr>
      </w:pPr>
      <w:r>
        <w:rPr>
          <w:rFonts w:ascii="Arial" w:cs="Arial" w:eastAsia="Arial" w:hAnsi="Arial"/>
          <w:sz w:val="20"/>
          <w:szCs w:val="20"/>
          <w:color w:val="auto"/>
        </w:rPr>
        <w:t>RSAs: To the extent consistent with the Company’s Bylaws, at the Board’s election, shares of Class A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222" w:lineRule="exact"/>
        <w:rPr>
          <w:rFonts w:ascii="Arial" w:cs="Arial" w:eastAsia="Arial" w:hAnsi="Arial"/>
          <w:sz w:val="22"/>
          <w:szCs w:val="22"/>
          <w:b w:val="1"/>
          <w:bCs w:val="1"/>
          <w:color w:val="auto"/>
        </w:rPr>
      </w:pPr>
    </w:p>
    <w:p>
      <w:pPr>
        <w:jc w:val="both"/>
        <w:ind w:firstLine="1952"/>
        <w:spacing w:after="0" w:line="253" w:lineRule="auto"/>
        <w:tabs>
          <w:tab w:leader="none" w:pos="2587" w:val="left"/>
        </w:tabs>
        <w:numPr>
          <w:ilvl w:val="1"/>
          <w:numId w:val="55"/>
        </w:numPr>
        <w:rPr>
          <w:rFonts w:ascii="Arial" w:cs="Arial" w:eastAsia="Arial" w:hAnsi="Arial"/>
          <w:sz w:val="21"/>
          <w:szCs w:val="21"/>
          <w:b w:val="1"/>
          <w:bCs w:val="1"/>
          <w:color w:val="auto"/>
        </w:rPr>
      </w:pPr>
      <w:r>
        <w:rPr>
          <w:rFonts w:ascii="Arial" w:cs="Arial" w:eastAsia="Arial" w:hAnsi="Arial"/>
          <w:sz w:val="19"/>
          <w:szCs w:val="19"/>
          <w:color w:val="auto"/>
        </w:rPr>
        <w:t>RSUs: A RSU Award represents a Participant’s right to be issued on a future date the number of shares of Class A Common Stock that is equal to the number of restricted stock units subject to the RSU Award. As a holder of a RSU Award, a Participant is an unsecured creditor of the Company with respect to the Company's unfunded obligation, if any, to issue shares of Class A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0" w:lineRule="exact"/>
        <w:rPr>
          <w:rFonts w:ascii="Arial" w:cs="Arial" w:eastAsia="Arial" w:hAnsi="Arial"/>
          <w:sz w:val="21"/>
          <w:szCs w:val="21"/>
          <w:b w:val="1"/>
          <w:bCs w:val="1"/>
          <w:color w:val="auto"/>
        </w:rPr>
      </w:pPr>
    </w:p>
    <w:p>
      <w:pPr>
        <w:ind w:left="1960" w:hanging="575"/>
        <w:spacing w:after="0"/>
        <w:tabs>
          <w:tab w:leader="none" w:pos="19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Consideration.</w:t>
      </w:r>
    </w:p>
    <w:p>
      <w:pPr>
        <w:spacing w:after="0" w:line="248" w:lineRule="exact"/>
        <w:rPr>
          <w:rFonts w:ascii="Arial" w:cs="Arial" w:eastAsia="Arial" w:hAnsi="Arial"/>
          <w:sz w:val="20"/>
          <w:szCs w:val="20"/>
          <w:b w:val="1"/>
          <w:bCs w:val="1"/>
          <w:color w:val="auto"/>
        </w:rPr>
      </w:pPr>
    </w:p>
    <w:p>
      <w:pPr>
        <w:jc w:val="both"/>
        <w:ind w:firstLine="1952"/>
        <w:spacing w:after="0" w:line="238" w:lineRule="auto"/>
        <w:tabs>
          <w:tab w:leader="none" w:pos="2587" w:val="left"/>
        </w:tabs>
        <w:numPr>
          <w:ilvl w:val="1"/>
          <w:numId w:val="55"/>
        </w:numPr>
        <w:rPr>
          <w:rFonts w:ascii="Arial" w:cs="Arial" w:eastAsia="Arial" w:hAnsi="Arial"/>
          <w:sz w:val="22"/>
          <w:szCs w:val="22"/>
          <w:b w:val="1"/>
          <w:bCs w:val="1"/>
          <w:color w:val="auto"/>
        </w:rPr>
      </w:pPr>
      <w:r>
        <w:rPr>
          <w:rFonts w:ascii="Arial" w:cs="Arial" w:eastAsia="Arial" w:hAnsi="Arial"/>
          <w:sz w:val="20"/>
          <w:szCs w:val="20"/>
          <w:color w:val="auto"/>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spacing w:after="0" w:line="224" w:lineRule="exact"/>
        <w:rPr>
          <w:rFonts w:ascii="Arial" w:cs="Arial" w:eastAsia="Arial" w:hAnsi="Arial"/>
          <w:sz w:val="22"/>
          <w:szCs w:val="22"/>
          <w:b w:val="1"/>
          <w:bCs w:val="1"/>
          <w:color w:val="auto"/>
        </w:rPr>
      </w:pPr>
    </w:p>
    <w:p>
      <w:pPr>
        <w:jc w:val="both"/>
        <w:ind w:firstLine="1952"/>
        <w:spacing w:after="0" w:line="239" w:lineRule="auto"/>
        <w:tabs>
          <w:tab w:leader="none" w:pos="2587" w:val="left"/>
        </w:tabs>
        <w:numPr>
          <w:ilvl w:val="1"/>
          <w:numId w:val="55"/>
        </w:numPr>
        <w:rPr>
          <w:rFonts w:ascii="Arial" w:cs="Arial" w:eastAsia="Arial" w:hAnsi="Arial"/>
          <w:sz w:val="22"/>
          <w:szCs w:val="22"/>
          <w:b w:val="1"/>
          <w:bCs w:val="1"/>
          <w:color w:val="auto"/>
        </w:rPr>
      </w:pPr>
      <w:r>
        <w:rPr>
          <w:rFonts w:ascii="Arial" w:cs="Arial" w:eastAsia="Arial" w:hAnsi="Arial"/>
          <w:sz w:val="20"/>
          <w:szCs w:val="20"/>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Class A Common Stock pursuant to the RSU Award. If, at the time of grant, the Board determines that any consideration must be paid by the Participant (in a form other than the Participant’s services to the Company or an Affiliate) upon the issuance of any shares of Class A Common Stock in settlement of the RSU Award, such consideration may be paid in any form of consideration as the Board may determine and permissible under Applicable Law.</w:t>
      </w:r>
    </w:p>
    <w:p>
      <w:pPr>
        <w:spacing w:after="0" w:line="190" w:lineRule="exact"/>
        <w:rPr>
          <w:rFonts w:ascii="Arial" w:cs="Arial" w:eastAsia="Arial" w:hAnsi="Arial"/>
          <w:sz w:val="22"/>
          <w:szCs w:val="22"/>
          <w:b w:val="1"/>
          <w:bCs w:val="1"/>
          <w:color w:val="auto"/>
        </w:rPr>
      </w:pPr>
    </w:p>
    <w:p>
      <w:pPr>
        <w:jc w:val="both"/>
        <w:ind w:left="80" w:firstLine="1305"/>
        <w:spacing w:after="0" w:line="248" w:lineRule="auto"/>
        <w:tabs>
          <w:tab w:leader="none" w:pos="1943"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The Board may impose such restrictions on or conditions to the vesting of a Restricted Stock Award or RSU</w:t>
      </w:r>
      <w:r>
        <w:rPr>
          <w:rFonts w:ascii="Arial" w:cs="Arial" w:eastAsia="Arial" w:hAnsi="Arial"/>
          <w:sz w:val="20"/>
          <w:szCs w:val="20"/>
          <w:b w:val="1"/>
          <w:bCs w:val="1"/>
          <w:color w:val="auto"/>
        </w:rPr>
        <w:t xml:space="preserve"> </w:t>
      </w:r>
      <w:r>
        <w:rPr>
          <w:rFonts w:ascii="Arial" w:cs="Arial" w:eastAsia="Arial" w:hAnsi="Arial"/>
          <w:sz w:val="20"/>
          <w:szCs w:val="20"/>
          <w:color w:val="auto"/>
        </w:rPr>
        <w:t>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98" w:name="page99"/>
    <w:bookmarkEnd w:id="98"/>
    <w:p>
      <w:pPr>
        <w:jc w:val="both"/>
        <w:ind w:left="80" w:firstLine="1305"/>
        <w:spacing w:after="0" w:line="244" w:lineRule="auto"/>
        <w:tabs>
          <w:tab w:leader="none" w:pos="1932" w:val="left"/>
        </w:tabs>
        <w:numPr>
          <w:ilvl w:val="2"/>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of Continuous Service. </w:t>
      </w:r>
      <w:r>
        <w:rPr>
          <w:rFonts w:ascii="Arial" w:cs="Arial" w:eastAsia="Arial" w:hAnsi="Arial"/>
          <w:sz w:val="20"/>
          <w:szCs w:val="20"/>
          <w:color w:val="auto"/>
        </w:rPr>
        <w:t>Except as otherwise provided in the Award Agreement or other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a Participant and the Company or an Affiliate, if a Participant’s Continuous Service terminates for any reason, (i) the Company may receive through a forfeiture condition or a repurchase right any or all of the shares of Class A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Class A Common Stock issuable pursuant to the RSU Award, or any consideration in respect of the RSU Award.</w:t>
      </w:r>
    </w:p>
    <w:p>
      <w:pPr>
        <w:spacing w:after="0" w:line="185" w:lineRule="exact"/>
        <w:rPr>
          <w:rFonts w:ascii="Arial" w:cs="Arial" w:eastAsia="Arial" w:hAnsi="Arial"/>
          <w:sz w:val="20"/>
          <w:szCs w:val="20"/>
          <w:b w:val="1"/>
          <w:bCs w:val="1"/>
          <w:color w:val="auto"/>
        </w:rPr>
      </w:pPr>
    </w:p>
    <w:p>
      <w:pPr>
        <w:jc w:val="both"/>
        <w:ind w:left="80" w:firstLine="1305"/>
        <w:spacing w:after="0" w:line="253" w:lineRule="auto"/>
        <w:tabs>
          <w:tab w:leader="none" w:pos="1931" w:val="left"/>
        </w:tabs>
        <w:numPr>
          <w:ilvl w:val="2"/>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Dividends and Dividend Equivalents. </w:t>
      </w:r>
      <w:r>
        <w:rPr>
          <w:rFonts w:ascii="Arial" w:cs="Arial" w:eastAsia="Arial" w:hAnsi="Arial"/>
          <w:sz w:val="20"/>
          <w:szCs w:val="20"/>
          <w:color w:val="auto"/>
        </w:rPr>
        <w:t>Dividends or dividend equivalents may be paid or credited, as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shares of Class A Common Stock subject to a Restricted Stock Award or RSU Award, as determined by the Board and specified in the Award Agreement).</w:t>
      </w:r>
    </w:p>
    <w:p>
      <w:pPr>
        <w:spacing w:after="0" w:line="177" w:lineRule="exact"/>
        <w:rPr>
          <w:rFonts w:ascii="Arial" w:cs="Arial" w:eastAsia="Arial" w:hAnsi="Arial"/>
          <w:sz w:val="20"/>
          <w:szCs w:val="20"/>
          <w:b w:val="1"/>
          <w:bCs w:val="1"/>
          <w:color w:val="auto"/>
        </w:rPr>
      </w:pPr>
    </w:p>
    <w:p>
      <w:pPr>
        <w:jc w:val="both"/>
        <w:ind w:left="80" w:firstLine="1305"/>
        <w:spacing w:after="0" w:line="248" w:lineRule="auto"/>
        <w:tabs>
          <w:tab w:leader="none" w:pos="1932" w:val="left"/>
        </w:tabs>
        <w:numPr>
          <w:ilvl w:val="2"/>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Settlement of RSU Awards</w:t>
      </w:r>
      <w:r>
        <w:rPr>
          <w:rFonts w:ascii="Arial" w:cs="Arial" w:eastAsia="Arial" w:hAnsi="Arial"/>
          <w:sz w:val="20"/>
          <w:szCs w:val="20"/>
          <w:color w:val="auto"/>
        </w:rPr>
        <w:t>. A RSU Award may be settled by the issuance of shares of Class A Common Stock or</w:t>
      </w:r>
      <w:r>
        <w:rPr>
          <w:rFonts w:ascii="Arial" w:cs="Arial" w:eastAsia="Arial" w:hAnsi="Arial"/>
          <w:sz w:val="20"/>
          <w:szCs w:val="20"/>
          <w:b w:val="1"/>
          <w:bCs w:val="1"/>
          <w:color w:val="auto"/>
        </w:rPr>
        <w:t xml:space="preserve"> </w:t>
      </w:r>
      <w:r>
        <w:rPr>
          <w:rFonts w:ascii="Arial" w:cs="Arial" w:eastAsia="Arial" w:hAnsi="Arial"/>
          <w:sz w:val="20"/>
          <w:szCs w:val="20"/>
          <w:color w:val="auto"/>
        </w:rPr>
        <w:t>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83" w:lineRule="exact"/>
        <w:rPr>
          <w:rFonts w:ascii="Arial" w:cs="Arial" w:eastAsia="Arial" w:hAnsi="Arial"/>
          <w:sz w:val="20"/>
          <w:szCs w:val="20"/>
          <w:b w:val="1"/>
          <w:bCs w:val="1"/>
          <w:color w:val="auto"/>
        </w:rPr>
      </w:pPr>
    </w:p>
    <w:p>
      <w:pPr>
        <w:jc w:val="both"/>
        <w:ind w:firstLine="656"/>
        <w:spacing w:after="0" w:line="253" w:lineRule="auto"/>
        <w:tabs>
          <w:tab w:leader="none" w:pos="1295" w:val="left"/>
        </w:tabs>
        <w:numPr>
          <w:ilvl w:val="1"/>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Awards</w:t>
      </w:r>
      <w:r>
        <w:rPr>
          <w:rFonts w:ascii="Arial" w:cs="Arial" w:eastAsia="Arial" w:hAnsi="Arial"/>
          <w:sz w:val="20"/>
          <w:szCs w:val="20"/>
          <w:color w:val="auto"/>
        </w:rPr>
        <w:t>. With respect to any Performance Award, the length of any Performance Period, the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Goals to be achieved during the Performance Period, the other terms and conditions of such Award, and the measure of whether and to what degree such Performance Goals have been attained will be determined by the Board.</w:t>
      </w:r>
    </w:p>
    <w:p>
      <w:pPr>
        <w:spacing w:after="0" w:line="177" w:lineRule="exact"/>
        <w:rPr>
          <w:rFonts w:ascii="Arial" w:cs="Arial" w:eastAsia="Arial" w:hAnsi="Arial"/>
          <w:sz w:val="20"/>
          <w:szCs w:val="20"/>
          <w:b w:val="1"/>
          <w:bCs w:val="1"/>
          <w:color w:val="auto"/>
        </w:rPr>
      </w:pPr>
    </w:p>
    <w:p>
      <w:pPr>
        <w:jc w:val="both"/>
        <w:ind w:firstLine="656"/>
        <w:spacing w:after="0" w:line="285" w:lineRule="auto"/>
        <w:tabs>
          <w:tab w:leader="none" w:pos="1286"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 Other Awards may be granted either alone or in addition to Awards provided for under Section 4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provisions of this Section 5. Subject to the provisions of the Plan, the Board will have sole and complete discretion to determine the persons to whom and the time or times at which such Other Awards will be granted, the number of shares of Class A Common Stock (or the cash equivalent thereof) to be granted pursuant to such Other Awards and all other terms and conditions of such Other Awards.</w:t>
      </w:r>
    </w:p>
    <w:p>
      <w:pPr>
        <w:spacing w:after="0" w:line="150" w:lineRule="exact"/>
        <w:rPr>
          <w:rFonts w:ascii="Arial" w:cs="Arial" w:eastAsia="Arial" w:hAnsi="Arial"/>
          <w:sz w:val="18"/>
          <w:szCs w:val="18"/>
          <w:b w:val="1"/>
          <w:bCs w:val="1"/>
          <w:color w:val="auto"/>
        </w:rPr>
      </w:pPr>
    </w:p>
    <w:p>
      <w:pPr>
        <w:ind w:left="660" w:hanging="652"/>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Changes in Class A Common Stock; Other Corporate Events.</w:t>
      </w:r>
    </w:p>
    <w:p>
      <w:pPr>
        <w:spacing w:after="0" w:line="215" w:lineRule="exact"/>
        <w:rPr>
          <w:rFonts w:ascii="Arial" w:cs="Arial" w:eastAsia="Arial" w:hAnsi="Arial"/>
          <w:sz w:val="20"/>
          <w:szCs w:val="20"/>
          <w:b w:val="1"/>
          <w:bCs w:val="1"/>
          <w:color w:val="auto"/>
        </w:rPr>
      </w:pPr>
    </w:p>
    <w:p>
      <w:pPr>
        <w:ind w:left="1300" w:hanging="644"/>
        <w:spacing w:after="0"/>
        <w:tabs>
          <w:tab w:leader="none" w:pos="130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Adjustments</w:t>
      </w:r>
      <w:r>
        <w:rPr>
          <w:rFonts w:ascii="Arial" w:cs="Arial" w:eastAsia="Arial" w:hAnsi="Arial"/>
          <w:sz w:val="18"/>
          <w:szCs w:val="18"/>
          <w:color w:val="auto"/>
        </w:rPr>
        <w:t>. In the event of a Capitalization Adjustment, the Board shall appropriately and proportionately</w:t>
      </w:r>
    </w:p>
    <w:p>
      <w:pPr>
        <w:spacing w:after="0" w:line="44" w:lineRule="exact"/>
        <w:rPr>
          <w:rFonts w:ascii="Arial" w:cs="Arial" w:eastAsia="Arial" w:hAnsi="Arial"/>
          <w:sz w:val="18"/>
          <w:szCs w:val="18"/>
          <w:b w:val="1"/>
          <w:bCs w:val="1"/>
          <w:color w:val="auto"/>
        </w:rPr>
      </w:pPr>
    </w:p>
    <w:p>
      <w:pPr>
        <w:jc w:val="both"/>
        <w:spacing w:after="0"/>
        <w:rPr>
          <w:rFonts w:ascii="Arial" w:cs="Arial" w:eastAsia="Arial" w:hAnsi="Arial"/>
          <w:sz w:val="18"/>
          <w:szCs w:val="18"/>
          <w:b w:val="1"/>
          <w:bCs w:val="1"/>
          <w:color w:val="auto"/>
        </w:rPr>
      </w:pPr>
      <w:r>
        <w:rPr>
          <w:rFonts w:ascii="Arial" w:cs="Arial" w:eastAsia="Arial" w:hAnsi="Arial"/>
          <w:sz w:val="20"/>
          <w:szCs w:val="20"/>
          <w:color w:val="auto"/>
        </w:rPr>
        <w:t>adjust: (i) the class(es) and maximum number of shares of Class A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Class A Common Stock subject to outstanding Awards. The Board shall make such adjustments, and its determination shall be final, binding and conclusive. Notwithstanding the foregoing, no fractional shares or rights for fractional shares of Class A Common Stock shall be created in order to implement any Capitalization Adjustment. The Board shall determine an equivalent benefit for any fractional shares or fractional shares that might be created by the adjustments referred to in the preceding provisions of this Section.</w:t>
      </w:r>
    </w:p>
    <w:p>
      <w:pPr>
        <w:spacing w:after="0" w:line="190" w:lineRule="exact"/>
        <w:rPr>
          <w:rFonts w:ascii="Arial" w:cs="Arial" w:eastAsia="Arial" w:hAnsi="Arial"/>
          <w:sz w:val="18"/>
          <w:szCs w:val="18"/>
          <w:b w:val="1"/>
          <w:bCs w:val="1"/>
          <w:color w:val="auto"/>
        </w:rPr>
      </w:pPr>
    </w:p>
    <w:p>
      <w:pPr>
        <w:ind w:firstLine="656"/>
        <w:spacing w:after="0" w:line="267" w:lineRule="auto"/>
        <w:tabs>
          <w:tab w:leader="none" w:pos="1295"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Dissolution or Liquidation</w:t>
      </w:r>
      <w:r>
        <w:rPr>
          <w:rFonts w:ascii="Arial" w:cs="Arial" w:eastAsia="Arial" w:hAnsi="Arial"/>
          <w:sz w:val="20"/>
          <w:szCs w:val="20"/>
          <w:color w:val="auto"/>
        </w:rPr>
        <w:t>. Except as otherwise provided in the Award Agreement, in the event of a dissolution or</w:t>
      </w:r>
      <w:r>
        <w:rPr>
          <w:rFonts w:ascii="Arial" w:cs="Arial" w:eastAsia="Arial" w:hAnsi="Arial"/>
          <w:sz w:val="20"/>
          <w:szCs w:val="20"/>
          <w:b w:val="1"/>
          <w:bCs w:val="1"/>
          <w:color w:val="auto"/>
        </w:rPr>
        <w:t xml:space="preserve"> </w:t>
      </w:r>
      <w:r>
        <w:rPr>
          <w:rFonts w:ascii="Arial" w:cs="Arial" w:eastAsia="Arial" w:hAnsi="Arial"/>
          <w:sz w:val="20"/>
          <w:szCs w:val="20"/>
          <w:color w:val="auto"/>
        </w:rPr>
        <w:t>liquidation of the Company, all outstanding Awards (other than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3" w:right="339" w:bottom="1440" w:gutter="0" w:footer="0" w:header="0"/>
        </w:sectPr>
      </w:pPr>
    </w:p>
    <w:bookmarkStart w:id="99" w:name="page100"/>
    <w:bookmarkEnd w:id="99"/>
    <w:p>
      <w:pPr>
        <w:jc w:val="both"/>
        <w:spacing w:after="0" w:line="276" w:lineRule="auto"/>
        <w:rPr>
          <w:sz w:val="20"/>
          <w:szCs w:val="20"/>
          <w:color w:val="auto"/>
        </w:rPr>
      </w:pPr>
      <w:r>
        <w:rPr>
          <w:rFonts w:ascii="Arial" w:cs="Arial" w:eastAsia="Arial" w:hAnsi="Arial"/>
          <w:sz w:val="18"/>
          <w:szCs w:val="18"/>
          <w:color w:val="auto"/>
        </w:rPr>
        <w:t>consisting of vested and outstanding shares of Class A Common Stock not subject to a forfeiture condition or the Company’s right of repurchase) will terminate immediately prior to the completion of such dissolution or liquidation, and the shares of Class A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59" w:lineRule="exact"/>
        <w:rPr>
          <w:sz w:val="20"/>
          <w:szCs w:val="20"/>
          <w:color w:val="auto"/>
        </w:rPr>
      </w:pPr>
    </w:p>
    <w:p>
      <w:pPr>
        <w:jc w:val="both"/>
        <w:ind w:firstLine="656"/>
        <w:spacing w:after="0" w:line="294" w:lineRule="auto"/>
        <w:tabs>
          <w:tab w:leader="none" w:pos="1286"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Awards in the event of a Corporate Transaction except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11, 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143" w:lineRule="exact"/>
        <w:rPr>
          <w:rFonts w:ascii="Arial" w:cs="Arial" w:eastAsia="Arial" w:hAnsi="Arial"/>
          <w:sz w:val="18"/>
          <w:szCs w:val="18"/>
          <w:b w:val="1"/>
          <w:bCs w:val="1"/>
          <w:color w:val="auto"/>
        </w:rPr>
      </w:pPr>
    </w:p>
    <w:p>
      <w:pPr>
        <w:jc w:val="both"/>
        <w:ind w:left="80" w:firstLine="1305"/>
        <w:spacing w:after="0" w:line="257" w:lineRule="auto"/>
        <w:tabs>
          <w:tab w:leader="none" w:pos="1941" w:val="left"/>
        </w:tabs>
        <w:numPr>
          <w:ilvl w:val="1"/>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May Be Assumed. </w:t>
      </w:r>
      <w:r>
        <w:rPr>
          <w:rFonts w:ascii="Arial" w:cs="Arial" w:eastAsia="Arial" w:hAnsi="Arial"/>
          <w:sz w:val="19"/>
          <w:szCs w:val="19"/>
          <w:color w:val="auto"/>
        </w:rPr>
        <w:t>In the event of a Corporate Transaction, any surviving corporation or acquiring</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Class A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5" w:lineRule="exact"/>
        <w:rPr>
          <w:rFonts w:ascii="Arial" w:cs="Arial" w:eastAsia="Arial" w:hAnsi="Arial"/>
          <w:sz w:val="19"/>
          <w:szCs w:val="19"/>
          <w:b w:val="1"/>
          <w:bCs w:val="1"/>
          <w:color w:val="auto"/>
        </w:rPr>
      </w:pPr>
    </w:p>
    <w:p>
      <w:pPr>
        <w:jc w:val="both"/>
        <w:ind w:left="80" w:firstLine="1305"/>
        <w:spacing w:after="0" w:line="270" w:lineRule="auto"/>
        <w:tabs>
          <w:tab w:leader="none" w:pos="1942"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Current Participants. </w:t>
      </w:r>
      <w:r>
        <w:rPr>
          <w:rFonts w:ascii="Arial" w:cs="Arial" w:eastAsia="Arial" w:hAnsi="Arial"/>
          <w:sz w:val="18"/>
          <w:szCs w:val="18"/>
          <w:color w:val="auto"/>
        </w:rPr>
        <w:t>In the event of a Corporate Transaction in which the surviving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8"/>
          <w:szCs w:val="18"/>
          <w:b w:val="1"/>
          <w:bCs w:val="1"/>
          <w:color w:val="auto"/>
        </w:rPr>
        <w:t>Current</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Participants</w:t>
      </w:r>
      <w:r>
        <w:rPr>
          <w:rFonts w:ascii="Arial" w:cs="Arial" w:eastAsia="Arial" w:hAnsi="Arial"/>
          <w:sz w:val="18"/>
          <w:szCs w:val="18"/>
          <w:color w:val="auto"/>
        </w:rPr>
        <w:t>”), the vesting of such Awards (and, with respect to Options and Stock Appreciation Rights, the time when such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100" w:name="page101"/>
    <w:bookmarkEnd w:id="100"/>
    <w:p>
      <w:pPr>
        <w:jc w:val="both"/>
        <w:ind w:left="80" w:firstLine="1305"/>
        <w:spacing w:after="0" w:line="277" w:lineRule="auto"/>
        <w:tabs>
          <w:tab w:leader="none" w:pos="1943" w:val="left"/>
        </w:tabs>
        <w:numPr>
          <w:ilvl w:val="2"/>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59" w:lineRule="exact"/>
        <w:rPr>
          <w:rFonts w:ascii="Arial" w:cs="Arial" w:eastAsia="Arial" w:hAnsi="Arial"/>
          <w:sz w:val="18"/>
          <w:szCs w:val="18"/>
          <w:b w:val="1"/>
          <w:bCs w:val="1"/>
          <w:color w:val="auto"/>
        </w:rPr>
      </w:pPr>
    </w:p>
    <w:p>
      <w:pPr>
        <w:jc w:val="both"/>
        <w:ind w:left="80" w:firstLine="1305"/>
        <w:spacing w:after="0" w:line="245" w:lineRule="auto"/>
        <w:tabs>
          <w:tab w:leader="none" w:pos="1932" w:val="left"/>
        </w:tabs>
        <w:numPr>
          <w:ilvl w:val="2"/>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Payment for Awards in Lieu of Exercise. </w:t>
      </w:r>
      <w:r>
        <w:rPr>
          <w:rFonts w:ascii="Arial" w:cs="Arial" w:eastAsia="Arial" w:hAnsi="Arial"/>
          <w:sz w:val="20"/>
          <w:szCs w:val="20"/>
          <w:color w:val="auto"/>
        </w:rPr>
        <w:t>Notwithstanding the foregoing, in the event an Award will terminate if</w:t>
      </w:r>
      <w:r>
        <w:rPr>
          <w:rFonts w:ascii="Arial" w:cs="Arial" w:eastAsia="Arial" w:hAnsi="Arial"/>
          <w:sz w:val="20"/>
          <w:szCs w:val="20"/>
          <w:b w:val="1"/>
          <w:bCs w:val="1"/>
          <w:color w:val="auto"/>
        </w:rPr>
        <w:t xml:space="preserve"> </w:t>
      </w:r>
      <w:r>
        <w:rPr>
          <w:rFonts w:ascii="Arial" w:cs="Arial" w:eastAsia="Arial" w:hAnsi="Arial"/>
          <w:sz w:val="20"/>
          <w:szCs w:val="20"/>
          <w:color w:val="auto"/>
        </w:rPr>
        <w:t>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84" w:lineRule="exact"/>
        <w:rPr>
          <w:rFonts w:ascii="Arial" w:cs="Arial" w:eastAsia="Arial" w:hAnsi="Arial"/>
          <w:sz w:val="20"/>
          <w:szCs w:val="20"/>
          <w:b w:val="1"/>
          <w:bCs w:val="1"/>
          <w:color w:val="auto"/>
        </w:rPr>
      </w:pPr>
    </w:p>
    <w:p>
      <w:pPr>
        <w:jc w:val="both"/>
        <w:ind w:firstLine="656"/>
        <w:spacing w:after="0" w:line="265" w:lineRule="auto"/>
        <w:tabs>
          <w:tab w:leader="none" w:pos="1295" w:val="left"/>
        </w:tabs>
        <w:numPr>
          <w:ilvl w:val="1"/>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Appointment of Stockholder Representative. </w:t>
      </w:r>
      <w:r>
        <w:rPr>
          <w:rFonts w:ascii="Arial" w:cs="Arial" w:eastAsia="Arial" w:hAnsi="Arial"/>
          <w:sz w:val="19"/>
          <w:szCs w:val="19"/>
          <w:color w:val="auto"/>
        </w:rPr>
        <w:t>As a condition to the receipt of an Award under this Plan, a Participant will</w:t>
      </w:r>
      <w:r>
        <w:rPr>
          <w:rFonts w:ascii="Arial" w:cs="Arial" w:eastAsia="Arial" w:hAnsi="Arial"/>
          <w:sz w:val="19"/>
          <w:szCs w:val="19"/>
          <w:b w:val="1"/>
          <w:bCs w:val="1"/>
          <w:color w:val="auto"/>
        </w:rPr>
        <w:t xml:space="preserve"> </w:t>
      </w:r>
      <w:r>
        <w:rPr>
          <w:rFonts w:ascii="Arial" w:cs="Arial" w:eastAsia="Arial" w:hAnsi="Arial"/>
          <w:sz w:val="19"/>
          <w:szCs w:val="19"/>
          <w:color w:val="auto"/>
        </w:rPr>
        <w:t>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69" w:lineRule="exact"/>
        <w:rPr>
          <w:rFonts w:ascii="Arial" w:cs="Arial" w:eastAsia="Arial" w:hAnsi="Arial"/>
          <w:sz w:val="19"/>
          <w:szCs w:val="19"/>
          <w:b w:val="1"/>
          <w:bCs w:val="1"/>
          <w:color w:val="auto"/>
        </w:rPr>
      </w:pPr>
    </w:p>
    <w:p>
      <w:pPr>
        <w:jc w:val="both"/>
        <w:ind w:firstLine="656"/>
        <w:spacing w:after="0" w:line="275" w:lineRule="auto"/>
        <w:tabs>
          <w:tab w:leader="none" w:pos="1286"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No Restriction on Right to Undertake Transactions</w:t>
      </w:r>
      <w:r>
        <w:rPr>
          <w:rFonts w:ascii="Arial" w:cs="Arial" w:eastAsia="Arial" w:hAnsi="Arial"/>
          <w:sz w:val="18"/>
          <w:szCs w:val="18"/>
          <w:color w:val="auto"/>
        </w:rPr>
        <w:t>. The grant of any Award under the Plan and the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Class A Common Stock or the rights thereof or which are convertible into or exchangeable for Class A Common Stock, or the dissolution or liquidation of the Company, or any sale or transfer of all or any part of its assets or business, or any other corporate act or proceeding, whether of a similar character or otherwise.</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284" w:val="left"/>
        </w:tabs>
        <w:numPr>
          <w:ilvl w:val="1"/>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Administration by Board. </w:t>
      </w:r>
      <w:r>
        <w:rPr>
          <w:rFonts w:ascii="Arial" w:cs="Arial" w:eastAsia="Arial" w:hAnsi="Arial"/>
          <w:sz w:val="20"/>
          <w:szCs w:val="20"/>
          <w:color w:val="auto"/>
        </w:rPr>
        <w:t>The Board will administer the Plan unless and until the Board delegates administration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to a Committee or Committees, as provided in subsection (c) below.</w:t>
      </w:r>
    </w:p>
    <w:p>
      <w:pPr>
        <w:spacing w:after="0" w:line="163" w:lineRule="exact"/>
        <w:rPr>
          <w:rFonts w:ascii="Arial" w:cs="Arial" w:eastAsia="Arial" w:hAnsi="Arial"/>
          <w:sz w:val="20"/>
          <w:szCs w:val="20"/>
          <w:b w:val="1"/>
          <w:bCs w:val="1"/>
          <w:color w:val="auto"/>
        </w:rPr>
      </w:pPr>
    </w:p>
    <w:p>
      <w:pPr>
        <w:ind w:left="1300" w:hanging="644"/>
        <w:spacing w:after="0"/>
        <w:tabs>
          <w:tab w:leader="none" w:pos="130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Plan:</w:t>
      </w:r>
    </w:p>
    <w:p>
      <w:pPr>
        <w:spacing w:after="0" w:line="199" w:lineRule="exact"/>
        <w:rPr>
          <w:rFonts w:ascii="Arial" w:cs="Arial" w:eastAsia="Arial" w:hAnsi="Arial"/>
          <w:sz w:val="18"/>
          <w:szCs w:val="18"/>
          <w:b w:val="1"/>
          <w:bCs w:val="1"/>
          <w:color w:val="auto"/>
        </w:rPr>
      </w:pPr>
    </w:p>
    <w:p>
      <w:pPr>
        <w:jc w:val="both"/>
        <w:ind w:left="80" w:firstLine="1305"/>
        <w:spacing w:after="0" w:line="244" w:lineRule="auto"/>
        <w:tabs>
          <w:tab w:leader="none" w:pos="1941" w:val="left"/>
        </w:tabs>
        <w:numPr>
          <w:ilvl w:val="2"/>
          <w:numId w:val="62"/>
        </w:numPr>
        <w:rPr>
          <w:rFonts w:ascii="Arial" w:cs="Arial" w:eastAsia="Arial" w:hAnsi="Arial"/>
          <w:sz w:val="20"/>
          <w:szCs w:val="20"/>
          <w:b w:val="1"/>
          <w:bCs w:val="1"/>
          <w:color w:val="auto"/>
        </w:rPr>
      </w:pPr>
      <w:r>
        <w:rPr>
          <w:rFonts w:ascii="Arial" w:cs="Arial" w:eastAsia="Arial" w:hAnsi="Arial"/>
          <w:sz w:val="20"/>
          <w:szCs w:val="20"/>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Class A Common Stock or other payment pursuant to an Award; (5) the number of shares of Class A Common Stock or cash equivalent with respect to which an Award will be granted to each such person; (6) the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3" w:right="339" w:bottom="1440" w:gutter="0" w:footer="0" w:header="0"/>
        </w:sectPr>
      </w:pPr>
    </w:p>
    <w:bookmarkStart w:id="101" w:name="page102"/>
    <w:bookmarkEnd w:id="101"/>
    <w:p>
      <w:pPr>
        <w:jc w:val="both"/>
        <w:ind w:right="20"/>
        <w:spacing w:after="0" w:line="250" w:lineRule="auto"/>
        <w:rPr>
          <w:sz w:val="20"/>
          <w:szCs w:val="20"/>
          <w:color w:val="auto"/>
        </w:rPr>
      </w:pPr>
      <w:r>
        <w:rPr>
          <w:rFonts w:ascii="Arial" w:cs="Arial" w:eastAsia="Arial" w:hAnsi="Arial"/>
          <w:sz w:val="20"/>
          <w:szCs w:val="20"/>
          <w:color w:val="auto"/>
        </w:rPr>
        <w:t>Value applicable to an Award; and (7) the terms of any Performance Award that is not valued in whole or in part by reference to, or otherwise based on, the Class A Common Stock, including the amount of cash payment or other property that may be earned and the timing of payment.</w:t>
      </w:r>
    </w:p>
    <w:p>
      <w:pPr>
        <w:spacing w:after="0" w:line="186" w:lineRule="exact"/>
        <w:rPr>
          <w:sz w:val="20"/>
          <w:szCs w:val="20"/>
          <w:color w:val="auto"/>
        </w:rPr>
      </w:pPr>
    </w:p>
    <w:p>
      <w:pPr>
        <w:jc w:val="both"/>
        <w:ind w:firstLine="1305"/>
        <w:spacing w:after="0" w:line="291" w:lineRule="auto"/>
        <w:tabs>
          <w:tab w:leader="none" w:pos="1862"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51" w:lineRule="exact"/>
        <w:rPr>
          <w:rFonts w:ascii="Arial" w:cs="Arial" w:eastAsia="Arial" w:hAnsi="Arial"/>
          <w:sz w:val="18"/>
          <w:szCs w:val="18"/>
          <w:b w:val="1"/>
          <w:bCs w:val="1"/>
          <w:color w:val="auto"/>
        </w:rPr>
      </w:pPr>
    </w:p>
    <w:p>
      <w:pPr>
        <w:ind w:left="1880" w:hanging="575"/>
        <w:spacing w:after="0"/>
        <w:tabs>
          <w:tab w:leader="none" w:pos="188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settle all controversies regarding the Plan and Awards granted under it.</w:t>
      </w:r>
    </w:p>
    <w:p>
      <w:pPr>
        <w:spacing w:after="0" w:line="215" w:lineRule="exact"/>
        <w:rPr>
          <w:rFonts w:ascii="Arial" w:cs="Arial" w:eastAsia="Arial" w:hAnsi="Arial"/>
          <w:sz w:val="20"/>
          <w:szCs w:val="20"/>
          <w:b w:val="1"/>
          <w:bCs w:val="1"/>
          <w:color w:val="auto"/>
        </w:rPr>
      </w:pPr>
    </w:p>
    <w:p>
      <w:pPr>
        <w:jc w:val="both"/>
        <w:ind w:firstLine="1305"/>
        <w:spacing w:after="0" w:line="250" w:lineRule="auto"/>
        <w:tabs>
          <w:tab w:leader="none" w:pos="1852"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85" w:lineRule="exact"/>
        <w:rPr>
          <w:rFonts w:ascii="Arial" w:cs="Arial" w:eastAsia="Arial" w:hAnsi="Arial"/>
          <w:sz w:val="20"/>
          <w:szCs w:val="20"/>
          <w:b w:val="1"/>
          <w:bCs w:val="1"/>
          <w:color w:val="auto"/>
        </w:rPr>
      </w:pPr>
    </w:p>
    <w:p>
      <w:pPr>
        <w:jc w:val="both"/>
        <w:ind w:firstLine="1305"/>
        <w:spacing w:after="0" w:line="282" w:lineRule="auto"/>
        <w:tabs>
          <w:tab w:leader="none" w:pos="1851"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Class A Common Stock or the share price of the Class A Common Stock including any Corporate Transaction, for reasons of administrative convenience.</w:t>
      </w:r>
    </w:p>
    <w:p>
      <w:pPr>
        <w:spacing w:after="0" w:line="161" w:lineRule="exact"/>
        <w:rPr>
          <w:rFonts w:ascii="Arial" w:cs="Arial" w:eastAsia="Arial" w:hAnsi="Arial"/>
          <w:sz w:val="18"/>
          <w:szCs w:val="18"/>
          <w:b w:val="1"/>
          <w:bCs w:val="1"/>
          <w:color w:val="auto"/>
        </w:rPr>
      </w:pPr>
    </w:p>
    <w:p>
      <w:pPr>
        <w:ind w:firstLine="1305"/>
        <w:spacing w:after="0" w:line="287" w:lineRule="auto"/>
        <w:tabs>
          <w:tab w:leader="none" w:pos="1852"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2" w:lineRule="exact"/>
        <w:rPr>
          <w:rFonts w:ascii="Arial" w:cs="Arial" w:eastAsia="Arial" w:hAnsi="Arial"/>
          <w:sz w:val="19"/>
          <w:szCs w:val="19"/>
          <w:b w:val="1"/>
          <w:bCs w:val="1"/>
          <w:color w:val="auto"/>
        </w:rPr>
      </w:pPr>
    </w:p>
    <w:p>
      <w:pPr>
        <w:jc w:val="both"/>
        <w:ind w:firstLine="1305"/>
        <w:spacing w:after="0" w:line="246" w:lineRule="auto"/>
        <w:tabs>
          <w:tab w:leader="none" w:pos="1852"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91" w:lineRule="exact"/>
        <w:rPr>
          <w:rFonts w:ascii="Arial" w:cs="Arial" w:eastAsia="Arial" w:hAnsi="Arial"/>
          <w:sz w:val="20"/>
          <w:szCs w:val="20"/>
          <w:b w:val="1"/>
          <w:bCs w:val="1"/>
          <w:color w:val="auto"/>
        </w:rPr>
      </w:pPr>
    </w:p>
    <w:p>
      <w:pPr>
        <w:ind w:left="1860" w:hanging="555"/>
        <w:spacing w:after="0"/>
        <w:tabs>
          <w:tab w:leader="none" w:pos="186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submit any amendment to the Plan for stockholder approval.</w:t>
      </w:r>
    </w:p>
    <w:p>
      <w:pPr>
        <w:spacing w:after="0" w:line="215" w:lineRule="exact"/>
        <w:rPr>
          <w:rFonts w:ascii="Arial" w:cs="Arial" w:eastAsia="Arial" w:hAnsi="Arial"/>
          <w:sz w:val="20"/>
          <w:szCs w:val="20"/>
          <w:b w:val="1"/>
          <w:bCs w:val="1"/>
          <w:color w:val="auto"/>
        </w:rPr>
      </w:pPr>
    </w:p>
    <w:p>
      <w:pPr>
        <w:jc w:val="both"/>
        <w:ind w:firstLine="1305"/>
        <w:spacing w:after="0" w:line="244" w:lineRule="auto"/>
        <w:tabs>
          <w:tab w:leader="none" w:pos="1852"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194" w:lineRule="exact"/>
        <w:rPr>
          <w:rFonts w:ascii="Arial" w:cs="Arial" w:eastAsia="Arial" w:hAnsi="Arial"/>
          <w:sz w:val="20"/>
          <w:szCs w:val="20"/>
          <w:b w:val="1"/>
          <w:bCs w:val="1"/>
          <w:color w:val="auto"/>
        </w:rPr>
      </w:pPr>
    </w:p>
    <w:p>
      <w:pPr>
        <w:ind w:firstLine="1305"/>
        <w:spacing w:after="0" w:line="260" w:lineRule="auto"/>
        <w:tabs>
          <w:tab w:leader="none" w:pos="1851"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6" w:lineRule="exact"/>
        <w:rPr>
          <w:rFonts w:ascii="Arial" w:cs="Arial" w:eastAsia="Arial" w:hAnsi="Arial"/>
          <w:sz w:val="20"/>
          <w:szCs w:val="20"/>
          <w:b w:val="1"/>
          <w:bCs w:val="1"/>
          <w:color w:val="auto"/>
        </w:rPr>
      </w:pPr>
    </w:p>
    <w:p>
      <w:pPr>
        <w:jc w:val="both"/>
        <w:ind w:firstLine="1305"/>
        <w:spacing w:after="0" w:line="263" w:lineRule="auto"/>
        <w:tabs>
          <w:tab w:leader="none" w:pos="1852"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60"/>
          </w:cols>
          <w:pgMar w:left="400" w:top="1419" w:right="339" w:bottom="1440" w:gutter="0" w:footer="0" w:header="0"/>
        </w:sectPr>
      </w:pPr>
    </w:p>
    <w:bookmarkStart w:id="102" w:name="page103"/>
    <w:bookmarkEnd w:id="102"/>
    <w:p>
      <w:pPr>
        <w:jc w:val="both"/>
        <w:ind w:left="80" w:firstLine="1305"/>
        <w:spacing w:after="0" w:line="243" w:lineRule="auto"/>
        <w:tabs>
          <w:tab w:leader="none" w:pos="1995"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Class A Common Stock, (B) cash and/or (C) other valuable consideration (as determined by the Board); or (3) any other action that is treated as a repricing under generally accepted accounting principles.</w:t>
      </w:r>
    </w:p>
    <w:p>
      <w:pPr>
        <w:spacing w:after="0" w:line="189" w:lineRule="exact"/>
        <w:rPr>
          <w:rFonts w:ascii="Arial" w:cs="Arial" w:eastAsia="Arial" w:hAnsi="Arial"/>
          <w:sz w:val="20"/>
          <w:szCs w:val="20"/>
          <w:b w:val="1"/>
          <w:bCs w:val="1"/>
          <w:color w:val="auto"/>
        </w:rPr>
      </w:pPr>
    </w:p>
    <w:p>
      <w:pPr>
        <w:ind w:left="1300" w:hanging="644"/>
        <w:spacing w:after="0"/>
        <w:tabs>
          <w:tab w:leader="none" w:pos="130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Delegation to Committee.</w:t>
      </w:r>
    </w:p>
    <w:p>
      <w:pPr>
        <w:spacing w:after="0" w:line="215" w:lineRule="exact"/>
        <w:rPr>
          <w:rFonts w:ascii="Arial" w:cs="Arial" w:eastAsia="Arial" w:hAnsi="Arial"/>
          <w:sz w:val="20"/>
          <w:szCs w:val="20"/>
          <w:b w:val="1"/>
          <w:bCs w:val="1"/>
          <w:color w:val="auto"/>
        </w:rPr>
      </w:pPr>
    </w:p>
    <w:p>
      <w:pPr>
        <w:jc w:val="both"/>
        <w:ind w:left="80" w:firstLine="1305"/>
        <w:spacing w:after="0" w:line="273" w:lineRule="auto"/>
        <w:tabs>
          <w:tab w:leader="none" w:pos="1941"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62" w:lineRule="exact"/>
        <w:rPr>
          <w:rFonts w:ascii="Arial" w:cs="Arial" w:eastAsia="Arial" w:hAnsi="Arial"/>
          <w:sz w:val="18"/>
          <w:szCs w:val="18"/>
          <w:b w:val="1"/>
          <w:bCs w:val="1"/>
          <w:color w:val="auto"/>
        </w:rPr>
      </w:pPr>
    </w:p>
    <w:p>
      <w:pPr>
        <w:jc w:val="both"/>
        <w:ind w:left="80" w:firstLine="1305"/>
        <w:spacing w:after="0" w:line="246" w:lineRule="auto"/>
        <w:tabs>
          <w:tab w:leader="none" w:pos="1942" w:val="left"/>
        </w:tabs>
        <w:numPr>
          <w:ilvl w:val="1"/>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Rule 16b-3 Compliance. </w:t>
      </w:r>
      <w:r>
        <w:rPr>
          <w:rFonts w:ascii="Arial" w:cs="Arial" w:eastAsia="Arial" w:hAnsi="Arial"/>
          <w:sz w:val="20"/>
          <w:szCs w:val="20"/>
          <w:color w:val="auto"/>
        </w:rPr>
        <w:t>To the extent an Award is intended to qualify for the exemption from Section 16(b)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84" w:lineRule="exact"/>
        <w:rPr>
          <w:rFonts w:ascii="Arial" w:cs="Arial" w:eastAsia="Arial" w:hAnsi="Arial"/>
          <w:sz w:val="20"/>
          <w:szCs w:val="20"/>
          <w:b w:val="1"/>
          <w:bCs w:val="1"/>
          <w:color w:val="auto"/>
        </w:rPr>
      </w:pPr>
    </w:p>
    <w:p>
      <w:pPr>
        <w:ind w:firstLine="656"/>
        <w:spacing w:after="0" w:line="267" w:lineRule="auto"/>
        <w:tabs>
          <w:tab w:leader="none" w:pos="1295"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Effect of Board’s Decision. </w:t>
      </w:r>
      <w:r>
        <w:rPr>
          <w:rFonts w:ascii="Arial" w:cs="Arial" w:eastAsia="Arial" w:hAnsi="Arial"/>
          <w:sz w:val="20"/>
          <w:szCs w:val="20"/>
          <w:color w:val="auto"/>
        </w:rPr>
        <w:t>All determinations, interpretations and constructions made by the Board or any Committee in</w:t>
      </w:r>
      <w:r>
        <w:rPr>
          <w:rFonts w:ascii="Arial" w:cs="Arial" w:eastAsia="Arial" w:hAnsi="Arial"/>
          <w:sz w:val="20"/>
          <w:szCs w:val="20"/>
          <w:b w:val="1"/>
          <w:bCs w:val="1"/>
          <w:color w:val="auto"/>
        </w:rPr>
        <w:t xml:space="preserve"> </w:t>
      </w:r>
      <w:r>
        <w:rPr>
          <w:rFonts w:ascii="Arial" w:cs="Arial" w:eastAsia="Arial" w:hAnsi="Arial"/>
          <w:sz w:val="20"/>
          <w:szCs w:val="20"/>
          <w:color w:val="auto"/>
        </w:rPr>
        <w:t>good faith will not be subject to review by any person and will be final, binding and conclusive on all persons.</w:t>
      </w:r>
    </w:p>
    <w:p>
      <w:pPr>
        <w:spacing w:after="0" w:line="163" w:lineRule="exact"/>
        <w:rPr>
          <w:rFonts w:ascii="Arial" w:cs="Arial" w:eastAsia="Arial" w:hAnsi="Arial"/>
          <w:sz w:val="20"/>
          <w:szCs w:val="20"/>
          <w:b w:val="1"/>
          <w:bCs w:val="1"/>
          <w:color w:val="auto"/>
        </w:rPr>
      </w:pPr>
    </w:p>
    <w:p>
      <w:pPr>
        <w:jc w:val="both"/>
        <w:ind w:firstLine="656"/>
        <w:spacing w:after="0" w:line="256" w:lineRule="auto"/>
        <w:tabs>
          <w:tab w:leader="none" w:pos="1336"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or any Committee may delegate to one or more Officers the authority to do one or both</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following (i) designate Employees who are not Officers to be recipients of Options and SARs (and, to the extent permitted by Applicable Law, other types of Awards) and, to the extent permitted by Applicable Law, the terms thereof, and (ii) determine the number of shares of Class A Common Stock to be subject to such Awards granted to such Employees; provided, however, that the resolutions or charter adopted by the Board or any Committee evidencing such delegation will specify the total number of shares of Class A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103" w:name="page104"/>
    <w:bookmarkEnd w:id="103"/>
    <w:p>
      <w:pPr>
        <w:ind w:left="660" w:hanging="652"/>
        <w:spacing w:after="0"/>
        <w:tabs>
          <w:tab w:leader="none" w:pos="6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w:t>
      </w:r>
    </w:p>
    <w:p>
      <w:pPr>
        <w:spacing w:after="0" w:line="215" w:lineRule="exact"/>
        <w:rPr>
          <w:rFonts w:ascii="Arial" w:cs="Arial" w:eastAsia="Arial" w:hAnsi="Arial"/>
          <w:sz w:val="20"/>
          <w:szCs w:val="20"/>
          <w:b w:val="1"/>
          <w:bCs w:val="1"/>
          <w:color w:val="auto"/>
        </w:rPr>
      </w:pPr>
    </w:p>
    <w:p>
      <w:pPr>
        <w:jc w:val="both"/>
        <w:ind w:firstLine="656"/>
        <w:spacing w:after="0" w:line="260" w:lineRule="auto"/>
        <w:tabs>
          <w:tab w:leader="none" w:pos="1284" w:val="left"/>
        </w:tabs>
        <w:numPr>
          <w:ilvl w:val="1"/>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Authorization. </w:t>
      </w:r>
      <w:r>
        <w:rPr>
          <w:rFonts w:ascii="Arial" w:cs="Arial" w:eastAsia="Arial" w:hAnsi="Arial"/>
          <w:sz w:val="19"/>
          <w:szCs w:val="19"/>
          <w:color w:val="auto"/>
        </w:rPr>
        <w:t>As a condition to acceptance of any Award under the Plan, a Participant authorizes</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Class A Common Stock subject to an Award, unless and until such obligations are satisfied.</w:t>
      </w:r>
    </w:p>
    <w:p>
      <w:pPr>
        <w:spacing w:after="0" w:line="172" w:lineRule="exact"/>
        <w:rPr>
          <w:rFonts w:ascii="Arial" w:cs="Arial" w:eastAsia="Arial" w:hAnsi="Arial"/>
          <w:sz w:val="19"/>
          <w:szCs w:val="19"/>
          <w:b w:val="1"/>
          <w:bCs w:val="1"/>
          <w:color w:val="auto"/>
        </w:rPr>
      </w:pPr>
    </w:p>
    <w:p>
      <w:pPr>
        <w:jc w:val="both"/>
        <w:ind w:firstLine="656"/>
        <w:spacing w:after="0" w:line="275" w:lineRule="auto"/>
        <w:tabs>
          <w:tab w:leader="none" w:pos="1295"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Satisfaction of Withholding Obligation. </w:t>
      </w:r>
      <w:r>
        <w:rPr>
          <w:rFonts w:ascii="Arial" w:cs="Arial" w:eastAsia="Arial" w:hAnsi="Arial"/>
          <w:sz w:val="18"/>
          <w:szCs w:val="18"/>
          <w:color w:val="auto"/>
        </w:rPr>
        <w:t>To the extent permitted by the terms of an Award Agreement,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Class A Common Stock from the shares of Class A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62" w:lineRule="exact"/>
        <w:rPr>
          <w:rFonts w:ascii="Arial" w:cs="Arial" w:eastAsia="Arial" w:hAnsi="Arial"/>
          <w:sz w:val="18"/>
          <w:szCs w:val="18"/>
          <w:b w:val="1"/>
          <w:bCs w:val="1"/>
          <w:color w:val="auto"/>
        </w:rPr>
      </w:pPr>
    </w:p>
    <w:p>
      <w:pPr>
        <w:jc w:val="both"/>
        <w:ind w:firstLine="656"/>
        <w:spacing w:after="0" w:line="270" w:lineRule="auto"/>
        <w:tabs>
          <w:tab w:leader="none" w:pos="1286"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No Liability to Claims. </w:t>
      </w:r>
      <w:r>
        <w:rPr>
          <w:rFonts w:ascii="Arial" w:cs="Arial" w:eastAsia="Arial" w:hAnsi="Arial"/>
          <w:sz w:val="18"/>
          <w:szCs w:val="18"/>
          <w:color w:val="auto"/>
        </w:rPr>
        <w:t>Except as required by Applicable Law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Class A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Class A Common Stock on the date of grant as subsequently determined by the Internal Revenue Service.</w:t>
      </w:r>
    </w:p>
    <w:p>
      <w:pPr>
        <w:spacing w:after="0" w:line="165" w:lineRule="exact"/>
        <w:rPr>
          <w:rFonts w:ascii="Arial" w:cs="Arial" w:eastAsia="Arial" w:hAnsi="Arial"/>
          <w:sz w:val="18"/>
          <w:szCs w:val="18"/>
          <w:b w:val="1"/>
          <w:bCs w:val="1"/>
          <w:color w:val="auto"/>
        </w:rPr>
      </w:pPr>
    </w:p>
    <w:p>
      <w:pPr>
        <w:jc w:val="both"/>
        <w:ind w:firstLine="656"/>
        <w:spacing w:after="0" w:line="248" w:lineRule="auto"/>
        <w:tabs>
          <w:tab w:leader="none" w:pos="1295" w:val="left"/>
        </w:tabs>
        <w:numPr>
          <w:ilvl w:val="1"/>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Withholding Indemnification. </w:t>
      </w:r>
      <w:r>
        <w:rPr>
          <w:rFonts w:ascii="Arial" w:cs="Arial" w:eastAsia="Arial" w:hAnsi="Arial"/>
          <w:sz w:val="20"/>
          <w:szCs w:val="20"/>
          <w:color w:val="auto"/>
        </w:rPr>
        <w:t>As a condition to accepting an Award under the Plan, in the event that the amount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3" w:right="339" w:bottom="1440" w:gutter="0" w:footer="0" w:header="0"/>
        </w:sectPr>
      </w:pPr>
    </w:p>
    <w:bookmarkStart w:id="104" w:name="page105"/>
    <w:bookmarkEnd w:id="104"/>
    <w:p>
      <w:pPr>
        <w:ind w:left="660" w:hanging="652"/>
        <w:spacing w:after="0"/>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5" w:lineRule="exact"/>
        <w:rPr>
          <w:rFonts w:ascii="Arial" w:cs="Arial" w:eastAsia="Arial" w:hAnsi="Arial"/>
          <w:sz w:val="20"/>
          <w:szCs w:val="20"/>
          <w:b w:val="1"/>
          <w:bCs w:val="1"/>
          <w:color w:val="auto"/>
        </w:rPr>
      </w:pPr>
    </w:p>
    <w:p>
      <w:pPr>
        <w:ind w:firstLine="656"/>
        <w:spacing w:after="0" w:line="267" w:lineRule="auto"/>
        <w:tabs>
          <w:tab w:leader="none" w:pos="1284" w:val="left"/>
        </w:tabs>
        <w:numPr>
          <w:ilvl w:val="1"/>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Source of Shares. </w:t>
      </w:r>
      <w:r>
        <w:rPr>
          <w:rFonts w:ascii="Arial" w:cs="Arial" w:eastAsia="Arial" w:hAnsi="Arial"/>
          <w:sz w:val="20"/>
          <w:szCs w:val="20"/>
          <w:color w:val="auto"/>
        </w:rPr>
        <w:t>The stock issuable under the Plan will be shares of authorized but unissued or reacquired Class A</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including shares repurchased by the Company on the open market or otherwise.</w:t>
      </w:r>
    </w:p>
    <w:p>
      <w:pPr>
        <w:spacing w:after="0" w:line="163" w:lineRule="exact"/>
        <w:rPr>
          <w:rFonts w:ascii="Arial" w:cs="Arial" w:eastAsia="Arial" w:hAnsi="Arial"/>
          <w:sz w:val="20"/>
          <w:szCs w:val="20"/>
          <w:b w:val="1"/>
          <w:bCs w:val="1"/>
          <w:color w:val="auto"/>
        </w:rPr>
      </w:pPr>
    </w:p>
    <w:p>
      <w:pPr>
        <w:ind w:firstLine="656"/>
        <w:spacing w:after="0" w:line="267" w:lineRule="auto"/>
        <w:tabs>
          <w:tab w:leader="none" w:pos="1295" w:val="left"/>
        </w:tabs>
        <w:numPr>
          <w:ilvl w:val="1"/>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Use of Proceeds from Sales of Class A Common Stock. </w:t>
      </w:r>
      <w:r>
        <w:rPr>
          <w:rFonts w:ascii="Arial" w:cs="Arial" w:eastAsia="Arial" w:hAnsi="Arial"/>
          <w:sz w:val="20"/>
          <w:szCs w:val="20"/>
          <w:color w:val="auto"/>
        </w:rPr>
        <w:t>Proceeds from the sale of shares of Class A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Awards will constitute general funds of the Company.</w:t>
      </w:r>
    </w:p>
    <w:p>
      <w:pPr>
        <w:spacing w:after="0" w:line="163" w:lineRule="exact"/>
        <w:rPr>
          <w:rFonts w:ascii="Arial" w:cs="Arial" w:eastAsia="Arial" w:hAnsi="Arial"/>
          <w:sz w:val="20"/>
          <w:szCs w:val="20"/>
          <w:b w:val="1"/>
          <w:bCs w:val="1"/>
          <w:color w:val="auto"/>
        </w:rPr>
      </w:pPr>
    </w:p>
    <w:p>
      <w:pPr>
        <w:jc w:val="both"/>
        <w:ind w:firstLine="656"/>
        <w:spacing w:after="0" w:line="275" w:lineRule="auto"/>
        <w:tabs>
          <w:tab w:leader="none" w:pos="1286"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62" w:lineRule="exact"/>
        <w:rPr>
          <w:rFonts w:ascii="Arial" w:cs="Arial" w:eastAsia="Arial" w:hAnsi="Arial"/>
          <w:sz w:val="18"/>
          <w:szCs w:val="18"/>
          <w:b w:val="1"/>
          <w:bCs w:val="1"/>
          <w:color w:val="auto"/>
        </w:rPr>
      </w:pPr>
    </w:p>
    <w:p>
      <w:pPr>
        <w:jc w:val="both"/>
        <w:ind w:firstLine="656"/>
        <w:spacing w:after="0" w:line="248" w:lineRule="auto"/>
        <w:tabs>
          <w:tab w:leader="none" w:pos="1295" w:val="left"/>
        </w:tabs>
        <w:numPr>
          <w:ilvl w:val="1"/>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Stockholder Rights. </w:t>
      </w:r>
      <w:r>
        <w:rPr>
          <w:rFonts w:ascii="Arial" w:cs="Arial" w:eastAsia="Arial" w:hAnsi="Arial"/>
          <w:sz w:val="20"/>
          <w:szCs w:val="20"/>
          <w:color w:val="auto"/>
        </w:rPr>
        <w:t>No Participant will be deemed to be the holder of, or to have any of the rights of a holder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any shares of Class A Common Stock subject to such Award unless and until (i) such Participant has satisfied all requirements for exercise of the Award pursuant to its terms, if applicable, and (ii) the issuance of the Class A Common Stock subject to such Award is reflected in the records of the Company.</w:t>
      </w:r>
    </w:p>
    <w:p>
      <w:pPr>
        <w:spacing w:after="0" w:line="183" w:lineRule="exact"/>
        <w:rPr>
          <w:rFonts w:ascii="Arial" w:cs="Arial" w:eastAsia="Arial" w:hAnsi="Arial"/>
          <w:sz w:val="20"/>
          <w:szCs w:val="20"/>
          <w:b w:val="1"/>
          <w:bCs w:val="1"/>
          <w:color w:val="auto"/>
        </w:rPr>
      </w:pPr>
    </w:p>
    <w:p>
      <w:pPr>
        <w:jc w:val="both"/>
        <w:ind w:firstLine="656"/>
        <w:spacing w:after="0" w:line="255" w:lineRule="auto"/>
        <w:tabs>
          <w:tab w:leader="none" w:pos="1286" w:val="left"/>
        </w:tabs>
        <w:numPr>
          <w:ilvl w:val="1"/>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Award Agreement or any other instrument executed</w:t>
      </w:r>
      <w:r>
        <w:rPr>
          <w:rFonts w:ascii="Arial" w:cs="Arial" w:eastAsia="Arial" w:hAnsi="Arial"/>
          <w:sz w:val="19"/>
          <w:szCs w:val="19"/>
          <w:b w:val="1"/>
          <w:bCs w:val="1"/>
          <w:color w:val="auto"/>
        </w:rPr>
        <w:t xml:space="preserve"> </w:t>
      </w:r>
      <w:r>
        <w:rPr>
          <w:rFonts w:ascii="Arial" w:cs="Arial" w:eastAsia="Arial" w:hAnsi="Arial"/>
          <w:sz w:val="19"/>
          <w:szCs w:val="19"/>
          <w:color w:val="auto"/>
        </w:rPr>
        <w:t>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4" w:lineRule="exact"/>
        <w:rPr>
          <w:rFonts w:ascii="Arial" w:cs="Arial" w:eastAsia="Arial" w:hAnsi="Arial"/>
          <w:sz w:val="19"/>
          <w:szCs w:val="19"/>
          <w:b w:val="1"/>
          <w:bCs w:val="1"/>
          <w:color w:val="auto"/>
        </w:rPr>
      </w:pPr>
    </w:p>
    <w:p>
      <w:pPr>
        <w:jc w:val="both"/>
        <w:ind w:firstLine="656"/>
        <w:spacing w:after="0" w:line="245" w:lineRule="auto"/>
        <w:tabs>
          <w:tab w:leader="none" w:pos="1291" w:val="left"/>
        </w:tabs>
        <w:numPr>
          <w:ilvl w:val="1"/>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Time Commitment</w:t>
      </w:r>
      <w:r>
        <w:rPr>
          <w:rFonts w:ascii="Arial" w:cs="Arial" w:eastAsia="Arial" w:hAnsi="Arial"/>
          <w:sz w:val="20"/>
          <w:szCs w:val="20"/>
          <w:color w:val="auto"/>
        </w:rPr>
        <w:t>. In the event a Participant’s regular level of time commitment in the performance of his or</w:t>
      </w:r>
      <w:r>
        <w:rPr>
          <w:rFonts w:ascii="Arial" w:cs="Arial" w:eastAsia="Arial" w:hAnsi="Arial"/>
          <w:sz w:val="20"/>
          <w:szCs w:val="20"/>
          <w:b w:val="1"/>
          <w:bCs w:val="1"/>
          <w:color w:val="auto"/>
        </w:rPr>
        <w:t xml:space="preserve"> </w:t>
      </w:r>
      <w:r>
        <w:rPr>
          <w:rFonts w:ascii="Arial" w:cs="Arial" w:eastAsia="Arial" w:hAnsi="Arial"/>
          <w:sz w:val="20"/>
          <w:szCs w:val="20"/>
          <w:color w:val="auto"/>
        </w:rPr>
        <w:t>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250" w:lineRule="auto"/>
        <w:rPr>
          <w:sz w:val="20"/>
          <w:szCs w:val="20"/>
          <w:color w:val="auto"/>
        </w:rPr>
      </w:pPr>
      <w:r>
        <w:rPr>
          <w:rFonts w:ascii="Arial" w:cs="Arial" w:eastAsia="Arial" w:hAnsi="Arial"/>
          <w:sz w:val="20"/>
          <w:szCs w:val="20"/>
          <w:color w:val="auto"/>
        </w:rPr>
        <w:t>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0" w:lineRule="exact"/>
        <w:rPr>
          <w:sz w:val="20"/>
          <w:szCs w:val="20"/>
          <w:color w:val="auto"/>
        </w:rPr>
      </w:pPr>
    </w:p>
    <w:p>
      <w:pPr>
        <w:jc w:val="both"/>
        <w:ind w:firstLine="656"/>
        <w:spacing w:after="0" w:line="248" w:lineRule="auto"/>
        <w:tabs>
          <w:tab w:leader="none" w:pos="1284"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Execution of Additional Documents. </w:t>
      </w:r>
      <w:r>
        <w:rPr>
          <w:rFonts w:ascii="Arial" w:cs="Arial" w:eastAsia="Arial" w:hAnsi="Arial"/>
          <w:sz w:val="20"/>
          <w:szCs w:val="20"/>
          <w:color w:val="auto"/>
        </w:rPr>
        <w:t>As a condition to accepting an Award under the Plan, the Participant agrees to execute</w:t>
      </w:r>
      <w:r>
        <w:rPr>
          <w:rFonts w:ascii="Arial" w:cs="Arial" w:eastAsia="Arial" w:hAnsi="Arial"/>
          <w:sz w:val="20"/>
          <w:szCs w:val="20"/>
          <w:b w:val="1"/>
          <w:bCs w:val="1"/>
          <w:color w:val="auto"/>
        </w:rPr>
        <w:t xml:space="preserve"> </w:t>
      </w:r>
      <w:r>
        <w:rPr>
          <w:rFonts w:ascii="Arial" w:cs="Arial" w:eastAsia="Arial" w:hAnsi="Arial"/>
          <w:sz w:val="20"/>
          <w:szCs w:val="20"/>
          <w:color w:val="auto"/>
        </w:rPr>
        <w:t>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83" w:lineRule="exact"/>
        <w:rPr>
          <w:rFonts w:ascii="Arial" w:cs="Arial" w:eastAsia="Arial" w:hAnsi="Arial"/>
          <w:sz w:val="20"/>
          <w:szCs w:val="20"/>
          <w:b w:val="1"/>
          <w:bCs w:val="1"/>
          <w:color w:val="auto"/>
        </w:rPr>
      </w:pPr>
    </w:p>
    <w:p>
      <w:pPr>
        <w:jc w:val="both"/>
        <w:ind w:firstLine="656"/>
        <w:spacing w:after="0" w:line="244" w:lineRule="auto"/>
        <w:tabs>
          <w:tab w:leader="none" w:pos="1295"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Participation</w:t>
      </w:r>
      <w:r>
        <w:rPr>
          <w:rFonts w:ascii="Arial" w:cs="Arial" w:eastAsia="Arial" w:hAnsi="Arial"/>
          <w:sz w:val="20"/>
          <w:szCs w:val="20"/>
          <w:color w:val="auto"/>
        </w:rPr>
        <w:t>. Any reference herein or in an Award Agreement to a “written” agreement or</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Class A Common Stock (e.g., a stock certificate or electronic entry evidencing such shares) shall be determined by the Company.</w:t>
      </w:r>
    </w:p>
    <w:p>
      <w:pPr>
        <w:spacing w:after="0" w:line="185" w:lineRule="exact"/>
        <w:rPr>
          <w:rFonts w:ascii="Arial" w:cs="Arial" w:eastAsia="Arial" w:hAnsi="Arial"/>
          <w:sz w:val="20"/>
          <w:szCs w:val="20"/>
          <w:b w:val="1"/>
          <w:bCs w:val="1"/>
          <w:color w:val="auto"/>
        </w:rPr>
      </w:pPr>
    </w:p>
    <w:p>
      <w:pPr>
        <w:jc w:val="both"/>
        <w:ind w:firstLine="656"/>
        <w:spacing w:after="0" w:line="273" w:lineRule="auto"/>
        <w:tabs>
          <w:tab w:leader="none" w:pos="129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granted under the Plan will be subject to recoupment in accordance with any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Class A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62" w:lineRule="exact"/>
        <w:rPr>
          <w:rFonts w:ascii="Arial" w:cs="Arial" w:eastAsia="Arial" w:hAnsi="Arial"/>
          <w:sz w:val="18"/>
          <w:szCs w:val="18"/>
          <w:b w:val="1"/>
          <w:bCs w:val="1"/>
          <w:color w:val="auto"/>
        </w:rPr>
      </w:pPr>
    </w:p>
    <w:p>
      <w:pPr>
        <w:jc w:val="both"/>
        <w:ind w:firstLine="656"/>
        <w:spacing w:after="0" w:line="285" w:lineRule="auto"/>
        <w:tabs>
          <w:tab w:leader="none" w:pos="129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50" w:lineRule="exact"/>
        <w:rPr>
          <w:rFonts w:ascii="Arial" w:cs="Arial" w:eastAsia="Arial" w:hAnsi="Arial"/>
          <w:sz w:val="18"/>
          <w:szCs w:val="18"/>
          <w:b w:val="1"/>
          <w:bCs w:val="1"/>
          <w:color w:val="auto"/>
        </w:rPr>
      </w:pPr>
    </w:p>
    <w:p>
      <w:pPr>
        <w:jc w:val="both"/>
        <w:ind w:firstLine="656"/>
        <w:spacing w:after="0" w:line="262" w:lineRule="auto"/>
        <w:tabs>
          <w:tab w:leader="none" w:pos="1295"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or Assignment of Awards; Issued Shares. </w:t>
      </w:r>
      <w:r>
        <w:rPr>
          <w:rFonts w:ascii="Arial" w:cs="Arial" w:eastAsia="Arial" w:hAnsi="Arial"/>
          <w:sz w:val="19"/>
          <w:szCs w:val="19"/>
          <w:color w:val="auto"/>
        </w:rPr>
        <w:t>Except as expressly provided in the Plan or the form of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9" w:right="339" w:bottom="1440" w:gutter="0" w:footer="0" w:header="0"/>
        </w:sectPr>
      </w:pPr>
    </w:p>
    <w:bookmarkStart w:id="106" w:name="page107"/>
    <w:bookmarkEnd w:id="106"/>
    <w:p>
      <w:pPr>
        <w:jc w:val="both"/>
        <w:ind w:firstLine="656"/>
        <w:spacing w:after="0" w:line="330" w:lineRule="auto"/>
        <w:tabs>
          <w:tab w:leader="none" w:pos="1294"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on Other Employee Benefit Plans. </w:t>
      </w:r>
      <w:r>
        <w:rPr>
          <w:rFonts w:ascii="Arial" w:cs="Arial" w:eastAsia="Arial" w:hAnsi="Arial"/>
          <w:sz w:val="16"/>
          <w:szCs w:val="16"/>
          <w:color w:val="auto"/>
        </w:rPr>
        <w:t>The value of any Award granted under the Plan, as determined upon grant,</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22" w:lineRule="exact"/>
        <w:rPr>
          <w:rFonts w:ascii="Arial" w:cs="Arial" w:eastAsia="Arial" w:hAnsi="Arial"/>
          <w:sz w:val="16"/>
          <w:szCs w:val="16"/>
          <w:b w:val="1"/>
          <w:bCs w:val="1"/>
          <w:color w:val="auto"/>
        </w:rPr>
      </w:pPr>
    </w:p>
    <w:p>
      <w:pPr>
        <w:jc w:val="both"/>
        <w:ind w:firstLine="656"/>
        <w:spacing w:after="0" w:line="248" w:lineRule="auto"/>
        <w:tabs>
          <w:tab w:leader="none" w:pos="1296" w:val="left"/>
        </w:tabs>
        <w:numPr>
          <w:ilvl w:val="1"/>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Deferrals. </w:t>
      </w:r>
      <w:r>
        <w:rPr>
          <w:rFonts w:ascii="Arial" w:cs="Arial" w:eastAsia="Arial" w:hAnsi="Arial"/>
          <w:sz w:val="20"/>
          <w:szCs w:val="20"/>
          <w:color w:val="auto"/>
        </w:rPr>
        <w:t>To the extent permitted by Applicable Law, the Board, in its sole discretion, may determine that the delivery of</w:t>
      </w:r>
      <w:r>
        <w:rPr>
          <w:rFonts w:ascii="Arial" w:cs="Arial" w:eastAsia="Arial" w:hAnsi="Arial"/>
          <w:sz w:val="20"/>
          <w:szCs w:val="20"/>
          <w:b w:val="1"/>
          <w:bCs w:val="1"/>
          <w:color w:val="auto"/>
        </w:rPr>
        <w:t xml:space="preserve"> </w:t>
      </w:r>
      <w:r>
        <w:rPr>
          <w:rFonts w:ascii="Arial" w:cs="Arial" w:eastAsia="Arial" w:hAnsi="Arial"/>
          <w:sz w:val="20"/>
          <w:szCs w:val="20"/>
          <w:color w:val="auto"/>
        </w:rPr>
        <w:t>Class A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83" w:lineRule="exact"/>
        <w:rPr>
          <w:rFonts w:ascii="Arial" w:cs="Arial" w:eastAsia="Arial" w:hAnsi="Arial"/>
          <w:sz w:val="20"/>
          <w:szCs w:val="20"/>
          <w:b w:val="1"/>
          <w:bCs w:val="1"/>
          <w:color w:val="auto"/>
        </w:rPr>
      </w:pPr>
    </w:p>
    <w:p>
      <w:pPr>
        <w:jc w:val="both"/>
        <w:ind w:firstLine="656"/>
        <w:spacing w:after="0" w:line="270" w:lineRule="auto"/>
        <w:tabs>
          <w:tab w:leader="none" w:pos="1295"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Unless otherwise expressly provided for in an Award Agreement, the Plan and Award Agreements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Class A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72" w:lineRule="exact"/>
        <w:rPr>
          <w:rFonts w:ascii="Arial" w:cs="Arial" w:eastAsia="Arial" w:hAnsi="Arial"/>
          <w:sz w:val="18"/>
          <w:szCs w:val="18"/>
          <w:b w:val="1"/>
          <w:bCs w:val="1"/>
          <w:color w:val="auto"/>
        </w:rPr>
      </w:pPr>
    </w:p>
    <w:p>
      <w:pPr>
        <w:jc w:val="both"/>
        <w:ind w:firstLine="656"/>
        <w:spacing w:after="0" w:line="253" w:lineRule="auto"/>
        <w:tabs>
          <w:tab w:leader="none" w:pos="1284" w:val="left"/>
        </w:tabs>
        <w:numPr>
          <w:ilvl w:val="1"/>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Choice of Law. </w:t>
      </w:r>
      <w:r>
        <w:rPr>
          <w:rFonts w:ascii="Arial" w:cs="Arial" w:eastAsia="Arial" w:hAnsi="Arial"/>
          <w:sz w:val="20"/>
          <w:szCs w:val="20"/>
          <w:color w:val="auto"/>
        </w:rPr>
        <w:t>This Plan and any controversy arising out of or relating to this Plan shall be governed by, and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internal laws of the State of Delaware, without regard to conflict of law principles that would result in any application of any law other than the law of the State of Delaware.</w:t>
      </w:r>
    </w:p>
    <w:p>
      <w:pPr>
        <w:spacing w:after="0" w:line="177" w:lineRule="exact"/>
        <w:rPr>
          <w:rFonts w:ascii="Arial" w:cs="Arial" w:eastAsia="Arial" w:hAnsi="Arial"/>
          <w:sz w:val="20"/>
          <w:szCs w:val="20"/>
          <w:b w:val="1"/>
          <w:bCs w:val="1"/>
          <w:color w:val="auto"/>
        </w:rPr>
      </w:pPr>
    </w:p>
    <w:p>
      <w:pPr>
        <w:ind w:left="640" w:hanging="632"/>
        <w:spacing w:after="0"/>
        <w:tabs>
          <w:tab w:leader="none" w:pos="64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Company.</w:t>
      </w:r>
    </w:p>
    <w:p>
      <w:pPr>
        <w:spacing w:after="0" w:line="215" w:lineRule="exact"/>
        <w:rPr>
          <w:rFonts w:ascii="Arial" w:cs="Arial" w:eastAsia="Arial" w:hAnsi="Arial"/>
          <w:sz w:val="20"/>
          <w:szCs w:val="20"/>
          <w:b w:val="1"/>
          <w:bCs w:val="1"/>
          <w:color w:val="auto"/>
        </w:rPr>
      </w:pPr>
    </w:p>
    <w:p>
      <w:pPr>
        <w:jc w:val="both"/>
        <w:ind w:firstLine="656"/>
        <w:spacing w:after="0" w:line="258" w:lineRule="auto"/>
        <w:tabs>
          <w:tab w:leader="none" w:pos="1284" w:val="left"/>
        </w:tabs>
        <w:numPr>
          <w:ilvl w:val="1"/>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The Company will seek to obtain from each regulatory commission or agency, as may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necessary, having jurisdiction over the Plan such authority as may be required to grant Awards and to issue and sell shares of Class A Common Stock upon exercise or vesting of the Awards; provided, however, that this undertaking will not require the Company to register under the Securities Act the Plan, any Award or any Class A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Class A Common Stock under the Plan, the Company will be relieved from any liability for failure to issue and sell Class A Common Stock upon exercise or vesting of such Awards unless and until such authority is obtained. A Participant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3" w:right="339" w:bottom="1440" w:gutter="0" w:footer="0" w:header="0"/>
        </w:sectPr>
      </w:pPr>
    </w:p>
    <w:bookmarkStart w:id="107" w:name="page108"/>
    <w:bookmarkEnd w:id="107"/>
    <w:p>
      <w:pPr>
        <w:ind w:right="20"/>
        <w:spacing w:after="0" w:line="260" w:lineRule="auto"/>
        <w:rPr>
          <w:sz w:val="20"/>
          <w:szCs w:val="20"/>
          <w:color w:val="auto"/>
        </w:rPr>
      </w:pPr>
      <w:r>
        <w:rPr>
          <w:rFonts w:ascii="Arial" w:cs="Arial" w:eastAsia="Arial" w:hAnsi="Arial"/>
          <w:sz w:val="20"/>
          <w:szCs w:val="20"/>
          <w:color w:val="auto"/>
        </w:rPr>
        <w:t>eligible for the grant of an Award or the subsequent issuance of Class A Common Stock pursuant to the Award if such grant or issuance would be in violation of any Applicable Law.</w:t>
      </w:r>
    </w:p>
    <w:p>
      <w:pPr>
        <w:spacing w:after="0" w:line="171"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Rules for Awards Subject to Section 409A.</w:t>
      </w:r>
    </w:p>
    <w:p>
      <w:pPr>
        <w:spacing w:after="0" w:line="215" w:lineRule="exact"/>
        <w:rPr>
          <w:rFonts w:ascii="Arial" w:cs="Arial" w:eastAsia="Arial" w:hAnsi="Arial"/>
          <w:sz w:val="20"/>
          <w:szCs w:val="20"/>
          <w:b w:val="1"/>
          <w:bCs w:val="1"/>
          <w:color w:val="auto"/>
        </w:rPr>
      </w:pPr>
    </w:p>
    <w:p>
      <w:pPr>
        <w:jc w:val="both"/>
        <w:ind w:firstLine="656"/>
        <w:spacing w:after="0" w:line="253" w:lineRule="auto"/>
        <w:tabs>
          <w:tab w:leader="none" w:pos="1284" w:val="left"/>
        </w:tabs>
        <w:numPr>
          <w:ilvl w:val="1"/>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Application. </w:t>
      </w:r>
      <w:r>
        <w:rPr>
          <w:rFonts w:ascii="Arial" w:cs="Arial" w:eastAsia="Arial" w:hAnsi="Arial"/>
          <w:sz w:val="20"/>
          <w:szCs w:val="20"/>
          <w:color w:val="auto"/>
        </w:rPr>
        <w:t>Unless the provisions of this Section of the Plan are expressly superseded by the provisions in the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Award Agreement, the provisions of this Section shall apply and shall supersede anything to the contrary set forth in the Award Agreement for a Non-Exempt Award.</w:t>
      </w:r>
    </w:p>
    <w:p>
      <w:pPr>
        <w:spacing w:after="0" w:line="177" w:lineRule="exact"/>
        <w:rPr>
          <w:rFonts w:ascii="Arial" w:cs="Arial" w:eastAsia="Arial" w:hAnsi="Arial"/>
          <w:sz w:val="20"/>
          <w:szCs w:val="20"/>
          <w:b w:val="1"/>
          <w:bCs w:val="1"/>
          <w:color w:val="auto"/>
        </w:rPr>
      </w:pPr>
    </w:p>
    <w:p>
      <w:pPr>
        <w:ind w:firstLine="656"/>
        <w:spacing w:after="0" w:line="323" w:lineRule="auto"/>
        <w:tabs>
          <w:tab w:leader="none" w:pos="1295"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due to application of a Non-Exempt Severance Arrangement, the following provisions of this subsection (b) apply.</w:t>
      </w:r>
    </w:p>
    <w:p>
      <w:pPr>
        <w:spacing w:after="0" w:line="123" w:lineRule="exact"/>
        <w:rPr>
          <w:rFonts w:ascii="Arial" w:cs="Arial" w:eastAsia="Arial" w:hAnsi="Arial"/>
          <w:sz w:val="18"/>
          <w:szCs w:val="18"/>
          <w:b w:val="1"/>
          <w:bCs w:val="1"/>
          <w:color w:val="auto"/>
        </w:rPr>
      </w:pPr>
    </w:p>
    <w:p>
      <w:pPr>
        <w:jc w:val="both"/>
        <w:ind w:left="80" w:firstLine="1305"/>
        <w:spacing w:after="0" w:line="268" w:lineRule="auto"/>
        <w:tabs>
          <w:tab w:leader="none" w:pos="1941" w:val="left"/>
        </w:tabs>
        <w:numPr>
          <w:ilvl w:val="2"/>
          <w:numId w:val="71"/>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that follows the applicable vesting date.</w:t>
      </w:r>
    </w:p>
    <w:p>
      <w:pPr>
        <w:spacing w:after="0" w:line="81" w:lineRule="exact"/>
        <w:rPr>
          <w:rFonts w:ascii="Arial" w:cs="Arial" w:eastAsia="Arial" w:hAnsi="Arial"/>
          <w:sz w:val="18"/>
          <w:szCs w:val="18"/>
          <w:b w:val="1"/>
          <w:bCs w:val="1"/>
          <w:color w:val="auto"/>
        </w:rPr>
      </w:pPr>
    </w:p>
    <w:p>
      <w:pPr>
        <w:jc w:val="both"/>
        <w:ind w:left="80" w:firstLine="1305"/>
        <w:spacing w:after="0" w:line="248" w:lineRule="auto"/>
        <w:tabs>
          <w:tab w:leader="none" w:pos="1942" w:val="left"/>
        </w:tabs>
        <w:numPr>
          <w:ilvl w:val="2"/>
          <w:numId w:val="71"/>
        </w:numPr>
        <w:rPr>
          <w:rFonts w:ascii="Arial" w:cs="Arial" w:eastAsia="Arial" w:hAnsi="Arial"/>
          <w:sz w:val="19"/>
          <w:szCs w:val="19"/>
          <w:b w:val="1"/>
          <w:bCs w:val="1"/>
          <w:color w:val="auto"/>
        </w:rPr>
      </w:pPr>
      <w:r>
        <w:rPr>
          <w:rFonts w:ascii="Arial" w:cs="Arial" w:eastAsia="Arial" w:hAnsi="Arial"/>
          <w:sz w:val="19"/>
          <w:szCs w:val="19"/>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90" w:lineRule="exact"/>
        <w:rPr>
          <w:rFonts w:ascii="Arial" w:cs="Arial" w:eastAsia="Arial" w:hAnsi="Arial"/>
          <w:sz w:val="19"/>
          <w:szCs w:val="19"/>
          <w:b w:val="1"/>
          <w:bCs w:val="1"/>
          <w:color w:val="auto"/>
        </w:rPr>
      </w:pPr>
    </w:p>
    <w:p>
      <w:pPr>
        <w:jc w:val="both"/>
        <w:ind w:left="80" w:firstLine="1305"/>
        <w:spacing w:after="0" w:line="274" w:lineRule="auto"/>
        <w:tabs>
          <w:tab w:leader="none" w:pos="1943" w:val="left"/>
        </w:tabs>
        <w:numPr>
          <w:ilvl w:val="2"/>
          <w:numId w:val="71"/>
        </w:numPr>
        <w:rPr>
          <w:rFonts w:ascii="Arial" w:cs="Arial" w:eastAsia="Arial" w:hAnsi="Arial"/>
          <w:sz w:val="18"/>
          <w:szCs w:val="18"/>
          <w:b w:val="1"/>
          <w:bCs w:val="1"/>
          <w:color w:val="auto"/>
        </w:rPr>
      </w:pPr>
      <w:r>
        <w:rPr>
          <w:rFonts w:ascii="Arial" w:cs="Arial" w:eastAsia="Arial" w:hAnsi="Arial"/>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62" w:lineRule="exact"/>
        <w:rPr>
          <w:rFonts w:ascii="Arial" w:cs="Arial" w:eastAsia="Arial" w:hAnsi="Arial"/>
          <w:sz w:val="18"/>
          <w:szCs w:val="18"/>
          <w:b w:val="1"/>
          <w:bCs w:val="1"/>
          <w:color w:val="auto"/>
        </w:rPr>
      </w:pPr>
    </w:p>
    <w:p>
      <w:pPr>
        <w:jc w:val="both"/>
        <w:ind w:firstLine="656"/>
        <w:spacing w:after="0" w:line="248" w:lineRule="auto"/>
        <w:tabs>
          <w:tab w:leader="none" w:pos="1286" w:val="left"/>
        </w:tabs>
        <w:numPr>
          <w:ilvl w:val="1"/>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Treatment of Non-Exempt Awards Upon a Corporate Transaction for Employees and Consultants. </w:t>
      </w:r>
      <w:r>
        <w:rPr>
          <w:rFonts w:ascii="Arial" w:cs="Arial" w:eastAsia="Arial" w:hAnsi="Arial"/>
          <w:sz w:val="20"/>
          <w:szCs w:val="20"/>
          <w:color w:val="auto"/>
        </w:rPr>
        <w:t>The provisions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9" w:right="339" w:bottom="1440" w:gutter="0" w:footer="0" w:header="0"/>
        </w:sectPr>
      </w:pPr>
    </w:p>
    <w:bookmarkStart w:id="108" w:name="page109"/>
    <w:bookmarkEnd w:id="108"/>
    <w:p>
      <w:pPr>
        <w:ind w:left="80" w:firstLine="1305"/>
        <w:spacing w:after="0" w:line="267" w:lineRule="auto"/>
        <w:tabs>
          <w:tab w:leader="none" w:pos="1941"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Vested Non-Exempt Awards. </w:t>
      </w:r>
      <w:r>
        <w:rPr>
          <w:rFonts w:ascii="Arial" w:cs="Arial" w:eastAsia="Arial" w:hAnsi="Arial"/>
          <w:sz w:val="20"/>
          <w:szCs w:val="20"/>
          <w:color w:val="auto"/>
        </w:rPr>
        <w:t>The following provisions shall apply to any Vested Non-Exempt Award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a Corporate Transaction:</w:t>
      </w:r>
    </w:p>
    <w:p>
      <w:pPr>
        <w:spacing w:after="0" w:line="196" w:lineRule="exact"/>
        <w:rPr>
          <w:rFonts w:ascii="Arial" w:cs="Arial" w:eastAsia="Arial" w:hAnsi="Arial"/>
          <w:sz w:val="20"/>
          <w:szCs w:val="20"/>
          <w:b w:val="1"/>
          <w:bCs w:val="1"/>
          <w:color w:val="auto"/>
        </w:rPr>
      </w:pPr>
    </w:p>
    <w:p>
      <w:pPr>
        <w:jc w:val="both"/>
        <w:ind w:firstLine="1952"/>
        <w:spacing w:after="0" w:line="254" w:lineRule="auto"/>
        <w:tabs>
          <w:tab w:leader="none" w:pos="2587" w:val="left"/>
        </w:tabs>
        <w:numPr>
          <w:ilvl w:val="2"/>
          <w:numId w:val="72"/>
        </w:numPr>
        <w:rPr>
          <w:rFonts w:ascii="Arial" w:cs="Arial" w:eastAsia="Arial" w:hAnsi="Arial"/>
          <w:sz w:val="21"/>
          <w:szCs w:val="21"/>
          <w:b w:val="1"/>
          <w:bCs w:val="1"/>
          <w:color w:val="auto"/>
        </w:rPr>
      </w:pPr>
      <w:r>
        <w:rPr>
          <w:rFonts w:ascii="Arial" w:cs="Arial" w:eastAsia="Arial" w:hAnsi="Arial"/>
          <w:sz w:val="19"/>
          <w:szCs w:val="19"/>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210" w:lineRule="exact"/>
        <w:rPr>
          <w:rFonts w:ascii="Arial" w:cs="Arial" w:eastAsia="Arial" w:hAnsi="Arial"/>
          <w:sz w:val="21"/>
          <w:szCs w:val="21"/>
          <w:b w:val="1"/>
          <w:bCs w:val="1"/>
          <w:color w:val="auto"/>
        </w:rPr>
      </w:pPr>
    </w:p>
    <w:p>
      <w:pPr>
        <w:jc w:val="both"/>
        <w:ind w:firstLine="1952"/>
        <w:spacing w:after="0" w:line="239" w:lineRule="auto"/>
        <w:tabs>
          <w:tab w:leader="none" w:pos="2587" w:val="left"/>
        </w:tabs>
        <w:numPr>
          <w:ilvl w:val="2"/>
          <w:numId w:val="72"/>
        </w:numPr>
        <w:rPr>
          <w:rFonts w:ascii="Arial" w:cs="Arial" w:eastAsia="Arial" w:hAnsi="Arial"/>
          <w:sz w:val="22"/>
          <w:szCs w:val="22"/>
          <w:b w:val="1"/>
          <w:bCs w:val="1"/>
          <w:color w:val="auto"/>
        </w:rPr>
      </w:pPr>
      <w:r>
        <w:rPr>
          <w:rFonts w:ascii="Arial" w:cs="Arial" w:eastAsia="Arial" w:hAnsi="Arial"/>
          <w:sz w:val="20"/>
          <w:szCs w:val="20"/>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90" w:lineRule="exact"/>
        <w:rPr>
          <w:rFonts w:ascii="Arial" w:cs="Arial" w:eastAsia="Arial" w:hAnsi="Arial"/>
          <w:sz w:val="22"/>
          <w:szCs w:val="22"/>
          <w:b w:val="1"/>
          <w:bCs w:val="1"/>
          <w:color w:val="auto"/>
        </w:rPr>
      </w:pPr>
    </w:p>
    <w:p>
      <w:pPr>
        <w:ind w:left="80" w:firstLine="1305"/>
        <w:spacing w:after="0" w:line="267" w:lineRule="auto"/>
        <w:tabs>
          <w:tab w:leader="none" w:pos="1942"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Unvested Non-Exempt Awards. </w:t>
      </w:r>
      <w:r>
        <w:rPr>
          <w:rFonts w:ascii="Arial" w:cs="Arial" w:eastAsia="Arial" w:hAnsi="Arial"/>
          <w:sz w:val="20"/>
          <w:szCs w:val="20"/>
          <w:color w:val="auto"/>
        </w:rPr>
        <w:t>The following provisions shall apply to any Unvested Non-Exempt Award unless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determined by the Board pursuant to subsection (e) of this Section.</w:t>
      </w:r>
    </w:p>
    <w:p>
      <w:pPr>
        <w:spacing w:after="0" w:line="196" w:lineRule="exact"/>
        <w:rPr>
          <w:rFonts w:ascii="Arial" w:cs="Arial" w:eastAsia="Arial" w:hAnsi="Arial"/>
          <w:sz w:val="20"/>
          <w:szCs w:val="20"/>
          <w:b w:val="1"/>
          <w:bCs w:val="1"/>
          <w:color w:val="auto"/>
        </w:rPr>
      </w:pPr>
    </w:p>
    <w:p>
      <w:pPr>
        <w:jc w:val="both"/>
        <w:ind w:firstLine="1952"/>
        <w:spacing w:after="0" w:line="253" w:lineRule="auto"/>
        <w:tabs>
          <w:tab w:leader="none" w:pos="2587" w:val="left"/>
        </w:tabs>
        <w:numPr>
          <w:ilvl w:val="2"/>
          <w:numId w:val="72"/>
        </w:numPr>
        <w:rPr>
          <w:rFonts w:ascii="Arial" w:cs="Arial" w:eastAsia="Arial" w:hAnsi="Arial"/>
          <w:sz w:val="21"/>
          <w:szCs w:val="21"/>
          <w:b w:val="1"/>
          <w:bCs w:val="1"/>
          <w:color w:val="auto"/>
        </w:rPr>
      </w:pPr>
      <w:r>
        <w:rPr>
          <w:rFonts w:ascii="Arial" w:cs="Arial" w:eastAsia="Arial" w:hAnsi="Arial"/>
          <w:sz w:val="19"/>
          <w:szCs w:val="19"/>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212" w:lineRule="exact"/>
        <w:rPr>
          <w:rFonts w:ascii="Arial" w:cs="Arial" w:eastAsia="Arial" w:hAnsi="Arial"/>
          <w:sz w:val="21"/>
          <w:szCs w:val="21"/>
          <w:b w:val="1"/>
          <w:bCs w:val="1"/>
          <w:color w:val="auto"/>
        </w:rPr>
      </w:pPr>
    </w:p>
    <w:p>
      <w:pPr>
        <w:jc w:val="both"/>
        <w:ind w:firstLine="1952"/>
        <w:spacing w:after="0" w:line="282" w:lineRule="auto"/>
        <w:tabs>
          <w:tab w:leader="none" w:pos="2587" w:val="left"/>
        </w:tabs>
        <w:numPr>
          <w:ilvl w:val="2"/>
          <w:numId w:val="72"/>
        </w:numPr>
        <w:rPr>
          <w:rFonts w:ascii="Arial" w:cs="Arial" w:eastAsia="Arial" w:hAnsi="Arial"/>
          <w:sz w:val="18"/>
          <w:szCs w:val="18"/>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w:t>
      </w:r>
    </w:p>
    <w:p>
      <w:pPr>
        <w:spacing w:after="0" w:line="1" w:lineRule="exact"/>
        <w:rPr>
          <w:rFonts w:ascii="Arial" w:cs="Arial" w:eastAsia="Arial" w:hAnsi="Arial"/>
          <w:sz w:val="18"/>
          <w:szCs w:val="18"/>
          <w:b w:val="1"/>
          <w:bCs w:val="1"/>
          <w:color w:val="auto"/>
        </w:rPr>
      </w:pPr>
    </w:p>
    <w:p>
      <w:pPr>
        <w:ind w:right="20" w:firstLine="8"/>
        <w:spacing w:after="0" w:line="244" w:lineRule="auto"/>
        <w:tabs>
          <w:tab w:leader="none" w:pos="298" w:val="left"/>
        </w:tabs>
        <w:numPr>
          <w:ilvl w:val="0"/>
          <w:numId w:val="73"/>
        </w:numPr>
        <w:rPr>
          <w:rFonts w:ascii="Arial" w:cs="Arial" w:eastAsia="Arial" w:hAnsi="Arial"/>
          <w:sz w:val="20"/>
          <w:szCs w:val="20"/>
          <w:color w:val="auto"/>
        </w:rPr>
      </w:pPr>
      <w:r>
        <w:rPr>
          <w:rFonts w:ascii="Arial" w:cs="Arial" w:eastAsia="Arial" w:hAnsi="Arial"/>
          <w:sz w:val="20"/>
          <w:szCs w:val="20"/>
          <w:color w:val="auto"/>
        </w:rPr>
        <w:t>below. In the absence of such discretionary election by the Board, any Unvested Non-Exempt Award shall be forfeited without payment of any consideration to the affected Participants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Acquiring Entity will not assume, substitute or continue the Unvested Non-Exempt Awards in connection with the Corporate Transaction.</w:t>
      </w:r>
    </w:p>
    <w:p>
      <w:pPr>
        <w:spacing w:after="0" w:line="266" w:lineRule="exact"/>
        <w:rPr>
          <w:sz w:val="20"/>
          <w:szCs w:val="20"/>
          <w:color w:val="auto"/>
        </w:rPr>
      </w:pPr>
    </w:p>
    <w:p>
      <w:pPr>
        <w:ind w:firstLine="1952"/>
        <w:spacing w:after="0" w:line="261" w:lineRule="auto"/>
        <w:tabs>
          <w:tab w:leader="none" w:pos="2587" w:val="left"/>
        </w:tabs>
        <w:numPr>
          <w:ilvl w:val="2"/>
          <w:numId w:val="74"/>
        </w:numPr>
        <w:rPr>
          <w:rFonts w:ascii="Arial" w:cs="Arial" w:eastAsia="Arial" w:hAnsi="Arial"/>
          <w:sz w:val="21"/>
          <w:szCs w:val="21"/>
          <w:b w:val="1"/>
          <w:bCs w:val="1"/>
          <w:color w:val="auto"/>
        </w:rPr>
      </w:pPr>
      <w:r>
        <w:rPr>
          <w:rFonts w:ascii="Arial" w:cs="Arial" w:eastAsia="Arial" w:hAnsi="Arial"/>
          <w:sz w:val="19"/>
          <w:szCs w:val="19"/>
          <w:color w:val="auto"/>
        </w:rPr>
        <w:t>The foregoing treatment shall apply with respect to all Unvested Non-Exempt Awards upon any Corporate Transaction, and regardless of whether or not such Corporate Transaction is also a Section 409A Change in Control.</w:t>
      </w:r>
    </w:p>
    <w:p>
      <w:pPr>
        <w:spacing w:after="0" w:line="168" w:lineRule="exact"/>
        <w:rPr>
          <w:rFonts w:ascii="Arial" w:cs="Arial" w:eastAsia="Arial" w:hAnsi="Arial"/>
          <w:sz w:val="21"/>
          <w:szCs w:val="21"/>
          <w:b w:val="1"/>
          <w:bCs w:val="1"/>
          <w:color w:val="auto"/>
        </w:rPr>
      </w:pPr>
    </w:p>
    <w:p>
      <w:pPr>
        <w:jc w:val="both"/>
        <w:ind w:firstLine="656"/>
        <w:spacing w:after="0" w:line="253" w:lineRule="auto"/>
        <w:tabs>
          <w:tab w:leader="none" w:pos="1295"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Treatment of Non-Exempt Awards Upon a Corporate Transaction for Non-Employee Directors. </w:t>
      </w:r>
      <w:r>
        <w:rPr>
          <w:rFonts w:ascii="Arial" w:cs="Arial" w:eastAsia="Arial" w:hAnsi="Arial"/>
          <w:sz w:val="20"/>
          <w:szCs w:val="20"/>
          <w:color w:val="auto"/>
        </w:rPr>
        <w:t>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this subsection (d) shall apply and shall supersede anything to the contrary that may be set forth in the Plan with respect to the permitted treatment of a Non-Exempt Director Award in connection with a Corporate Transaction.</w:t>
      </w:r>
    </w:p>
    <w:p>
      <w:pPr>
        <w:spacing w:after="0" w:line="183" w:lineRule="exact"/>
        <w:rPr>
          <w:rFonts w:ascii="Arial" w:cs="Arial" w:eastAsia="Arial" w:hAnsi="Arial"/>
          <w:sz w:val="20"/>
          <w:szCs w:val="20"/>
          <w:b w:val="1"/>
          <w:bCs w:val="1"/>
          <w:color w:val="auto"/>
        </w:rPr>
      </w:pPr>
    </w:p>
    <w:p>
      <w:pPr>
        <w:jc w:val="both"/>
        <w:ind w:left="80" w:firstLine="1305"/>
        <w:spacing w:after="0" w:line="243" w:lineRule="auto"/>
        <w:tabs>
          <w:tab w:leader="none" w:pos="1941"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95" w:lineRule="exact"/>
        <w:rPr>
          <w:rFonts w:ascii="Arial" w:cs="Arial" w:eastAsia="Arial" w:hAnsi="Arial"/>
          <w:sz w:val="20"/>
          <w:szCs w:val="20"/>
          <w:b w:val="1"/>
          <w:bCs w:val="1"/>
          <w:color w:val="auto"/>
        </w:rPr>
      </w:pPr>
    </w:p>
    <w:p>
      <w:pPr>
        <w:jc w:val="both"/>
        <w:ind w:left="80" w:firstLine="1305"/>
        <w:spacing w:after="0" w:line="257" w:lineRule="auto"/>
        <w:tabs>
          <w:tab w:leader="none" w:pos="1942"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0" w:lineRule="exact"/>
        <w:rPr>
          <w:rFonts w:ascii="Arial" w:cs="Arial" w:eastAsia="Arial" w:hAnsi="Arial"/>
          <w:sz w:val="19"/>
          <w:szCs w:val="19"/>
          <w:b w:val="1"/>
          <w:bCs w:val="1"/>
          <w:color w:val="auto"/>
        </w:rPr>
      </w:pPr>
    </w:p>
    <w:p>
      <w:pPr>
        <w:ind w:firstLine="656"/>
        <w:spacing w:after="0" w:line="316" w:lineRule="auto"/>
        <w:tabs>
          <w:tab w:leader="none" w:pos="1286"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29" w:lineRule="exact"/>
        <w:rPr>
          <w:rFonts w:ascii="Arial" w:cs="Arial" w:eastAsia="Arial" w:hAnsi="Arial"/>
          <w:sz w:val="18"/>
          <w:szCs w:val="18"/>
          <w:b w:val="1"/>
          <w:bCs w:val="1"/>
          <w:color w:val="auto"/>
        </w:rPr>
      </w:pPr>
    </w:p>
    <w:p>
      <w:pPr>
        <w:jc w:val="both"/>
        <w:ind w:left="80" w:firstLine="1305"/>
        <w:spacing w:after="0" w:line="250" w:lineRule="auto"/>
        <w:tabs>
          <w:tab w:leader="none" w:pos="1941"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5" w:lineRule="exact"/>
        <w:rPr>
          <w:rFonts w:ascii="Arial" w:cs="Arial" w:eastAsia="Arial" w:hAnsi="Arial"/>
          <w:sz w:val="20"/>
          <w:szCs w:val="20"/>
          <w:b w:val="1"/>
          <w:bCs w:val="1"/>
          <w:color w:val="auto"/>
        </w:rPr>
      </w:pPr>
    </w:p>
    <w:p>
      <w:pPr>
        <w:jc w:val="both"/>
        <w:ind w:left="80" w:firstLine="1305"/>
        <w:spacing w:after="0" w:line="250" w:lineRule="auto"/>
        <w:tabs>
          <w:tab w:leader="none" w:pos="1942"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85" w:lineRule="exact"/>
        <w:rPr>
          <w:rFonts w:ascii="Arial" w:cs="Arial" w:eastAsia="Arial" w:hAnsi="Arial"/>
          <w:sz w:val="20"/>
          <w:szCs w:val="20"/>
          <w:b w:val="1"/>
          <w:bCs w:val="1"/>
          <w:color w:val="auto"/>
        </w:rPr>
      </w:pPr>
    </w:p>
    <w:p>
      <w:pPr>
        <w:jc w:val="both"/>
        <w:ind w:left="80" w:firstLine="1305"/>
        <w:spacing w:after="0" w:line="291" w:lineRule="auto"/>
        <w:tabs>
          <w:tab w:leader="none" w:pos="1943"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9" w:right="339" w:bottom="1440" w:gutter="0" w:footer="0" w:header="0"/>
        </w:sectPr>
      </w:pPr>
    </w:p>
    <w:bookmarkStart w:id="110" w:name="page111"/>
    <w:bookmarkEnd w:id="110"/>
    <w:p>
      <w:pPr>
        <w:jc w:val="both"/>
        <w:ind w:left="80"/>
        <w:spacing w:after="0" w:line="276" w:lineRule="auto"/>
        <w:rPr>
          <w:sz w:val="20"/>
          <w:szCs w:val="20"/>
          <w:color w:val="auto"/>
        </w:rPr>
      </w:pPr>
      <w:r>
        <w:rPr>
          <w:rFonts w:ascii="Arial" w:cs="Arial" w:eastAsia="Arial" w:hAnsi="Arial"/>
          <w:sz w:val="18"/>
          <w:szCs w:val="18"/>
          <w:color w:val="auto"/>
        </w:rPr>
        <w:t>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5" w:lineRule="exact"/>
        <w:rPr>
          <w:sz w:val="20"/>
          <w:szCs w:val="20"/>
          <w:color w:val="auto"/>
        </w:rPr>
      </w:pPr>
    </w:p>
    <w:p>
      <w:pPr>
        <w:jc w:val="both"/>
        <w:ind w:left="80" w:firstLine="1305"/>
        <w:spacing w:after="0" w:line="246" w:lineRule="auto"/>
        <w:tabs>
          <w:tab w:leader="none" w:pos="1932" w:val="left"/>
        </w:tabs>
        <w:numPr>
          <w:ilvl w:val="1"/>
          <w:numId w:val="76"/>
        </w:numPr>
        <w:rPr>
          <w:rFonts w:ascii="Arial" w:cs="Arial" w:eastAsia="Arial" w:hAnsi="Arial"/>
          <w:sz w:val="20"/>
          <w:szCs w:val="20"/>
          <w:b w:val="1"/>
          <w:bCs w:val="1"/>
          <w:color w:val="auto"/>
        </w:rPr>
      </w:pPr>
      <w:r>
        <w:rPr>
          <w:rFonts w:ascii="Arial" w:cs="Arial" w:eastAsia="Arial" w:hAnsi="Arial"/>
          <w:sz w:val="20"/>
          <w:szCs w:val="20"/>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85" w:lineRule="exact"/>
        <w:rPr>
          <w:rFonts w:ascii="Arial" w:cs="Arial" w:eastAsia="Arial" w:hAnsi="Arial"/>
          <w:sz w:val="20"/>
          <w:szCs w:val="20"/>
          <w:b w:val="1"/>
          <w:bCs w:val="1"/>
          <w:color w:val="auto"/>
        </w:rPr>
      </w:pPr>
    </w:p>
    <w:p>
      <w:pPr>
        <w:ind w:left="640" w:hanging="632"/>
        <w:spacing w:after="0"/>
        <w:tabs>
          <w:tab w:leader="none" w:pos="64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If all or any part of the Plan or any Award Agreement is declared by any court or governmental authority to be unlawful or invalid,</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8"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the Plan.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9" w:right="339" w:bottom="1440" w:gutter="0" w:footer="0" w:header="0"/>
        </w:sectPr>
      </w:pPr>
    </w:p>
    <w:bookmarkStart w:id="111" w:name="page112"/>
    <w:bookmarkEnd w:id="111"/>
    <w:p>
      <w:pPr>
        <w:ind w:left="640" w:hanging="632"/>
        <w:spacing w:after="0"/>
        <w:tabs>
          <w:tab w:leader="none" w:pos="64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used in the Plan, the following definitions apply to the capitalized terms indicated below:</w:t>
      </w:r>
    </w:p>
    <w:p>
      <w:pPr>
        <w:spacing w:after="0" w:line="243"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Acquiring Entity</w:t>
      </w:r>
      <w:r>
        <w:rPr>
          <w:rFonts w:ascii="Arial" w:cs="Arial" w:eastAsia="Arial" w:hAnsi="Arial"/>
          <w:sz w:val="18"/>
          <w:szCs w:val="18"/>
          <w:color w:val="auto"/>
        </w:rPr>
        <w:t>” means the surviving or acquiring corporation (or its parent company) in connection with a Corporate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Transaction.</w:t>
      </w:r>
    </w:p>
    <w:p>
      <w:pPr>
        <w:spacing w:after="0" w:line="199" w:lineRule="exact"/>
        <w:rPr>
          <w:rFonts w:ascii="Arial" w:cs="Arial" w:eastAsia="Arial" w:hAnsi="Arial"/>
          <w:sz w:val="18"/>
          <w:szCs w:val="18"/>
          <w:b w:val="1"/>
          <w:bCs w:val="1"/>
          <w:color w:val="auto"/>
        </w:rPr>
      </w:pPr>
    </w:p>
    <w:p>
      <w:pPr>
        <w:ind w:left="1300" w:hanging="644"/>
        <w:spacing w:after="0"/>
        <w:tabs>
          <w:tab w:leader="none" w:pos="1300"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Adoption Date</w:t>
      </w:r>
      <w:r>
        <w:rPr>
          <w:rFonts w:ascii="Arial" w:cs="Arial" w:eastAsia="Arial" w:hAnsi="Arial"/>
          <w:sz w:val="20"/>
          <w:szCs w:val="20"/>
          <w:color w:val="auto"/>
        </w:rPr>
        <w:t>” means the date the Plan is first approved by the Board or Compensation Committee.</w:t>
      </w:r>
    </w:p>
    <w:p>
      <w:pPr>
        <w:spacing w:after="0" w:line="215" w:lineRule="exact"/>
        <w:rPr>
          <w:rFonts w:ascii="Arial" w:cs="Arial" w:eastAsia="Arial" w:hAnsi="Arial"/>
          <w:sz w:val="20"/>
          <w:szCs w:val="20"/>
          <w:b w:val="1"/>
          <w:bCs w:val="1"/>
          <w:color w:val="auto"/>
        </w:rPr>
      </w:pPr>
    </w:p>
    <w:p>
      <w:pPr>
        <w:jc w:val="both"/>
        <w:ind w:firstLine="656"/>
        <w:spacing w:after="0" w:line="250" w:lineRule="auto"/>
        <w:tabs>
          <w:tab w:leader="none" w:pos="1286"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5" w:lineRule="exact"/>
        <w:rPr>
          <w:rFonts w:ascii="Arial" w:cs="Arial" w:eastAsia="Arial" w:hAnsi="Arial"/>
          <w:sz w:val="20"/>
          <w:szCs w:val="20"/>
          <w:b w:val="1"/>
          <w:bCs w:val="1"/>
          <w:color w:val="auto"/>
        </w:rPr>
      </w:pPr>
    </w:p>
    <w:p>
      <w:pPr>
        <w:jc w:val="both"/>
        <w:ind w:firstLine="656"/>
        <w:spacing w:after="0" w:line="244" w:lineRule="auto"/>
        <w:tabs>
          <w:tab w:leader="none" w:pos="1295"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Law</w:t>
      </w:r>
      <w:r>
        <w:rPr>
          <w:rFonts w:ascii="Arial" w:cs="Arial" w:eastAsia="Arial" w:hAnsi="Arial"/>
          <w:sz w:val="20"/>
          <w:szCs w:val="20"/>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94" w:lineRule="exact"/>
        <w:rPr>
          <w:rFonts w:ascii="Arial" w:cs="Arial" w:eastAsia="Arial" w:hAnsi="Arial"/>
          <w:sz w:val="20"/>
          <w:szCs w:val="20"/>
          <w:b w:val="1"/>
          <w:bCs w:val="1"/>
          <w:color w:val="auto"/>
        </w:rPr>
      </w:pPr>
    </w:p>
    <w:p>
      <w:pPr>
        <w:jc w:val="both"/>
        <w:ind w:firstLine="656"/>
        <w:spacing w:after="0" w:line="250" w:lineRule="auto"/>
        <w:tabs>
          <w:tab w:leader="none" w:pos="1286"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any right to receive Class A Common Stock, cash or other property granted under the Plan (including an Incentive Stock Option, a Nonstatutory Stock Option, a Restricted Stock Award, a RSU Award, a SAR, a Performance Award or any Other Award).</w:t>
      </w:r>
    </w:p>
    <w:p>
      <w:pPr>
        <w:spacing w:after="0" w:line="185" w:lineRule="exact"/>
        <w:rPr>
          <w:rFonts w:ascii="Arial" w:cs="Arial" w:eastAsia="Arial" w:hAnsi="Arial"/>
          <w:sz w:val="20"/>
          <w:szCs w:val="20"/>
          <w:b w:val="1"/>
          <w:bCs w:val="1"/>
          <w:color w:val="auto"/>
        </w:rPr>
      </w:pPr>
    </w:p>
    <w:p>
      <w:pPr>
        <w:jc w:val="both"/>
        <w:ind w:firstLine="656"/>
        <w:spacing w:after="0" w:line="291" w:lineRule="auto"/>
        <w:tabs>
          <w:tab w:leader="none" w:pos="1291"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51" w:lineRule="exact"/>
        <w:rPr>
          <w:rFonts w:ascii="Arial" w:cs="Arial" w:eastAsia="Arial" w:hAnsi="Arial"/>
          <w:sz w:val="18"/>
          <w:szCs w:val="18"/>
          <w:b w:val="1"/>
          <w:bCs w:val="1"/>
          <w:color w:val="auto"/>
        </w:rPr>
      </w:pPr>
    </w:p>
    <w:p>
      <w:pPr>
        <w:jc w:val="both"/>
        <w:ind w:firstLine="656"/>
        <w:spacing w:after="0" w:line="250" w:lineRule="auto"/>
        <w:tabs>
          <w:tab w:leader="none" w:pos="1284"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5" w:lineRule="exact"/>
        <w:rPr>
          <w:rFonts w:ascii="Arial" w:cs="Arial" w:eastAsia="Arial" w:hAnsi="Arial"/>
          <w:sz w:val="20"/>
          <w:szCs w:val="20"/>
          <w:b w:val="1"/>
          <w:bCs w:val="1"/>
          <w:color w:val="auto"/>
        </w:rPr>
      </w:pPr>
    </w:p>
    <w:p>
      <w:pPr>
        <w:jc w:val="both"/>
        <w:ind w:firstLine="656"/>
        <w:spacing w:after="0" w:line="257" w:lineRule="auto"/>
        <w:tabs>
          <w:tab w:leader="none" w:pos="1295" w:val="left"/>
        </w:tabs>
        <w:numPr>
          <w:ilvl w:val="0"/>
          <w:numId w:val="80"/>
        </w:numPr>
        <w:rPr>
          <w:rFonts w:ascii="Arial" w:cs="Arial" w:eastAsia="Arial" w:hAnsi="Arial"/>
          <w:sz w:val="19"/>
          <w:szCs w:val="19"/>
          <w:b w:val="1"/>
          <w:bCs w:val="1"/>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means any change that is made in, or other events that occur with respect to, the Class A</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4" w:lineRule="exact"/>
        <w:rPr>
          <w:rFonts w:ascii="Arial" w:cs="Arial" w:eastAsia="Arial" w:hAnsi="Arial"/>
          <w:sz w:val="19"/>
          <w:szCs w:val="19"/>
          <w:b w:val="1"/>
          <w:bCs w:val="1"/>
          <w:color w:val="auto"/>
        </w:rPr>
      </w:pPr>
    </w:p>
    <w:p>
      <w:pPr>
        <w:ind w:left="1300" w:hanging="644"/>
        <w:spacing w:after="0"/>
        <w:tabs>
          <w:tab w:leader="none" w:pos="1300"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Stock</w:t>
      </w:r>
      <w:r>
        <w:rPr>
          <w:rFonts w:ascii="Arial" w:cs="Arial" w:eastAsia="Arial" w:hAnsi="Arial"/>
          <w:sz w:val="20"/>
          <w:szCs w:val="20"/>
          <w:color w:val="auto"/>
        </w:rPr>
        <w:t>” means the Class A Common Stock and the Class B Common Stock.</w:t>
      </w:r>
    </w:p>
    <w:p>
      <w:pPr>
        <w:spacing w:after="0" w:line="215" w:lineRule="exact"/>
        <w:rPr>
          <w:rFonts w:ascii="Arial" w:cs="Arial" w:eastAsia="Arial" w:hAnsi="Arial"/>
          <w:sz w:val="20"/>
          <w:szCs w:val="20"/>
          <w:b w:val="1"/>
          <w:bCs w:val="1"/>
          <w:color w:val="auto"/>
        </w:rPr>
      </w:pPr>
    </w:p>
    <w:p>
      <w:pPr>
        <w:ind w:firstLine="656"/>
        <w:spacing w:after="0" w:line="260" w:lineRule="auto"/>
        <w:tabs>
          <w:tab w:leader="none" w:pos="1341"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has the meaning ascribed to such term in any written agreement between the Participant and the Company defining such term and, in the absence of such agreement, such term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56" w:lineRule="auto"/>
        <w:rPr>
          <w:sz w:val="20"/>
          <w:szCs w:val="20"/>
          <w:color w:val="auto"/>
        </w:rPr>
      </w:pPr>
      <w:r>
        <w:rPr>
          <w:rFonts w:ascii="Arial" w:cs="Arial" w:eastAsia="Arial" w:hAnsi="Arial"/>
          <w:sz w:val="19"/>
          <w:szCs w:val="19"/>
          <w:color w:val="auto"/>
        </w:rPr>
        <w:t>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4" w:lineRule="exact"/>
        <w:rPr>
          <w:sz w:val="20"/>
          <w:szCs w:val="20"/>
          <w:color w:val="auto"/>
        </w:rPr>
      </w:pPr>
    </w:p>
    <w:p>
      <w:pPr>
        <w:jc w:val="both"/>
        <w:ind w:firstLine="656"/>
        <w:spacing w:after="0" w:line="250" w:lineRule="auto"/>
        <w:tabs>
          <w:tab w:leader="none" w:pos="1295"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85" w:lineRule="exact"/>
        <w:rPr>
          <w:rFonts w:ascii="Arial" w:cs="Arial" w:eastAsia="Arial" w:hAnsi="Arial"/>
          <w:sz w:val="20"/>
          <w:szCs w:val="20"/>
          <w:b w:val="1"/>
          <w:bCs w:val="1"/>
          <w:color w:val="auto"/>
        </w:rPr>
      </w:pPr>
    </w:p>
    <w:p>
      <w:pPr>
        <w:jc w:val="both"/>
        <w:ind w:left="80" w:firstLine="1305"/>
        <w:spacing w:after="0" w:line="270" w:lineRule="auto"/>
        <w:tabs>
          <w:tab w:leader="none" w:pos="194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5" w:lineRule="exact"/>
        <w:rPr>
          <w:rFonts w:ascii="Arial" w:cs="Arial" w:eastAsia="Arial" w:hAnsi="Arial"/>
          <w:sz w:val="18"/>
          <w:szCs w:val="18"/>
          <w:b w:val="1"/>
          <w:bCs w:val="1"/>
          <w:color w:val="auto"/>
        </w:rPr>
      </w:pPr>
    </w:p>
    <w:p>
      <w:pPr>
        <w:jc w:val="both"/>
        <w:ind w:left="80" w:firstLine="1305"/>
        <w:spacing w:after="0" w:line="243" w:lineRule="auto"/>
        <w:tabs>
          <w:tab w:leader="none" w:pos="1942"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92" w:lineRule="exact"/>
        <w:rPr>
          <w:rFonts w:ascii="Arial" w:cs="Arial" w:eastAsia="Arial" w:hAnsi="Arial"/>
          <w:sz w:val="20"/>
          <w:szCs w:val="20"/>
          <w:b w:val="1"/>
          <w:bCs w:val="1"/>
          <w:color w:val="auto"/>
        </w:rPr>
      </w:pPr>
    </w:p>
    <w:p>
      <w:pPr>
        <w:ind w:left="80" w:firstLine="1305"/>
        <w:spacing w:after="0" w:line="316" w:lineRule="auto"/>
        <w:tabs>
          <w:tab w:leader="none" w:pos="1943"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9" w:right="339" w:bottom="1440" w:gutter="0" w:footer="0" w:header="0"/>
        </w:sectPr>
      </w:pPr>
    </w:p>
    <w:bookmarkStart w:id="113" w:name="page114"/>
    <w:bookmarkEnd w:id="113"/>
    <w:p>
      <w:pPr>
        <w:jc w:val="both"/>
        <w:ind w:left="80" w:firstLine="1305"/>
        <w:spacing w:after="0" w:line="260" w:lineRule="auto"/>
        <w:tabs>
          <w:tab w:leader="none" w:pos="1932"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0" w:lineRule="exact"/>
        <w:rPr>
          <w:rFonts w:ascii="Arial" w:cs="Arial" w:eastAsia="Arial" w:hAnsi="Arial"/>
          <w:sz w:val="19"/>
          <w:szCs w:val="19"/>
          <w:b w:val="1"/>
          <w:bCs w:val="1"/>
          <w:color w:val="auto"/>
        </w:rPr>
      </w:pPr>
    </w:p>
    <w:p>
      <w:pPr>
        <w:jc w:val="both"/>
        <w:ind w:left="80" w:firstLine="1305"/>
        <w:spacing w:after="0" w:line="282" w:lineRule="auto"/>
        <w:tabs>
          <w:tab w:leader="none" w:pos="193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65"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A Common Stock</w:t>
      </w:r>
      <w:r>
        <w:rPr>
          <w:rFonts w:ascii="Arial" w:cs="Arial" w:eastAsia="Arial" w:hAnsi="Arial"/>
          <w:sz w:val="20"/>
          <w:szCs w:val="20"/>
          <w:color w:val="auto"/>
        </w:rPr>
        <w:t>” means Class A common stock of the Company.</w:t>
      </w:r>
    </w:p>
    <w:p>
      <w:pPr>
        <w:spacing w:after="0" w:line="21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B Common Stock</w:t>
      </w:r>
      <w:r>
        <w:rPr>
          <w:rFonts w:ascii="Arial" w:cs="Arial" w:eastAsia="Arial" w:hAnsi="Arial"/>
          <w:sz w:val="20"/>
          <w:szCs w:val="20"/>
          <w:color w:val="auto"/>
        </w:rPr>
        <w:t>” means Class B common stock of the Company.</w:t>
      </w:r>
    </w:p>
    <w:p>
      <w:pPr>
        <w:spacing w:after="0" w:line="21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including any applicable regulations and guidance</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thereunder.</w:t>
      </w:r>
    </w:p>
    <w:p>
      <w:pPr>
        <w:spacing w:after="0" w:line="199" w:lineRule="exact"/>
        <w:rPr>
          <w:rFonts w:ascii="Arial" w:cs="Arial" w:eastAsia="Arial" w:hAnsi="Arial"/>
          <w:sz w:val="19"/>
          <w:szCs w:val="19"/>
          <w:b w:val="1"/>
          <w:bCs w:val="1"/>
          <w:color w:val="auto"/>
        </w:rPr>
      </w:pPr>
    </w:p>
    <w:p>
      <w:pPr>
        <w:ind w:firstLine="656"/>
        <w:spacing w:after="0" w:line="260" w:lineRule="auto"/>
        <w:tabs>
          <w:tab w:leader="none" w:pos="1284"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and any other committee of one or more Directors to whom authority has been delegated by the Board or Compensation Committee in accordance with the Plan.</w:t>
      </w:r>
    </w:p>
    <w:p>
      <w:pPr>
        <w:spacing w:after="0" w:line="176" w:lineRule="exact"/>
        <w:rPr>
          <w:rFonts w:ascii="Arial" w:cs="Arial" w:eastAsia="Arial" w:hAnsi="Arial"/>
          <w:sz w:val="20"/>
          <w:szCs w:val="20"/>
          <w:b w:val="1"/>
          <w:bCs w:val="1"/>
          <w:color w:val="auto"/>
        </w:rPr>
      </w:pPr>
    </w:p>
    <w:p>
      <w:pPr>
        <w:ind w:left="1360" w:hanging="704"/>
        <w:spacing w:after="0"/>
        <w:tabs>
          <w:tab w:leader="none" w:pos="136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Root, Inc., a Delaware corporation.</w:t>
      </w:r>
    </w:p>
    <w:p>
      <w:pPr>
        <w:spacing w:after="0" w:line="21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means the Compensation Committee of the Board.</w:t>
      </w:r>
    </w:p>
    <w:p>
      <w:pPr>
        <w:spacing w:after="0" w:line="215" w:lineRule="exact"/>
        <w:rPr>
          <w:rFonts w:ascii="Arial" w:cs="Arial" w:eastAsia="Arial" w:hAnsi="Arial"/>
          <w:sz w:val="20"/>
          <w:szCs w:val="20"/>
          <w:b w:val="1"/>
          <w:bCs w:val="1"/>
          <w:color w:val="auto"/>
        </w:rPr>
      </w:pPr>
    </w:p>
    <w:p>
      <w:pPr>
        <w:jc w:val="both"/>
        <w:ind w:firstLine="656"/>
        <w:spacing w:after="0" w:line="243" w:lineRule="auto"/>
        <w:tabs>
          <w:tab w:leader="none" w:pos="1286"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95" w:lineRule="exact"/>
        <w:rPr>
          <w:rFonts w:ascii="Arial" w:cs="Arial" w:eastAsia="Arial" w:hAnsi="Arial"/>
          <w:sz w:val="20"/>
          <w:szCs w:val="20"/>
          <w:b w:val="1"/>
          <w:bCs w:val="1"/>
          <w:color w:val="auto"/>
        </w:rPr>
      </w:pPr>
    </w:p>
    <w:p>
      <w:pPr>
        <w:jc w:val="both"/>
        <w:ind w:firstLine="656"/>
        <w:spacing w:after="0" w:line="291" w:lineRule="auto"/>
        <w:tabs>
          <w:tab w:leader="none" w:pos="1289"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19" w:right="339" w:bottom="1440" w:gutter="0" w:footer="0" w:header="0"/>
        </w:sectPr>
      </w:pPr>
    </w:p>
    <w:bookmarkStart w:id="114" w:name="page115"/>
    <w:bookmarkEnd w:id="114"/>
    <w:p>
      <w:pPr>
        <w:jc w:val="both"/>
        <w:spacing w:after="0" w:line="270" w:lineRule="auto"/>
        <w:rPr>
          <w:sz w:val="20"/>
          <w:szCs w:val="20"/>
          <w:color w:val="auto"/>
        </w:rPr>
      </w:pPr>
      <w:r>
        <w:rPr>
          <w:rFonts w:ascii="Arial" w:cs="Arial" w:eastAsia="Arial" w:hAnsi="Arial"/>
          <w:sz w:val="18"/>
          <w:szCs w:val="18"/>
          <w:color w:val="auto"/>
        </w:rPr>
        <w:t>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2" w:lineRule="exact"/>
        <w:rPr>
          <w:sz w:val="20"/>
          <w:szCs w:val="20"/>
          <w:color w:val="auto"/>
        </w:rPr>
      </w:pPr>
    </w:p>
    <w:p>
      <w:pPr>
        <w:ind w:firstLine="656"/>
        <w:spacing w:after="0" w:line="260" w:lineRule="auto"/>
        <w:tabs>
          <w:tab w:leader="none" w:pos="1291"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Transaction</w:t>
      </w:r>
      <w:r>
        <w:rPr>
          <w:rFonts w:ascii="Arial" w:cs="Arial" w:eastAsia="Arial" w:hAnsi="Arial"/>
          <w:sz w:val="20"/>
          <w:szCs w:val="20"/>
          <w:color w:val="auto"/>
        </w:rPr>
        <w:t>” means the consummation, in a single transaction or in a series of related transactions, of any one or more of the following events:</w:t>
      </w:r>
    </w:p>
    <w:p>
      <w:pPr>
        <w:spacing w:after="0" w:line="176" w:lineRule="exact"/>
        <w:rPr>
          <w:rFonts w:ascii="Arial" w:cs="Arial" w:eastAsia="Arial" w:hAnsi="Arial"/>
          <w:sz w:val="20"/>
          <w:szCs w:val="20"/>
          <w:b w:val="1"/>
          <w:bCs w:val="1"/>
          <w:color w:val="auto"/>
        </w:rPr>
      </w:pPr>
    </w:p>
    <w:p>
      <w:pPr>
        <w:ind w:left="80" w:right="20" w:firstLine="1305"/>
        <w:spacing w:after="0" w:line="260" w:lineRule="auto"/>
        <w:tabs>
          <w:tab w:leader="none" w:pos="1941"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all or substantially all, as determined by the Board, of the consolidated assets of the Company and its Subsidiaries;</w:t>
      </w:r>
    </w:p>
    <w:p>
      <w:pPr>
        <w:spacing w:after="0" w:line="176" w:lineRule="exact"/>
        <w:rPr>
          <w:rFonts w:ascii="Arial" w:cs="Arial" w:eastAsia="Arial" w:hAnsi="Arial"/>
          <w:sz w:val="20"/>
          <w:szCs w:val="20"/>
          <w:b w:val="1"/>
          <w:bCs w:val="1"/>
          <w:color w:val="auto"/>
        </w:rPr>
      </w:pPr>
    </w:p>
    <w:p>
      <w:pPr>
        <w:ind w:left="1960" w:hanging="575"/>
        <w:spacing w:after="0"/>
        <w:tabs>
          <w:tab w:leader="none" w:pos="196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at least 50% of the outstanding securities of the Company;</w:t>
      </w:r>
    </w:p>
    <w:p>
      <w:pPr>
        <w:spacing w:after="0" w:line="215" w:lineRule="exact"/>
        <w:rPr>
          <w:rFonts w:ascii="Arial" w:cs="Arial" w:eastAsia="Arial" w:hAnsi="Arial"/>
          <w:sz w:val="20"/>
          <w:szCs w:val="20"/>
          <w:b w:val="1"/>
          <w:bCs w:val="1"/>
          <w:color w:val="auto"/>
        </w:rPr>
      </w:pPr>
    </w:p>
    <w:p>
      <w:pPr>
        <w:ind w:left="1960" w:hanging="575"/>
        <w:spacing w:after="0"/>
        <w:tabs>
          <w:tab w:leader="none" w:pos="1960"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not the surviving corporation; or</w:t>
      </w:r>
    </w:p>
    <w:p>
      <w:pPr>
        <w:spacing w:after="0" w:line="227" w:lineRule="exact"/>
        <w:rPr>
          <w:rFonts w:ascii="Arial" w:cs="Arial" w:eastAsia="Arial" w:hAnsi="Arial"/>
          <w:sz w:val="19"/>
          <w:szCs w:val="19"/>
          <w:b w:val="1"/>
          <w:bCs w:val="1"/>
          <w:color w:val="auto"/>
        </w:rPr>
      </w:pPr>
    </w:p>
    <w:p>
      <w:pPr>
        <w:jc w:val="both"/>
        <w:ind w:left="80" w:firstLine="1305"/>
        <w:spacing w:after="0" w:line="291" w:lineRule="auto"/>
        <w:tabs>
          <w:tab w:leader="none" w:pos="1932"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Capital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5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means a member of the Board.</w:t>
      </w:r>
    </w:p>
    <w:p>
      <w:pPr>
        <w:spacing w:after="0" w:line="21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38" w:lineRule="exact"/>
        <w:rPr>
          <w:rFonts w:ascii="Arial" w:cs="Arial" w:eastAsia="Arial" w:hAnsi="Arial"/>
          <w:sz w:val="18"/>
          <w:szCs w:val="18"/>
          <w:b w:val="1"/>
          <w:bCs w:val="1"/>
          <w:color w:val="auto"/>
        </w:rPr>
      </w:pPr>
    </w:p>
    <w:p>
      <w:pPr>
        <w:jc w:val="both"/>
        <w:ind w:firstLine="656"/>
        <w:spacing w:after="0" w:line="263" w:lineRule="auto"/>
        <w:tabs>
          <w:tab w:leader="none" w:pos="1287" w:val="left"/>
        </w:tabs>
        <w:numPr>
          <w:ilvl w:val="0"/>
          <w:numId w:val="8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Arial" w:cs="Arial" w:eastAsia="Arial" w:hAnsi="Arial"/>
          <w:sz w:val="19"/>
          <w:szCs w:val="19"/>
          <w:b w:val="1"/>
          <w:bCs w:val="1"/>
          <w:color w:val="auto"/>
        </w:rPr>
      </w:pPr>
    </w:p>
    <w:p>
      <w:pPr>
        <w:ind w:left="1300" w:hanging="644"/>
        <w:spacing w:after="0"/>
        <w:tabs>
          <w:tab w:leader="none" w:pos="130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IPO Date, provided this Plan is approved by the Company’s stockholders prior to the IPO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9" w:right="339" w:bottom="1440" w:gutter="0" w:footer="0" w:header="0"/>
        </w:sectPr>
      </w:pPr>
    </w:p>
    <w:bookmarkStart w:id="115" w:name="page116"/>
    <w:bookmarkEnd w:id="115"/>
    <w:p>
      <w:pPr>
        <w:spacing w:after="0" w:line="204" w:lineRule="auto"/>
        <w:framePr w:w="420" w:h="176" w:wrap="auto" w:vAnchor="page" w:hAnchor="page" w:x="940" w:y="3001"/>
        <w:rPr>
          <w:rFonts w:ascii="Arial" w:cs="Arial" w:eastAsia="Arial" w:hAnsi="Arial"/>
          <w:sz w:val="18"/>
          <w:szCs w:val="18"/>
          <w:b w:val="1"/>
          <w:bCs w:val="1"/>
          <w:color w:val="auto"/>
        </w:rPr>
      </w:pPr>
      <w:r>
        <w:rPr>
          <w:rFonts w:ascii="Arial" w:cs="Arial" w:eastAsia="Arial" w:hAnsi="Arial"/>
          <w:sz w:val="18"/>
          <w:szCs w:val="18"/>
          <w:b w:val="1"/>
          <w:bCs w:val="1"/>
          <w:color w:val="auto"/>
        </w:rPr>
        <w:t>(ab)</w:t>
      </w:r>
    </w:p>
    <w:p>
      <w:pPr>
        <w:spacing w:after="0" w:line="230" w:lineRule="auto"/>
        <w:framePr w:w="980" w:h="176" w:wrap="auto" w:vAnchor="page" w:hAnchor="page" w:x="280" w:y="3231"/>
        <w:rPr>
          <w:rFonts w:ascii="Arial" w:cs="Arial" w:eastAsia="Arial" w:hAnsi="Arial"/>
          <w:sz w:val="16"/>
          <w:szCs w:val="16"/>
          <w:b w:val="1"/>
          <w:bCs w:val="1"/>
          <w:color w:val="auto"/>
        </w:rPr>
      </w:pPr>
      <w:r>
        <w:rPr>
          <w:rFonts w:ascii="Arial" w:cs="Arial" w:eastAsia="Arial" w:hAnsi="Arial"/>
          <w:sz w:val="16"/>
          <w:szCs w:val="16"/>
          <w:b w:val="1"/>
          <w:bCs w:val="1"/>
          <w:color w:val="auto"/>
        </w:rPr>
        <w:t>thereunder.</w:t>
      </w:r>
    </w:p>
    <w:p>
      <w:pPr>
        <w:ind w:right="20" w:firstLine="656"/>
        <w:spacing w:after="0" w:line="260" w:lineRule="auto"/>
        <w:tabs>
          <w:tab w:leader="none" w:pos="1284"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employed by the Company or an Affiliate. However, service solely as a Director, or payment of a fee for such services, will not cause a Director to be considered an “Employee” for purposes of the Plan.</w:t>
      </w:r>
    </w:p>
    <w:p>
      <w:pPr>
        <w:spacing w:after="0" w:line="176" w:lineRule="exact"/>
        <w:rPr>
          <w:rFonts w:ascii="Arial" w:cs="Arial" w:eastAsia="Arial" w:hAnsi="Arial"/>
          <w:sz w:val="20"/>
          <w:szCs w:val="20"/>
          <w:b w:val="1"/>
          <w:bCs w:val="1"/>
          <w:color w:val="auto"/>
        </w:rPr>
      </w:pPr>
    </w:p>
    <w:p>
      <w:pPr>
        <w:ind w:left="1300" w:hanging="644"/>
        <w:spacing w:after="0"/>
        <w:tabs>
          <w:tab w:leader="none" w:pos="1300"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Employer</w:t>
      </w:r>
      <w:r>
        <w:rPr>
          <w:rFonts w:ascii="Arial" w:cs="Arial" w:eastAsia="Arial" w:hAnsi="Arial"/>
          <w:sz w:val="20"/>
          <w:szCs w:val="20"/>
          <w:color w:val="auto"/>
        </w:rPr>
        <w:t>” means the Company or the Affiliate of the Company that employs the Participant.</w:t>
      </w:r>
    </w:p>
    <w:p>
      <w:pPr>
        <w:spacing w:after="0" w:line="216" w:lineRule="exact"/>
        <w:rPr>
          <w:rFonts w:ascii="Arial" w:cs="Arial" w:eastAsia="Arial" w:hAnsi="Arial"/>
          <w:sz w:val="16"/>
          <w:szCs w:val="16"/>
          <w:b w:val="1"/>
          <w:bCs w:val="1"/>
          <w:color w:val="auto"/>
        </w:rPr>
      </w:pPr>
    </w:p>
    <w:p>
      <w:pPr>
        <w:ind w:left="1300" w:hanging="644"/>
        <w:spacing w:after="0"/>
        <w:tabs>
          <w:tab w:leader="none" w:pos="1300"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 means a corporation, partnership, limited liability company or other entity.</w:t>
      </w:r>
    </w:p>
    <w:p>
      <w:pPr>
        <w:spacing w:after="0" w:line="216" w:lineRule="exact"/>
        <w:rPr>
          <w:rFonts w:ascii="Arial" w:cs="Arial" w:eastAsia="Arial" w:hAnsi="Arial"/>
          <w:sz w:val="16"/>
          <w:szCs w:val="16"/>
          <w:b w:val="1"/>
          <w:bCs w:val="1"/>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 and the rules and regulations promulgated</w:t>
      </w:r>
    </w:p>
    <w:p>
      <w:pPr>
        <w:spacing w:after="0" w:line="200" w:lineRule="exact"/>
        <w:rPr>
          <w:rFonts w:ascii="Arial" w:cs="Arial" w:eastAsia="Arial" w:hAnsi="Arial"/>
          <w:sz w:val="16"/>
          <w:szCs w:val="16"/>
          <w:b w:val="1"/>
          <w:bCs w:val="1"/>
          <w:color w:val="auto"/>
        </w:rPr>
      </w:pPr>
    </w:p>
    <w:p>
      <w:pPr>
        <w:spacing w:after="0" w:line="251" w:lineRule="exact"/>
        <w:rPr>
          <w:rFonts w:ascii="Arial" w:cs="Arial" w:eastAsia="Arial" w:hAnsi="Arial"/>
          <w:sz w:val="16"/>
          <w:szCs w:val="16"/>
          <w:b w:val="1"/>
          <w:bCs w:val="1"/>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(ac) </w:t>
      </w: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3" w:lineRule="exact"/>
        <w:rPr>
          <w:rFonts w:ascii="Arial" w:cs="Arial" w:eastAsia="Arial" w:hAnsi="Arial"/>
          <w:sz w:val="16"/>
          <w:szCs w:val="16"/>
          <w:b w:val="1"/>
          <w:bCs w:val="1"/>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(ad) </w:t>
      </w: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as of any date, unless otherwise determined by the Board, the value of the Class A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(as determined on a per share or aggregate basis, as applicable) determined as follows:</w:t>
      </w:r>
    </w:p>
    <w:p>
      <w:pPr>
        <w:spacing w:after="0" w:line="169" w:lineRule="exact"/>
        <w:rPr>
          <w:rFonts w:ascii="Arial" w:cs="Arial" w:eastAsia="Arial" w:hAnsi="Arial"/>
          <w:sz w:val="16"/>
          <w:szCs w:val="16"/>
          <w:b w:val="1"/>
          <w:bCs w:val="1"/>
          <w:color w:val="auto"/>
        </w:rPr>
      </w:pPr>
    </w:p>
    <w:p>
      <w:pPr>
        <w:jc w:val="both"/>
        <w:ind w:left="80" w:firstLine="1305"/>
        <w:spacing w:after="0" w:line="291" w:lineRule="auto"/>
        <w:tabs>
          <w:tab w:leader="none" w:pos="1941"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If the Class A Common Stock is listed on any established stock exchange or traded on any established market, the Fair Market Value will be the closing sales price for such stock as quoted on such exchange or market (or the exchange or market with the greatest volume of trading in the Class A Common Stock) on the date of determination, as reported in a source the Board deems reliable.</w:t>
      </w:r>
    </w:p>
    <w:p>
      <w:pPr>
        <w:spacing w:after="0" w:line="151" w:lineRule="exact"/>
        <w:rPr>
          <w:rFonts w:ascii="Arial" w:cs="Arial" w:eastAsia="Arial" w:hAnsi="Arial"/>
          <w:sz w:val="18"/>
          <w:szCs w:val="18"/>
          <w:b w:val="1"/>
          <w:bCs w:val="1"/>
          <w:color w:val="auto"/>
        </w:rPr>
      </w:pPr>
    </w:p>
    <w:p>
      <w:pPr>
        <w:ind w:left="80" w:right="20" w:firstLine="1305"/>
        <w:spacing w:after="0" w:line="260" w:lineRule="auto"/>
        <w:tabs>
          <w:tab w:leader="none" w:pos="1942"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If there is no closing sales price for the Class A Common Stock on the date of determination, then the Fair Market Value will be the closing selling price on the last preceding date for which such quotation exists.</w:t>
      </w:r>
    </w:p>
    <w:p>
      <w:pPr>
        <w:spacing w:after="0" w:line="176" w:lineRule="exact"/>
        <w:rPr>
          <w:rFonts w:ascii="Arial" w:cs="Arial" w:eastAsia="Arial" w:hAnsi="Arial"/>
          <w:sz w:val="20"/>
          <w:szCs w:val="20"/>
          <w:b w:val="1"/>
          <w:bCs w:val="1"/>
          <w:color w:val="auto"/>
        </w:rPr>
      </w:pPr>
    </w:p>
    <w:p>
      <w:pPr>
        <w:ind w:left="80" w:firstLine="1305"/>
        <w:spacing w:after="0" w:line="316" w:lineRule="auto"/>
        <w:tabs>
          <w:tab w:leader="none" w:pos="1943"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Class A Common Stock, or if otherwise determined by the Board, the Fair Market Value will be determined by the Board in good faith and in a manner that complies with Sections 409A and 422 of the Code.</w:t>
      </w:r>
    </w:p>
    <w:p>
      <w:pPr>
        <w:spacing w:after="0" w:line="124" w:lineRule="exact"/>
        <w:rPr>
          <w:rFonts w:ascii="Arial" w:cs="Arial" w:eastAsia="Arial" w:hAnsi="Arial"/>
          <w:sz w:val="16"/>
          <w:szCs w:val="16"/>
          <w:b w:val="1"/>
          <w:bCs w:val="1"/>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(ae) </w:t>
      </w: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14"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19" w:right="339" w:bottom="1440" w:gutter="0" w:footer="0" w:header="0"/>
        </w:sectPr>
      </w:pPr>
    </w:p>
    <w:bookmarkStart w:id="116" w:name="page117"/>
    <w:bookmarkEnd w:id="116"/>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(af) </w:t>
      </w:r>
      <w:r>
        <w:rPr>
          <w:rFonts w:ascii="Arial" w:cs="Arial" w:eastAsia="Arial" w:hAnsi="Arial"/>
          <w:sz w:val="20"/>
          <w:szCs w:val="20"/>
          <w:color w:val="auto"/>
        </w:rPr>
        <w:t>“</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means the notice provided to a Participant that he or she has been granted an Award under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which includes the name of the Participant, the type of Award, the date of grant of the Award, number of shares of Class A Common Stock subject to the Award or potential cash payment right, (if any), the vesting schedule for the Award (if any) and other key terms applicable to the Award.</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(ag) </w:t>
      </w:r>
      <w:r>
        <w:rPr>
          <w:rFonts w:ascii="Arial" w:cs="Arial" w:eastAsia="Arial" w:hAnsi="Arial"/>
          <w:sz w:val="20"/>
          <w:szCs w:val="20"/>
          <w:color w:val="auto"/>
        </w:rPr>
        <w:t>“</w:t>
      </w:r>
      <w:r>
        <w:rPr>
          <w:rFonts w:ascii="Arial" w:cs="Arial" w:eastAsia="Arial" w:hAnsi="Arial"/>
          <w:sz w:val="20"/>
          <w:szCs w:val="20"/>
          <w:b w:val="1"/>
          <w:bCs w:val="1"/>
          <w:i w:val="1"/>
          <w:iCs w:val="1"/>
          <w:color w:val="auto"/>
        </w:rPr>
        <w:t>Incentive Stock Option</w:t>
      </w:r>
      <w:r>
        <w:rPr>
          <w:rFonts w:ascii="Arial" w:cs="Arial" w:eastAsia="Arial" w:hAnsi="Arial"/>
          <w:sz w:val="20"/>
          <w:szCs w:val="20"/>
          <w:color w:val="auto"/>
        </w:rPr>
        <w:t>” means an option granted pursuant to Section 4 of the Plan that is intended to be, and qualifies as,</w:t>
      </w:r>
      <w:r>
        <w:rPr>
          <w:rFonts w:ascii="Arial" w:cs="Arial" w:eastAsia="Arial" w:hAnsi="Arial"/>
          <w:sz w:val="20"/>
          <w:szCs w:val="20"/>
          <w:b w:val="1"/>
          <w:bCs w:val="1"/>
          <w:color w:val="auto"/>
        </w:rPr>
        <w:t xml:space="preserve"> </w:t>
      </w:r>
      <w:r>
        <w:rPr>
          <w:rFonts w:ascii="Arial" w:cs="Arial" w:eastAsia="Arial" w:hAnsi="Arial"/>
          <w:sz w:val="20"/>
          <w:szCs w:val="20"/>
          <w:color w:val="auto"/>
        </w:rPr>
        <w:t>an “incentive stock option” within the meaning of Section 422 of the Code.</w:t>
      </w:r>
    </w:p>
    <w:p>
      <w:pPr>
        <w:spacing w:after="0" w:line="16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(ah) </w:t>
      </w: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of the Class A Common Stock, pursuant to which the Class A Common Stock is priced for the initial public offering.</w:t>
      </w:r>
    </w:p>
    <w:p>
      <w:pPr>
        <w:spacing w:after="0" w:line="1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(ai) </w:t>
      </w:r>
      <w:r>
        <w:rPr>
          <w:rFonts w:ascii="Arial" w:cs="Arial" w:eastAsia="Arial" w:hAnsi="Arial"/>
          <w:sz w:val="19"/>
          <w:szCs w:val="19"/>
          <w:color w:val="auto"/>
        </w:rPr>
        <w:t>“</w:t>
      </w:r>
      <w:r>
        <w:rPr>
          <w:rFonts w:ascii="Arial" w:cs="Arial" w:eastAsia="Arial" w:hAnsi="Arial"/>
          <w:sz w:val="19"/>
          <w:szCs w:val="19"/>
          <w:b w:val="1"/>
          <w:bCs w:val="1"/>
          <w:i w:val="1"/>
          <w:iCs w:val="1"/>
          <w:color w:val="auto"/>
        </w:rPr>
        <w:t>Materially Impair</w:t>
      </w:r>
      <w:r>
        <w:rPr>
          <w:rFonts w:ascii="Arial" w:cs="Arial" w:eastAsia="Arial" w:hAnsi="Arial"/>
          <w:sz w:val="19"/>
          <w:szCs w:val="19"/>
          <w:color w:val="auto"/>
        </w:rPr>
        <w:t>” means any amendment to the terms of the Award that materially adversely affects the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(aj) </w:t>
      </w:r>
      <w:r>
        <w:rPr>
          <w:rFonts w:ascii="Arial" w:cs="Arial" w:eastAsia="Arial" w:hAnsi="Arial"/>
          <w:sz w:val="20"/>
          <w:szCs w:val="20"/>
          <w:color w:val="auto"/>
        </w:rPr>
        <w:t>“</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means a Director who either (i) is not a current employee or officer of the Company or an</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20"/>
          <w:szCs w:val="20"/>
          <w:b w:val="1"/>
          <w:bCs w:val="1"/>
          <w:i w:val="1"/>
          <w:iCs w:val="1"/>
          <w:color w:val="auto"/>
        </w:rPr>
        <w:t>Regulation S-K</w:t>
      </w:r>
      <w:r>
        <w:rPr>
          <w:rFonts w:ascii="Arial" w:cs="Arial" w:eastAsia="Arial" w:hAnsi="Arial"/>
          <w:sz w:val="20"/>
          <w:szCs w:val="20"/>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(ak) </w:t>
      </w:r>
      <w:r>
        <w:rPr>
          <w:rFonts w:ascii="Arial" w:cs="Arial" w:eastAsia="Arial" w:hAnsi="Arial"/>
          <w:sz w:val="20"/>
          <w:szCs w:val="20"/>
          <w:color w:val="auto"/>
        </w:rPr>
        <w:t>“</w:t>
      </w:r>
      <w:r>
        <w:rPr>
          <w:rFonts w:ascii="Arial" w:cs="Arial" w:eastAsia="Arial" w:hAnsi="Arial"/>
          <w:sz w:val="20"/>
          <w:szCs w:val="20"/>
          <w:b w:val="1"/>
          <w:bCs w:val="1"/>
          <w:i w:val="1"/>
          <w:iCs w:val="1"/>
          <w:color w:val="auto"/>
        </w:rPr>
        <w:t>Non-Exempt Award</w:t>
      </w:r>
      <w:r>
        <w:rPr>
          <w:rFonts w:ascii="Arial" w:cs="Arial" w:eastAsia="Arial" w:hAnsi="Arial"/>
          <w:sz w:val="20"/>
          <w:szCs w:val="20"/>
          <w:color w:val="auto"/>
        </w:rPr>
        <w:t>” means any Award that is subject to, and not exempt from, Section 409A, including as the result of (i)</w:t>
      </w:r>
      <w:r>
        <w:rPr>
          <w:rFonts w:ascii="Arial" w:cs="Arial" w:eastAsia="Arial" w:hAnsi="Arial"/>
          <w:sz w:val="20"/>
          <w:szCs w:val="20"/>
          <w:b w:val="1"/>
          <w:bCs w:val="1"/>
          <w:color w:val="auto"/>
        </w:rPr>
        <w:t xml:space="preserve"> </w:t>
      </w:r>
      <w:r>
        <w:rPr>
          <w:rFonts w:ascii="Arial" w:cs="Arial" w:eastAsia="Arial" w:hAnsi="Arial"/>
          <w:sz w:val="20"/>
          <w:szCs w:val="20"/>
          <w:color w:val="auto"/>
        </w:rPr>
        <w:t>a deferral of the issuance of the shares subject to the Award which is elected by the Participant or imposed by the Company or (ii) the terms of any Non-Exempt Severance Agreement.</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(al) </w:t>
      </w:r>
      <w:r>
        <w:rPr>
          <w:rFonts w:ascii="Arial" w:cs="Arial" w:eastAsia="Arial" w:hAnsi="Arial"/>
          <w:sz w:val="20"/>
          <w:szCs w:val="20"/>
          <w:color w:val="auto"/>
        </w:rPr>
        <w:t>“</w:t>
      </w:r>
      <w:r>
        <w:rPr>
          <w:rFonts w:ascii="Arial" w:cs="Arial" w:eastAsia="Arial" w:hAnsi="Arial"/>
          <w:sz w:val="20"/>
          <w:szCs w:val="20"/>
          <w:b w:val="1"/>
          <w:bCs w:val="1"/>
          <w:i w:val="1"/>
          <w:iCs w:val="1"/>
          <w:color w:val="auto"/>
        </w:rPr>
        <w:t>Non-Exempt Director Award</w:t>
      </w:r>
      <w:r>
        <w:rPr>
          <w:rFonts w:ascii="Arial" w:cs="Arial" w:eastAsia="Arial" w:hAnsi="Arial"/>
          <w:sz w:val="20"/>
          <w:szCs w:val="20"/>
          <w:color w:val="auto"/>
        </w:rPr>
        <w:t>” means a Non-Exempt Award granted to a Participant who was a Director but not 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on the applicable grant date.</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(am) </w:t>
      </w:r>
      <w:r>
        <w:rPr>
          <w:rFonts w:ascii="Arial" w:cs="Arial" w:eastAsia="Arial" w:hAnsi="Arial"/>
          <w:sz w:val="18"/>
          <w:szCs w:val="18"/>
          <w:b w:val="1"/>
          <w:bCs w:val="1"/>
          <w:i w:val="1"/>
          <w:iCs w:val="1"/>
          <w:color w:val="auto"/>
        </w:rPr>
        <w:t>Non-Exempt Severance Arrangement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severance arrangement or other agreement between the Participant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provides for acceleration of vesting of an Award and issuance of the shares in respect of such Award upon the Participant’s termination of employment or separation from service (as such term is defined in Section 409A(a)(2)(A)(i) of the Code (and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3" w:right="339" w:bottom="1440" w:gutter="0" w:footer="0" w:header="0"/>
        </w:sectPr>
      </w:pPr>
    </w:p>
    <w:bookmarkStart w:id="117" w:name="page118"/>
    <w:bookmarkEnd w:id="117"/>
    <w:p>
      <w:pPr>
        <w:jc w:val="both"/>
        <w:ind w:right="20"/>
        <w:spacing w:after="0" w:line="316" w:lineRule="auto"/>
        <w:rPr>
          <w:sz w:val="20"/>
          <w:szCs w:val="20"/>
          <w:color w:val="auto"/>
        </w:rPr>
      </w:pPr>
      <w:r>
        <w:rPr>
          <w:rFonts w:ascii="Arial" w:cs="Arial" w:eastAsia="Arial" w:hAnsi="Arial"/>
          <w:sz w:val="18"/>
          <w:szCs w:val="18"/>
          <w:color w:val="auto"/>
        </w:rPr>
        <w:t>regard to any alternative definition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and such severance benefit does not satisfy the requirements for an exemption from application of Section 409A provided under Treasury Regulations Section 1.409A-1(b)(4), 1.409A-1(b)(9) or otherwise.</w:t>
      </w:r>
    </w:p>
    <w:p>
      <w:pPr>
        <w:spacing w:after="0" w:line="12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(an) </w:t>
      </w:r>
      <w:r>
        <w:rPr>
          <w:rFonts w:ascii="Arial" w:cs="Arial" w:eastAsia="Arial" w:hAnsi="Arial"/>
          <w:sz w:val="20"/>
          <w:szCs w:val="20"/>
          <w:color w:val="auto"/>
        </w:rPr>
        <w:t>“</w:t>
      </w:r>
      <w:r>
        <w:rPr>
          <w:rFonts w:ascii="Arial" w:cs="Arial" w:eastAsia="Arial" w:hAnsi="Arial"/>
          <w:sz w:val="20"/>
          <w:szCs w:val="20"/>
          <w:b w:val="1"/>
          <w:bCs w:val="1"/>
          <w:i w:val="1"/>
          <w:iCs w:val="1"/>
          <w:color w:val="auto"/>
        </w:rPr>
        <w:t>Nonstatutory Stock Option</w:t>
      </w:r>
      <w:r>
        <w:rPr>
          <w:rFonts w:ascii="Arial" w:cs="Arial" w:eastAsia="Arial" w:hAnsi="Arial"/>
          <w:sz w:val="20"/>
          <w:szCs w:val="20"/>
          <w:color w:val="auto"/>
        </w:rPr>
        <w:t>” means any option granted pursuant to Section 4 of the Plan that does not qualify as an</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Stock Option.</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b w:val="1"/>
          <w:bCs w:val="1"/>
          <w:color w:val="auto"/>
        </w:rPr>
        <w:t>(ao)</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(ap) </w:t>
      </w:r>
      <w:r>
        <w:rPr>
          <w:rFonts w:ascii="Arial" w:cs="Arial" w:eastAsia="Arial" w:hAnsi="Arial"/>
          <w:sz w:val="20"/>
          <w:szCs w:val="20"/>
          <w:color w:val="auto"/>
        </w:rPr>
        <w:t>“</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means an Incentive Stock Option or a Nonstatutory Stock Option to purchase shares of Class A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granted pursuant to the Plan.</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(aq) </w:t>
      </w:r>
      <w:r>
        <w:rPr>
          <w:rFonts w:ascii="Arial" w:cs="Arial" w:eastAsia="Arial" w:hAnsi="Arial"/>
          <w:sz w:val="20"/>
          <w:szCs w:val="20"/>
          <w:color w:val="auto"/>
        </w:rPr>
        <w:t>“</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 means a written agreement between the Company and the Optionholder evidencing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(ar) </w:t>
      </w:r>
      <w:r>
        <w:rPr>
          <w:rFonts w:ascii="Arial" w:cs="Arial" w:eastAsia="Arial" w:hAnsi="Arial"/>
          <w:sz w:val="20"/>
          <w:szCs w:val="20"/>
          <w:color w:val="auto"/>
        </w:rPr>
        <w:t>“</w:t>
      </w:r>
      <w:r>
        <w:rPr>
          <w:rFonts w:ascii="Arial" w:cs="Arial" w:eastAsia="Arial" w:hAnsi="Arial"/>
          <w:sz w:val="20"/>
          <w:szCs w:val="20"/>
          <w:b w:val="1"/>
          <w:bCs w:val="1"/>
          <w:i w:val="1"/>
          <w:iCs w:val="1"/>
          <w:color w:val="auto"/>
        </w:rPr>
        <w:t>Optionholder</w:t>
      </w:r>
      <w:r>
        <w:rPr>
          <w:rFonts w:ascii="Arial" w:cs="Arial" w:eastAsia="Arial" w:hAnsi="Arial"/>
          <w:sz w:val="20"/>
          <w:szCs w:val="20"/>
          <w:color w:val="auto"/>
        </w:rPr>
        <w:t>” means a person to whom an Option is granted pursuant to the Plan or, if applicable, such other person who</w:t>
      </w:r>
      <w:r>
        <w:rPr>
          <w:rFonts w:ascii="Arial" w:cs="Arial" w:eastAsia="Arial" w:hAnsi="Arial"/>
          <w:sz w:val="20"/>
          <w:szCs w:val="20"/>
          <w:b w:val="1"/>
          <w:bCs w:val="1"/>
          <w:color w:val="auto"/>
        </w:rPr>
        <w:t xml:space="preserve"> </w:t>
      </w:r>
      <w:r>
        <w:rPr>
          <w:rFonts w:ascii="Arial" w:cs="Arial" w:eastAsia="Arial" w:hAnsi="Arial"/>
          <w:sz w:val="20"/>
          <w:szCs w:val="20"/>
          <w:color w:val="auto"/>
        </w:rPr>
        <w:t>holds an outstanding Option.</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(as) </w:t>
      </w:r>
      <w:r>
        <w:rPr>
          <w:rFonts w:ascii="Arial" w:cs="Arial" w:eastAsia="Arial" w:hAnsi="Arial"/>
          <w:sz w:val="20"/>
          <w:szCs w:val="20"/>
          <w:color w:val="auto"/>
        </w:rPr>
        <w:t>“</w:t>
      </w:r>
      <w:r>
        <w:rPr>
          <w:rFonts w:ascii="Arial" w:cs="Arial" w:eastAsia="Arial" w:hAnsi="Arial"/>
          <w:sz w:val="20"/>
          <w:szCs w:val="20"/>
          <w:b w:val="1"/>
          <w:bCs w:val="1"/>
          <w:i w:val="1"/>
          <w:iCs w:val="1"/>
          <w:color w:val="auto"/>
        </w:rPr>
        <w:t>Other Award</w:t>
      </w:r>
      <w:r>
        <w:rPr>
          <w:rFonts w:ascii="Arial" w:cs="Arial" w:eastAsia="Arial" w:hAnsi="Arial"/>
          <w:sz w:val="20"/>
          <w:szCs w:val="20"/>
          <w:color w:val="auto"/>
        </w:rPr>
        <w:t>” means an award valued in whole or in part by reference to, or otherwise based on, Class A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appreciation in value thereof (e.g., options or stock rights with an exercise price or strike price less than 100% of the Fair Market Value at the time of grant) that is not an Incentive Stock Options, Nonstatutory Stock Option, SAR, Restricted Stock Award, RSU Award or Performance Award.</w:t>
      </w:r>
    </w:p>
    <w:p>
      <w:pPr>
        <w:spacing w:after="0" w:line="183"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b w:val="1"/>
          <w:bCs w:val="1"/>
          <w:color w:val="auto"/>
        </w:rPr>
        <w:t xml:space="preserve">(at) </w:t>
      </w: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 Agreement</w:t>
      </w:r>
      <w:r>
        <w:rPr>
          <w:rFonts w:ascii="Arial" w:cs="Arial" w:eastAsia="Arial" w:hAnsi="Arial"/>
          <w:sz w:val="18"/>
          <w:szCs w:val="18"/>
          <w:color w:val="auto"/>
        </w:rPr>
        <w:t>” means a written agreement between the Company and a holder of an Other Award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an Other Award grant. Each Other Award Agreement will be subject to the terms and conditions of the Plan.</w:t>
      </w:r>
    </w:p>
    <w:p>
      <w:pPr>
        <w:spacing w:after="0" w:line="1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(au) </w:t>
      </w:r>
      <w:r>
        <w:rPr>
          <w:rFonts w:ascii="Arial" w:cs="Arial" w:eastAsia="Arial" w:hAnsi="Arial"/>
          <w:sz w:val="20"/>
          <w:szCs w:val="20"/>
          <w:color w:val="auto"/>
        </w:rPr>
        <w:t>“</w:t>
      </w:r>
      <w:r>
        <w:rPr>
          <w:rFonts w:ascii="Arial" w:cs="Arial" w:eastAsia="Arial" w:hAnsi="Arial"/>
          <w:sz w:val="20"/>
          <w:szCs w:val="20"/>
          <w:b w:val="1"/>
          <w:bCs w:val="1"/>
          <w:i w:val="1"/>
          <w:iCs w:val="1"/>
          <w:color w:val="auto"/>
        </w:rPr>
        <w:t>Own,</w:t>
      </w:r>
      <w:r>
        <w:rPr>
          <w:rFonts w:ascii="Arial" w:cs="Arial" w:eastAsia="Arial" w:hAnsi="Arial"/>
          <w:sz w:val="20"/>
          <w:szCs w:val="20"/>
          <w:color w:val="auto"/>
        </w:rPr>
        <w:t>” “</w:t>
      </w:r>
      <w:r>
        <w:rPr>
          <w:rFonts w:ascii="Arial" w:cs="Arial" w:eastAsia="Arial" w:hAnsi="Arial"/>
          <w:sz w:val="20"/>
          <w:szCs w:val="20"/>
          <w:b w:val="1"/>
          <w:bCs w:val="1"/>
          <w:i w:val="1"/>
          <w:iCs w:val="1"/>
          <w:color w:val="auto"/>
        </w:rPr>
        <w:t>Owned,</w:t>
      </w:r>
      <w:r>
        <w:rPr>
          <w:rFonts w:ascii="Arial" w:cs="Arial" w:eastAsia="Arial" w:hAnsi="Arial"/>
          <w:sz w:val="20"/>
          <w:szCs w:val="20"/>
          <w:color w:val="auto"/>
        </w:rPr>
        <w:t>” “</w:t>
      </w:r>
      <w:r>
        <w:rPr>
          <w:rFonts w:ascii="Arial" w:cs="Arial" w:eastAsia="Arial" w:hAnsi="Arial"/>
          <w:sz w:val="20"/>
          <w:szCs w:val="20"/>
          <w:b w:val="1"/>
          <w:bCs w:val="1"/>
          <w:i w:val="1"/>
          <w:iCs w:val="1"/>
          <w:color w:val="auto"/>
        </w:rPr>
        <w:t>Owner,</w:t>
      </w:r>
      <w:r>
        <w:rPr>
          <w:rFonts w:ascii="Arial" w:cs="Arial" w:eastAsia="Arial" w:hAnsi="Arial"/>
          <w:sz w:val="20"/>
          <w:szCs w:val="20"/>
          <w:color w:val="auto"/>
        </w:rPr>
        <w:t>” “</w:t>
      </w:r>
      <w:r>
        <w:rPr>
          <w:rFonts w:ascii="Arial" w:cs="Arial" w:eastAsia="Arial" w:hAnsi="Arial"/>
          <w:sz w:val="20"/>
          <w:szCs w:val="20"/>
          <w:b w:val="1"/>
          <w:bCs w:val="1"/>
          <w:i w:val="1"/>
          <w:iCs w:val="1"/>
          <w:color w:val="auto"/>
        </w:rPr>
        <w:t>Ownership</w:t>
      </w:r>
      <w:r>
        <w:rPr>
          <w:rFonts w:ascii="Arial" w:cs="Arial" w:eastAsia="Arial" w:hAnsi="Arial"/>
          <w:sz w:val="20"/>
          <w:szCs w:val="20"/>
          <w:color w:val="auto"/>
        </w:rPr>
        <w:t>” means that a person or Entity will be deemed to “Own,” to have “Owned,”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(av) </w:t>
      </w: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Employee, Director or Consultant to whom an Award is granted pursuant to the Plan or, if</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such other person who holds an outstanding Award.</w:t>
      </w:r>
    </w:p>
    <w:p>
      <w:pPr>
        <w:spacing w:after="0" w:line="16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(aw)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Award</w:t>
      </w:r>
      <w:r>
        <w:rPr>
          <w:rFonts w:ascii="Arial" w:cs="Arial" w:eastAsia="Arial" w:hAnsi="Arial"/>
          <w:sz w:val="20"/>
          <w:szCs w:val="20"/>
          <w:color w:val="auto"/>
        </w:rPr>
        <w:t>” means an Award that may vest or may be exercised or a cash award that may vest or become earned</w:t>
      </w:r>
      <w:r>
        <w:rPr>
          <w:rFonts w:ascii="Arial" w:cs="Arial" w:eastAsia="Arial" w:hAnsi="Arial"/>
          <w:sz w:val="20"/>
          <w:szCs w:val="20"/>
          <w:b w:val="1"/>
          <w:bCs w:val="1"/>
          <w:color w:val="auto"/>
        </w:rPr>
        <w:t xml:space="preserve"> </w:t>
      </w:r>
      <w:r>
        <w:rPr>
          <w:rFonts w:ascii="Arial" w:cs="Arial" w:eastAsia="Arial" w:hAnsi="Arial"/>
          <w:sz w:val="20"/>
          <w:szCs w:val="20"/>
          <w:color w:val="auto"/>
        </w:rPr>
        <w:t>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19" w:right="339" w:bottom="1440" w:gutter="0" w:footer="0" w:header="0"/>
        </w:sectPr>
      </w:pPr>
    </w:p>
    <w:bookmarkStart w:id="118" w:name="page119"/>
    <w:bookmarkEnd w:id="118"/>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(ax)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that the Board will select for purposes of establishing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(ay)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means, for a Performance Period, the one or more goals established by the Board for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Capital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60" w:lineRule="auto"/>
        <w:rPr>
          <w:sz w:val="20"/>
          <w:szCs w:val="20"/>
          <w:color w:val="auto"/>
        </w:rPr>
      </w:pPr>
      <w:r>
        <w:rPr>
          <w:rFonts w:ascii="Arial" w:cs="Arial" w:eastAsia="Arial" w:hAnsi="Arial"/>
          <w:sz w:val="20"/>
          <w:szCs w:val="20"/>
          <w:color w:val="auto"/>
        </w:rPr>
        <w:t>Period. Partial achievement of the specified criteria may result in the payment or vesting corresponding to the degree of achievement as specified in the Award Agreement or the written terms of a Performance Cash Award.</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(az)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period of time selected by the Board over which the attainment of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Goals will be measured for the purpose of determining a Participant’s right to vesting or exercise of an Award. Performance Periods may be of varying and overlapping duration, at the sole discretion of the Board.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(ba)</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Root, Inc. 2020 Equity Incentive Plan.</w:t>
      </w:r>
    </w:p>
    <w:p>
      <w:pPr>
        <w:spacing w:after="0" w:line="222" w:lineRule="exact"/>
        <w:rPr>
          <w:sz w:val="20"/>
          <w:szCs w:val="20"/>
          <w:color w:val="auto"/>
        </w:rPr>
      </w:pPr>
    </w:p>
    <w:p>
      <w:pPr>
        <w:ind w:firstLine="656"/>
        <w:spacing w:after="0" w:line="260" w:lineRule="auto"/>
        <w:tabs>
          <w:tab w:leader="none" w:pos="1283" w:val="left"/>
        </w:tabs>
        <w:numPr>
          <w:ilvl w:val="0"/>
          <w:numId w:val="8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 Administrator</w:t>
      </w:r>
      <w:r>
        <w:rPr>
          <w:rFonts w:ascii="Arial" w:cs="Arial" w:eastAsia="Arial" w:hAnsi="Arial"/>
          <w:sz w:val="20"/>
          <w:szCs w:val="20"/>
          <w:color w:val="auto"/>
        </w:rPr>
        <w:t>” means the person, persons, and/or third-party administrator designated by the Company to administer the day to day operations of the Plan and the Company’s other equity incentive programs.</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(bc) </w:t>
      </w:r>
      <w:r>
        <w:rPr>
          <w:rFonts w:ascii="Arial" w:cs="Arial" w:eastAsia="Arial" w:hAnsi="Arial"/>
          <w:sz w:val="20"/>
          <w:szCs w:val="20"/>
          <w:color w:val="auto"/>
        </w:rPr>
        <w:t>“</w:t>
      </w:r>
      <w:r>
        <w:rPr>
          <w:rFonts w:ascii="Arial" w:cs="Arial" w:eastAsia="Arial" w:hAnsi="Arial"/>
          <w:sz w:val="20"/>
          <w:szCs w:val="20"/>
          <w:b w:val="1"/>
          <w:bCs w:val="1"/>
          <w:i w:val="1"/>
          <w:iCs w:val="1"/>
          <w:color w:val="auto"/>
        </w:rPr>
        <w:t>Post-Termination Exercise Period</w:t>
      </w:r>
      <w:r>
        <w:rPr>
          <w:rFonts w:ascii="Arial" w:cs="Arial" w:eastAsia="Arial" w:hAnsi="Arial"/>
          <w:sz w:val="20"/>
          <w:szCs w:val="20"/>
          <w:color w:val="auto"/>
        </w:rPr>
        <w:t>” means the period following termination of a Participant’s Continuous Service within</w:t>
      </w:r>
      <w:r>
        <w:rPr>
          <w:rFonts w:ascii="Arial" w:cs="Arial" w:eastAsia="Arial" w:hAnsi="Arial"/>
          <w:sz w:val="20"/>
          <w:szCs w:val="20"/>
          <w:b w:val="1"/>
          <w:bCs w:val="1"/>
          <w:color w:val="auto"/>
        </w:rPr>
        <w:t xml:space="preserve"> </w:t>
      </w:r>
      <w:r>
        <w:rPr>
          <w:rFonts w:ascii="Arial" w:cs="Arial" w:eastAsia="Arial" w:hAnsi="Arial"/>
          <w:sz w:val="20"/>
          <w:szCs w:val="20"/>
          <w:color w:val="auto"/>
        </w:rPr>
        <w:t>which an Option or SAR is exercisable, as specified in Section 4(h).</w:t>
      </w:r>
    </w:p>
    <w:p>
      <w:pPr>
        <w:spacing w:after="0" w:line="16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(bd) </w:t>
      </w:r>
      <w:r>
        <w:rPr>
          <w:rFonts w:ascii="Arial" w:cs="Arial" w:eastAsia="Arial" w:hAnsi="Arial"/>
          <w:sz w:val="20"/>
          <w:szCs w:val="20"/>
          <w:color w:val="auto"/>
        </w:rPr>
        <w:t>“</w:t>
      </w:r>
      <w:r>
        <w:rPr>
          <w:rFonts w:ascii="Arial" w:cs="Arial" w:eastAsia="Arial" w:hAnsi="Arial"/>
          <w:sz w:val="20"/>
          <w:szCs w:val="20"/>
          <w:b w:val="1"/>
          <w:bCs w:val="1"/>
          <w:i w:val="1"/>
          <w:iCs w:val="1"/>
          <w:color w:val="auto"/>
        </w:rPr>
        <w:t>Prior Plan’s Available Reserve</w:t>
      </w:r>
      <w:r>
        <w:rPr>
          <w:rFonts w:ascii="Arial" w:cs="Arial" w:eastAsia="Arial" w:hAnsi="Arial"/>
          <w:sz w:val="20"/>
          <w:szCs w:val="20"/>
          <w:color w:val="auto"/>
        </w:rPr>
        <w:t>” means the number of shares available for the grant of new awards under the Prior Plan as</w:t>
      </w:r>
      <w:r>
        <w:rPr>
          <w:rFonts w:ascii="Arial" w:cs="Arial" w:eastAsia="Arial" w:hAnsi="Arial"/>
          <w:sz w:val="20"/>
          <w:szCs w:val="20"/>
          <w:b w:val="1"/>
          <w:bCs w:val="1"/>
          <w:color w:val="auto"/>
        </w:rPr>
        <w:t xml:space="preserve"> </w:t>
      </w:r>
      <w:r>
        <w:rPr>
          <w:rFonts w:ascii="Arial" w:cs="Arial" w:eastAsia="Arial" w:hAnsi="Arial"/>
          <w:sz w:val="20"/>
          <w:szCs w:val="20"/>
          <w:color w:val="auto"/>
        </w:rPr>
        <w:t>of immediately prior to the Effective Date.</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(be)</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Prior Plan</w:t>
      </w:r>
      <w:r>
        <w:rPr>
          <w:rFonts w:ascii="Arial" w:cs="Arial" w:eastAsia="Arial" w:hAnsi="Arial"/>
          <w:sz w:val="20"/>
          <w:szCs w:val="20"/>
          <w:color w:val="auto"/>
        </w:rPr>
        <w:t>” means the 2015 Equity Incentive Plan, as amended from time to time.</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b w:val="1"/>
          <w:bCs w:val="1"/>
          <w:color w:val="auto"/>
        </w:rPr>
        <w:t>(bf)</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means the document containing the Plan information specified in Section 10(a) of the Securities Act.</w:t>
      </w:r>
    </w:p>
    <w:p>
      <w:pPr>
        <w:spacing w:after="0" w:line="2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(bg) </w:t>
      </w: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w:t>
      </w:r>
      <w:r>
        <w:rPr>
          <w:rFonts w:ascii="Arial" w:cs="Arial" w:eastAsia="Arial" w:hAnsi="Arial"/>
          <w:sz w:val="20"/>
          <w:szCs w:val="20"/>
          <w:color w:val="auto"/>
        </w:rPr>
        <w:t>” or “</w:t>
      </w:r>
      <w:r>
        <w:rPr>
          <w:rFonts w:ascii="Arial" w:cs="Arial" w:eastAsia="Arial" w:hAnsi="Arial"/>
          <w:sz w:val="20"/>
          <w:szCs w:val="20"/>
          <w:b w:val="1"/>
          <w:bCs w:val="1"/>
          <w:i w:val="1"/>
          <w:iCs w:val="1"/>
          <w:color w:val="auto"/>
        </w:rPr>
        <w:t>RSA</w:t>
      </w:r>
      <w:r>
        <w:rPr>
          <w:rFonts w:ascii="Arial" w:cs="Arial" w:eastAsia="Arial" w:hAnsi="Arial"/>
          <w:sz w:val="20"/>
          <w:szCs w:val="20"/>
          <w:color w:val="auto"/>
        </w:rPr>
        <w:t>” means an Award of shares of Class A Common Stock which is granted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of Section 5(a).</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(bh) </w:t>
      </w: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 Agreement</w:t>
      </w:r>
      <w:r>
        <w:rPr>
          <w:rFonts w:ascii="Arial" w:cs="Arial" w:eastAsia="Arial" w:hAnsi="Arial"/>
          <w:sz w:val="20"/>
          <w:szCs w:val="20"/>
          <w:color w:val="auto"/>
        </w:rPr>
        <w:t>” means a written agreement between the Company and a holder of a Restricted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(bi) </w:t>
      </w:r>
      <w:r>
        <w:rPr>
          <w:rFonts w:ascii="Arial" w:cs="Arial" w:eastAsia="Arial" w:hAnsi="Arial"/>
          <w:sz w:val="19"/>
          <w:szCs w:val="19"/>
          <w:color w:val="auto"/>
        </w:rPr>
        <w:t>“</w:t>
      </w:r>
      <w:r>
        <w:rPr>
          <w:rFonts w:ascii="Arial" w:cs="Arial" w:eastAsia="Arial" w:hAnsi="Arial"/>
          <w:sz w:val="19"/>
          <w:szCs w:val="19"/>
          <w:b w:val="1"/>
          <w:bCs w:val="1"/>
          <w:i w:val="1"/>
          <w:iCs w:val="1"/>
          <w:color w:val="auto"/>
        </w:rPr>
        <w:t>Returning Shares</w:t>
      </w:r>
      <w:r>
        <w:rPr>
          <w:rFonts w:ascii="Arial" w:cs="Arial" w:eastAsia="Arial" w:hAnsi="Arial"/>
          <w:sz w:val="19"/>
          <w:szCs w:val="19"/>
          <w:color w:val="auto"/>
        </w:rPr>
        <w:t>” means shares subject to outstanding stock awards granted under the Prior Plan and that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provided, however, that any such shares that are shares of Class B Common Stock shall instead be added to the Share Reserve as shares of Class A Common Stock as described in Section 2(a).</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(bj) </w:t>
      </w:r>
      <w:r>
        <w:rPr>
          <w:rFonts w:ascii="Arial" w:cs="Arial" w:eastAsia="Arial" w:hAnsi="Arial"/>
          <w:sz w:val="20"/>
          <w:szCs w:val="20"/>
          <w:color w:val="auto"/>
        </w:rPr>
        <w:t>“</w:t>
      </w:r>
      <w:r>
        <w:rPr>
          <w:rFonts w:ascii="Arial" w:cs="Arial" w:eastAsia="Arial" w:hAnsi="Arial"/>
          <w:sz w:val="20"/>
          <w:szCs w:val="20"/>
          <w:b w:val="1"/>
          <w:bCs w:val="1"/>
          <w:i w:val="1"/>
          <w:iCs w:val="1"/>
          <w:color w:val="auto"/>
        </w:rPr>
        <w:t>RSU Award</w:t>
      </w:r>
      <w:r>
        <w:rPr>
          <w:rFonts w:ascii="Arial" w:cs="Arial" w:eastAsia="Arial" w:hAnsi="Arial"/>
          <w:sz w:val="20"/>
          <w:szCs w:val="20"/>
          <w:color w:val="auto"/>
        </w:rPr>
        <w:t>” or “</w:t>
      </w:r>
      <w:r>
        <w:rPr>
          <w:rFonts w:ascii="Arial" w:cs="Arial" w:eastAsia="Arial" w:hAnsi="Arial"/>
          <w:sz w:val="20"/>
          <w:szCs w:val="20"/>
          <w:b w:val="1"/>
          <w:bCs w:val="1"/>
          <w:i w:val="1"/>
          <w:iCs w:val="1"/>
          <w:color w:val="auto"/>
        </w:rPr>
        <w:t>RSU</w:t>
      </w:r>
      <w:r>
        <w:rPr>
          <w:rFonts w:ascii="Arial" w:cs="Arial" w:eastAsia="Arial" w:hAnsi="Arial"/>
          <w:sz w:val="20"/>
          <w:szCs w:val="20"/>
          <w:color w:val="auto"/>
        </w:rPr>
        <w:t>” means an Award of restricted stock units representing the right to receive an issuance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Class A Common Stock which is granted pursuant to the terms and conditions of Section 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19" w:right="339" w:bottom="1440" w:gutter="0" w:footer="0" w:header="0"/>
        </w:sectPr>
      </w:pPr>
    </w:p>
    <w:bookmarkStart w:id="120" w:name="page121"/>
    <w:bookmarkEnd w:id="120"/>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(bk) </w:t>
      </w:r>
      <w:r>
        <w:rPr>
          <w:rFonts w:ascii="Arial" w:cs="Arial" w:eastAsia="Arial" w:hAnsi="Arial"/>
          <w:sz w:val="19"/>
          <w:szCs w:val="19"/>
          <w:color w:val="auto"/>
        </w:rPr>
        <w:t>“</w:t>
      </w:r>
      <w:r>
        <w:rPr>
          <w:rFonts w:ascii="Arial" w:cs="Arial" w:eastAsia="Arial" w:hAnsi="Arial"/>
          <w:sz w:val="19"/>
          <w:szCs w:val="19"/>
          <w:b w:val="1"/>
          <w:bCs w:val="1"/>
          <w:i w:val="1"/>
          <w:iCs w:val="1"/>
          <w:color w:val="auto"/>
        </w:rPr>
        <w:t>RSU Award Agreement</w:t>
      </w:r>
      <w:r>
        <w:rPr>
          <w:rFonts w:ascii="Arial" w:cs="Arial" w:eastAsia="Arial" w:hAnsi="Arial"/>
          <w:sz w:val="19"/>
          <w:szCs w:val="19"/>
          <w:color w:val="auto"/>
        </w:rPr>
        <w:t>” means a written agreement between the Company and a holder of a RSU Award evidencing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(bl)</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to time.</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(bm)</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Rule 405</w:t>
      </w:r>
      <w:r>
        <w:rPr>
          <w:rFonts w:ascii="Arial" w:cs="Arial" w:eastAsia="Arial" w:hAnsi="Arial"/>
          <w:sz w:val="20"/>
          <w:szCs w:val="20"/>
          <w:color w:val="auto"/>
        </w:rPr>
        <w:t>” means Rule 405 promulgated under the Securities Act.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(bn)</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the regulations and other guidance thereunder.</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(bo) </w:t>
      </w: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 Change in Control</w:t>
      </w:r>
      <w:r>
        <w:rPr>
          <w:rFonts w:ascii="Arial" w:cs="Arial" w:eastAsia="Arial" w:hAnsi="Arial"/>
          <w:sz w:val="20"/>
          <w:szCs w:val="20"/>
          <w:color w:val="auto"/>
        </w:rPr>
        <w:t>” means a change in the ownership or effective control of the Company, or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a substantial portion of the Company’s assets, as provided in Section 409A(a)(2)(A)(v) of the Code and Treasury Regulations Section 1.409A-3(i)(5) (without regard to any alternative definition thereunder).</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(bp)</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(bq)</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Share Reserve</w:t>
      </w:r>
      <w:r>
        <w:rPr>
          <w:rFonts w:ascii="Arial" w:cs="Arial" w:eastAsia="Arial" w:hAnsi="Arial"/>
          <w:sz w:val="20"/>
          <w:szCs w:val="20"/>
          <w:color w:val="auto"/>
        </w:rPr>
        <w:t>” means the number of shares available for issuance under the Plan as set forth in Section 2(a).</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(br) </w:t>
      </w:r>
      <w:r>
        <w:rPr>
          <w:rFonts w:ascii="Arial" w:cs="Arial" w:eastAsia="Arial" w:hAnsi="Arial"/>
          <w:sz w:val="20"/>
          <w:szCs w:val="20"/>
          <w:color w:val="auto"/>
        </w:rPr>
        <w:t>“</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i w:val="1"/>
          <w:iCs w:val="1"/>
          <w:color w:val="auto"/>
        </w:rPr>
        <w:t>SAR</w:t>
      </w:r>
      <w:r>
        <w:rPr>
          <w:rFonts w:ascii="Arial" w:cs="Arial" w:eastAsia="Arial" w:hAnsi="Arial"/>
          <w:sz w:val="20"/>
          <w:szCs w:val="20"/>
          <w:color w:val="auto"/>
        </w:rPr>
        <w:t>” means a right to receive the appreciation on Class A Common Stock that is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terms and conditions of Section 4.</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(bs) </w:t>
      </w:r>
      <w:r>
        <w:rPr>
          <w:rFonts w:ascii="Arial" w:cs="Arial" w:eastAsia="Arial" w:hAnsi="Arial"/>
          <w:sz w:val="20"/>
          <w:szCs w:val="20"/>
          <w:color w:val="auto"/>
        </w:rPr>
        <w:t>“</w:t>
      </w:r>
      <w:r>
        <w:rPr>
          <w:rFonts w:ascii="Arial" w:cs="Arial" w:eastAsia="Arial" w:hAnsi="Arial"/>
          <w:sz w:val="20"/>
          <w:szCs w:val="20"/>
          <w:b w:val="1"/>
          <w:bCs w:val="1"/>
          <w:i w:val="1"/>
          <w:iCs w:val="1"/>
          <w:color w:val="auto"/>
        </w:rPr>
        <w:t>SAR Agreement</w:t>
      </w:r>
      <w:r>
        <w:rPr>
          <w:rFonts w:ascii="Arial" w:cs="Arial" w:eastAsia="Arial" w:hAnsi="Arial"/>
          <w:sz w:val="20"/>
          <w:szCs w:val="20"/>
          <w:color w:val="auto"/>
        </w:rPr>
        <w:t>” means a written agreement between the Company and a holder of a SAR evidencing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8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(bt)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5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 xml:space="preserve">(bu) </w:t>
      </w:r>
      <w:r>
        <w:rPr>
          <w:rFonts w:ascii="Arial" w:cs="Arial" w:eastAsia="Arial" w:hAnsi="Arial"/>
          <w:sz w:val="19"/>
          <w:szCs w:val="19"/>
          <w:color w:val="auto"/>
        </w:rPr>
        <w:t>“</w:t>
      </w:r>
      <w:r>
        <w:rPr>
          <w:rFonts w:ascii="Arial" w:cs="Arial" w:eastAsia="Arial" w:hAnsi="Arial"/>
          <w:sz w:val="19"/>
          <w:szCs w:val="19"/>
          <w:b w:val="1"/>
          <w:bCs w:val="1"/>
          <w:i w:val="1"/>
          <w:iCs w:val="1"/>
          <w:color w:val="auto"/>
        </w:rPr>
        <w:t>Ten Percent Stockholder</w:t>
      </w:r>
      <w:r>
        <w:rPr>
          <w:rFonts w:ascii="Arial" w:cs="Arial" w:eastAsia="Arial" w:hAnsi="Arial"/>
          <w:sz w:val="19"/>
          <w:szCs w:val="19"/>
          <w:color w:val="auto"/>
        </w:rPr>
        <w:t>” means a person who Owns (or is deemed to Own pursuant to Section 424(d) of the Code) stock</w:t>
      </w:r>
      <w:r>
        <w:rPr>
          <w:rFonts w:ascii="Arial" w:cs="Arial" w:eastAsia="Arial" w:hAnsi="Arial"/>
          <w:sz w:val="19"/>
          <w:szCs w:val="19"/>
          <w:b w:val="1"/>
          <w:bCs w:val="1"/>
          <w:color w:val="auto"/>
        </w:rPr>
        <w:t xml:space="preserve"> </w:t>
      </w:r>
      <w:r>
        <w:rPr>
          <w:rFonts w:ascii="Arial" w:cs="Arial" w:eastAsia="Arial" w:hAnsi="Arial"/>
          <w:sz w:val="19"/>
          <w:szCs w:val="19"/>
          <w:color w:val="auto"/>
        </w:rPr>
        <w:t>possessing more than 10% of the total combined voting power of all classes of stock of the Company or any Affiliate.</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(bv) </w:t>
      </w:r>
      <w:r>
        <w:rPr>
          <w:rFonts w:ascii="Arial" w:cs="Arial" w:eastAsia="Arial" w:hAnsi="Arial"/>
          <w:sz w:val="20"/>
          <w:szCs w:val="20"/>
          <w:color w:val="auto"/>
        </w:rPr>
        <w:t>“</w:t>
      </w:r>
      <w:r>
        <w:rPr>
          <w:rFonts w:ascii="Arial" w:cs="Arial" w:eastAsia="Arial" w:hAnsi="Arial"/>
          <w:sz w:val="20"/>
          <w:szCs w:val="20"/>
          <w:b w:val="1"/>
          <w:bCs w:val="1"/>
          <w:i w:val="1"/>
          <w:iCs w:val="1"/>
          <w:color w:val="auto"/>
        </w:rPr>
        <w:t>Trading Policy</w:t>
      </w:r>
      <w:r>
        <w:rPr>
          <w:rFonts w:ascii="Arial" w:cs="Arial" w:eastAsia="Arial" w:hAnsi="Arial"/>
          <w:sz w:val="20"/>
          <w:szCs w:val="20"/>
          <w:color w:val="auto"/>
        </w:rPr>
        <w:t>” means the Company’s policy permitting certain individuals to sell Company shares only during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"window" periods and/or otherwise restricts the ability of certain individuals to transfer or encumber Company shares,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13" w:right="339" w:bottom="1440" w:gutter="0" w:footer="0" w:header="0"/>
        </w:sectPr>
      </w:pPr>
    </w:p>
    <w:bookmarkStart w:id="121" w:name="page122"/>
    <w:bookmarkEnd w:id="121"/>
    <w:p>
      <w:pPr>
        <w:ind w:right="20" w:firstLine="648"/>
        <w:spacing w:after="0" w:line="267" w:lineRule="auto"/>
        <w:rPr>
          <w:sz w:val="20"/>
          <w:szCs w:val="20"/>
          <w:color w:val="auto"/>
        </w:rPr>
      </w:pPr>
      <w:r>
        <w:rPr>
          <w:rFonts w:ascii="Arial" w:cs="Arial" w:eastAsia="Arial" w:hAnsi="Arial"/>
          <w:sz w:val="20"/>
          <w:szCs w:val="20"/>
          <w:b w:val="1"/>
          <w:bCs w:val="1"/>
          <w:color w:val="auto"/>
        </w:rPr>
        <w:t xml:space="preserve">(bw) </w:t>
      </w:r>
      <w:r>
        <w:rPr>
          <w:rFonts w:ascii="Arial" w:cs="Arial" w:eastAsia="Arial" w:hAnsi="Arial"/>
          <w:sz w:val="20"/>
          <w:szCs w:val="20"/>
          <w:color w:val="auto"/>
        </w:rPr>
        <w:t>“</w:t>
      </w:r>
      <w:r>
        <w:rPr>
          <w:rFonts w:ascii="Arial" w:cs="Arial" w:eastAsia="Arial" w:hAnsi="Arial"/>
          <w:sz w:val="20"/>
          <w:szCs w:val="20"/>
          <w:b w:val="1"/>
          <w:bCs w:val="1"/>
          <w:i w:val="1"/>
          <w:iCs w:val="1"/>
          <w:color w:val="auto"/>
        </w:rPr>
        <w:t>Unvested Non-Exempt Award</w:t>
      </w:r>
      <w:r>
        <w:rPr>
          <w:rFonts w:ascii="Arial" w:cs="Arial" w:eastAsia="Arial" w:hAnsi="Arial"/>
          <w:sz w:val="20"/>
          <w:szCs w:val="20"/>
          <w:color w:val="auto"/>
        </w:rPr>
        <w:t>” means the portion of any Non-Exempt Award that had not vested in accordance with its</w:t>
      </w:r>
      <w:r>
        <w:rPr>
          <w:rFonts w:ascii="Arial" w:cs="Arial" w:eastAsia="Arial" w:hAnsi="Arial"/>
          <w:sz w:val="20"/>
          <w:szCs w:val="20"/>
          <w:b w:val="1"/>
          <w:bCs w:val="1"/>
          <w:color w:val="auto"/>
        </w:rPr>
        <w:t xml:space="preserve"> </w:t>
      </w:r>
      <w:r>
        <w:rPr>
          <w:rFonts w:ascii="Arial" w:cs="Arial" w:eastAsia="Arial" w:hAnsi="Arial"/>
          <w:sz w:val="20"/>
          <w:szCs w:val="20"/>
          <w:color w:val="auto"/>
        </w:rPr>
        <w:t>terms upon or prior to the date of any Corporate Transaction.</w:t>
      </w:r>
    </w:p>
    <w:p>
      <w:pPr>
        <w:spacing w:after="0" w:line="16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(bx) </w:t>
      </w:r>
      <w:r>
        <w:rPr>
          <w:rFonts w:ascii="Arial" w:cs="Arial" w:eastAsia="Arial" w:hAnsi="Arial"/>
          <w:sz w:val="20"/>
          <w:szCs w:val="20"/>
          <w:color w:val="auto"/>
        </w:rPr>
        <w:t>“</w:t>
      </w:r>
      <w:r>
        <w:rPr>
          <w:rFonts w:ascii="Arial" w:cs="Arial" w:eastAsia="Arial" w:hAnsi="Arial"/>
          <w:sz w:val="20"/>
          <w:szCs w:val="20"/>
          <w:b w:val="1"/>
          <w:bCs w:val="1"/>
          <w:i w:val="1"/>
          <w:iCs w:val="1"/>
          <w:color w:val="auto"/>
        </w:rPr>
        <w:t>Vested Non-Exempt Award</w:t>
      </w:r>
      <w:r>
        <w:rPr>
          <w:rFonts w:ascii="Arial" w:cs="Arial" w:eastAsia="Arial" w:hAnsi="Arial"/>
          <w:sz w:val="20"/>
          <w:szCs w:val="20"/>
          <w:color w:val="auto"/>
        </w:rPr>
        <w:t>” means the portion of any Non-Exempt Award that had vested in accordance with its terms</w:t>
      </w:r>
      <w:r>
        <w:rPr>
          <w:rFonts w:ascii="Arial" w:cs="Arial" w:eastAsia="Arial" w:hAnsi="Arial"/>
          <w:sz w:val="20"/>
          <w:szCs w:val="20"/>
          <w:b w:val="1"/>
          <w:bCs w:val="1"/>
          <w:color w:val="auto"/>
        </w:rPr>
        <w:t xml:space="preserve"> </w:t>
      </w:r>
      <w:r>
        <w:rPr>
          <w:rFonts w:ascii="Arial" w:cs="Arial" w:eastAsia="Arial" w:hAnsi="Arial"/>
          <w:sz w:val="20"/>
          <w:szCs w:val="20"/>
          <w:color w:val="auto"/>
        </w:rPr>
        <w:t>upon or prior to the date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13"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50" w:lineRule="exact"/>
        <w:rPr>
          <w:sz w:val="20"/>
          <w:szCs w:val="20"/>
          <w:color w:val="auto"/>
        </w:rPr>
      </w:pPr>
    </w:p>
    <w:p>
      <w:pPr>
        <w:ind w:left="520" w:hanging="510"/>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9" w:lineRule="exact"/>
        <w:rPr>
          <w:rFonts w:ascii="Arial" w:cs="Arial" w:eastAsia="Arial" w:hAnsi="Arial"/>
          <w:sz w:val="18"/>
          <w:szCs w:val="18"/>
          <w:color w:val="auto"/>
        </w:rPr>
      </w:pPr>
    </w:p>
    <w:p>
      <w:pPr>
        <w:jc w:val="both"/>
        <w:ind w:left="200" w:right="20" w:hanging="190"/>
        <w:spacing w:after="0" w:line="248" w:lineRule="auto"/>
        <w:tabs>
          <w:tab w:leader="none" w:pos="5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200" w:right="20" w:hanging="190"/>
        <w:spacing w:after="0" w:line="281" w:lineRule="auto"/>
        <w:tabs>
          <w:tab w:leader="none" w:pos="524"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200" w:right="40" w:hanging="190"/>
        <w:spacing w:after="0" w:line="261" w:lineRule="auto"/>
        <w:tabs>
          <w:tab w:leader="none" w:pos="5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8" w:lineRule="exact"/>
        <w:rPr>
          <w:rFonts w:ascii="Arial" w:cs="Arial" w:eastAsia="Arial" w:hAnsi="Arial"/>
          <w:sz w:val="18"/>
          <w:szCs w:val="18"/>
          <w:color w:val="auto"/>
        </w:rPr>
      </w:pPr>
    </w:p>
    <w:p>
      <w:pPr>
        <w:jc w:val="both"/>
        <w:ind w:left="780" w:right="20" w:hanging="257"/>
        <w:spacing w:after="0" w:line="248" w:lineRule="auto"/>
        <w:tabs>
          <w:tab w:leader="none" w:pos="11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00" w:hanging="577"/>
        <w:spacing w:after="0"/>
        <w:tabs>
          <w:tab w:leader="none" w:pos="11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9" w:lineRule="exact"/>
        <w:rPr>
          <w:rFonts w:ascii="Arial" w:cs="Arial" w:eastAsia="Arial" w:hAnsi="Arial"/>
          <w:sz w:val="18"/>
          <w:szCs w:val="18"/>
          <w:color w:val="auto"/>
        </w:rPr>
      </w:pPr>
    </w:p>
    <w:p>
      <w:pPr>
        <w:ind w:left="780" w:right="20" w:hanging="257"/>
        <w:spacing w:after="0" w:line="299" w:lineRule="auto"/>
        <w:tabs>
          <w:tab w:leader="none" w:pos="1104"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80" w:right="20" w:hanging="257"/>
        <w:spacing w:after="0" w:line="248" w:lineRule="auto"/>
        <w:tabs>
          <w:tab w:leader="none" w:pos="11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00" w:right="40" w:hanging="190"/>
        <w:spacing w:after="0" w:line="299" w:lineRule="auto"/>
        <w:tabs>
          <w:tab w:leader="none" w:pos="52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80" w:right="40" w:hanging="257"/>
        <w:spacing w:after="0" w:line="281" w:lineRule="auto"/>
        <w:tabs>
          <w:tab w:leader="none" w:pos="1104"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780" w:right="40" w:hanging="257"/>
        <w:spacing w:after="0" w:line="261" w:lineRule="auto"/>
        <w:tabs>
          <w:tab w:leader="none" w:pos="11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6940" w:val="left"/>
        </w:tabs>
        <w:rPr>
          <w:sz w:val="20"/>
          <w:szCs w:val="20"/>
          <w:color w:val="auto"/>
        </w:rPr>
      </w:pPr>
      <w:r>
        <w:rPr>
          <w:rFonts w:ascii="Arial" w:cs="Arial" w:eastAsia="Arial" w:hAnsi="Arial"/>
          <w:sz w:val="18"/>
          <w:szCs w:val="18"/>
          <w:color w:val="auto"/>
        </w:rPr>
        <w:t>Date: December 2, 2020</w:t>
      </w:r>
      <w:r>
        <w:rPr>
          <w:sz w:val="20"/>
          <w:szCs w:val="20"/>
          <w:color w:val="auto"/>
        </w:rPr>
        <w:tab/>
      </w:r>
      <w:r>
        <w:rPr>
          <w:rFonts w:ascii="Arial" w:cs="Arial" w:eastAsia="Arial" w:hAnsi="Arial"/>
          <w:sz w:val="16"/>
          <w:szCs w:val="16"/>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23495</wp:posOffset>
            </wp:positionV>
            <wp:extent cx="27171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900"/>
          </w:cols>
          <w:pgMar w:left="660" w:top="141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Daniel Rosenthal, certify that:</w:t>
      </w:r>
    </w:p>
    <w:p>
      <w:pPr>
        <w:spacing w:after="0" w:line="117" w:lineRule="exact"/>
        <w:rPr>
          <w:sz w:val="20"/>
          <w:szCs w:val="20"/>
          <w:color w:val="auto"/>
        </w:rPr>
      </w:pPr>
    </w:p>
    <w:p>
      <w:pPr>
        <w:ind w:left="340" w:hanging="33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50" w:lineRule="exact"/>
        <w:rPr>
          <w:sz w:val="20"/>
          <w:szCs w:val="20"/>
          <w:color w:val="auto"/>
        </w:rPr>
      </w:pPr>
    </w:p>
    <w:p>
      <w:pPr>
        <w:jc w:val="both"/>
        <w:ind w:left="340" w:right="20" w:hanging="334"/>
        <w:spacing w:after="0" w:line="24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sz w:val="20"/>
          <w:szCs w:val="20"/>
          <w:color w:val="auto"/>
        </w:rPr>
      </w:pPr>
    </w:p>
    <w:p>
      <w:pPr>
        <w:ind w:left="340" w:right="20" w:hanging="334"/>
        <w:spacing w:after="0" w:line="261"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sz w:val="20"/>
          <w:szCs w:val="20"/>
          <w:color w:val="auto"/>
        </w:rPr>
      </w:pPr>
    </w:p>
    <w:p>
      <w:pPr>
        <w:ind w:left="340" w:right="20" w:hanging="334"/>
        <w:spacing w:after="0" w:line="261"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8" w:lineRule="exact"/>
        <w:rPr>
          <w:rFonts w:ascii="Arial" w:cs="Arial" w:eastAsia="Arial" w:hAnsi="Arial"/>
          <w:sz w:val="18"/>
          <w:szCs w:val="18"/>
          <w:color w:val="auto"/>
        </w:rPr>
      </w:pPr>
    </w:p>
    <w:p>
      <w:pPr>
        <w:jc w:val="both"/>
        <w:ind w:left="720" w:right="20" w:hanging="390"/>
        <w:spacing w:after="0" w:line="248" w:lineRule="auto"/>
        <w:tabs>
          <w:tab w:leader="none" w:pos="7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hanging="390"/>
        <w:spacing w:after="0"/>
        <w:tabs>
          <w:tab w:leader="none" w:pos="7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9" w:lineRule="exact"/>
        <w:rPr>
          <w:rFonts w:ascii="Arial" w:cs="Arial" w:eastAsia="Arial" w:hAnsi="Arial"/>
          <w:sz w:val="18"/>
          <w:szCs w:val="18"/>
          <w:color w:val="auto"/>
        </w:rPr>
      </w:pPr>
    </w:p>
    <w:p>
      <w:pPr>
        <w:ind w:left="720" w:right="20" w:hanging="390"/>
        <w:spacing w:after="0" w:line="281" w:lineRule="auto"/>
        <w:tabs>
          <w:tab w:leader="none" w:pos="7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20" w:right="20" w:hanging="390"/>
        <w:spacing w:after="0" w:line="248" w:lineRule="auto"/>
        <w:tabs>
          <w:tab w:leader="none" w:pos="7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p>
    <w:p>
      <w:pPr>
        <w:ind w:left="340" w:right="20" w:hanging="334"/>
        <w:spacing w:after="0" w:line="281"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720" w:right="20" w:hanging="390"/>
        <w:spacing w:after="0" w:line="261" w:lineRule="auto"/>
        <w:tabs>
          <w:tab w:leader="none" w:pos="7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20" w:hanging="390"/>
        <w:spacing w:after="0" w:line="261" w:lineRule="auto"/>
        <w:tabs>
          <w:tab w:leader="none" w:pos="7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Date: December 2, 2020</w:t>
      </w:r>
      <w:r>
        <w:rPr>
          <w:sz w:val="20"/>
          <w:szCs w:val="20"/>
          <w:color w:val="auto"/>
        </w:rPr>
        <w:tab/>
      </w:r>
      <w:r>
        <w:rPr>
          <w:rFonts w:ascii="Arial" w:cs="Arial" w:eastAsia="Arial" w:hAnsi="Arial"/>
          <w:sz w:val="16"/>
          <w:szCs w:val="16"/>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23495</wp:posOffset>
            </wp:positionV>
            <wp:extent cx="25546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Daniel Rosenthal</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20"/>
          </w:cols>
          <w:pgMar w:left="340" w:top="141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Chief Financial Officer and Chief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Daniel Rosenthal, Chief Financial Officer of the Company, each hereby certifies that, to the best of his knowledge:</w:t>
      </w:r>
    </w:p>
    <w:p>
      <w:pPr>
        <w:spacing w:after="0" w:line="246" w:lineRule="exact"/>
        <w:rPr>
          <w:sz w:val="20"/>
          <w:szCs w:val="20"/>
          <w:color w:val="auto"/>
        </w:rPr>
      </w:pPr>
    </w:p>
    <w:p>
      <w:pPr>
        <w:ind w:left="340" w:right="280" w:hanging="125"/>
        <w:spacing w:after="0" w:line="261" w:lineRule="auto"/>
        <w:rPr>
          <w:sz w:val="20"/>
          <w:szCs w:val="20"/>
          <w:color w:val="auto"/>
        </w:rPr>
      </w:pPr>
      <w:r>
        <w:rPr>
          <w:rFonts w:ascii="Arial" w:cs="Arial" w:eastAsia="Arial" w:hAnsi="Arial"/>
          <w:sz w:val="18"/>
          <w:szCs w:val="18"/>
          <w:color w:val="auto"/>
        </w:rPr>
        <w:t>1 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9" w:lineRule="exact"/>
        <w:rPr>
          <w:sz w:val="20"/>
          <w:szCs w:val="20"/>
          <w:color w:val="auto"/>
        </w:rPr>
      </w:pPr>
    </w:p>
    <w:p>
      <w:pPr>
        <w:ind w:left="340" w:right="600" w:hanging="125"/>
        <w:spacing w:after="0" w:line="261" w:lineRule="auto"/>
        <w:rPr>
          <w:sz w:val="20"/>
          <w:szCs w:val="20"/>
          <w:color w:val="auto"/>
        </w:rPr>
      </w:pPr>
      <w:r>
        <w:rPr>
          <w:rFonts w:ascii="Arial" w:cs="Arial" w:eastAsia="Arial" w:hAnsi="Arial"/>
          <w:sz w:val="18"/>
          <w:szCs w:val="18"/>
          <w:color w:val="auto"/>
        </w:rPr>
        <w:t>2 The information contained in the Periodic Report fairly presents, in all material respects, the financial condition and results of operations of the Company.</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December 2, 2020</w:t>
      </w:r>
    </w:p>
    <w:p>
      <w:pPr>
        <w:spacing w:after="0" w:line="200" w:lineRule="exact"/>
        <w:rPr>
          <w:sz w:val="20"/>
          <w:szCs w:val="20"/>
          <w:color w:val="auto"/>
        </w:rPr>
      </w:pPr>
    </w:p>
    <w:p>
      <w:pPr>
        <w:spacing w:after="0" w:line="3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631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631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Daniel Rosenthal</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3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decimal"/>
      <w:start w:val="2"/>
    </w:lvl>
  </w:abstractNum>
  <w:abstractNum w:abstractNumId="6">
    <w:nsid w:val="3DC240FB"/>
    <w:multiLevelType w:val="hybridMultilevel"/>
    <w:lvl w:ilvl="0">
      <w:lvlJc w:val="left"/>
      <w:lvlText w:val="%1."/>
      <w:numFmt w:val="decimal"/>
      <w:start w:val="3"/>
    </w:lvl>
  </w:abstractNum>
  <w:abstractNum w:abstractNumId="7">
    <w:nsid w:val="1BA026FA"/>
    <w:multiLevelType w:val="hybridMultilevel"/>
    <w:lvl w:ilvl="0">
      <w:lvlJc w:val="left"/>
      <w:lvlText w:val="%1."/>
      <w:numFmt w:val="decimal"/>
      <w:start w:val="4"/>
    </w:lvl>
  </w:abstractNum>
  <w:abstractNum w:abstractNumId="8">
    <w:nsid w:val="79A1DEAA"/>
    <w:multiLevelType w:val="hybridMultilevel"/>
    <w:lvl w:ilvl="0">
      <w:lvlJc w:val="left"/>
      <w:lvlText w:val="%1."/>
      <w:numFmt w:val="decimal"/>
      <w:start w:val="5"/>
    </w:lvl>
  </w:abstractNum>
  <w:abstractNum w:abstractNumId="9">
    <w:nsid w:val="75C6C33A"/>
    <w:multiLevelType w:val="hybridMultilevel"/>
    <w:lvl w:ilvl="0">
      <w:lvlJc w:val="left"/>
      <w:lvlText w:val="%1."/>
      <w:numFmt w:val="decimal"/>
      <w:start w:val="6"/>
    </w:lvl>
  </w:abstractNum>
  <w:abstractNum w:abstractNumId="10">
    <w:nsid w:val="12E685FB"/>
    <w:multiLevelType w:val="hybridMultilevel"/>
    <w:lvl w:ilvl="0">
      <w:lvlJc w:val="left"/>
      <w:lvlText w:val="%1."/>
      <w:numFmt w:val="decimal"/>
      <w:start w:val="7"/>
    </w:lvl>
  </w:abstractNum>
  <w:abstractNum w:abstractNumId="11">
    <w:nsid w:val="70C6A529"/>
    <w:multiLevelType w:val="hybridMultilevel"/>
    <w:lvl w:ilvl="0">
      <w:lvlJc w:val="left"/>
      <w:lvlText w:val="%1."/>
      <w:numFmt w:val="decimal"/>
      <w:start w:val="8"/>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1."/>
      <w:numFmt w:val="decimal"/>
      <w:start w:val="9"/>
    </w:lvl>
  </w:abstractNum>
  <w:abstractNum w:abstractNumId="15">
    <w:nsid w:val="23F9C13C"/>
    <w:multiLevelType w:val="hybridMultilevel"/>
    <w:lvl w:ilvl="0">
      <w:lvlJc w:val="left"/>
      <w:lvlText w:val="%1."/>
      <w:numFmt w:val="decimal"/>
      <w:start w:val="10"/>
    </w:lvl>
  </w:abstractNum>
  <w:abstractNum w:abstractNumId="16">
    <w:nsid w:val="649BB77C"/>
    <w:multiLevelType w:val="hybridMultilevel"/>
    <w:lvl w:ilvl="0">
      <w:lvlJc w:val="left"/>
      <w:lvlText w:val="%1."/>
      <w:numFmt w:val="decimal"/>
      <w:start w:val="11"/>
    </w:lvl>
  </w:abstractNum>
  <w:abstractNum w:abstractNumId="17">
    <w:nsid w:val="275AC794"/>
    <w:multiLevelType w:val="hybridMultilevel"/>
    <w:lvl w:ilvl="0">
      <w:lvlJc w:val="left"/>
      <w:lvlText w:val="%1."/>
      <w:numFmt w:val="decimal"/>
      <w:start w:val="12"/>
    </w:lvl>
  </w:abstractNum>
  <w:abstractNum w:abstractNumId="18">
    <w:nsid w:val="39386575"/>
    <w:multiLevelType w:val="hybridMultilevel"/>
    <w:lvl w:ilvl="0">
      <w:lvlJc w:val="left"/>
      <w:lvlText w:val="%1."/>
      <w:numFmt w:val="decimal"/>
      <w:start w:val="13"/>
    </w:lvl>
  </w:abstractNum>
  <w:abstractNum w:abstractNumId="19">
    <w:nsid w:val="1CF10FD8"/>
    <w:multiLevelType w:val="hybridMultilevel"/>
    <w:lvl w:ilvl="0">
      <w:lvlJc w:val="left"/>
      <w:lvlText w:val="%1."/>
      <w:numFmt w:val="decimal"/>
      <w:start w:val="14"/>
    </w:lvl>
  </w:abstractNum>
  <w:abstractNum w:abstractNumId="20">
    <w:nsid w:val="180115BE"/>
    <w:multiLevelType w:val="hybridMultilevel"/>
    <w:lvl w:ilvl="0">
      <w:lvlJc w:val="left"/>
      <w:lvlText w:val="%1."/>
      <w:numFmt w:val="decimal"/>
      <w:start w:val="15"/>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lvl w:ilvl="1">
      <w:lvlJc w:val="left"/>
      <w:lvlText w:val="%2"/>
      <w:numFmt w:val="decimal"/>
      <w:start w:val="104"/>
    </w:lvl>
  </w:abstractNum>
  <w:abstractNum w:abstractNumId="39">
    <w:nsid w:val="1F48EAA1"/>
    <w:multiLevelType w:val="hybridMultilevel"/>
    <w:lvl w:ilvl="0">
      <w:lvlJc w:val="left"/>
      <w:lvlText w:val="%1."/>
      <w:numFmt w:val="decimal"/>
      <w:start w:val="1"/>
    </w:lvl>
    <w:lvl w:ilvl="1">
      <w:lvlJc w:val="left"/>
      <w:lvlText w:val="(%2)"/>
      <w:numFmt w:val="lowerLetter"/>
      <w:start w:val="1"/>
    </w:lvl>
  </w:abstractNum>
  <w:abstractNum w:abstractNumId="40">
    <w:nsid w:val="1381823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5DB70A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3">
    <w:nsid w:val="659070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
    <w:nsid w:val="15014A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
    <w:nsid w:val="799D02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8">
    <w:nsid w:val="6B94764"/>
    <w:multiLevelType w:val="hybridMultilevel"/>
    <w:lvl w:ilvl="0">
      <w:lvlJc w:val="left"/>
      <w:lvlText w:val="(%1)"/>
      <w:numFmt w:val="decimal"/>
      <w:start w:val="4"/>
    </w:lvl>
    <w:lvl w:ilvl="1">
      <w:lvlJc w:val="left"/>
      <w:lvlText w:val="(%2)"/>
      <w:numFmt w:val="lowerLetter"/>
      <w:start w:val="3"/>
    </w:lvl>
    <w:lvl w:ilvl="2">
      <w:lvlJc w:val="left"/>
      <w:lvlText w:val="(%3)"/>
      <w:numFmt w:val="lowerRoman"/>
      <w:start w:val="4"/>
    </w:lvl>
  </w:abstractNum>
  <w:abstractNum w:abstractNumId="49">
    <w:nsid w:val="42C296BD"/>
    <w:multiLevelType w:val="hybridMultilevel"/>
    <w:lvl w:ilvl="0">
      <w:lvlJc w:val="left"/>
      <w:lvlText w:val="(%1)"/>
      <w:numFmt w:val="lowerLetter"/>
      <w:start w:val="5"/>
    </w:lvl>
    <w:lvl w:ilvl="1">
      <w:lvlJc w:val="left"/>
      <w:lvlText w:val="(%2)"/>
      <w:numFmt w:val="lowerRoman"/>
      <w:start w:val="1"/>
    </w:lvl>
  </w:abstractNum>
  <w:abstractNum w:abstractNumId="50">
    <w:nsid w:val="168E121F"/>
    <w:multiLevelType w:val="hybridMultilevel"/>
    <w:lvl w:ilvl="0">
      <w:lvlJc w:val="left"/>
      <w:lvlText w:val="(%1)"/>
      <w:numFmt w:val="lowerRoman"/>
      <w:start w:val="3"/>
    </w:lvl>
  </w:abstractNum>
  <w:abstractNum w:abstractNumId="51">
    <w:nsid w:val="1EBA5D23"/>
    <w:multiLevelType w:val="hybridMultilevel"/>
    <w:lvl w:ilvl="0">
      <w:lvlJc w:val="left"/>
      <w:lvlText w:val="%1"/>
      <w:numFmt w:val="lowerLetter"/>
      <w:start w:val="1"/>
    </w:lvl>
    <w:lvl w:ilvl="1">
      <w:lvlJc w:val="left"/>
      <w:lvlText w:val="(%2)"/>
      <w:numFmt w:val="lowerLetter"/>
      <w:start w:val="9"/>
    </w:lvl>
  </w:abstractNum>
  <w:abstractNum w:abstractNumId="52">
    <w:nsid w:val="661E3F1E"/>
    <w:multiLevelType w:val="hybridMultilevel"/>
    <w:lvl w:ilvl="0">
      <w:lvlJc w:val="left"/>
      <w:lvlText w:val="(%1)"/>
      <w:numFmt w:val="lowerLetter"/>
      <w:start w:val="9"/>
    </w:lvl>
    <w:lvl w:ilvl="1">
      <w:lvlJc w:val="left"/>
      <w:lvlText w:val="(%2)"/>
      <w:numFmt w:val="lowerLetter"/>
      <w:start w:val="10"/>
    </w:lvl>
  </w:abstractNum>
  <w:abstractNum w:abstractNumId="53">
    <w:nsid w:val="5DC79EA8"/>
    <w:multiLevelType w:val="hybridMultilevel"/>
    <w:lvl w:ilvl="0">
      <w:lvlJc w:val="left"/>
      <w:lvlText w:val="%1."/>
      <w:numFmt w:val="decimal"/>
      <w:start w:val="5"/>
    </w:lvl>
    <w:lvl w:ilvl="1">
      <w:lvlJc w:val="left"/>
      <w:lvlText w:val="(%2)"/>
      <w:numFmt w:val="lowerLetter"/>
      <w:start w:val="1"/>
    </w:lvl>
  </w:abstractNum>
  <w:abstractNum w:abstractNumId="54">
    <w:nsid w:val="540A471C"/>
    <w:multiLevelType w:val="hybridMultilevel"/>
    <w:lvl w:ilvl="0">
      <w:lvlJc w:val="left"/>
      <w:lvlText w:val="(%1)"/>
      <w:numFmt w:val="lowerRoman"/>
      <w:start w:val="1"/>
    </w:lvl>
    <w:lvl w:ilvl="1">
      <w:lvlJc w:val="left"/>
      <w:lvlText w:val="(%2)"/>
      <w:numFmt w:val="decimal"/>
      <w:start w:val="1"/>
    </w:lvl>
  </w:abstractNum>
  <w:abstractNum w:abstractNumId="55">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6">
    <w:nsid w:val="51D9C5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7">
    <w:nsid w:val="613EFDC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
    <w:nsid w:val="BF72B14"/>
    <w:multiLevelType w:val="hybridMultilevel"/>
    <w:lvl w:ilvl="0">
      <w:lvlJc w:val="left"/>
      <w:lvlText w:val="(%1)"/>
      <w:numFmt w:val="lowerLetter"/>
      <w:start w:val="3"/>
    </w:lvl>
    <w:lvl w:ilvl="1">
      <w:lvlJc w:val="left"/>
      <w:lvlText w:val="(%2)"/>
      <w:numFmt w:val="lowerRoman"/>
      <w:start w:val="1"/>
    </w:lvl>
  </w:abstractNum>
  <w:abstractNum w:abstractNumId="59">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0">
    <w:nsid w:val="42963E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1">
    <w:nsid w:val="A0382C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2">
    <w:nsid w:val="8F2B15E"/>
    <w:multiLevelType w:val="hybridMultilevel"/>
    <w:lvl w:ilvl="0">
      <w:lvlJc w:val="left"/>
      <w:lvlText w:val="(%1)"/>
      <w:numFmt w:val="lowerRoman"/>
      <w:start w:val="2"/>
    </w:lvl>
  </w:abstractNum>
  <w:abstractNum w:abstractNumId="63">
    <w:nsid w:val="1A32234B"/>
    <w:multiLevelType w:val="hybridMultilevel"/>
    <w:lvl w:ilvl="0">
      <w:lvlJc w:val="left"/>
      <w:lvlText w:val="%1"/>
      <w:numFmt w:val="lowerLetter"/>
      <w:start w:val="1"/>
    </w:lvl>
    <w:lvl w:ilvl="1">
      <w:lvlJc w:val="left"/>
      <w:lvlText w:val="(%2)"/>
      <w:numFmt w:val="lowerRoman"/>
      <w:start w:val="12"/>
    </w:lvl>
  </w:abstractNum>
  <w:abstractNum w:abstractNumId="64">
    <w:nsid w:val="3B0FD379"/>
    <w:multiLevelType w:val="hybridMultilevel"/>
    <w:lvl w:ilvl="0">
      <w:lvlJc w:val="left"/>
      <w:lvlText w:val="(%1)"/>
      <w:numFmt w:val="lowerLetter"/>
      <w:start w:val="3"/>
    </w:lvl>
    <w:lvl w:ilvl="1">
      <w:lvlJc w:val="left"/>
      <w:lvlText w:val="(%2)"/>
      <w:numFmt w:val="lowerRoman"/>
      <w:start w:val="1"/>
    </w:lvl>
  </w:abstractNum>
  <w:abstractNum w:abstractNumId="65">
    <w:nsid w:val="68EB2F63"/>
    <w:multiLevelType w:val="hybridMultilevel"/>
    <w:lvl w:ilvl="0">
      <w:lvlJc w:val="left"/>
      <w:lvlText w:val="%1."/>
      <w:numFmt w:val="decimal"/>
      <w:start w:val="8"/>
    </w:lvl>
    <w:lvl w:ilvl="1">
      <w:lvlJc w:val="left"/>
      <w:lvlText w:val="(%2)"/>
      <w:numFmt w:val="lowerLetter"/>
      <w:start w:val="1"/>
    </w:lvl>
  </w:abstractNum>
  <w:abstractNum w:abstractNumId="66">
    <w:nsid w:val="4962813B"/>
    <w:multiLevelType w:val="hybridMultilevel"/>
    <w:lvl w:ilvl="0">
      <w:lvlJc w:val="left"/>
      <w:lvlText w:val="%1."/>
      <w:numFmt w:val="decimal"/>
      <w:start w:val="9"/>
    </w:lvl>
    <w:lvl w:ilvl="1">
      <w:lvlJc w:val="left"/>
      <w:lvlText w:val="(%2)"/>
      <w:numFmt w:val="lowerLetter"/>
      <w:start w:val="1"/>
    </w:lvl>
  </w:abstractNum>
  <w:abstractNum w:abstractNumId="67">
    <w:nsid w:val="60B6DF70"/>
    <w:multiLevelType w:val="hybridMultilevel"/>
    <w:lvl w:ilvl="0">
      <w:lvlJc w:val="left"/>
      <w:lvlText w:val="(%1)"/>
      <w:numFmt w:val="lowerLetter"/>
      <w:start w:val="7"/>
    </w:lvl>
  </w:abstractNum>
  <w:abstractNum w:abstractNumId="68">
    <w:nsid w:val="6A5EE64"/>
    <w:multiLevelType w:val="hybridMultilevel"/>
    <w:lvl w:ilvl="0">
      <w:lvlJc w:val="left"/>
      <w:lvlText w:val="%1"/>
      <w:numFmt w:val="decimal"/>
      <w:start w:val="1"/>
    </w:lvl>
    <w:lvl w:ilvl="1">
      <w:lvlJc w:val="left"/>
      <w:lvlText w:val="(%2)"/>
      <w:numFmt w:val="lowerLetter"/>
      <w:start w:val="12"/>
    </w:lvl>
  </w:abstractNum>
  <w:abstractNum w:abstractNumId="69">
    <w:nsid w:val="14330624"/>
    <w:multiLevelType w:val="hybridMultilevel"/>
    <w:lvl w:ilvl="0">
      <w:lvlJc w:val="left"/>
      <w:lvlText w:val="%1."/>
      <w:numFmt w:val="decimal"/>
      <w:start w:val="10"/>
    </w:lvl>
    <w:lvl w:ilvl="1">
      <w:lvlJc w:val="left"/>
      <w:lvlText w:val="(%2)"/>
      <w:numFmt w:val="lowerLetter"/>
      <w:start w:val="1"/>
    </w:lvl>
  </w:abstractNum>
  <w:abstractNum w:abstractNumId="70">
    <w:nsid w:val="7FFFCA1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1">
    <w:nsid w:val="1A27709E"/>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72">
    <w:nsid w:val="71EA1109"/>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1"/>
    </w:lvl>
  </w:abstractNum>
  <w:abstractNum w:abstractNumId="73">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74">
    <w:nsid w:val="7FB7E0AA"/>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75">
    <w:nsid w:val="6EB5BD4"/>
    <w:multiLevelType w:val="hybridMultilevel"/>
    <w:lvl w:ilvl="0">
      <w:lvlJc w:val="left"/>
      <w:lvlText w:val="%1"/>
      <w:numFmt w:val="decimal"/>
      <w:start w:val="1"/>
    </w:lvl>
    <w:lvl w:ilvl="1">
      <w:lvlJc w:val="left"/>
      <w:lvlText w:val="(%2)"/>
      <w:numFmt w:val="lowerRoman"/>
      <w:start w:val="4"/>
    </w:lvl>
  </w:abstractNum>
  <w:abstractNum w:abstractNumId="76">
    <w:nsid w:val="6F6DD9AC"/>
    <w:multiLevelType w:val="hybridMultilevel"/>
    <w:lvl w:ilvl="0">
      <w:lvlJc w:val="left"/>
      <w:lvlText w:val="%1."/>
      <w:numFmt w:val="decimal"/>
      <w:start w:val="12"/>
    </w:lvl>
    <w:lvl w:ilvl="1">
      <w:lvlJc w:val="left"/>
      <w:lvlText w:val="%2"/>
      <w:numFmt w:val="lowerRoman"/>
      <w:start w:val="1"/>
    </w:lvl>
  </w:abstractNum>
  <w:abstractNum w:abstractNumId="77">
    <w:nsid w:val="94211F2"/>
    <w:multiLevelType w:val="hybridMultilevel"/>
    <w:lvl w:ilvl="0">
      <w:lvlJc w:val="left"/>
      <w:lvlText w:val="%1."/>
      <w:numFmt w:val="decimal"/>
      <w:start w:val="13"/>
    </w:lvl>
  </w:abstractNum>
  <w:abstractNum w:abstractNumId="78">
    <w:nsid w:val="885E1B"/>
    <w:multiLevelType w:val="hybridMultilevel"/>
    <w:lvl w:ilvl="0">
      <w:lvlJc w:val="left"/>
      <w:lvlText w:val="%1."/>
      <w:numFmt w:val="decimal"/>
      <w:start w:val="14"/>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11"/>
    </w:lvl>
    <w:lvl w:ilvl="1">
      <w:lvlJc w:val="left"/>
      <w:lvlText w:val="(%2)"/>
      <w:numFmt w:val="lowerRoman"/>
      <w:start w:val="1"/>
    </w:lvl>
  </w:abstractNum>
  <w:abstractNum w:abstractNumId="81">
    <w:nsid w:val="1716703B"/>
    <w:multiLevelType w:val="hybridMultilevel"/>
    <w:lvl w:ilvl="0">
      <w:lvlJc w:val="left"/>
      <w:lvlText w:val="(%1)"/>
      <w:numFmt w:val="lowerRoman"/>
      <w:start w:val="4"/>
    </w:lvl>
  </w:abstractNum>
  <w:abstractNum w:abstractNumId="82">
    <w:nsid w:val="14E17E33"/>
    <w:multiLevelType w:val="hybridMultilevel"/>
    <w:lvl w:ilvl="0">
      <w:lvlJc w:val="left"/>
      <w:lvlText w:val="(%1)"/>
      <w:numFmt w:val="lowerLetter"/>
      <w:start w:val="12"/>
    </w:lvl>
  </w:abstractNum>
  <w:abstractNum w:abstractNumId="83">
    <w:nsid w:val="3222E7CD"/>
    <w:multiLevelType w:val="hybridMultilevel"/>
    <w:lvl w:ilvl="0">
      <w:lvlJc w:val="left"/>
      <w:lvlText w:val="(%1)"/>
      <w:numFmt w:val="lowerLetter"/>
      <w:start w:val="20"/>
    </w:lvl>
    <w:lvl w:ilvl="1">
      <w:lvlJc w:val="left"/>
      <w:lvlText w:val="(%2)"/>
      <w:numFmt w:val="lowerRoman"/>
      <w:start w:val="1"/>
    </w:lvl>
  </w:abstractNum>
  <w:abstractNum w:abstractNumId="84">
    <w:nsid w:val="74DE0EE3"/>
    <w:multiLevelType w:val="hybridMultilevel"/>
    <w:lvl w:ilvl="0">
      <w:lvlJc w:val="left"/>
      <w:lvlText w:val="(%1)"/>
      <w:numFmt w:val="lowerLetter"/>
      <w:start w:val="25"/>
    </w:lvl>
  </w:abstractNum>
  <w:abstractNum w:abstractNumId="85">
    <w:nsid w:val="68EBC550"/>
    <w:multiLevelType w:val="hybridMultilevel"/>
    <w:lvl w:ilvl="0">
      <w:lvlJc w:val="left"/>
      <w:lvlText w:val="(%1)"/>
      <w:numFmt w:val="lowerLetter"/>
      <w:start w:val="27"/>
    </w:lvl>
  </w:abstractNum>
  <w:abstractNum w:abstractNumId="86">
    <w:nsid w:val="2DF6D648"/>
    <w:multiLevelType w:val="hybridMultilevel"/>
    <w:lvl w:ilvl="0">
      <w:lvlJc w:val="left"/>
      <w:lvlText w:val="(%1)"/>
      <w:numFmt w:val="lowerRoman"/>
      <w:start w:val="1"/>
    </w:lvl>
  </w:abstractNum>
  <w:abstractNum w:abstractNumId="87">
    <w:nsid w:val="46B7D447"/>
    <w:multiLevelType w:val="hybridMultilevel"/>
    <w:lvl w:ilvl="0">
      <w:lvlJc w:val="left"/>
      <w:lvlText w:val="(%1)"/>
      <w:numFmt w:val="lowerLetter"/>
      <w:start w:val="28"/>
    </w:lvl>
  </w:abstractNum>
  <w:abstractNum w:abstractNumId="88">
    <w:nsid w:val="4A2AC315"/>
    <w:multiLevelType w:val="hybridMultilevel"/>
    <w:lvl w:ilvl="0">
      <w:lvlJc w:val="left"/>
      <w:lvlText w:val="%1."/>
      <w:numFmt w:val="decimal"/>
      <w:start w:val="1"/>
    </w:lvl>
    <w:lvl w:ilvl="1">
      <w:lvlJc w:val="left"/>
      <w:lvlText w:val="(%2)"/>
      <w:numFmt w:val="lowerLetter"/>
      <w:start w:val="1"/>
    </w:lvl>
  </w:abstractNum>
  <w:abstractNum w:abstractNumId="89">
    <w:nsid w:val="39EE015C"/>
    <w:multiLevelType w:val="hybridMultilevel"/>
    <w:lvl w:ilvl="0">
      <w:lvlJc w:val="left"/>
      <w:lvlText w:val="1"/>
      <w:numFmt w:val="bullet"/>
      <w:start w:val="1"/>
    </w:lvl>
  </w:abstractNum>
  <w:abstractNum w:abstractNumId="90">
    <w:nsid w:val="57FC4FBB"/>
    <w:multiLevelType w:val="hybridMultilevel"/>
    <w:lvl w:ilvl="0">
      <w:lvlJc w:val="left"/>
      <w:lvlText w:val="2"/>
      <w:numFmt w:val="bullet"/>
      <w:start w:val="1"/>
    </w:lvl>
  </w:abstractNum>
  <w:abstractNum w:abstractNumId="91">
    <w:nsid w:val="CC1016F"/>
    <w:multiLevelType w:val="hybridMultilevel"/>
    <w:lvl w:ilvl="0">
      <w:lvlJc w:val="left"/>
      <w:lvlText w:val="3"/>
      <w:numFmt w:val="bullet"/>
      <w:start w:val="1"/>
    </w:lvl>
  </w:abstractNum>
  <w:abstractNum w:abstractNumId="92">
    <w:nsid w:val="43F18422"/>
    <w:multiLevelType w:val="hybridMultilevel"/>
    <w:lvl w:ilvl="0">
      <w:lvlJc w:val="left"/>
      <w:lvlText w:val="4"/>
      <w:numFmt w:val="bullet"/>
      <w:start w:val="1"/>
    </w:lvl>
    <w:lvl w:ilvl="1">
      <w:lvlJc w:val="left"/>
      <w:lvlText w:val="(%2)"/>
      <w:numFmt w:val="lowerLetter"/>
      <w:start w:val="1"/>
    </w:lvl>
  </w:abstractNum>
  <w:abstractNum w:abstractNumId="93">
    <w:nsid w:val="60EF0119"/>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24" Type="http://schemas.openxmlformats.org/officeDocument/2006/relationships/hyperlink" Target="http://www.sec.gov/Archives/edgar/data/1788882/000162828020014581/exhibit33-sx1a1xformof.htm" TargetMode="External"/><Relationship Id="rId125" Type="http://schemas.openxmlformats.org/officeDocument/2006/relationships/hyperlink" Target="http://www.sec.gov/Archives/edgar/data/1788882/000162828020014581/exhibit34-sx1a1xformof.htm" TargetMode="External"/><Relationship Id="rId126" Type="http://schemas.openxmlformats.org/officeDocument/2006/relationships/hyperlink" Target="http://www.sec.gov/Archives/edgar/data/1788882/000162828020014581/exhibit41-sx1a1xformof.htm" TargetMode="External"/><Relationship Id="rId127" Type="http://schemas.openxmlformats.org/officeDocument/2006/relationships/hyperlink" Target="http://www.sec.gov/Archives/edgar/data/1788882/000162828020014305/exhibit107-sx1xamended.htm" TargetMode="External"/><Relationship Id="rId128" Type="http://schemas.openxmlformats.org/officeDocument/2006/relationships/hyperlink" Target="http://www.sec.gov/Archives/edgar/data/1788882/000162828020014305/exhibit108-sx1xnotepu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2020-12-02T06:07:44Z</dcterms:created>
  <dcterms:modified xsi:type="dcterms:W3CDTF">2020-12-02T06:07:44Z</dcterms:modified>
</cp:coreProperties>
</file>