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518160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48895</wp:posOffset>
            </wp:positionV>
            <wp:extent cx="14636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5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(Mark One)</w:t>
      </w:r>
    </w:p>
    <w:p>
      <w:pPr>
        <w:spacing w:after="0" w:line="162" w:lineRule="exact"/>
        <w:rPr>
          <w:sz w:val="24"/>
          <w:szCs w:val="24"/>
          <w:color w:val="auto"/>
        </w:rPr>
      </w:pPr>
    </w:p>
    <w:p>
      <w:pPr>
        <w:jc w:val="center"/>
        <w:ind w:left="4080" w:right="1500" w:hanging="2589"/>
        <w:spacing w:after="0" w:line="253" w:lineRule="auto"/>
        <w:tabs>
          <w:tab w:leader="none" w:pos="166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jc w:val="center"/>
        <w:ind w:right="20"/>
        <w:spacing w:after="0" w:line="235" w:lineRule="auto"/>
        <w:rPr>
          <w:sz w:val="20"/>
          <w:szCs w:val="20"/>
          <w:color w:val="auto"/>
        </w:rPr>
      </w:pPr>
      <w:r>
        <w:rPr>
          <w:rFonts w:ascii="Arial" w:cs="Arial" w:eastAsia="Arial" w:hAnsi="Arial"/>
          <w:sz w:val="16"/>
          <w:szCs w:val="16"/>
          <w:b w:val="1"/>
          <w:bCs w:val="1"/>
          <w:color w:val="auto"/>
        </w:rPr>
        <w:t>or</w:t>
      </w:r>
    </w:p>
    <w:p>
      <w:pPr>
        <w:spacing w:after="0" w:line="1" w:lineRule="exact"/>
        <w:rPr>
          <w:sz w:val="24"/>
          <w:szCs w:val="24"/>
          <w:color w:val="auto"/>
        </w:rPr>
      </w:pPr>
    </w:p>
    <w:p>
      <w:pPr>
        <w:jc w:val="center"/>
        <w:ind w:left="3580" w:right="1500" w:hanging="2095"/>
        <w:spacing w:after="0" w:line="568" w:lineRule="auto"/>
        <w:tabs>
          <w:tab w:leader="none" w:pos="1674"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from____________to____________</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Commission File Number: 001-39658</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ROOT, INC.</w:t>
      </w:r>
    </w:p>
    <w:p>
      <w:pPr>
        <w:sectPr>
          <w:pgSz w:w="11900" w:h="16838" w:orient="portrait"/>
          <w:cols w:equalWidth="0" w:num="1">
            <w:col w:w="11260"/>
          </w:cols>
          <w:pgMar w:left="320" w:top="898" w:right="319" w:bottom="1440" w:gutter="0" w:footer="0" w:header="0"/>
        </w:sectPr>
      </w:pPr>
    </w:p>
    <w:p>
      <w:pPr>
        <w:spacing w:after="0" w:line="35" w:lineRule="exact"/>
        <w:rPr>
          <w:sz w:val="24"/>
          <w:szCs w:val="24"/>
          <w:color w:val="auto"/>
        </w:rPr>
      </w:pPr>
    </w:p>
    <w:p>
      <w:pPr>
        <w:ind w:left="384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55880</wp:posOffset>
            </wp:positionV>
            <wp:extent cx="14636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05" w:lineRule="exact"/>
        <w:rPr>
          <w:sz w:val="24"/>
          <w:szCs w:val="24"/>
          <w:color w:val="auto"/>
        </w:rPr>
      </w:pPr>
    </w:p>
    <w:p>
      <w:pPr>
        <w:jc w:val="center"/>
        <w:ind w:right="4200"/>
        <w:spacing w:after="0"/>
        <w:rPr>
          <w:sz w:val="20"/>
          <w:szCs w:val="20"/>
          <w:color w:val="auto"/>
        </w:rPr>
      </w:pPr>
      <w:r>
        <w:rPr>
          <w:rFonts w:ascii="Arial" w:cs="Arial" w:eastAsia="Arial" w:hAnsi="Arial"/>
          <w:sz w:val="14"/>
          <w:szCs w:val="14"/>
          <w:b w:val="1"/>
          <w:bCs w:val="1"/>
          <w:color w:val="auto"/>
        </w:rPr>
        <w:t>Delaware</w:t>
      </w:r>
    </w:p>
    <w:p>
      <w:pPr>
        <w:spacing w:after="0" w:line="51" w:lineRule="exact"/>
        <w:rPr>
          <w:sz w:val="24"/>
          <w:szCs w:val="24"/>
          <w:color w:val="auto"/>
        </w:rPr>
      </w:pPr>
    </w:p>
    <w:p>
      <w:pPr>
        <w:ind w:left="1000"/>
        <w:spacing w:after="0"/>
        <w:rPr>
          <w:sz w:val="20"/>
          <w:szCs w:val="20"/>
          <w:color w:val="auto"/>
        </w:rPr>
      </w:pPr>
      <w:r>
        <w:rPr>
          <w:rFonts w:ascii="Arial" w:cs="Arial" w:eastAsia="Arial" w:hAnsi="Arial"/>
          <w:sz w:val="14"/>
          <w:szCs w:val="14"/>
          <w:b w:val="1"/>
          <w:bCs w:val="1"/>
          <w:color w:val="auto"/>
        </w:rPr>
        <w:t>(State or other jurisdiction of</w:t>
      </w:r>
    </w:p>
    <w:p>
      <w:pPr>
        <w:spacing w:after="0" w:line="14" w:lineRule="exact"/>
        <w:rPr>
          <w:sz w:val="24"/>
          <w:szCs w:val="24"/>
          <w:color w:val="auto"/>
        </w:rPr>
      </w:pPr>
    </w:p>
    <w:p>
      <w:pPr>
        <w:ind w:left="960"/>
        <w:spacing w:after="0"/>
        <w:rPr>
          <w:sz w:val="20"/>
          <w:szCs w:val="20"/>
          <w:color w:val="auto"/>
        </w:rPr>
      </w:pPr>
      <w:r>
        <w:rPr>
          <w:rFonts w:ascii="Arial" w:cs="Arial" w:eastAsia="Arial" w:hAnsi="Arial"/>
          <w:sz w:val="14"/>
          <w:szCs w:val="14"/>
          <w:b w:val="1"/>
          <w:bCs w:val="1"/>
          <w:color w:val="auto"/>
        </w:rPr>
        <w:t>incorporation or organization)</w:t>
      </w:r>
    </w:p>
    <w:p>
      <w:pPr>
        <w:spacing w:after="0" w:line="35" w:lineRule="exact"/>
        <w:rPr>
          <w:sz w:val="24"/>
          <w:szCs w:val="24"/>
          <w:color w:val="auto"/>
        </w:rPr>
      </w:pPr>
    </w:p>
    <w:p>
      <w:pPr>
        <w:jc w:val="center"/>
        <w:ind w:right="4200"/>
        <w:spacing w:after="0"/>
        <w:rPr>
          <w:sz w:val="20"/>
          <w:szCs w:val="20"/>
          <w:color w:val="auto"/>
        </w:rPr>
      </w:pPr>
      <w:r>
        <w:rPr>
          <w:rFonts w:ascii="Arial" w:cs="Arial" w:eastAsia="Arial" w:hAnsi="Arial"/>
          <w:sz w:val="14"/>
          <w:szCs w:val="14"/>
          <w:b w:val="1"/>
          <w:bCs w:val="1"/>
          <w:color w:val="auto"/>
        </w:rPr>
        <w:t>80 E. Rich Street, Suite 500</w:t>
      </w:r>
    </w:p>
    <w:p>
      <w:pPr>
        <w:spacing w:after="0" w:line="14" w:lineRule="exact"/>
        <w:rPr>
          <w:sz w:val="24"/>
          <w:szCs w:val="24"/>
          <w:color w:val="auto"/>
        </w:rPr>
      </w:pPr>
    </w:p>
    <w:p>
      <w:pPr>
        <w:jc w:val="center"/>
        <w:ind w:right="4200"/>
        <w:spacing w:after="0"/>
        <w:rPr>
          <w:sz w:val="20"/>
          <w:szCs w:val="20"/>
          <w:color w:val="auto"/>
        </w:rPr>
      </w:pPr>
      <w:r>
        <w:rPr>
          <w:rFonts w:ascii="Arial" w:cs="Arial" w:eastAsia="Arial" w:hAnsi="Arial"/>
          <w:sz w:val="14"/>
          <w:szCs w:val="14"/>
          <w:b w:val="1"/>
          <w:bCs w:val="1"/>
          <w:color w:val="auto"/>
        </w:rPr>
        <w:t>Columbus, Ohio</w:t>
      </w:r>
    </w:p>
    <w:p>
      <w:pPr>
        <w:spacing w:after="0" w:line="35" w:lineRule="exact"/>
        <w:rPr>
          <w:sz w:val="24"/>
          <w:szCs w:val="24"/>
          <w:color w:val="auto"/>
        </w:rPr>
      </w:pPr>
    </w:p>
    <w:p>
      <w:pPr>
        <w:ind w:left="7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21" w:lineRule="exact"/>
        <w:rPr>
          <w:sz w:val="24"/>
          <w:szCs w:val="24"/>
          <w:color w:val="auto"/>
        </w:rPr>
      </w:pPr>
    </w:p>
    <w:p>
      <w:pPr>
        <w:jc w:val="center"/>
        <w:ind w:left="3320"/>
        <w:spacing w:after="0"/>
        <w:rPr>
          <w:sz w:val="20"/>
          <w:szCs w:val="20"/>
          <w:color w:val="auto"/>
        </w:rPr>
      </w:pPr>
      <w:r>
        <w:rPr>
          <w:rFonts w:ascii="Arial" w:cs="Arial" w:eastAsia="Arial" w:hAnsi="Arial"/>
          <w:sz w:val="18"/>
          <w:szCs w:val="18"/>
          <w:b w:val="1"/>
          <w:bCs w:val="1"/>
          <w:color w:val="auto"/>
        </w:rPr>
        <w:t>(866) 980-9431</w:t>
      </w:r>
    </w:p>
    <w:p>
      <w:pPr>
        <w:spacing w:after="0" w:line="22" w:lineRule="exact"/>
        <w:rPr>
          <w:sz w:val="24"/>
          <w:szCs w:val="24"/>
          <w:color w:val="auto"/>
        </w:rPr>
      </w:pPr>
    </w:p>
    <w:p>
      <w:pPr>
        <w:jc w:val="center"/>
        <w:ind w:left="3320"/>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84-2717903</w:t>
      </w:r>
    </w:p>
    <w:p>
      <w:pPr>
        <w:spacing w:after="0" w:line="51"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(I.R.S. Employer</w:t>
      </w:r>
    </w:p>
    <w:p>
      <w:pPr>
        <w:spacing w:after="0" w:line="14" w:lineRule="exact"/>
        <w:rPr>
          <w:sz w:val="24"/>
          <w:szCs w:val="24"/>
          <w:color w:val="auto"/>
        </w:rPr>
      </w:pPr>
    </w:p>
    <w:p>
      <w:pPr>
        <w:jc w:val="center"/>
        <w:ind w:right="1200"/>
        <w:spacing w:after="0"/>
        <w:rPr>
          <w:sz w:val="20"/>
          <w:szCs w:val="20"/>
          <w:color w:val="auto"/>
        </w:rPr>
      </w:pPr>
      <w:r>
        <w:rPr>
          <w:rFonts w:ascii="Arial" w:cs="Arial" w:eastAsia="Arial" w:hAnsi="Arial"/>
          <w:sz w:val="13"/>
          <w:szCs w:val="13"/>
          <w:b w:val="1"/>
          <w:bCs w:val="1"/>
          <w:color w:val="auto"/>
        </w:rPr>
        <w:t>Identification Number)</w:t>
      </w:r>
    </w:p>
    <w:p>
      <w:pPr>
        <w:spacing w:after="0" w:line="126"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43215</w:t>
      </w:r>
    </w:p>
    <w:p>
      <w:pPr>
        <w:spacing w:after="0" w:line="131"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(Zip Code)</w:t>
      </w:r>
    </w:p>
    <w:p>
      <w:pPr>
        <w:spacing w:after="0" w:line="704" w:lineRule="exact"/>
        <w:rPr>
          <w:sz w:val="24"/>
          <w:szCs w:val="24"/>
          <w:color w:val="auto"/>
        </w:rPr>
      </w:pPr>
    </w:p>
    <w:p>
      <w:pPr>
        <w:sectPr>
          <w:pgSz w:w="11900" w:h="16838" w:orient="portrait"/>
          <w:cols w:equalWidth="0" w:num="2">
            <w:col w:w="7940" w:space="720"/>
            <w:col w:w="2600"/>
          </w:cols>
          <w:pgMar w:left="320" w:top="898" w:right="3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54610</wp:posOffset>
            </wp:positionV>
            <wp:extent cx="1463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9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3"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4"/>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160"/>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Class A common stock,</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ROOT</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The Nasdaq Stock Market LLC</w:t>
            </w:r>
          </w:p>
        </w:tc>
      </w:tr>
      <w:tr>
        <w:trPr>
          <w:trHeight w:val="180"/>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$0.0001 par value per share</w:t>
            </w:r>
          </w:p>
        </w:tc>
        <w:tc>
          <w:tcPr>
            <w:tcW w:w="376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r>
      <w:tr>
        <w:trPr>
          <w:trHeight w:val="24"/>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133" w:lineRule="exact"/>
        <w:rPr>
          <w:sz w:val="24"/>
          <w:szCs w:val="24"/>
          <w:color w:val="auto"/>
        </w:rPr>
      </w:pPr>
    </w:p>
    <w:p>
      <w:pPr>
        <w:ind w:right="200" w:firstLine="318"/>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0" w:firstLine="318"/>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00" w:hanging="194"/>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7" w:lineRule="exact"/>
        <w:rPr>
          <w:sz w:val="24"/>
          <w:szCs w:val="24"/>
          <w:color w:val="auto"/>
        </w:rPr>
      </w:pPr>
    </w:p>
    <w:p>
      <w:pPr>
        <w:ind w:right="140"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7" w:lineRule="exact"/>
        <w:rPr>
          <w:sz w:val="24"/>
          <w:szCs w:val="24"/>
          <w:color w:val="auto"/>
        </w:rPr>
      </w:pPr>
    </w:p>
    <w:p>
      <w:pPr>
        <w:ind w:left="20"/>
        <w:spacing w:after="0" w:line="161" w:lineRule="exact"/>
        <w:tabs>
          <w:tab w:leader="none" w:pos="56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0" w:lineRule="exact"/>
        <w:rPr>
          <w:sz w:val="24"/>
          <w:szCs w:val="24"/>
          <w:color w:val="auto"/>
        </w:rPr>
      </w:pPr>
    </w:p>
    <w:p>
      <w:pPr>
        <w:ind w:left="20"/>
        <w:spacing w:after="0" w:line="161" w:lineRule="exact"/>
        <w:tabs>
          <w:tab w:leader="none" w:pos="562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51" w:lineRule="exact"/>
        <w:rPr>
          <w:sz w:val="24"/>
          <w:szCs w:val="24"/>
          <w:color w:val="auto"/>
        </w:rPr>
      </w:pPr>
    </w:p>
    <w:p>
      <w:pPr>
        <w:ind w:left="56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301" w:lineRule="exact"/>
        <w:rPr>
          <w:sz w:val="24"/>
          <w:szCs w:val="24"/>
          <w:color w:val="auto"/>
        </w:rPr>
      </w:pPr>
    </w:p>
    <w:p>
      <w:pPr>
        <w:ind w:right="480" w:firstLine="318"/>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8"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9" w:lineRule="exact"/>
        <w:rPr>
          <w:sz w:val="24"/>
          <w:szCs w:val="24"/>
          <w:color w:val="auto"/>
        </w:rPr>
      </w:pPr>
    </w:p>
    <w:p>
      <w:pPr>
        <w:ind w:right="140" w:firstLine="318"/>
        <w:spacing w:after="0" w:line="294" w:lineRule="auto"/>
        <w:rPr>
          <w:sz w:val="20"/>
          <w:szCs w:val="20"/>
          <w:color w:val="auto"/>
        </w:rPr>
      </w:pPr>
      <w:r>
        <w:rPr>
          <w:rFonts w:ascii="Arial" w:cs="Arial" w:eastAsia="Arial" w:hAnsi="Arial"/>
          <w:sz w:val="17"/>
          <w:szCs w:val="17"/>
          <w:color w:val="auto"/>
        </w:rPr>
        <w:t>As of August 9, 2021, the number of outstanding shares of the registrant’s Class A common stock, par value $0.0001 per share, was 114,186,275 and the number of outstanding shares of the registrant’s Class B common stock, par value $0.0001 per share, was 139,509,179.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898" w:right="319" w:bottom="1440" w:gutter="0" w:footer="0" w:header="0"/>
          <w:type w:val="continuous"/>
        </w:sectPr>
      </w:pPr>
    </w:p>
    <w:bookmarkStart w:id="1" w:name="page2"/>
    <w:bookmarkEnd w:id="1"/>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60" w:type="dxa"/>
            <w:vAlign w:val="bottom"/>
            <w:gridSpan w:val="13"/>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Pa</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60" w:type="dxa"/>
            <w:vAlign w:val="bottom"/>
            <w:gridSpan w:val="25"/>
          </w:tcPr>
          <w:p>
            <w:pPr>
              <w:spacing w:after="0" w:line="167" w:lineRule="exact"/>
              <w:rPr>
                <w:rFonts w:ascii="Arial" w:cs="Arial" w:eastAsia="Arial" w:hAnsi="Arial"/>
                <w:sz w:val="18"/>
                <w:szCs w:val="18"/>
                <w:color w:val="0000FF"/>
              </w:rPr>
            </w:pPr>
            <w:hyperlink w:anchor="page2">
              <w:r>
                <w:rPr>
                  <w:rFonts w:ascii="Arial" w:cs="Arial" w:eastAsia="Arial" w:hAnsi="Arial"/>
                  <w:sz w:val="18"/>
                  <w:szCs w:val="18"/>
                  <w:color w:val="0000FF"/>
                </w:rPr>
                <w:t>Special Note Regarding Forward-Looking Statements</w:t>
              </w:r>
            </w:hyperlink>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0"/>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gridSpan w:val="8"/>
          </w:tcPr>
          <w:p>
            <w:pPr>
              <w:jc w:val="center"/>
              <w:spacing w:after="0"/>
              <w:rPr>
                <w:rFonts w:ascii="Arial" w:cs="Arial" w:eastAsia="Arial" w:hAnsi="Arial"/>
                <w:sz w:val="18"/>
                <w:szCs w:val="18"/>
                <w:b w:val="1"/>
                <w:bCs w:val="1"/>
                <w:color w:val="0000FF"/>
                <w:w w:val="93"/>
              </w:rPr>
            </w:pPr>
            <w:hyperlink w:anchor="page4">
              <w:r>
                <w:rPr>
                  <w:rFonts w:ascii="Arial" w:cs="Arial" w:eastAsia="Arial" w:hAnsi="Arial"/>
                  <w:sz w:val="18"/>
                  <w:szCs w:val="18"/>
                  <w:b w:val="1"/>
                  <w:bCs w:val="1"/>
                  <w:color w:val="0000FF"/>
                  <w:w w:val="93"/>
                </w:rPr>
                <w:t>Part I. Financial Information</w:t>
              </w:r>
            </w:hyperlink>
          </w:p>
        </w:tc>
        <w:tc>
          <w:tcPr>
            <w:tcW w:w="3440" w:type="dxa"/>
            <w:vAlign w:val="bottom"/>
            <w:gridSpan w:val="4"/>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Item 1.</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 Unaudited</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and Comprehensive Loss - Unaudited</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2"/>
          </w:tcPr>
          <w:p>
            <w:pPr>
              <w:spacing w:after="0" w:line="205" w:lineRule="exact"/>
              <w:rPr>
                <w:rFonts w:ascii="Arial" w:cs="Arial" w:eastAsia="Arial" w:hAnsi="Arial"/>
                <w:sz w:val="18"/>
                <w:szCs w:val="18"/>
                <w:color w:val="0000FF"/>
                <w:w w:val="92"/>
              </w:rPr>
            </w:pPr>
            <w:hyperlink w:anchor="page6">
              <w:r>
                <w:rPr>
                  <w:rFonts w:ascii="Arial" w:cs="Arial" w:eastAsia="Arial" w:hAnsi="Arial"/>
                  <w:sz w:val="18"/>
                  <w:szCs w:val="18"/>
                  <w:color w:val="0000FF"/>
                  <w:w w:val="92"/>
                </w:rPr>
                <w:t>Condensed Consolidated Statements of Redeemable Convertible Preferred Stock and Stockholders’ Equity (Deficit) - Unaudited</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60" w:type="dxa"/>
            <w:vAlign w:val="bottom"/>
            <w:gridSpan w:val="20"/>
          </w:tcPr>
          <w:p>
            <w:pPr>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 - Unaudited</w:t>
              </w:r>
            </w:hyperlink>
          </w:p>
        </w:tc>
        <w:tc>
          <w:tcPr>
            <w:tcW w:w="320" w:type="dxa"/>
            <w:vAlign w:val="bottom"/>
          </w:tcPr>
          <w:p>
            <w:pPr>
              <w:spacing w:after="0"/>
              <w:rPr>
                <w:sz w:val="17"/>
                <w:szCs w:val="17"/>
                <w:color w:val="auto"/>
              </w:rPr>
            </w:pPr>
          </w:p>
        </w:tc>
        <w:tc>
          <w:tcPr>
            <w:tcW w:w="620" w:type="dxa"/>
            <w:vAlign w:val="bottom"/>
            <w:gridSpan w:val="4"/>
          </w:tcPr>
          <w:p>
            <w:pPr>
              <w:jc w:val="right"/>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Notes to the Condensed Consolidated Financial Statements - Unaudited</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FF"/>
            </w:tcBorders>
            <w:gridSpan w:val="2"/>
          </w:tcPr>
          <w:p>
            <w:pPr>
              <w:spacing w:after="0" w:line="205" w:lineRule="exact"/>
              <w:rPr>
                <w:rFonts w:ascii="Arial" w:cs="Arial" w:eastAsia="Arial" w:hAnsi="Arial"/>
                <w:sz w:val="18"/>
                <w:szCs w:val="18"/>
                <w:color w:val="0000FF"/>
                <w:w w:val="87"/>
              </w:rPr>
            </w:pPr>
            <w:hyperlink w:anchor="page22">
              <w:r>
                <w:rPr>
                  <w:rFonts w:ascii="Arial" w:cs="Arial" w:eastAsia="Arial" w:hAnsi="Arial"/>
                  <w:sz w:val="18"/>
                  <w:szCs w:val="18"/>
                  <w:color w:val="0000FF"/>
                  <w:w w:val="87"/>
                </w:rPr>
                <w:t>Item 2.</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20" w:type="dxa"/>
            <w:vAlign w:val="bottom"/>
            <w:tcBorders>
              <w:bottom w:val="single" w:sz="8" w:color="0000FF"/>
            </w:tcBorders>
            <w:gridSpan w:val="19"/>
          </w:tcPr>
          <w:p>
            <w:pPr>
              <w:spacing w:after="0" w:line="205"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 xml:space="preserve">Management's Discussion </w:t>
              </w:r>
            </w:hyperlink>
            <w:r>
              <w:rPr>
                <w:rFonts w:ascii="Arial" w:cs="Arial" w:eastAsia="Arial" w:hAnsi="Arial"/>
                <w:sz w:val="18"/>
                <w:szCs w:val="18"/>
                <w:color w:val="0000FF"/>
                <w:w w:val="89"/>
              </w:rPr>
              <w:t xml:space="preserve">and </w:t>
            </w:r>
            <w:hyperlink w:anchor="page22">
              <w:r>
                <w:rPr>
                  <w:rFonts w:ascii="Arial" w:cs="Arial" w:eastAsia="Arial" w:hAnsi="Arial"/>
                  <w:sz w:val="18"/>
                  <w:szCs w:val="18"/>
                  <w:color w:val="0000FF"/>
                  <w:w w:val="89"/>
                </w:rPr>
                <w:t xml:space="preserve">Analysis </w:t>
              </w:r>
            </w:hyperlink>
            <w:r>
              <w:rPr>
                <w:rFonts w:ascii="Arial" w:cs="Arial" w:eastAsia="Arial" w:hAnsi="Arial"/>
                <w:sz w:val="18"/>
                <w:szCs w:val="18"/>
                <w:color w:val="0000FF"/>
                <w:w w:val="89"/>
              </w:rPr>
              <w:t xml:space="preserve">of </w:t>
            </w:r>
            <w:hyperlink w:anchor="page22">
              <w:r>
                <w:rPr>
                  <w:rFonts w:ascii="Arial" w:cs="Arial" w:eastAsia="Arial" w:hAnsi="Arial"/>
                  <w:sz w:val="18"/>
                  <w:szCs w:val="18"/>
                  <w:color w:val="0000FF"/>
                  <w:w w:val="89"/>
                </w:rPr>
                <w:t xml:space="preserve">Financial Condition </w:t>
              </w:r>
            </w:hyperlink>
            <w:r>
              <w:rPr>
                <w:rFonts w:ascii="Arial" w:cs="Arial" w:eastAsia="Arial" w:hAnsi="Arial"/>
                <w:sz w:val="18"/>
                <w:szCs w:val="18"/>
                <w:color w:val="0000FF"/>
                <w:w w:val="89"/>
              </w:rPr>
              <w:t xml:space="preserve">and </w:t>
            </w:r>
            <w:hyperlink w:anchor="page22">
              <w:r>
                <w:rPr>
                  <w:rFonts w:ascii="Arial" w:cs="Arial" w:eastAsia="Arial" w:hAnsi="Arial"/>
                  <w:sz w:val="18"/>
                  <w:szCs w:val="18"/>
                  <w:color w:val="0000FF"/>
                  <w:w w:val="89"/>
                </w:rPr>
                <w:t xml:space="preserve">Results </w:t>
              </w:r>
            </w:hyperlink>
            <w:r>
              <w:rPr>
                <w:rFonts w:ascii="Arial" w:cs="Arial" w:eastAsia="Arial" w:hAnsi="Arial"/>
                <w:sz w:val="18"/>
                <w:szCs w:val="18"/>
                <w:color w:val="0000FF"/>
                <w:w w:val="89"/>
              </w:rPr>
              <w:t xml:space="preserve">of </w:t>
            </w:r>
            <w:hyperlink w:anchor="page22">
              <w:r>
                <w:rPr>
                  <w:rFonts w:ascii="Arial" w:cs="Arial" w:eastAsia="Arial" w:hAnsi="Arial"/>
                  <w:sz w:val="18"/>
                  <w:szCs w:val="18"/>
                  <w:color w:val="0000FF"/>
                  <w:w w:val="89"/>
                </w:rPr>
                <w:t>Operations</w:t>
              </w:r>
            </w:hyperlink>
          </w:p>
        </w:tc>
        <w:tc>
          <w:tcPr>
            <w:tcW w:w="276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22">
              <w:r>
                <w:rPr>
                  <w:rFonts w:ascii="Arial" w:cs="Arial" w:eastAsia="Arial" w:hAnsi="Arial"/>
                  <w:sz w:val="15"/>
                  <w:szCs w:val="15"/>
                  <w:color w:val="0000FF"/>
                  <w:w w:val="71"/>
                </w:rPr>
                <w:t>19</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FF"/>
            </w:tcBorders>
            <w:gridSpan w:val="2"/>
          </w:tcPr>
          <w:p>
            <w:pPr>
              <w:spacing w:after="0" w:line="205" w:lineRule="exact"/>
              <w:rPr>
                <w:rFonts w:ascii="Arial" w:cs="Arial" w:eastAsia="Arial" w:hAnsi="Arial"/>
                <w:sz w:val="18"/>
                <w:szCs w:val="18"/>
                <w:color w:val="0000FF"/>
                <w:w w:val="87"/>
              </w:rPr>
            </w:pPr>
            <w:hyperlink w:anchor="page40">
              <w:r>
                <w:rPr>
                  <w:rFonts w:ascii="Arial" w:cs="Arial" w:eastAsia="Arial" w:hAnsi="Arial"/>
                  <w:sz w:val="18"/>
                  <w:szCs w:val="18"/>
                  <w:color w:val="0000FF"/>
                  <w:w w:val="87"/>
                </w:rPr>
                <w:t>Item 3.</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80" w:type="dxa"/>
            <w:vAlign w:val="bottom"/>
            <w:tcBorders>
              <w:bottom w:val="single" w:sz="8" w:color="0000FF"/>
            </w:tcBorders>
            <w:gridSpan w:val="13"/>
          </w:tcPr>
          <w:p>
            <w:pPr>
              <w:spacing w:after="0" w:line="205" w:lineRule="exact"/>
              <w:rPr>
                <w:rFonts w:ascii="Arial" w:cs="Arial" w:eastAsia="Arial" w:hAnsi="Arial"/>
                <w:sz w:val="18"/>
                <w:szCs w:val="18"/>
                <w:color w:val="0000FF"/>
                <w:w w:val="90"/>
              </w:rPr>
            </w:pPr>
            <w:hyperlink w:anchor="page40">
              <w:r>
                <w:rPr>
                  <w:rFonts w:ascii="Arial" w:cs="Arial" w:eastAsia="Arial" w:hAnsi="Arial"/>
                  <w:sz w:val="18"/>
                  <w:szCs w:val="18"/>
                  <w:color w:val="0000FF"/>
                  <w:w w:val="90"/>
                </w:rPr>
                <w:t>Quantitative and Qualitative Disclosures About Market Risk</w:t>
              </w:r>
            </w:hyperlink>
          </w:p>
        </w:tc>
        <w:tc>
          <w:tcPr>
            <w:tcW w:w="480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40">
              <w:r>
                <w:rPr>
                  <w:rFonts w:ascii="Arial" w:cs="Arial" w:eastAsia="Arial" w:hAnsi="Arial"/>
                  <w:sz w:val="15"/>
                  <w:szCs w:val="15"/>
                  <w:color w:val="0000FF"/>
                  <w:w w:val="71"/>
                </w:rPr>
                <w:t>37</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FF"/>
            </w:tcBorders>
            <w:gridSpan w:val="2"/>
          </w:tcPr>
          <w:p>
            <w:pPr>
              <w:spacing w:after="0" w:line="205" w:lineRule="exact"/>
              <w:rPr>
                <w:rFonts w:ascii="Arial" w:cs="Arial" w:eastAsia="Arial" w:hAnsi="Arial"/>
                <w:sz w:val="18"/>
                <w:szCs w:val="18"/>
                <w:color w:val="0000FF"/>
                <w:w w:val="87"/>
              </w:rPr>
            </w:pPr>
            <w:hyperlink w:anchor="page41">
              <w:r>
                <w:rPr>
                  <w:rFonts w:ascii="Arial" w:cs="Arial" w:eastAsia="Arial" w:hAnsi="Arial"/>
                  <w:sz w:val="18"/>
                  <w:szCs w:val="18"/>
                  <w:color w:val="0000FF"/>
                  <w:w w:val="87"/>
                </w:rPr>
                <w:t>Item 4.</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Borders>
              <w:bottom w:val="single" w:sz="8" w:color="0000FF"/>
            </w:tcBorders>
            <w:gridSpan w:val="6"/>
          </w:tcPr>
          <w:p>
            <w:pPr>
              <w:spacing w:after="0" w:line="205" w:lineRule="exact"/>
              <w:rPr>
                <w:rFonts w:ascii="Arial" w:cs="Arial" w:eastAsia="Arial" w:hAnsi="Arial"/>
                <w:sz w:val="18"/>
                <w:szCs w:val="18"/>
                <w:color w:val="0000FF"/>
                <w:w w:val="86"/>
              </w:rPr>
            </w:pPr>
            <w:hyperlink w:anchor="page41">
              <w:r>
                <w:rPr>
                  <w:rFonts w:ascii="Arial" w:cs="Arial" w:eastAsia="Arial" w:hAnsi="Arial"/>
                  <w:sz w:val="18"/>
                  <w:szCs w:val="18"/>
                  <w:color w:val="0000FF"/>
                  <w:w w:val="86"/>
                </w:rPr>
                <w:t>Controls and Procedures</w:t>
              </w:r>
            </w:hyperlink>
          </w:p>
        </w:tc>
        <w:tc>
          <w:tcPr>
            <w:tcW w:w="734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41">
              <w:r>
                <w:rPr>
                  <w:rFonts w:ascii="Arial" w:cs="Arial" w:eastAsia="Arial" w:hAnsi="Arial"/>
                  <w:sz w:val="15"/>
                  <w:szCs w:val="15"/>
                  <w:color w:val="0000FF"/>
                  <w:w w:val="71"/>
                </w:rPr>
                <w:t>38</w:t>
              </w:r>
            </w:hyperlink>
          </w:p>
        </w:tc>
        <w:tc>
          <w:tcPr>
            <w:tcW w:w="0" w:type="dxa"/>
            <w:vAlign w:val="bottom"/>
          </w:tcPr>
          <w:p>
            <w:pPr>
              <w:spacing w:after="0"/>
              <w:rPr>
                <w:sz w:val="1"/>
                <w:szCs w:val="1"/>
                <w:color w:val="auto"/>
              </w:rPr>
            </w:pPr>
          </w:p>
        </w:tc>
      </w:tr>
      <w:tr>
        <w:trPr>
          <w:trHeight w:val="470"/>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Borders>
              <w:bottom w:val="single" w:sz="8" w:color="0000FF"/>
            </w:tcBorders>
            <w:gridSpan w:val="6"/>
          </w:tcPr>
          <w:p>
            <w:pPr>
              <w:jc w:val="center"/>
              <w:spacing w:after="0"/>
              <w:rPr>
                <w:rFonts w:ascii="Arial" w:cs="Arial" w:eastAsia="Arial" w:hAnsi="Arial"/>
                <w:sz w:val="18"/>
                <w:szCs w:val="18"/>
                <w:b w:val="1"/>
                <w:bCs w:val="1"/>
                <w:color w:val="0000FF"/>
                <w:w w:val="95"/>
              </w:rPr>
            </w:pPr>
            <w:hyperlink w:anchor="page42">
              <w:r>
                <w:rPr>
                  <w:rFonts w:ascii="Arial" w:cs="Arial" w:eastAsia="Arial" w:hAnsi="Arial"/>
                  <w:sz w:val="18"/>
                  <w:szCs w:val="18"/>
                  <w:b w:val="1"/>
                  <w:bCs w:val="1"/>
                  <w:color w:val="0000FF"/>
                  <w:w w:val="95"/>
                </w:rPr>
                <w:t>Part II. Other Information</w:t>
              </w:r>
            </w:hyperlink>
          </w:p>
        </w:tc>
        <w:tc>
          <w:tcPr>
            <w:tcW w:w="354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42">
              <w:r>
                <w:rPr>
                  <w:rFonts w:ascii="Arial" w:cs="Arial" w:eastAsia="Arial" w:hAnsi="Arial"/>
                  <w:sz w:val="15"/>
                  <w:szCs w:val="15"/>
                  <w:color w:val="0000FF"/>
                  <w:w w:val="71"/>
                </w:rPr>
                <w:t>39</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43">
              <w:r>
                <w:rPr>
                  <w:rFonts w:ascii="Arial" w:cs="Arial" w:eastAsia="Arial" w:hAnsi="Arial"/>
                  <w:sz w:val="18"/>
                  <w:szCs w:val="18"/>
                  <w:color w:val="0000FF"/>
                  <w:w w:val="87"/>
                </w:rPr>
                <w:t>Item 1.</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43">
              <w:r>
                <w:rPr>
                  <w:rFonts w:ascii="Arial" w:cs="Arial" w:eastAsia="Arial" w:hAnsi="Arial"/>
                  <w:sz w:val="18"/>
                  <w:szCs w:val="18"/>
                  <w:color w:val="0000FF"/>
                </w:rPr>
                <w:t>Legal Proceedings</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43">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320" w:type="dxa"/>
            <w:vAlign w:val="bottom"/>
            <w:gridSpan w:val="2"/>
            <w:vMerge w:val="restart"/>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1A.</w:t>
              </w:r>
            </w:hyperlink>
          </w:p>
        </w:tc>
        <w:tc>
          <w:tcPr>
            <w:tcW w:w="500" w:type="dxa"/>
            <w:vAlign w:val="bottom"/>
            <w:tcBorders>
              <w:top w:val="single" w:sz="8" w:color="0000FF"/>
            </w:tcBorders>
            <w:gridSpan w:val="2"/>
          </w:tcPr>
          <w:p>
            <w:pPr>
              <w:spacing w:after="0" w:line="205" w:lineRule="exact"/>
              <w:rPr>
                <w:rFonts w:ascii="Arial" w:cs="Arial" w:eastAsia="Arial" w:hAnsi="Arial"/>
                <w:sz w:val="18"/>
                <w:szCs w:val="18"/>
                <w:color w:val="0000FF"/>
              </w:rPr>
            </w:pPr>
            <w:hyperlink w:anchor="page43">
              <w:r>
                <w:rPr>
                  <w:rFonts w:ascii="Arial" w:cs="Arial" w:eastAsia="Arial" w:hAnsi="Arial"/>
                  <w:sz w:val="18"/>
                  <w:szCs w:val="18"/>
                  <w:color w:val="0000FF"/>
                </w:rPr>
                <w:t>Item</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0000FF"/>
            </w:tcBorders>
            <w:gridSpan w:val="5"/>
            <w:vMerge w:val="restart"/>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Risk Factors</w:t>
              </w:r>
            </w:hyperlink>
          </w:p>
        </w:tc>
        <w:tc>
          <w:tcPr>
            <w:tcW w:w="7780" w:type="dxa"/>
            <w:vAlign w:val="bottom"/>
            <w:gridSpan w:val="16"/>
            <w:vMerge w:val="restart"/>
          </w:tcPr>
          <w:p>
            <w:pPr>
              <w:spacing w:after="0"/>
              <w:rPr>
                <w:sz w:val="17"/>
                <w:szCs w:val="17"/>
                <w:color w:val="auto"/>
              </w:rPr>
            </w:pPr>
          </w:p>
        </w:tc>
        <w:tc>
          <w:tcPr>
            <w:tcW w:w="480" w:type="dxa"/>
            <w:vAlign w:val="bottom"/>
            <w:vMerge w:val="restart"/>
          </w:tcPr>
          <w:p>
            <w:pPr>
              <w:spacing w:after="0"/>
              <w:rPr>
                <w:sz w:val="17"/>
                <w:szCs w:val="17"/>
                <w:color w:val="auto"/>
              </w:rPr>
            </w:pPr>
          </w:p>
        </w:tc>
        <w:tc>
          <w:tcPr>
            <w:tcW w:w="140" w:type="dxa"/>
            <w:vAlign w:val="bottom"/>
            <w:tcBorders>
              <w:top w:val="single" w:sz="8" w:color="0000FF"/>
            </w:tcBorders>
            <w:gridSpan w:val="3"/>
            <w:vMerge w:val="restart"/>
          </w:tcPr>
          <w:p>
            <w:pPr>
              <w:jc w:val="right"/>
              <w:spacing w:after="0"/>
              <w:rPr>
                <w:rFonts w:ascii="Arial" w:cs="Arial" w:eastAsia="Arial" w:hAnsi="Arial"/>
                <w:sz w:val="15"/>
                <w:szCs w:val="15"/>
                <w:color w:val="0000FF"/>
                <w:w w:val="71"/>
              </w:rPr>
            </w:pPr>
            <w:hyperlink w:anchor="page43">
              <w:r>
                <w:rPr>
                  <w:rFonts w:ascii="Arial" w:cs="Arial" w:eastAsia="Arial" w:hAnsi="Arial"/>
                  <w:sz w:val="15"/>
                  <w:szCs w:val="15"/>
                  <w:color w:val="0000FF"/>
                  <w:w w:val="71"/>
                </w:rPr>
                <w:t>40</w:t>
              </w:r>
            </w:hyperlink>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Borders>
              <w:top w:val="single" w:sz="8" w:color="0000FF"/>
            </w:tcBorders>
            <w:gridSpan w:val="5"/>
            <w:vMerge w:val="continue"/>
          </w:tcPr>
          <w:p>
            <w:pPr>
              <w:spacing w:after="0"/>
              <w:rPr>
                <w:sz w:val="13"/>
                <w:szCs w:val="13"/>
                <w:color w:val="auto"/>
              </w:rPr>
            </w:pPr>
          </w:p>
        </w:tc>
        <w:tc>
          <w:tcPr>
            <w:tcW w:w="7780" w:type="dxa"/>
            <w:vAlign w:val="bottom"/>
            <w:gridSpan w:val="16"/>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Borders>
              <w:top w:val="single" w:sz="8" w:color="0000FF"/>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44">
              <w:r>
                <w:rPr>
                  <w:rFonts w:ascii="Arial" w:cs="Arial" w:eastAsia="Arial" w:hAnsi="Arial"/>
                  <w:sz w:val="18"/>
                  <w:szCs w:val="18"/>
                  <w:color w:val="0000FF"/>
                  <w:w w:val="87"/>
                </w:rPr>
                <w:t>Item 2.</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44">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FF"/>
            </w:tcBorders>
            <w:gridSpan w:val="2"/>
          </w:tcPr>
          <w:p>
            <w:pPr>
              <w:spacing w:after="0" w:line="205" w:lineRule="exact"/>
              <w:rPr>
                <w:rFonts w:ascii="Arial" w:cs="Arial" w:eastAsia="Arial" w:hAnsi="Arial"/>
                <w:sz w:val="18"/>
                <w:szCs w:val="18"/>
                <w:color w:val="0000FF"/>
                <w:w w:val="87"/>
              </w:rPr>
            </w:pPr>
            <w:hyperlink w:anchor="page46">
              <w:r>
                <w:rPr>
                  <w:rFonts w:ascii="Arial" w:cs="Arial" w:eastAsia="Arial" w:hAnsi="Arial"/>
                  <w:sz w:val="18"/>
                  <w:szCs w:val="18"/>
                  <w:color w:val="0000FF"/>
                  <w:w w:val="87"/>
                </w:rPr>
                <w:t>Item 3.</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60" w:type="dxa"/>
            <w:vAlign w:val="bottom"/>
            <w:tcBorders>
              <w:top w:val="single" w:sz="8" w:color="0000FF"/>
            </w:tcBorders>
            <w:gridSpan w:val="12"/>
          </w:tcPr>
          <w:p>
            <w:pPr>
              <w:spacing w:after="0" w:line="205" w:lineRule="exact"/>
              <w:rPr>
                <w:rFonts w:ascii="Arial" w:cs="Arial" w:eastAsia="Arial" w:hAnsi="Arial"/>
                <w:sz w:val="18"/>
                <w:szCs w:val="18"/>
                <w:color w:val="0000FF"/>
              </w:rPr>
            </w:pPr>
            <w:hyperlink w:anchor="page46">
              <w:r>
                <w:rPr>
                  <w:rFonts w:ascii="Arial" w:cs="Arial" w:eastAsia="Arial" w:hAnsi="Arial"/>
                  <w:sz w:val="18"/>
                  <w:szCs w:val="18"/>
                  <w:color w:val="0000FF"/>
                </w:rPr>
                <w:t>Defaults Upon Senior Securities</w:t>
              </w:r>
            </w:hyperlink>
          </w:p>
        </w:tc>
        <w:tc>
          <w:tcPr>
            <w:tcW w:w="482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tcBorders>
            <w:gridSpan w:val="3"/>
          </w:tcPr>
          <w:p>
            <w:pPr>
              <w:jc w:val="right"/>
              <w:spacing w:after="0"/>
              <w:rPr>
                <w:rFonts w:ascii="Arial" w:cs="Arial" w:eastAsia="Arial" w:hAnsi="Arial"/>
                <w:sz w:val="15"/>
                <w:szCs w:val="15"/>
                <w:color w:val="0000FF"/>
                <w:w w:val="71"/>
              </w:rPr>
            </w:pPr>
            <w:hyperlink w:anchor="page46">
              <w:r>
                <w:rPr>
                  <w:rFonts w:ascii="Arial" w:cs="Arial" w:eastAsia="Arial" w:hAnsi="Arial"/>
                  <w:sz w:val="15"/>
                  <w:szCs w:val="15"/>
                  <w:color w:val="0000FF"/>
                  <w:w w:val="71"/>
                </w:rPr>
                <w:t>43</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color w:val="0000FF"/>
                <w:w w:val="87"/>
              </w:rPr>
            </w:pPr>
            <w:hyperlink w:anchor="page47">
              <w:r>
                <w:rPr>
                  <w:rFonts w:ascii="Arial" w:cs="Arial" w:eastAsia="Arial" w:hAnsi="Arial"/>
                  <w:sz w:val="18"/>
                  <w:szCs w:val="18"/>
                  <w:color w:val="0000FF"/>
                  <w:w w:val="87"/>
                </w:rPr>
                <w:t>Item 4.</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Borders>
              <w:top w:val="single" w:sz="8" w:color="0000FF"/>
              <w:bottom w:val="single" w:sz="8" w:color="0000FF"/>
            </w:tcBorders>
            <w:gridSpan w:val="6"/>
          </w:tcPr>
          <w:p>
            <w:pPr>
              <w:spacing w:after="0" w:line="205"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Mine Safety Disclosures</w:t>
              </w:r>
            </w:hyperlink>
          </w:p>
        </w:tc>
        <w:tc>
          <w:tcPr>
            <w:tcW w:w="540" w:type="dxa"/>
            <w:vAlign w:val="bottom"/>
            <w:tcBorders>
              <w:top w:val="single" w:sz="8" w:color="0000FF"/>
            </w:tcBorders>
          </w:tcPr>
          <w:p>
            <w:pPr>
              <w:spacing w:after="0"/>
              <w:rPr>
                <w:sz w:val="17"/>
                <w:szCs w:val="17"/>
                <w:color w:val="auto"/>
              </w:rPr>
            </w:pPr>
          </w:p>
        </w:tc>
        <w:tc>
          <w:tcPr>
            <w:tcW w:w="680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bottom w:val="single" w:sz="8" w:color="0000FF"/>
            </w:tcBorders>
            <w:gridSpan w:val="3"/>
          </w:tcPr>
          <w:p>
            <w:pPr>
              <w:jc w:val="right"/>
              <w:spacing w:after="0"/>
              <w:rPr>
                <w:rFonts w:ascii="Arial" w:cs="Arial" w:eastAsia="Arial" w:hAnsi="Arial"/>
                <w:sz w:val="15"/>
                <w:szCs w:val="15"/>
                <w:color w:val="0000FF"/>
                <w:w w:val="71"/>
              </w:rPr>
            </w:pPr>
            <w:hyperlink w:anchor="page47">
              <w:r>
                <w:rPr>
                  <w:rFonts w:ascii="Arial" w:cs="Arial" w:eastAsia="Arial" w:hAnsi="Arial"/>
                  <w:sz w:val="15"/>
                  <w:szCs w:val="15"/>
                  <w:color w:val="0000FF"/>
                  <w:w w:val="71"/>
                </w:rPr>
                <w:t>44</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48">
              <w:r>
                <w:rPr>
                  <w:rFonts w:ascii="Arial" w:cs="Arial" w:eastAsia="Arial" w:hAnsi="Arial"/>
                  <w:sz w:val="18"/>
                  <w:szCs w:val="18"/>
                  <w:color w:val="0000FF"/>
                  <w:w w:val="87"/>
                </w:rPr>
                <w:t>Item 5.</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48">
              <w:r>
                <w:rPr>
                  <w:rFonts w:ascii="Arial" w:cs="Arial" w:eastAsia="Arial" w:hAnsi="Arial"/>
                  <w:sz w:val="18"/>
                  <w:szCs w:val="18"/>
                  <w:color w:val="0000FF"/>
                </w:rPr>
                <w:t>Other Information</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FF"/>
            </w:tcBorders>
            <w:gridSpan w:val="2"/>
          </w:tcPr>
          <w:p>
            <w:pPr>
              <w:spacing w:after="0" w:line="205" w:lineRule="exact"/>
              <w:rPr>
                <w:rFonts w:ascii="Arial" w:cs="Arial" w:eastAsia="Arial" w:hAnsi="Arial"/>
                <w:sz w:val="18"/>
                <w:szCs w:val="18"/>
                <w:color w:val="0000FF"/>
                <w:w w:val="87"/>
              </w:rPr>
            </w:pPr>
            <w:hyperlink w:anchor="page49">
              <w:r>
                <w:rPr>
                  <w:rFonts w:ascii="Arial" w:cs="Arial" w:eastAsia="Arial" w:hAnsi="Arial"/>
                  <w:sz w:val="18"/>
                  <w:szCs w:val="18"/>
                  <w:color w:val="0000FF"/>
                  <w:w w:val="87"/>
                </w:rPr>
                <w:t>Item 6.</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Borders>
              <w:top w:val="single" w:sz="8" w:color="0000FF"/>
            </w:tcBorders>
            <w:gridSpan w:val="4"/>
          </w:tcPr>
          <w:p>
            <w:pPr>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Exhibits</w:t>
              </w:r>
            </w:hyperlink>
          </w:p>
        </w:tc>
        <w:tc>
          <w:tcPr>
            <w:tcW w:w="7800" w:type="dxa"/>
            <w:vAlign w:val="bottom"/>
            <w:gridSpan w:val="17"/>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tcBorders>
            <w:gridSpan w:val="3"/>
          </w:tcPr>
          <w:p>
            <w:pPr>
              <w:jc w:val="right"/>
              <w:spacing w:after="0"/>
              <w:rPr>
                <w:rFonts w:ascii="Arial" w:cs="Arial" w:eastAsia="Arial" w:hAnsi="Arial"/>
                <w:sz w:val="15"/>
                <w:szCs w:val="15"/>
                <w:color w:val="0000FF"/>
                <w:w w:val="71"/>
              </w:rPr>
            </w:pPr>
            <w:hyperlink w:anchor="page49">
              <w:r>
                <w:rPr>
                  <w:rFonts w:ascii="Arial" w:cs="Arial" w:eastAsia="Arial" w:hAnsi="Arial"/>
                  <w:sz w:val="15"/>
                  <w:szCs w:val="15"/>
                  <w:color w:val="0000FF"/>
                  <w:w w:val="71"/>
                </w:rPr>
                <w:t>46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40" w:type="dxa"/>
            <w:vAlign w:val="bottom"/>
            <w:gridSpan w:val="1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51">
              <w:r>
                <w:rPr>
                  <w:rFonts w:ascii="Arial" w:cs="Arial" w:eastAsia="Arial" w:hAnsi="Arial"/>
                  <w:sz w:val="18"/>
                  <w:szCs w:val="18"/>
                  <w:color w:val="0000FF"/>
                </w:rPr>
                <w:t>Signatures</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1656"/>
        </w:trPr>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 w:name="page3"/>
    <w:bookmarkEnd w:id="2"/>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0"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8"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existing customers, acquire new customers and expand our customer reach;</w:t>
      </w:r>
    </w:p>
    <w:p>
      <w:pPr>
        <w:spacing w:after="0" w:line="164" w:lineRule="exact"/>
        <w:rPr>
          <w:rFonts w:ascii="Arial" w:cs="Arial" w:eastAsia="Arial" w:hAnsi="Arial"/>
          <w:sz w:val="18"/>
          <w:szCs w:val="18"/>
          <w:color w:val="auto"/>
        </w:rPr>
      </w:pPr>
    </w:p>
    <w:p>
      <w:pPr>
        <w:ind w:left="640" w:right="40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future financial performance, including total revenue, gross profit/(loss), adjusted gross profit/(loss), direct contribution, direct loss ratio, marketing costs, direct loss adjustment expense, or LAE, ratio, quota share levels and expansion of our renewal premium base;</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financial performance;</w:t>
      </w:r>
    </w:p>
    <w:p>
      <w:pPr>
        <w:spacing w:after="0" w:line="164" w:lineRule="exact"/>
        <w:rPr>
          <w:rFonts w:ascii="Arial" w:cs="Arial" w:eastAsia="Arial" w:hAnsi="Arial"/>
          <w:sz w:val="18"/>
          <w:szCs w:val="18"/>
          <w:color w:val="auto"/>
        </w:rPr>
      </w:pPr>
    </w:p>
    <w:p>
      <w:pPr>
        <w:ind w:left="640" w:right="1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goal to be licensed in all states in the United States and the timing of obtaining additional licenses and launching in new states, including into Washington State by the end of the year;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and efficiency of our telematics and behavioral data, and our ability to gather and leverage additional data;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materially improve retention rates and our ability to realize benefits from retaining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underwrite risks accurately and charge profitable rates;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business model and improve our capital and marketing efficiency;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drive improved conversion and decrease the cost of customer acquisition;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enhance our brand and reputation;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the growth of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improve our product offerings, introduce new products and expand into additional insurance lines;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cross sell our products and attain greater value from each customer;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lack of operating history and ability to attain profitability;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in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performance of the markets in which we operate;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a “capital-light” business and obtain and maintain reinsurance contracts;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economies of scale;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our distribution channels through additional partnership relationships, digital media and referrals;</w:t>
      </w:r>
    </w:p>
    <w:p>
      <w:pPr>
        <w:spacing w:after="0" w:line="16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the features discussed herein, reduce customer acquisition costs, and realize other expected benefits related to the Carvana partnership;</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secure regulatory approval and close the Carvana agreement within the expected timeframe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974090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3" w:name="page4"/>
    <w:bookmarkEnd w:id="3"/>
    <w:p>
      <w:pPr>
        <w:spacing w:after="0" w:line="119"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any costs associated therewith;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expand domestically and internationally;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build an embedded insurance offering;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drive a significant long-term competitive advantage through our partnership with Carvana;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deliver a vertically integrated customer experience;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products that utilize our telematics to drive better customer satisfaction and retention;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 autonomous claims experience;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take rate action early and react to changing environments;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additional capital on commercially acceptable terms or at all;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risk-based capital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 that currently apply or become applicable to our business;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35"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Unless the context otherwise indicates, references in this report to the terms “Root,” “the Company,” “we,” “our” and “us” refer to Root, Inc. and its subsidiaries.</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956310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9"/>
        </w:trPr>
        <w:tc>
          <w:tcPr>
            <w:tcW w:w="8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4"/>
          </w:tcPr>
          <w:p>
            <w:pPr>
              <w:jc w:val="right"/>
              <w:ind w:right="537"/>
              <w:spacing w:after="0"/>
              <w:rPr>
                <w:sz w:val="20"/>
                <w:szCs w:val="20"/>
                <w:color w:val="auto"/>
              </w:rPr>
            </w:pPr>
            <w:r>
              <w:rPr>
                <w:rFonts w:ascii="Arial" w:cs="Arial" w:eastAsia="Arial" w:hAnsi="Arial"/>
                <w:sz w:val="14"/>
                <w:szCs w:val="14"/>
                <w:b w:val="1"/>
                <w:bCs w:val="1"/>
                <w:color w:val="auto"/>
              </w:rPr>
              <w:t>(in millions, except par value )</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Investments: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shd w:val="clear" w:color="auto" w:fill="CCEEFF"/>
          </w:tcPr>
          <w:p>
            <w:pPr>
              <w:ind w:left="240"/>
              <w:spacing w:after="0" w:line="159" w:lineRule="exact"/>
              <w:rPr>
                <w:sz w:val="20"/>
                <w:szCs w:val="20"/>
                <w:color w:val="auto"/>
              </w:rPr>
            </w:pPr>
            <w:r>
              <w:rPr>
                <w:rFonts w:ascii="Arial" w:cs="Arial" w:eastAsia="Arial" w:hAnsi="Arial"/>
                <w:sz w:val="17"/>
                <w:szCs w:val="17"/>
                <w:color w:val="auto"/>
              </w:rPr>
              <w:t>Fixed maturities available-for sale, at fair value (amortized cost: $132.3 and $215.4 at June 30, 2021 and</w:t>
            </w:r>
          </w:p>
        </w:tc>
        <w:tc>
          <w:tcPr>
            <w:tcW w:w="300" w:type="dxa"/>
            <w:vAlign w:val="bottom"/>
            <w:vMerge w:val="restart"/>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134.4</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221.0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December 31, 2020, respectively)</w:t>
            </w:r>
          </w:p>
        </w:tc>
        <w:tc>
          <w:tcPr>
            <w:tcW w:w="3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240"/>
              <w:spacing w:after="0"/>
              <w:rPr>
                <w:sz w:val="20"/>
                <w:szCs w:val="20"/>
                <w:color w:val="auto"/>
              </w:rPr>
            </w:pPr>
            <w:r>
              <w:rPr>
                <w:rFonts w:ascii="Arial" w:cs="Arial" w:eastAsia="Arial" w:hAnsi="Arial"/>
                <w:sz w:val="17"/>
                <w:szCs w:val="17"/>
                <w:color w:val="auto"/>
                <w:w w:val="94"/>
              </w:rPr>
              <w:t>Short-term investments (amortized cost: $0.3 and $3.0 at June 30, 2021 and December 31, 2020, respectively)</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investments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5"/>
        </w:trPr>
        <w:tc>
          <w:tcPr>
            <w:tcW w:w="8160" w:type="dxa"/>
            <w:vAlign w:val="bottom"/>
          </w:tcPr>
          <w:p>
            <w:pPr>
              <w:ind w:left="340"/>
              <w:spacing w:after="0"/>
              <w:rPr>
                <w:sz w:val="20"/>
                <w:szCs w:val="20"/>
                <w:color w:val="auto"/>
              </w:rPr>
            </w:pPr>
            <w:r>
              <w:rPr>
                <w:rFonts w:ascii="Arial" w:cs="Arial" w:eastAsia="Arial" w:hAnsi="Arial"/>
                <w:sz w:val="17"/>
                <w:szCs w:val="17"/>
                <w:color w:val="auto"/>
              </w:rPr>
              <w:t>Total investments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224.5</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1,112.8</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Restricted cash</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5"/>
              </w:rPr>
              <w:t>Premiums receivable, net of allowance of $3.2 and $3.5 at June 30, 2021 and December 31, 2020, respectively</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Reinsurance recoverable</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124.8</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Prepaid reinsurance premiums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w:t>
            </w:r>
          </w:p>
        </w:tc>
        <w:tc>
          <w:tcPr>
            <w:tcW w:w="0" w:type="dxa"/>
            <w:vAlign w:val="bottom"/>
          </w:tcPr>
          <w:p>
            <w:pPr>
              <w:spacing w:after="0"/>
              <w:rPr>
                <w:sz w:val="1"/>
                <w:szCs w:val="1"/>
                <w:color w:val="auto"/>
              </w:rPr>
            </w:pPr>
          </w:p>
        </w:tc>
      </w:tr>
      <w:tr>
        <w:trPr>
          <w:trHeight w:val="212"/>
        </w:trPr>
        <w:tc>
          <w:tcPr>
            <w:tcW w:w="81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assets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1,587.7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1,762.3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1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Loss and loss adjustment expense reserves</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272.5</w:t>
            </w:r>
          </w:p>
        </w:tc>
        <w:tc>
          <w:tcPr>
            <w:tcW w:w="8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237.2</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Unearned premiums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Long-term debt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188.2</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Reinsurance premiums payable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Accounts payable and accrued expenses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5"/>
        </w:trPr>
        <w:tc>
          <w:tcPr>
            <w:tcW w:w="8160" w:type="dxa"/>
            <w:vAlign w:val="bottom"/>
          </w:tcPr>
          <w:p>
            <w:pPr>
              <w:ind w:left="240"/>
              <w:spacing w:after="0"/>
              <w:rPr>
                <w:sz w:val="20"/>
                <w:szCs w:val="20"/>
                <w:color w:val="auto"/>
              </w:rPr>
            </w:pPr>
            <w:r>
              <w:rPr>
                <w:rFonts w:ascii="Arial" w:cs="Arial" w:eastAsia="Arial" w:hAnsi="Arial"/>
                <w:sz w:val="17"/>
                <w:szCs w:val="17"/>
                <w:color w:val="auto"/>
              </w:rPr>
              <w:t>Total liabilities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825.7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729.9</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10)</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shd w:val="clear" w:color="auto" w:fill="CCEEFF"/>
          </w:tcPr>
          <w:p>
            <w:pPr>
              <w:ind w:left="120"/>
              <w:spacing w:after="0" w:line="159" w:lineRule="exact"/>
              <w:rPr>
                <w:sz w:val="20"/>
                <w:szCs w:val="20"/>
                <w:color w:val="auto"/>
              </w:rPr>
            </w:pPr>
            <w:r>
              <w:rPr>
                <w:rFonts w:ascii="Arial" w:cs="Arial" w:eastAsia="Arial" w:hAnsi="Arial"/>
                <w:sz w:val="17"/>
                <w:szCs w:val="17"/>
                <w:color w:val="auto"/>
                <w:w w:val="89"/>
              </w:rPr>
              <w:t>Preferred stock, $0.0001 par value, 100.0 shares authorized, zero shares issued and outstanding at June 30, 2021 and</w:t>
            </w:r>
          </w:p>
        </w:tc>
        <w:tc>
          <w:tcPr>
            <w:tcW w:w="30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December 31, 2020, respectively</w:t>
            </w:r>
          </w:p>
        </w:tc>
        <w:tc>
          <w:tcPr>
            <w:tcW w:w="30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tcPr>
          <w:p>
            <w:pPr>
              <w:ind w:left="120"/>
              <w:spacing w:after="0" w:line="159" w:lineRule="exact"/>
              <w:rPr>
                <w:sz w:val="20"/>
                <w:szCs w:val="20"/>
                <w:color w:val="auto"/>
              </w:rPr>
            </w:pPr>
            <w:r>
              <w:rPr>
                <w:rFonts w:ascii="Arial" w:cs="Arial" w:eastAsia="Arial" w:hAnsi="Arial"/>
                <w:sz w:val="17"/>
                <w:szCs w:val="17"/>
                <w:color w:val="auto"/>
                <w:w w:val="88"/>
              </w:rPr>
              <w:t>Class A common stock, $0.0001 par value, 1,000.0 shares authorized, 114.0 and 59.4 shares issued and outstanding at</w:t>
            </w:r>
          </w:p>
        </w:tc>
        <w:tc>
          <w:tcPr>
            <w:tcW w:w="30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160" w:type="dxa"/>
            <w:vAlign w:val="bottom"/>
          </w:tcPr>
          <w:p>
            <w:pPr>
              <w:ind w:left="280"/>
              <w:spacing w:after="0"/>
              <w:rPr>
                <w:sz w:val="20"/>
                <w:szCs w:val="20"/>
                <w:color w:val="auto"/>
              </w:rPr>
            </w:pPr>
            <w:r>
              <w:rPr>
                <w:rFonts w:ascii="Arial" w:cs="Arial" w:eastAsia="Arial" w:hAnsi="Arial"/>
                <w:sz w:val="17"/>
                <w:szCs w:val="17"/>
                <w:color w:val="auto"/>
              </w:rPr>
              <w:t>June 30, 2021 and December 31, 2020, respectively</w:t>
            </w:r>
          </w:p>
        </w:tc>
        <w:tc>
          <w:tcPr>
            <w:tcW w:w="3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shd w:val="clear" w:color="auto" w:fill="CCEEFF"/>
          </w:tcPr>
          <w:p>
            <w:pPr>
              <w:ind w:left="120"/>
              <w:spacing w:after="0" w:line="159" w:lineRule="exact"/>
              <w:rPr>
                <w:sz w:val="20"/>
                <w:szCs w:val="20"/>
                <w:color w:val="auto"/>
              </w:rPr>
            </w:pPr>
            <w:r>
              <w:rPr>
                <w:rFonts w:ascii="Arial" w:cs="Arial" w:eastAsia="Arial" w:hAnsi="Arial"/>
                <w:sz w:val="17"/>
                <w:szCs w:val="17"/>
                <w:color w:val="auto"/>
                <w:w w:val="89"/>
              </w:rPr>
              <w:t>Class B common stock, $0.0001 par value, 269.0 shares authorized, 139.7 and 192.2 shares issued and outstanding at</w:t>
            </w:r>
          </w:p>
        </w:tc>
        <w:tc>
          <w:tcPr>
            <w:tcW w:w="30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June 30, 2021 and December 31, 2020, respectively</w:t>
            </w:r>
          </w:p>
        </w:tc>
        <w:tc>
          <w:tcPr>
            <w:tcW w:w="30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Treasury stock, at cost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Additional paid-in capital</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1,775.6</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Accumulated other comprehensive income</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Accumulated loss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(1,026.2)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(748.0)</w:t>
            </w:r>
          </w:p>
        </w:tc>
        <w:tc>
          <w:tcPr>
            <w:tcW w:w="0" w:type="dxa"/>
            <w:vAlign w:val="bottom"/>
          </w:tcPr>
          <w:p>
            <w:pPr>
              <w:spacing w:after="0"/>
              <w:rPr>
                <w:sz w:val="1"/>
                <w:szCs w:val="1"/>
                <w:color w:val="auto"/>
              </w:rPr>
            </w:pPr>
          </w:p>
        </w:tc>
      </w:tr>
      <w:tr>
        <w:trPr>
          <w:trHeight w:val="205"/>
        </w:trPr>
        <w:tc>
          <w:tcPr>
            <w:tcW w:w="81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Total stockholders’ equity</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762.0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1,032.4</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liabilities and stockholders’ equity</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1,587.7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1,762.3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 Unaudited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 w:name="page6"/>
    <w:bookmarkEnd w:id="5"/>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042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215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83"/>
        </w:trPr>
        <w:tc>
          <w:tcPr>
            <w:tcW w:w="57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tcPr>
          <w:p>
            <w:pPr>
              <w:ind w:left="120"/>
              <w:spacing w:after="0"/>
              <w:rPr>
                <w:sz w:val="20"/>
                <w:szCs w:val="20"/>
                <w:color w:val="auto"/>
              </w:rPr>
            </w:pPr>
            <w:r>
              <w:rPr>
                <w:rFonts w:ascii="Arial" w:cs="Arial" w:eastAsia="Arial" w:hAnsi="Arial"/>
                <w:sz w:val="18"/>
                <w:szCs w:val="18"/>
                <w:color w:val="auto"/>
              </w:rPr>
              <w:t>Net premiums earned</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140.3</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26"/>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5"/>
        </w:trPr>
        <w:tc>
          <w:tcPr>
            <w:tcW w:w="5780" w:type="dxa"/>
            <w:vAlign w:val="bottom"/>
          </w:tcPr>
          <w:p>
            <w:pPr>
              <w:ind w:left="120"/>
              <w:spacing w:after="0"/>
              <w:rPr>
                <w:sz w:val="20"/>
                <w:szCs w:val="20"/>
                <w:color w:val="auto"/>
              </w:rPr>
            </w:pPr>
            <w:r>
              <w:rPr>
                <w:rFonts w:ascii="Arial" w:cs="Arial" w:eastAsia="Arial" w:hAnsi="Arial"/>
                <w:sz w:val="18"/>
                <w:szCs w:val="18"/>
                <w:color w:val="auto"/>
              </w:rPr>
              <w:t>Net realized gains on investments</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6"/>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Fee and other income</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8"/>
        </w:trPr>
        <w:tc>
          <w:tcPr>
            <w:tcW w:w="578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2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tcPr>
          <w:p>
            <w:pPr>
              <w:ind w:left="120"/>
              <w:spacing w:after="0"/>
              <w:rPr>
                <w:sz w:val="20"/>
                <w:szCs w:val="20"/>
                <w:color w:val="auto"/>
              </w:rPr>
            </w:pPr>
            <w:r>
              <w:rPr>
                <w:rFonts w:ascii="Arial" w:cs="Arial" w:eastAsia="Arial" w:hAnsi="Arial"/>
                <w:sz w:val="18"/>
                <w:szCs w:val="18"/>
                <w:color w:val="auto"/>
              </w:rPr>
              <w:t>Loss and loss adjustment expenses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26"/>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5"/>
        </w:trPr>
        <w:tc>
          <w:tcPr>
            <w:tcW w:w="5780" w:type="dxa"/>
            <w:vAlign w:val="bottom"/>
          </w:tcPr>
          <w:p>
            <w:pPr>
              <w:ind w:left="120"/>
              <w:spacing w:after="0"/>
              <w:rPr>
                <w:sz w:val="20"/>
                <w:szCs w:val="20"/>
                <w:color w:val="auto"/>
              </w:rPr>
            </w:pPr>
            <w:r>
              <w:rPr>
                <w:rFonts w:ascii="Arial" w:cs="Arial" w:eastAsia="Arial" w:hAnsi="Arial"/>
                <w:sz w:val="18"/>
                <w:szCs w:val="18"/>
                <w:color w:val="auto"/>
              </w:rPr>
              <w:t>Other insurance (benefit) expense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6"/>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and development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18"/>
        </w:trPr>
        <w:tc>
          <w:tcPr>
            <w:tcW w:w="57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2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8"/>
        </w:trPr>
        <w:tc>
          <w:tcPr>
            <w:tcW w:w="578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2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780" w:type="dxa"/>
            <w:vAlign w:val="bottom"/>
          </w:tcPr>
          <w:p>
            <w:pPr>
              <w:ind w:left="120"/>
              <w:spacing w:after="0"/>
              <w:rPr>
                <w:sz w:val="20"/>
                <w:szCs w:val="20"/>
                <w:color w:val="auto"/>
              </w:rPr>
            </w:pPr>
            <w:r>
              <w:rPr>
                <w:rFonts w:ascii="Arial" w:cs="Arial" w:eastAsia="Arial" w:hAnsi="Arial"/>
                <w:sz w:val="18"/>
                <w:szCs w:val="18"/>
                <w:color w:val="auto"/>
              </w:rPr>
              <w:t>Changes in net unrealized gains (losses) on investments</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4"/>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per common share: basic and diluted (both Class A and B)</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780" w:type="dxa"/>
            <w:vAlign w:val="bottom"/>
            <w:vMerge w:val="continue"/>
          </w:tcPr>
          <w:p>
            <w:pPr>
              <w:spacing w:after="0"/>
              <w:rPr>
                <w:sz w:val="17"/>
                <w:szCs w:val="17"/>
                <w:color w:val="auto"/>
              </w:rPr>
            </w:pPr>
          </w:p>
        </w:tc>
        <w:tc>
          <w:tcPr>
            <w:tcW w:w="260" w:type="dxa"/>
            <w:vAlign w:val="bottom"/>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8" w:lineRule="exact"/>
              <w:rPr>
                <w:sz w:val="20"/>
                <w:szCs w:val="20"/>
                <w:color w:val="auto"/>
              </w:rPr>
            </w:pPr>
            <w:r>
              <w:rPr>
                <w:rFonts w:ascii="Arial" w:cs="Arial" w:eastAsia="Arial" w:hAnsi="Arial"/>
                <w:sz w:val="18"/>
                <w:szCs w:val="18"/>
                <w:color w:val="auto"/>
              </w:rPr>
              <w:t>(0.72)</w:t>
            </w:r>
          </w:p>
        </w:tc>
        <w:tc>
          <w:tcPr>
            <w:tcW w:w="10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8"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7"/>
                <w:szCs w:val="17"/>
                <w:color w:val="auto"/>
              </w:rPr>
            </w:pPr>
          </w:p>
        </w:tc>
        <w:tc>
          <w:tcPr>
            <w:tcW w:w="280" w:type="dxa"/>
            <w:vAlign w:val="bottom"/>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8" w:lineRule="exact"/>
              <w:rPr>
                <w:sz w:val="20"/>
                <w:szCs w:val="20"/>
                <w:color w:val="auto"/>
              </w:rPr>
            </w:pPr>
            <w:r>
              <w:rPr>
                <w:rFonts w:ascii="Arial" w:cs="Arial" w:eastAsia="Arial" w:hAnsi="Arial"/>
                <w:sz w:val="18"/>
                <w:szCs w:val="18"/>
                <w:color w:val="auto"/>
              </w:rPr>
              <w:t>(1.12)</w:t>
            </w:r>
          </w:p>
        </w:tc>
        <w:tc>
          <w:tcPr>
            <w:tcW w:w="80" w:type="dxa"/>
            <w:vAlign w:val="bottom"/>
          </w:tcPr>
          <w:p>
            <w:pPr>
              <w:spacing w:after="0"/>
              <w:rPr>
                <w:sz w:val="17"/>
                <w:szCs w:val="17"/>
                <w:color w:val="auto"/>
              </w:rPr>
            </w:pPr>
          </w:p>
        </w:tc>
        <w:tc>
          <w:tcPr>
            <w:tcW w:w="300" w:type="dxa"/>
            <w:vAlign w:val="bottom"/>
          </w:tcPr>
          <w:p>
            <w:pPr>
              <w:jc w:val="right"/>
              <w:ind w:right="92"/>
              <w:spacing w:after="0" w:line="198"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8" w:lineRule="exact"/>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174"/>
        </w:trPr>
        <w:tc>
          <w:tcPr>
            <w:tcW w:w="5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Weighted-average common shares outstanding: basic and diluted (both Class A</w:t>
            </w: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4"/>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B)</w:t>
            </w:r>
          </w:p>
        </w:tc>
        <w:tc>
          <w:tcPr>
            <w:tcW w:w="2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the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6" w:name="page7"/>
    <w:bookmarkEnd w:id="6"/>
    <w:p>
      <w:pPr>
        <w:spacing w:after="0" w:line="15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ROOT, INC. AND SUBSIDIARIES</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Arial" w:cs="Arial" w:eastAsia="Arial" w:hAnsi="Arial"/>
          <w:sz w:val="18"/>
          <w:szCs w:val="18"/>
          <w:b w:val="1"/>
          <w:bCs w:val="1"/>
          <w:color w:val="auto"/>
        </w:rPr>
        <w:t>EQUITY (DEFICIT)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5"/>
          </w:tcPr>
          <w:p>
            <w:pPr>
              <w:jc w:val="center"/>
              <w:ind w:left="151"/>
              <w:spacing w:after="0"/>
              <w:rPr>
                <w:sz w:val="20"/>
                <w:szCs w:val="20"/>
                <w:color w:val="auto"/>
              </w:rPr>
            </w:pPr>
            <w:r>
              <w:rPr>
                <w:rFonts w:ascii="Arial" w:cs="Arial" w:eastAsia="Arial" w:hAnsi="Arial"/>
                <w:sz w:val="12"/>
                <w:szCs w:val="12"/>
                <w:b w:val="1"/>
                <w:bCs w:val="1"/>
                <w:color w:val="auto"/>
                <w:w w:val="90"/>
              </w:rPr>
              <w:t>Redeemable</w:t>
            </w:r>
          </w:p>
        </w:tc>
        <w:tc>
          <w:tcPr>
            <w:tcW w:w="2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1400" w:type="dxa"/>
            <w:vAlign w:val="bottom"/>
            <w:tcBorders>
              <w:right w:val="single" w:sz="8" w:color="auto"/>
            </w:tcBorders>
            <w:gridSpan w:val="8"/>
          </w:tcPr>
          <w:p>
            <w:pPr>
              <w:jc w:val="center"/>
              <w:ind w:right="120"/>
              <w:spacing w:after="0" w:line="120" w:lineRule="exact"/>
              <w:rPr>
                <w:sz w:val="20"/>
                <w:szCs w:val="20"/>
                <w:color w:val="auto"/>
              </w:rPr>
            </w:pPr>
            <w:r>
              <w:rPr>
                <w:rFonts w:ascii="Arial" w:cs="Arial" w:eastAsia="Arial" w:hAnsi="Arial"/>
                <w:sz w:val="12"/>
                <w:szCs w:val="12"/>
                <w:b w:val="1"/>
                <w:bCs w:val="1"/>
                <w:color w:val="auto"/>
                <w:w w:val="94"/>
              </w:rPr>
              <w:t>Convertible Preferred</w:t>
            </w:r>
          </w:p>
        </w:tc>
        <w:tc>
          <w:tcPr>
            <w:tcW w:w="20" w:type="dxa"/>
            <w:vAlign w:val="bottom"/>
          </w:tcPr>
          <w:p>
            <w:pPr>
              <w:spacing w:after="0"/>
              <w:rPr>
                <w:sz w:val="10"/>
                <w:szCs w:val="10"/>
                <w:color w:val="auto"/>
              </w:rPr>
            </w:pPr>
          </w:p>
        </w:tc>
        <w:tc>
          <w:tcPr>
            <w:tcW w:w="2020" w:type="dxa"/>
            <w:vAlign w:val="bottom"/>
            <w:gridSpan w:val="13"/>
            <w:vMerge w:val="restart"/>
          </w:tcPr>
          <w:p>
            <w:pPr>
              <w:jc w:val="center"/>
              <w:ind w:right="80"/>
              <w:spacing w:after="0"/>
              <w:rPr>
                <w:sz w:val="20"/>
                <w:szCs w:val="20"/>
                <w:color w:val="auto"/>
              </w:rPr>
            </w:pPr>
            <w:r>
              <w:rPr>
                <w:rFonts w:ascii="Arial" w:cs="Arial" w:eastAsia="Arial" w:hAnsi="Arial"/>
                <w:sz w:val="12"/>
                <w:szCs w:val="12"/>
                <w:b w:val="1"/>
                <w:bCs w:val="1"/>
                <w:color w:val="auto"/>
                <w:w w:val="91"/>
              </w:rPr>
              <w:t>Class A and Class B Common Stock</w:t>
            </w:r>
          </w:p>
        </w:tc>
        <w:tc>
          <w:tcPr>
            <w:tcW w:w="40" w:type="dxa"/>
            <w:vAlign w:val="bottom"/>
          </w:tcPr>
          <w:p>
            <w:pPr>
              <w:spacing w:after="0"/>
              <w:rPr>
                <w:sz w:val="10"/>
                <w:szCs w:val="10"/>
                <w:color w:val="auto"/>
              </w:rPr>
            </w:pPr>
          </w:p>
        </w:tc>
        <w:tc>
          <w:tcPr>
            <w:tcW w:w="1240" w:type="dxa"/>
            <w:vAlign w:val="bottom"/>
            <w:gridSpan w:val="6"/>
            <w:vMerge w:val="restart"/>
          </w:tcPr>
          <w:p>
            <w:pPr>
              <w:jc w:val="right"/>
              <w:ind w:right="169"/>
              <w:spacing w:after="0"/>
              <w:rPr>
                <w:sz w:val="20"/>
                <w:szCs w:val="20"/>
                <w:color w:val="auto"/>
              </w:rPr>
            </w:pPr>
            <w:r>
              <w:rPr>
                <w:rFonts w:ascii="Arial" w:cs="Arial" w:eastAsia="Arial" w:hAnsi="Arial"/>
                <w:sz w:val="12"/>
                <w:szCs w:val="12"/>
                <w:b w:val="1"/>
                <w:bCs w:val="1"/>
                <w:color w:val="auto"/>
              </w:rPr>
              <w:t>Treasury Stock</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5"/>
          </w:tcPr>
          <w:p>
            <w:pPr>
              <w:jc w:val="center"/>
              <w:ind w:left="131"/>
              <w:spacing w:after="0" w:line="120" w:lineRule="exact"/>
              <w:rPr>
                <w:sz w:val="20"/>
                <w:szCs w:val="20"/>
                <w:color w:val="auto"/>
              </w:rPr>
            </w:pPr>
            <w:r>
              <w:rPr>
                <w:rFonts w:ascii="Arial" w:cs="Arial" w:eastAsia="Arial" w:hAnsi="Arial"/>
                <w:sz w:val="12"/>
                <w:szCs w:val="12"/>
                <w:b w:val="1"/>
                <w:bCs w:val="1"/>
                <w:color w:val="auto"/>
                <w:w w:val="91"/>
              </w:rPr>
              <w:t>Stock</w:t>
            </w:r>
          </w:p>
        </w:tc>
        <w:tc>
          <w:tcPr>
            <w:tcW w:w="2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13"/>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4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Other</w:t>
            </w: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jc w:val="center"/>
              <w:ind w:right="32"/>
              <w:spacing w:after="0" w:line="53"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0"/>
                <w:szCs w:val="10"/>
                <w:color w:val="auto"/>
              </w:rPr>
            </w:pPr>
          </w:p>
        </w:tc>
        <w:tc>
          <w:tcPr>
            <w:tcW w:w="6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tcPr>
          <w:p>
            <w:pPr>
              <w:jc w:val="center"/>
              <w:ind w:right="100"/>
              <w:spacing w:after="0" w:line="126" w:lineRule="exact"/>
              <w:rPr>
                <w:sz w:val="20"/>
                <w:szCs w:val="20"/>
                <w:color w:val="auto"/>
              </w:rPr>
            </w:pPr>
            <w:r>
              <w:rPr>
                <w:rFonts w:ascii="Arial" w:cs="Arial" w:eastAsia="Arial" w:hAnsi="Arial"/>
                <w:sz w:val="12"/>
                <w:szCs w:val="12"/>
                <w:b w:val="1"/>
                <w:bCs w:val="1"/>
                <w:color w:val="auto"/>
                <w:w w:val="90"/>
              </w:rPr>
              <w:t>Class A</w:t>
            </w:r>
          </w:p>
        </w:tc>
        <w:tc>
          <w:tcPr>
            <w:tcW w:w="40" w:type="dxa"/>
            <w:vAlign w:val="bottom"/>
          </w:tcPr>
          <w:p>
            <w:pPr>
              <w:spacing w:after="0"/>
              <w:rPr>
                <w:sz w:val="10"/>
                <w:szCs w:val="10"/>
                <w:color w:val="auto"/>
              </w:rPr>
            </w:pPr>
          </w:p>
        </w:tc>
        <w:tc>
          <w:tcPr>
            <w:tcW w:w="640" w:type="dxa"/>
            <w:vAlign w:val="bottom"/>
            <w:gridSpan w:val="3"/>
          </w:tcPr>
          <w:p>
            <w:pPr>
              <w:jc w:val="center"/>
              <w:ind w:right="120"/>
              <w:spacing w:after="0" w:line="126" w:lineRule="exact"/>
              <w:rPr>
                <w:sz w:val="20"/>
                <w:szCs w:val="20"/>
                <w:color w:val="auto"/>
              </w:rPr>
            </w:pPr>
            <w:r>
              <w:rPr>
                <w:rFonts w:ascii="Arial" w:cs="Arial" w:eastAsia="Arial" w:hAnsi="Arial"/>
                <w:sz w:val="12"/>
                <w:szCs w:val="12"/>
                <w:b w:val="1"/>
                <w:bCs w:val="1"/>
                <w:color w:val="auto"/>
                <w:w w:val="90"/>
              </w:rPr>
              <w:t>Class B</w:t>
            </w:r>
          </w:p>
        </w:tc>
        <w:tc>
          <w:tcPr>
            <w:tcW w:w="40" w:type="dxa"/>
            <w:vAlign w:val="bottom"/>
          </w:tcPr>
          <w:p>
            <w:pPr>
              <w:spacing w:after="0"/>
              <w:rPr>
                <w:sz w:val="10"/>
                <w:szCs w:val="10"/>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0"/>
                <w:szCs w:val="10"/>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0"/>
                <w:szCs w:val="10"/>
                <w:color w:val="auto"/>
              </w:rPr>
            </w:pPr>
          </w:p>
        </w:tc>
        <w:tc>
          <w:tcPr>
            <w:tcW w:w="580" w:type="dxa"/>
            <w:vAlign w:val="bottom"/>
            <w:gridSpan w:val="2"/>
            <w:vMerge w:val="restart"/>
          </w:tcPr>
          <w:p>
            <w:pPr>
              <w:jc w:val="right"/>
              <w:ind w:right="9"/>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Additional Paid-</w:t>
            </w:r>
          </w:p>
        </w:tc>
        <w:tc>
          <w:tcPr>
            <w:tcW w:w="40" w:type="dxa"/>
            <w:vAlign w:val="bottom"/>
          </w:tcPr>
          <w:p>
            <w:pPr>
              <w:spacing w:after="0"/>
              <w:rPr>
                <w:sz w:val="10"/>
                <w:szCs w:val="10"/>
                <w:color w:val="auto"/>
              </w:rPr>
            </w:pPr>
          </w:p>
        </w:tc>
        <w:tc>
          <w:tcPr>
            <w:tcW w:w="1000" w:type="dxa"/>
            <w:vAlign w:val="bottom"/>
            <w:gridSpan w:val="3"/>
          </w:tcPr>
          <w:p>
            <w:pPr>
              <w:jc w:val="center"/>
              <w:ind w:right="100"/>
              <w:spacing w:after="0" w:line="126" w:lineRule="exact"/>
              <w:rPr>
                <w:sz w:val="20"/>
                <w:szCs w:val="20"/>
                <w:color w:val="auto"/>
              </w:rPr>
            </w:pPr>
            <w:r>
              <w:rPr>
                <w:rFonts w:ascii="Arial" w:cs="Arial" w:eastAsia="Arial" w:hAnsi="Arial"/>
                <w:sz w:val="12"/>
                <w:szCs w:val="12"/>
                <w:b w:val="1"/>
                <w:bCs w:val="1"/>
                <w:color w:val="auto"/>
                <w:w w:val="91"/>
              </w:rPr>
              <w:t>Comprehensive</w:t>
            </w:r>
          </w:p>
        </w:tc>
        <w:tc>
          <w:tcPr>
            <w:tcW w:w="10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0"/>
                <w:szCs w:val="10"/>
                <w:color w:val="auto"/>
              </w:rPr>
            </w:pPr>
          </w:p>
        </w:tc>
        <w:tc>
          <w:tcPr>
            <w:tcW w:w="840" w:type="dxa"/>
            <w:vAlign w:val="bottom"/>
          </w:tcPr>
          <w:p>
            <w:pPr>
              <w:jc w:val="center"/>
              <w:ind w:right="12"/>
              <w:spacing w:after="0" w:line="126" w:lineRule="exact"/>
              <w:rPr>
                <w:sz w:val="20"/>
                <w:szCs w:val="20"/>
                <w:color w:val="auto"/>
              </w:rPr>
            </w:pPr>
            <w:r>
              <w:rPr>
                <w:rFonts w:ascii="Arial" w:cs="Arial" w:eastAsia="Arial" w:hAnsi="Arial"/>
                <w:sz w:val="12"/>
                <w:szCs w:val="12"/>
                <w:b w:val="1"/>
                <w:bCs w:val="1"/>
                <w:color w:val="auto"/>
                <w:w w:val="91"/>
              </w:rPr>
              <w:t>Stockholders'</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right w:val="single" w:sz="8" w:color="auto"/>
            </w:tcBorders>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9"/>
              </w:rPr>
              <w:t>Shares</w:t>
            </w:r>
          </w:p>
        </w:tc>
        <w:tc>
          <w:tcPr>
            <w:tcW w:w="40" w:type="dxa"/>
            <w:vAlign w:val="bottom"/>
          </w:tcPr>
          <w:p>
            <w:pPr>
              <w:spacing w:after="0"/>
              <w:rPr>
                <w:sz w:val="14"/>
                <w:szCs w:val="14"/>
                <w:color w:val="auto"/>
              </w:rPr>
            </w:pPr>
          </w:p>
        </w:tc>
        <w:tc>
          <w:tcPr>
            <w:tcW w:w="6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9"/>
              </w:rPr>
              <w:t>Shares</w:t>
            </w:r>
          </w:p>
        </w:tc>
        <w:tc>
          <w:tcPr>
            <w:tcW w:w="4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in Capital</w:t>
            </w:r>
          </w:p>
        </w:tc>
        <w:tc>
          <w:tcPr>
            <w:tcW w:w="4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Income (Loss)</w:t>
            </w:r>
          </w:p>
        </w:tc>
        <w:tc>
          <w:tcPr>
            <w:tcW w:w="100" w:type="dxa"/>
            <w:vAlign w:val="bottom"/>
          </w:tcPr>
          <w:p>
            <w:pPr>
              <w:spacing w:after="0"/>
              <w:rPr>
                <w:sz w:val="14"/>
                <w:szCs w:val="14"/>
                <w:color w:val="auto"/>
              </w:rPr>
            </w:pPr>
          </w:p>
        </w:tc>
        <w:tc>
          <w:tcPr>
            <w:tcW w:w="920" w:type="dxa"/>
            <w:vAlign w:val="bottom"/>
            <w:gridSpan w:val="2"/>
          </w:tcPr>
          <w:p>
            <w:pPr>
              <w:ind w:left="260"/>
              <w:spacing w:after="0"/>
              <w:rPr>
                <w:sz w:val="20"/>
                <w:szCs w:val="20"/>
                <w:color w:val="auto"/>
              </w:rPr>
            </w:pPr>
            <w:r>
              <w:rPr>
                <w:rFonts w:ascii="Arial" w:cs="Arial" w:eastAsia="Arial" w:hAnsi="Arial"/>
                <w:sz w:val="12"/>
                <w:szCs w:val="12"/>
                <w:b w:val="1"/>
                <w:bCs w:val="1"/>
                <w:color w:val="auto"/>
              </w:rPr>
              <w:t>Loss</w:t>
            </w: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Equity (Deficit)</w:t>
            </w:r>
          </w:p>
        </w:tc>
        <w:tc>
          <w:tcPr>
            <w:tcW w:w="0" w:type="dxa"/>
            <w:vAlign w:val="bottom"/>
          </w:tcPr>
          <w:p>
            <w:pPr>
              <w:spacing w:after="0"/>
              <w:rPr>
                <w:sz w:val="1"/>
                <w:szCs w:val="1"/>
                <w:color w:val="auto"/>
              </w:rPr>
            </w:pPr>
          </w:p>
        </w:tc>
      </w:tr>
      <w:tr>
        <w:trPr>
          <w:trHeight w:val="165"/>
        </w:trPr>
        <w:tc>
          <w:tcPr>
            <w:tcW w:w="24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6"/>
          </w:tcPr>
          <w:p>
            <w:pPr>
              <w:ind w:left="60"/>
              <w:spacing w:after="0"/>
              <w:rPr>
                <w:sz w:val="20"/>
                <w:szCs w:val="20"/>
                <w:color w:val="auto"/>
              </w:rPr>
            </w:pPr>
            <w:r>
              <w:rPr>
                <w:rFonts w:ascii="Arial" w:cs="Arial" w:eastAsia="Arial" w:hAnsi="Arial"/>
                <w:sz w:val="12"/>
                <w:szCs w:val="12"/>
                <w:b w:val="1"/>
                <w:bCs w:val="1"/>
                <w:color w:val="auto"/>
              </w:rPr>
              <w:t>(in millions)</w:t>
            </w: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Balance—March 31, 2021</w:t>
            </w:r>
          </w:p>
        </w:tc>
        <w:tc>
          <w:tcPr>
            <w:tcW w:w="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14"/>
              <w:spacing w:after="0"/>
              <w:rPr>
                <w:sz w:val="20"/>
                <w:szCs w:val="20"/>
                <w:color w:val="auto"/>
              </w:rPr>
            </w:pPr>
            <w:r>
              <w:rPr>
                <w:rFonts w:ascii="Arial" w:cs="Arial" w:eastAsia="Arial" w:hAnsi="Arial"/>
                <w:sz w:val="14"/>
                <w:szCs w:val="14"/>
                <w:color w:val="auto"/>
                <w:w w:val="76"/>
              </w:rPr>
              <w:t>$</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54"/>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4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934.3</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5"/>
                <w:szCs w:val="15"/>
                <w:color w:val="auto"/>
              </w:rPr>
            </w:pPr>
          </w:p>
        </w:tc>
        <w:tc>
          <w:tcPr>
            <w:tcW w:w="60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(178.6)</w:t>
            </w: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Class B to Class A</w:t>
            </w:r>
          </w:p>
        </w:tc>
        <w:tc>
          <w:tcPr>
            <w:tcW w:w="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rPr>
              <w:t>Common stock—option exercises and</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180"/>
              <w:spacing w:after="0" w:line="133" w:lineRule="exact"/>
              <w:rPr>
                <w:sz w:val="20"/>
                <w:szCs w:val="20"/>
                <w:color w:val="auto"/>
              </w:rPr>
            </w:pPr>
            <w:r>
              <w:rPr>
                <w:rFonts w:ascii="Arial" w:cs="Arial" w:eastAsia="Arial" w:hAnsi="Arial"/>
                <w:sz w:val="14"/>
                <w:szCs w:val="14"/>
                <w:color w:val="auto"/>
              </w:rPr>
              <w:t>restricted stock units vesting, net of</w:t>
            </w:r>
          </w:p>
        </w:tc>
        <w:tc>
          <w:tcPr>
            <w:tcW w:w="60" w:type="dxa"/>
            <w:vAlign w:val="bottom"/>
          </w:tcPr>
          <w:p>
            <w:pPr>
              <w:spacing w:after="0"/>
              <w:rPr>
                <w:sz w:val="11"/>
                <w:szCs w:val="11"/>
                <w:color w:val="auto"/>
              </w:rPr>
            </w:pPr>
          </w:p>
        </w:tc>
        <w:tc>
          <w:tcPr>
            <w:tcW w:w="600" w:type="dxa"/>
            <w:vAlign w:val="bottom"/>
            <w:gridSpan w:val="3"/>
            <w:vMerge w:val="restart"/>
          </w:tcPr>
          <w:p>
            <w:pPr>
              <w:ind w:lef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3"/>
            <w:vMerge w:val="restart"/>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shares withheld for employee taxes</w:t>
            </w:r>
          </w:p>
        </w:tc>
        <w:tc>
          <w:tcPr>
            <w:tcW w:w="6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right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6"/>
              </w:rPr>
              <w:t>Reclassification of early-exercised stock</w:t>
            </w:r>
          </w:p>
        </w:tc>
        <w:tc>
          <w:tcPr>
            <w:tcW w:w="6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tcBorders>
              <w:right w:val="single" w:sz="8" w:color="auto"/>
            </w:tcBorders>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 from liabilities</w:t>
            </w:r>
          </w:p>
        </w:tc>
        <w:tc>
          <w:tcPr>
            <w:tcW w:w="6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rPr>
              <w:t>Common stock—share-based</w:t>
            </w:r>
          </w:p>
        </w:tc>
        <w:tc>
          <w:tcPr>
            <w:tcW w:w="60" w:type="dxa"/>
            <w:vAlign w:val="bottom"/>
          </w:tcPr>
          <w:p>
            <w:pPr>
              <w:spacing w:after="0"/>
              <w:rPr>
                <w:sz w:val="11"/>
                <w:szCs w:val="11"/>
                <w:color w:val="auto"/>
              </w:rPr>
            </w:pPr>
          </w:p>
        </w:tc>
        <w:tc>
          <w:tcPr>
            <w:tcW w:w="600" w:type="dxa"/>
            <w:vAlign w:val="bottom"/>
            <w:gridSpan w:val="3"/>
            <w:vMerge w:val="restart"/>
          </w:tcPr>
          <w:p>
            <w:pPr>
              <w:ind w:lef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3"/>
            <w:vMerge w:val="restart"/>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compensation expense</w:t>
            </w:r>
          </w:p>
        </w:tc>
        <w:tc>
          <w:tcPr>
            <w:tcW w:w="6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right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Balance—June 30, 2021</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gridSpan w:val="2"/>
            <w:shd w:val="clear" w:color="auto" w:fill="CCEEFF"/>
          </w:tcPr>
          <w:p>
            <w:pPr>
              <w:jc w:val="right"/>
              <w:ind w:right="174"/>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139.7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CEEFF"/>
          </w:tcPr>
          <w:p>
            <w:pPr>
              <w:jc w:val="right"/>
              <w:ind w:right="114"/>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1,786.9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762.0</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Balance—January 1, 2021</w:t>
            </w:r>
          </w:p>
        </w:tc>
        <w:tc>
          <w:tcPr>
            <w:tcW w:w="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1,032.4</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5"/>
                <w:szCs w:val="15"/>
                <w:color w:val="auto"/>
              </w:rPr>
            </w:pPr>
          </w:p>
        </w:tc>
        <w:tc>
          <w:tcPr>
            <w:tcW w:w="6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(278.2)</w:t>
            </w: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other comprehensive loss</w:t>
            </w:r>
          </w:p>
        </w:tc>
        <w:tc>
          <w:tcPr>
            <w:tcW w:w="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Conversion of Class B to Class A</w:t>
            </w:r>
          </w:p>
        </w:tc>
        <w:tc>
          <w:tcPr>
            <w:tcW w:w="60" w:type="dxa"/>
            <w:vAlign w:val="bottom"/>
          </w:tcPr>
          <w:p>
            <w:pPr>
              <w:spacing w:after="0"/>
              <w:rPr>
                <w:sz w:val="15"/>
                <w:szCs w:val="15"/>
                <w:color w:val="auto"/>
              </w:rPr>
            </w:pPr>
          </w:p>
        </w:tc>
        <w:tc>
          <w:tcPr>
            <w:tcW w:w="6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52.9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(52.9)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stock—option exercises and</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restricted stock units vesting, net of</w:t>
            </w:r>
          </w:p>
        </w:tc>
        <w:tc>
          <w:tcPr>
            <w:tcW w:w="6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tcBorders>
              <w:right w:val="single" w:sz="8" w:color="auto"/>
            </w:tcBorders>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 for employee taxes</w:t>
            </w:r>
          </w:p>
        </w:tc>
        <w:tc>
          <w:tcPr>
            <w:tcW w:w="6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w w:val="96"/>
              </w:rPr>
              <w:t>Reclassification of early-exercised stock</w:t>
            </w:r>
          </w:p>
        </w:tc>
        <w:tc>
          <w:tcPr>
            <w:tcW w:w="60" w:type="dxa"/>
            <w:vAlign w:val="bottom"/>
          </w:tcPr>
          <w:p>
            <w:pPr>
              <w:spacing w:after="0"/>
              <w:rPr>
                <w:sz w:val="11"/>
                <w:szCs w:val="11"/>
                <w:color w:val="auto"/>
              </w:rPr>
            </w:pPr>
          </w:p>
        </w:tc>
        <w:tc>
          <w:tcPr>
            <w:tcW w:w="600" w:type="dxa"/>
            <w:vAlign w:val="bottom"/>
            <w:gridSpan w:val="3"/>
            <w:vMerge w:val="restart"/>
          </w:tcPr>
          <w:p>
            <w:pPr>
              <w:ind w:left="3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2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3"/>
            <w:vMerge w:val="restart"/>
          </w:tcPr>
          <w:p>
            <w:pPr>
              <w:ind w:lef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options from liabilities</w:t>
            </w:r>
          </w:p>
        </w:tc>
        <w:tc>
          <w:tcPr>
            <w:tcW w:w="6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Borders>
              <w:right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stock—share-based</w:t>
            </w:r>
          </w:p>
        </w:tc>
        <w:tc>
          <w:tcPr>
            <w:tcW w:w="6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tcBorders>
              <w:right w:val="single" w:sz="8" w:color="auto"/>
            </w:tcBorders>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expense</w:t>
            </w:r>
          </w:p>
        </w:tc>
        <w:tc>
          <w:tcPr>
            <w:tcW w:w="6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440" w:type="dxa"/>
            <w:vAlign w:val="bottom"/>
          </w:tcPr>
          <w:p>
            <w:pPr>
              <w:ind w:left="20"/>
              <w:spacing w:after="0"/>
              <w:rPr>
                <w:sz w:val="20"/>
                <w:szCs w:val="20"/>
                <w:color w:val="auto"/>
              </w:rPr>
            </w:pPr>
            <w:r>
              <w:rPr>
                <w:rFonts w:ascii="Arial" w:cs="Arial" w:eastAsia="Arial" w:hAnsi="Arial"/>
                <w:sz w:val="14"/>
                <w:szCs w:val="14"/>
                <w:color w:val="auto"/>
              </w:rPr>
              <w:t>Balance—June 30, 2021</w:t>
            </w:r>
          </w:p>
        </w:tc>
        <w:tc>
          <w:tcPr>
            <w:tcW w:w="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114.0</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139.7</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1,786.9</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(1,026.2)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5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ROOT, INC. AND SUBSIDIARIES</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Arial" w:cs="Arial" w:eastAsia="Arial" w:hAnsi="Arial"/>
          <w:sz w:val="18"/>
          <w:szCs w:val="18"/>
          <w:b w:val="1"/>
          <w:bCs w:val="1"/>
          <w:color w:val="auto"/>
        </w:rPr>
        <w:t>EQUITY (DEFICIT) -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2"/>
                <w:szCs w:val="12"/>
                <w:b w:val="1"/>
                <w:bCs w:val="1"/>
                <w:color w:val="auto"/>
                <w:w w:val="90"/>
              </w:rPr>
              <w:t>Redeemable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tcBorders>
              <w:right w:val="single" w:sz="8" w:color="auto"/>
            </w:tcBorders>
            <w:gridSpan w:val="7"/>
          </w:tcPr>
          <w:p>
            <w:pPr>
              <w:jc w:val="center"/>
              <w:ind w:right="160"/>
              <w:spacing w:after="0" w:line="120" w:lineRule="exact"/>
              <w:rPr>
                <w:sz w:val="20"/>
                <w:szCs w:val="20"/>
                <w:color w:val="auto"/>
              </w:rPr>
            </w:pPr>
            <w:r>
              <w:rPr>
                <w:rFonts w:ascii="Arial" w:cs="Arial" w:eastAsia="Arial" w:hAnsi="Arial"/>
                <w:sz w:val="12"/>
                <w:szCs w:val="12"/>
                <w:b w:val="1"/>
                <w:bCs w:val="1"/>
                <w:color w:val="auto"/>
                <w:w w:val="94"/>
              </w:rPr>
              <w:t>Convertible Preferred</w:t>
            </w:r>
          </w:p>
        </w:tc>
        <w:tc>
          <w:tcPr>
            <w:tcW w:w="20" w:type="dxa"/>
            <w:vAlign w:val="bottom"/>
          </w:tcPr>
          <w:p>
            <w:pPr>
              <w:spacing w:after="0"/>
              <w:rPr>
                <w:sz w:val="10"/>
                <w:szCs w:val="10"/>
                <w:color w:val="auto"/>
              </w:rPr>
            </w:pPr>
          </w:p>
        </w:tc>
        <w:tc>
          <w:tcPr>
            <w:tcW w:w="2020" w:type="dxa"/>
            <w:vAlign w:val="bottom"/>
            <w:gridSpan w:val="13"/>
            <w:vMerge w:val="restart"/>
          </w:tcPr>
          <w:p>
            <w:pPr>
              <w:jc w:val="center"/>
              <w:ind w:right="80"/>
              <w:spacing w:after="0"/>
              <w:rPr>
                <w:sz w:val="20"/>
                <w:szCs w:val="20"/>
                <w:color w:val="auto"/>
              </w:rPr>
            </w:pPr>
            <w:r>
              <w:rPr>
                <w:rFonts w:ascii="Arial" w:cs="Arial" w:eastAsia="Arial" w:hAnsi="Arial"/>
                <w:sz w:val="12"/>
                <w:szCs w:val="12"/>
                <w:b w:val="1"/>
                <w:bCs w:val="1"/>
                <w:color w:val="auto"/>
                <w:w w:val="91"/>
              </w:rPr>
              <w:t>Class A and Class B Common Stock</w:t>
            </w:r>
          </w:p>
        </w:tc>
        <w:tc>
          <w:tcPr>
            <w:tcW w:w="40" w:type="dxa"/>
            <w:vAlign w:val="bottom"/>
          </w:tcPr>
          <w:p>
            <w:pPr>
              <w:spacing w:after="0"/>
              <w:rPr>
                <w:sz w:val="10"/>
                <w:szCs w:val="10"/>
                <w:color w:val="auto"/>
              </w:rPr>
            </w:pPr>
          </w:p>
        </w:tc>
        <w:tc>
          <w:tcPr>
            <w:tcW w:w="1260" w:type="dxa"/>
            <w:vAlign w:val="bottom"/>
            <w:gridSpan w:val="7"/>
            <w:vMerge w:val="restart"/>
          </w:tcPr>
          <w:p>
            <w:pPr>
              <w:ind w:left="200"/>
              <w:spacing w:after="0"/>
              <w:rPr>
                <w:sz w:val="20"/>
                <w:szCs w:val="20"/>
                <w:color w:val="auto"/>
              </w:rPr>
            </w:pPr>
            <w:r>
              <w:rPr>
                <w:rFonts w:ascii="Arial" w:cs="Arial" w:eastAsia="Arial" w:hAnsi="Arial"/>
                <w:sz w:val="12"/>
                <w:szCs w:val="12"/>
                <w:b w:val="1"/>
                <w:bCs w:val="1"/>
                <w:color w:val="auto"/>
              </w:rPr>
              <w:t>Treasury Stock</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5"/>
          </w:tcPr>
          <w:p>
            <w:pPr>
              <w:jc w:val="center"/>
              <w:ind w:left="311"/>
              <w:spacing w:after="0" w:line="120" w:lineRule="exact"/>
              <w:rPr>
                <w:sz w:val="20"/>
                <w:szCs w:val="20"/>
                <w:color w:val="auto"/>
              </w:rPr>
            </w:pPr>
            <w:r>
              <w:rPr>
                <w:rFonts w:ascii="Arial" w:cs="Arial" w:eastAsia="Arial" w:hAnsi="Arial"/>
                <w:sz w:val="12"/>
                <w:szCs w:val="12"/>
                <w:b w:val="1"/>
                <w:bCs w:val="1"/>
                <w:color w:val="auto"/>
                <w:w w:val="91"/>
              </w:rPr>
              <w:t>Stock</w:t>
            </w:r>
          </w:p>
        </w:tc>
        <w:tc>
          <w:tcPr>
            <w:tcW w:w="4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13"/>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4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Other</w:t>
            </w: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jc w:val="center"/>
              <w:ind w:right="32"/>
              <w:spacing w:after="0" w:line="53"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0"/>
                <w:szCs w:val="10"/>
                <w:color w:val="auto"/>
              </w:rPr>
            </w:pPr>
          </w:p>
        </w:tc>
        <w:tc>
          <w:tcPr>
            <w:tcW w:w="7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Class A</w:t>
            </w:r>
          </w:p>
        </w:tc>
        <w:tc>
          <w:tcPr>
            <w:tcW w:w="40" w:type="dxa"/>
            <w:vAlign w:val="bottom"/>
          </w:tcPr>
          <w:p>
            <w:pPr>
              <w:spacing w:after="0"/>
              <w:rPr>
                <w:sz w:val="10"/>
                <w:szCs w:val="10"/>
                <w:color w:val="auto"/>
              </w:rPr>
            </w:pPr>
          </w:p>
        </w:tc>
        <w:tc>
          <w:tcPr>
            <w:tcW w:w="640" w:type="dxa"/>
            <w:vAlign w:val="bottom"/>
            <w:gridSpan w:val="3"/>
          </w:tcPr>
          <w:p>
            <w:pPr>
              <w:jc w:val="center"/>
              <w:ind w:right="120"/>
              <w:spacing w:after="0" w:line="126" w:lineRule="exact"/>
              <w:rPr>
                <w:sz w:val="20"/>
                <w:szCs w:val="20"/>
                <w:color w:val="auto"/>
              </w:rPr>
            </w:pPr>
            <w:r>
              <w:rPr>
                <w:rFonts w:ascii="Arial" w:cs="Arial" w:eastAsia="Arial" w:hAnsi="Arial"/>
                <w:sz w:val="12"/>
                <w:szCs w:val="12"/>
                <w:b w:val="1"/>
                <w:bCs w:val="1"/>
                <w:color w:val="auto"/>
                <w:w w:val="90"/>
              </w:rPr>
              <w:t>Class B</w:t>
            </w:r>
          </w:p>
        </w:tc>
        <w:tc>
          <w:tcPr>
            <w:tcW w:w="40" w:type="dxa"/>
            <w:vAlign w:val="bottom"/>
          </w:tcPr>
          <w:p>
            <w:pPr>
              <w:spacing w:after="0"/>
              <w:rPr>
                <w:sz w:val="10"/>
                <w:szCs w:val="10"/>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0"/>
                <w:szCs w:val="10"/>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0"/>
                <w:szCs w:val="10"/>
                <w:color w:val="auto"/>
              </w:rPr>
            </w:pPr>
          </w:p>
        </w:tc>
        <w:tc>
          <w:tcPr>
            <w:tcW w:w="6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0"/>
                <w:szCs w:val="10"/>
                <w:color w:val="auto"/>
              </w:rPr>
            </w:pPr>
          </w:p>
        </w:tc>
        <w:tc>
          <w:tcPr>
            <w:tcW w:w="100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Additional Paid-</w:t>
            </w:r>
          </w:p>
        </w:tc>
        <w:tc>
          <w:tcPr>
            <w:tcW w:w="40" w:type="dxa"/>
            <w:vAlign w:val="bottom"/>
          </w:tcPr>
          <w:p>
            <w:pPr>
              <w:spacing w:after="0"/>
              <w:rPr>
                <w:sz w:val="10"/>
                <w:szCs w:val="10"/>
                <w:color w:val="auto"/>
              </w:rPr>
            </w:pPr>
          </w:p>
        </w:tc>
        <w:tc>
          <w:tcPr>
            <w:tcW w:w="1000" w:type="dxa"/>
            <w:vAlign w:val="bottom"/>
            <w:gridSpan w:val="3"/>
          </w:tcPr>
          <w:p>
            <w:pPr>
              <w:jc w:val="center"/>
              <w:ind w:right="100"/>
              <w:spacing w:after="0" w:line="126" w:lineRule="exact"/>
              <w:rPr>
                <w:sz w:val="20"/>
                <w:szCs w:val="20"/>
                <w:color w:val="auto"/>
              </w:rPr>
            </w:pPr>
            <w:r>
              <w:rPr>
                <w:rFonts w:ascii="Arial" w:cs="Arial" w:eastAsia="Arial" w:hAnsi="Arial"/>
                <w:sz w:val="12"/>
                <w:szCs w:val="12"/>
                <w:b w:val="1"/>
                <w:bCs w:val="1"/>
                <w:color w:val="auto"/>
                <w:w w:val="91"/>
              </w:rPr>
              <w:t>Comprehensive</w:t>
            </w:r>
          </w:p>
        </w:tc>
        <w:tc>
          <w:tcPr>
            <w:tcW w:w="10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0"/>
                <w:szCs w:val="10"/>
                <w:color w:val="auto"/>
              </w:rPr>
            </w:pPr>
          </w:p>
        </w:tc>
        <w:tc>
          <w:tcPr>
            <w:tcW w:w="840" w:type="dxa"/>
            <w:vAlign w:val="bottom"/>
          </w:tcPr>
          <w:p>
            <w:pPr>
              <w:jc w:val="center"/>
              <w:ind w:right="12"/>
              <w:spacing w:after="0" w:line="126" w:lineRule="exact"/>
              <w:rPr>
                <w:sz w:val="20"/>
                <w:szCs w:val="20"/>
                <w:color w:val="auto"/>
              </w:rPr>
            </w:pPr>
            <w:r>
              <w:rPr>
                <w:rFonts w:ascii="Arial" w:cs="Arial" w:eastAsia="Arial" w:hAnsi="Arial"/>
                <w:sz w:val="12"/>
                <w:szCs w:val="12"/>
                <w:b w:val="1"/>
                <w:bCs w:val="1"/>
                <w:color w:val="auto"/>
                <w:w w:val="91"/>
              </w:rPr>
              <w:t>Stockholders'</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right w:val="single" w:sz="8" w:color="auto"/>
            </w:tcBorders>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9"/>
              </w:rPr>
              <w:t>Shares</w:t>
            </w:r>
          </w:p>
        </w:tc>
        <w:tc>
          <w:tcPr>
            <w:tcW w:w="4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in Capital</w:t>
            </w:r>
          </w:p>
        </w:tc>
        <w:tc>
          <w:tcPr>
            <w:tcW w:w="4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Income (Loss)</w:t>
            </w:r>
          </w:p>
        </w:tc>
        <w:tc>
          <w:tcPr>
            <w:tcW w:w="100" w:type="dxa"/>
            <w:vAlign w:val="bottom"/>
          </w:tcPr>
          <w:p>
            <w:pPr>
              <w:spacing w:after="0"/>
              <w:rPr>
                <w:sz w:val="14"/>
                <w:szCs w:val="14"/>
                <w:color w:val="auto"/>
              </w:rPr>
            </w:pPr>
          </w:p>
        </w:tc>
        <w:tc>
          <w:tcPr>
            <w:tcW w:w="920" w:type="dxa"/>
            <w:vAlign w:val="bottom"/>
            <w:gridSpan w:val="2"/>
          </w:tcPr>
          <w:p>
            <w:pPr>
              <w:ind w:left="260"/>
              <w:spacing w:after="0"/>
              <w:rPr>
                <w:sz w:val="20"/>
                <w:szCs w:val="20"/>
                <w:color w:val="auto"/>
              </w:rPr>
            </w:pPr>
            <w:r>
              <w:rPr>
                <w:rFonts w:ascii="Arial" w:cs="Arial" w:eastAsia="Arial" w:hAnsi="Arial"/>
                <w:sz w:val="12"/>
                <w:szCs w:val="12"/>
                <w:b w:val="1"/>
                <w:bCs w:val="1"/>
                <w:color w:val="auto"/>
              </w:rPr>
              <w:t>Loss</w:t>
            </w: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Equity (Deficit)</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6"/>
          </w:tcPr>
          <w:p>
            <w:pPr>
              <w:ind w:left="60"/>
              <w:spacing w:after="0"/>
              <w:rPr>
                <w:sz w:val="20"/>
                <w:szCs w:val="20"/>
                <w:color w:val="auto"/>
              </w:rPr>
            </w:pPr>
            <w:r>
              <w:rPr>
                <w:rFonts w:ascii="Arial" w:cs="Arial" w:eastAsia="Arial" w:hAnsi="Arial"/>
                <w:sz w:val="12"/>
                <w:szCs w:val="12"/>
                <w:b w:val="1"/>
                <w:bCs w:val="1"/>
                <w:color w:val="auto"/>
              </w:rPr>
              <w:t>(in millions)</w:t>
            </w: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Balance—March 31, 2020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560.4</w:t>
            </w:r>
          </w:p>
        </w:tc>
        <w:tc>
          <w:tcPr>
            <w:tcW w:w="14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14"/>
              <w:spacing w:after="0"/>
              <w:rPr>
                <w:sz w:val="20"/>
                <w:szCs w:val="20"/>
                <w:color w:val="auto"/>
              </w:rPr>
            </w:pPr>
            <w:r>
              <w:rPr>
                <w:rFonts w:ascii="Arial" w:cs="Arial" w:eastAsia="Arial" w:hAnsi="Arial"/>
                <w:sz w:val="14"/>
                <w:szCs w:val="14"/>
                <w:color w:val="auto"/>
                <w:w w:val="76"/>
              </w:rPr>
              <w:t>$</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54"/>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(455.4)</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5"/>
                <w:szCs w:val="15"/>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tcPr>
          <w:p>
            <w:pPr>
              <w:jc w:val="center"/>
              <w:ind w:left="49"/>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Changes in other comprehensive income</w:t>
            </w: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rPr>
              <w:t>Common stock—option exercises and</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180"/>
              <w:spacing w:after="0" w:line="133" w:lineRule="exact"/>
              <w:rPr>
                <w:sz w:val="20"/>
                <w:szCs w:val="20"/>
                <w:color w:val="auto"/>
              </w:rPr>
            </w:pPr>
            <w:r>
              <w:rPr>
                <w:rFonts w:ascii="Arial" w:cs="Arial" w:eastAsia="Arial" w:hAnsi="Arial"/>
                <w:sz w:val="14"/>
                <w:szCs w:val="14"/>
                <w:color w:val="auto"/>
              </w:rPr>
              <w:t>restricted stock units vesting, net of</w:t>
            </w:r>
          </w:p>
        </w:tc>
        <w:tc>
          <w:tcPr>
            <w:tcW w:w="40" w:type="dxa"/>
            <w:vAlign w:val="bottom"/>
          </w:tcPr>
          <w:p>
            <w:pPr>
              <w:spacing w:after="0"/>
              <w:rPr>
                <w:sz w:val="11"/>
                <w:szCs w:val="11"/>
                <w:color w:val="auto"/>
              </w:rPr>
            </w:pPr>
          </w:p>
        </w:tc>
        <w:tc>
          <w:tcPr>
            <w:tcW w:w="6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restart"/>
          </w:tcPr>
          <w:p>
            <w:pPr>
              <w:ind w:left="3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3"/>
            <w:vMerge w:val="restart"/>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vMerge w:val="restart"/>
          </w:tcPr>
          <w:p>
            <w:pPr>
              <w:jc w:val="center"/>
              <w:ind w:left="49"/>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shares withheld for employee taxes</w:t>
            </w:r>
          </w:p>
        </w:tc>
        <w:tc>
          <w:tcPr>
            <w:tcW w:w="4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right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6"/>
              </w:rPr>
              <w:t>Reclassification of early-exercised stock</w:t>
            </w:r>
          </w:p>
        </w:tc>
        <w:tc>
          <w:tcPr>
            <w:tcW w:w="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center"/>
              <w:ind w:left="49"/>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 from liabilities</w:t>
            </w:r>
          </w:p>
        </w:tc>
        <w:tc>
          <w:tcPr>
            <w:tcW w:w="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rPr>
              <w:t>Common stock—share-based</w:t>
            </w:r>
          </w:p>
        </w:tc>
        <w:tc>
          <w:tcPr>
            <w:tcW w:w="40" w:type="dxa"/>
            <w:vAlign w:val="bottom"/>
          </w:tcPr>
          <w:p>
            <w:pPr>
              <w:spacing w:after="0"/>
              <w:rPr>
                <w:sz w:val="11"/>
                <w:szCs w:val="11"/>
                <w:color w:val="auto"/>
              </w:rPr>
            </w:pPr>
          </w:p>
        </w:tc>
        <w:tc>
          <w:tcPr>
            <w:tcW w:w="6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restart"/>
          </w:tcPr>
          <w:p>
            <w:pPr>
              <w:ind w:left="3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3"/>
            <w:vMerge w:val="restart"/>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vMerge w:val="restart"/>
          </w:tcPr>
          <w:p>
            <w:pPr>
              <w:jc w:val="center"/>
              <w:ind w:left="49"/>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compensation expense</w:t>
            </w:r>
          </w:p>
        </w:tc>
        <w:tc>
          <w:tcPr>
            <w:tcW w:w="4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right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related party loan</w:t>
            </w: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19"/>
        </w:trPr>
        <w:tc>
          <w:tcPr>
            <w:tcW w:w="2440" w:type="dxa"/>
            <w:vAlign w:val="bottom"/>
          </w:tcPr>
          <w:p>
            <w:pPr>
              <w:ind w:left="20"/>
              <w:spacing w:after="0"/>
              <w:rPr>
                <w:sz w:val="20"/>
                <w:szCs w:val="20"/>
                <w:color w:val="auto"/>
              </w:rPr>
            </w:pPr>
            <w:r>
              <w:rPr>
                <w:rFonts w:ascii="Arial" w:cs="Arial" w:eastAsia="Arial" w:hAnsi="Arial"/>
                <w:sz w:val="14"/>
                <w:szCs w:val="14"/>
                <w:color w:val="auto"/>
              </w:rPr>
              <w:t>Balance—June 30, 2020</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161.8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4"/>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560.4</w:t>
            </w: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41.4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14"/>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54"/>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(529.5)</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(487.2)</w:t>
            </w:r>
          </w:p>
        </w:tc>
        <w:tc>
          <w:tcPr>
            <w:tcW w:w="0" w:type="dxa"/>
            <w:vAlign w:val="bottom"/>
          </w:tcPr>
          <w:p>
            <w:pPr>
              <w:spacing w:after="0"/>
              <w:rPr>
                <w:sz w:val="1"/>
                <w:szCs w:val="1"/>
                <w:color w:val="auto"/>
              </w:rPr>
            </w:pPr>
          </w:p>
        </w:tc>
      </w:tr>
      <w:tr>
        <w:trPr>
          <w:trHeight w:val="112"/>
        </w:trPr>
        <w:tc>
          <w:tcPr>
            <w:tcW w:w="24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Balance—January 1, 2020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158.9</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560.4</w:t>
            </w:r>
          </w:p>
        </w:tc>
        <w:tc>
          <w:tcPr>
            <w:tcW w:w="14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0"/>
              </w:rPr>
              <w:t>(0.1)</w:t>
            </w: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(374.0)</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Changes in other comprehensive income</w:t>
            </w: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w w:val="95"/>
              </w:rPr>
              <w:t>Tender offer and subsequent conversion</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stock—option exercises and</w:t>
            </w: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restricted stock units vesting, net of</w:t>
            </w:r>
          </w:p>
        </w:tc>
        <w:tc>
          <w:tcPr>
            <w:tcW w:w="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 for employee taxes</w:t>
            </w:r>
          </w:p>
        </w:tc>
        <w:tc>
          <w:tcPr>
            <w:tcW w:w="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Arial" w:cs="Arial" w:eastAsia="Arial" w:hAnsi="Arial"/>
                <w:sz w:val="14"/>
                <w:szCs w:val="14"/>
                <w:color w:val="auto"/>
                <w:w w:val="96"/>
              </w:rPr>
              <w:t>Reclassification of early-exercised stock</w:t>
            </w:r>
          </w:p>
        </w:tc>
        <w:tc>
          <w:tcPr>
            <w:tcW w:w="40" w:type="dxa"/>
            <w:vAlign w:val="bottom"/>
          </w:tcPr>
          <w:p>
            <w:pPr>
              <w:spacing w:after="0"/>
              <w:rPr>
                <w:sz w:val="11"/>
                <w:szCs w:val="11"/>
                <w:color w:val="auto"/>
              </w:rPr>
            </w:pP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restart"/>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3"/>
            <w:vMerge w:val="restart"/>
          </w:tcPr>
          <w:p>
            <w:pPr>
              <w:ind w:lef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3"/>
        </w:trPr>
        <w:tc>
          <w:tcPr>
            <w:tcW w:w="2440" w:type="dxa"/>
            <w:vAlign w:val="bottom"/>
          </w:tcPr>
          <w:p>
            <w:pPr>
              <w:ind w:left="180"/>
              <w:spacing w:after="0"/>
              <w:rPr>
                <w:sz w:val="20"/>
                <w:szCs w:val="20"/>
                <w:color w:val="auto"/>
              </w:rPr>
            </w:pPr>
            <w:r>
              <w:rPr>
                <w:rFonts w:ascii="Arial" w:cs="Arial" w:eastAsia="Arial" w:hAnsi="Arial"/>
                <w:sz w:val="14"/>
                <w:szCs w:val="14"/>
                <w:color w:val="auto"/>
              </w:rPr>
              <w:t>options from liabilities</w:t>
            </w:r>
          </w:p>
        </w:tc>
        <w:tc>
          <w:tcPr>
            <w:tcW w:w="4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right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stock—share-based</w:t>
            </w:r>
          </w:p>
        </w:tc>
        <w:tc>
          <w:tcPr>
            <w:tcW w:w="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expense</w:t>
            </w:r>
          </w:p>
        </w:tc>
        <w:tc>
          <w:tcPr>
            <w:tcW w:w="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Settlement of related party loan</w:t>
            </w:r>
          </w:p>
        </w:tc>
        <w:tc>
          <w:tcPr>
            <w:tcW w:w="4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4"/>
                <w:szCs w:val="14"/>
                <w:color w:val="auto"/>
              </w:rPr>
              <w:t>(0.4)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tcPr>
          <w:p>
            <w:pPr>
              <w:jc w:val="center"/>
              <w:ind w:left="49"/>
              <w:spacing w:after="0"/>
              <w:rPr>
                <w:sz w:val="20"/>
                <w:szCs w:val="20"/>
                <w:color w:val="auto"/>
              </w:rPr>
            </w:pPr>
            <w:r>
              <w:rPr>
                <w:rFonts w:ascii="Arial" w:cs="Arial" w:eastAsia="Arial" w:hAnsi="Arial"/>
                <w:sz w:val="14"/>
                <w:szCs w:val="14"/>
                <w:color w:val="auto"/>
                <w:w w:val="90"/>
              </w:rPr>
              <w:t>(0.7)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7"/>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Balance—June 30, 2020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560.4</w:t>
            </w:r>
          </w:p>
        </w:tc>
        <w:tc>
          <w:tcPr>
            <w:tcW w:w="140" w:type="dxa"/>
            <w:vAlign w:val="bottom"/>
            <w:tcBorders>
              <w:top w:val="single" w:sz="8" w:color="auto"/>
              <w:bottom w:val="single" w:sz="8" w:color="auto"/>
              <w:right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90"/>
              </w:rPr>
              <w:t>(0.8)</w:t>
            </w:r>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(487.2)</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60" w:type="dxa"/>
            <w:vAlign w:val="bottom"/>
            <w:tcBorders>
              <w:top w:val="single" w:sz="8" w:color="auto"/>
            </w:tcBorders>
          </w:tcPr>
          <w:p>
            <w:pPr>
              <w:spacing w:after="0"/>
              <w:rPr>
                <w:sz w:val="15"/>
                <w:szCs w:val="15"/>
                <w:color w:val="auto"/>
              </w:rPr>
            </w:pPr>
          </w:p>
        </w:tc>
        <w:tc>
          <w:tcPr>
            <w:tcW w:w="2540" w:type="dxa"/>
            <w:vAlign w:val="bottom"/>
            <w:tcBorders>
              <w:top w:val="single" w:sz="8" w:color="auto"/>
              <w:bottom w:val="single" w:sz="8" w:color="auto"/>
            </w:tcBorders>
            <w:gridSpan w:val="4"/>
          </w:tcPr>
          <w:p>
            <w:pPr>
              <w:jc w:val="right"/>
              <w:ind w:right="103"/>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top w:val="single" w:sz="8" w:color="auto"/>
              <w:bottom w:val="single" w:sz="8" w:color="auto"/>
            </w:tcBorders>
          </w:tcPr>
          <w:p>
            <w:pPr>
              <w:spacing w:after="0"/>
              <w:rPr>
                <w:sz w:val="15"/>
                <w:szCs w:val="15"/>
                <w:color w:val="auto"/>
              </w:rPr>
            </w:pPr>
          </w:p>
        </w:tc>
      </w:tr>
      <w:tr>
        <w:trPr>
          <w:trHeight w:val="178"/>
        </w:trPr>
        <w:tc>
          <w:tcPr>
            <w:tcW w:w="81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r>
      <w:tr>
        <w:trPr>
          <w:trHeight w:val="179"/>
        </w:trPr>
        <w:tc>
          <w:tcPr>
            <w:tcW w:w="8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20" w:type="dxa"/>
            <w:vAlign w:val="bottom"/>
            <w:gridSpan w:val="3"/>
          </w:tcPr>
          <w:p>
            <w:pPr>
              <w:jc w:val="right"/>
              <w:ind w:right="563"/>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tcPr>
          <w:p>
            <w:pPr>
              <w:jc w:val="right"/>
              <w:ind w:right="745"/>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(278.2)</w:t>
            </w:r>
          </w:p>
        </w:tc>
        <w:tc>
          <w:tcPr>
            <w:tcW w:w="80" w:type="dxa"/>
            <w:vAlign w:val="bottom"/>
          </w:tcPr>
          <w:p>
            <w:pPr>
              <w:spacing w:after="0"/>
              <w:rPr>
                <w:sz w:val="18"/>
                <w:szCs w:val="18"/>
                <w:color w:val="auto"/>
              </w:rPr>
            </w:pP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(144.5)</w:t>
            </w:r>
          </w:p>
        </w:tc>
      </w:tr>
      <w:tr>
        <w:trPr>
          <w:trHeight w:val="21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92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Tender offer</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Bad debt expense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Warrants fair value adjustment</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Payment-in-kind interest expense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Net realized gains on investments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Premiums receivable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Reinsurance recoverable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Prepaid reinsurance premiums</w:t>
            </w:r>
          </w:p>
        </w:tc>
        <w:tc>
          <w:tcPr>
            <w:tcW w:w="92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Losses and loss adjustment expenses reserves</w:t>
            </w:r>
          </w:p>
        </w:tc>
        <w:tc>
          <w:tcPr>
            <w:tcW w:w="92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35.3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49.6</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Unearned premiums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Reinsurance premiums payable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 and accrued expenses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81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liabilities</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08"/>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r>
      <w:tr>
        <w:trPr>
          <w:trHeight w:val="190"/>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investments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(118.8)</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Proceeds from maturities, call and pay downs of investments</w:t>
            </w:r>
          </w:p>
        </w:tc>
        <w:tc>
          <w:tcPr>
            <w:tcW w:w="92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23.9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Sales of investments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Capitalization of internally developed software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fixed assets</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82.6</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w:t>
            </w:r>
          </w:p>
        </w:tc>
      </w:tr>
      <w:tr>
        <w:trPr>
          <w:trHeight w:val="19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Proceeds from exercise of stock options and restricted stock units, net of tax proceeds/(withholding)</w:t>
            </w:r>
          </w:p>
        </w:tc>
        <w:tc>
          <w:tcPr>
            <w:tcW w:w="92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treasury stock</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long-term debt</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08"/>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(174.7)</w:t>
            </w:r>
          </w:p>
        </w:tc>
      </w:tr>
      <w:tr>
        <w:trPr>
          <w:trHeight w:val="20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1,113.8</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w:t>
            </w:r>
          </w:p>
        </w:tc>
      </w:tr>
      <w:tr>
        <w:trPr>
          <w:trHeight w:val="23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974.1</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9" w:name="page10"/>
    <w:bookmarkEnd w:id="9"/>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ROOT,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UNAUDITED</w:t>
      </w:r>
    </w:p>
    <w:p>
      <w:pPr>
        <w:spacing w:after="0" w:line="147" w:lineRule="exact"/>
        <w:rPr>
          <w:sz w:val="20"/>
          <w:szCs w:val="20"/>
          <w:color w:val="auto"/>
        </w:rPr>
      </w:pPr>
    </w:p>
    <w:p>
      <w:pPr>
        <w:ind w:left="640" w:hanging="634"/>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70"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Root, Inc. is a holding company which, directly or indirectly, maintains 100% ownership of each of its subsidiaries, including, among others, Root Insurance Company, an Ohio-domiciled insurance company, and Root Property &amp; Casualty Insurance Company, or Root Property &amp; Casualty Company, a Delaware-domiciled insurance company together with Root, Inc. “we,” “us” or “our”. We were formed in 2015 and began writing personal auto insurance in July 2016.</w:t>
      </w:r>
    </w:p>
    <w:p>
      <w:pPr>
        <w:spacing w:after="0" w:line="138"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We are a technology company operating a direct-to-consumer model with the majority of our personal insurance customers acquired through mobile applications. We offer auto and renters insurance products underwritten by Root Insurance Company and Root Property &amp; Casualty Company.</w:t>
      </w:r>
    </w:p>
    <w:p>
      <w:pPr>
        <w:spacing w:after="0" w:line="52" w:lineRule="exact"/>
        <w:rPr>
          <w:sz w:val="20"/>
          <w:szCs w:val="20"/>
          <w:color w:val="auto"/>
        </w:rPr>
      </w:pPr>
    </w:p>
    <w:p>
      <w:pPr>
        <w:ind w:left="640" w:hanging="634"/>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64" w:lineRule="exact"/>
        <w:rPr>
          <w:sz w:val="20"/>
          <w:szCs w:val="20"/>
          <w:color w:val="auto"/>
        </w:rPr>
      </w:pPr>
    </w:p>
    <w:p>
      <w:pPr>
        <w:ind w:firstLine="318"/>
        <w:spacing w:after="0" w:line="254"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—In our opinion, all adjustments necessary for a fair presentation of the condensed consolidated financial statements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2020 filed with the SEC on March 4, 2021, or the 2020 10-K.</w:t>
      </w:r>
    </w:p>
    <w:p>
      <w:pPr>
        <w:spacing w:after="0" w:line="131" w:lineRule="exact"/>
        <w:rPr>
          <w:sz w:val="20"/>
          <w:szCs w:val="20"/>
          <w:color w:val="auto"/>
        </w:rPr>
      </w:pPr>
    </w:p>
    <w:p>
      <w:pPr>
        <w:jc w:val="both"/>
        <w:ind w:right="80" w:firstLine="318"/>
        <w:spacing w:after="0" w:line="258" w:lineRule="auto"/>
        <w:rPr>
          <w:sz w:val="20"/>
          <w:szCs w:val="20"/>
          <w:color w:val="auto"/>
        </w:rPr>
      </w:pPr>
      <w:r>
        <w:rPr>
          <w:rFonts w:ascii="Arial" w:cs="Arial" w:eastAsia="Arial" w:hAnsi="Arial"/>
          <w:sz w:val="18"/>
          <w:szCs w:val="18"/>
          <w:b w:val="1"/>
          <w:bCs w:val="1"/>
          <w:color w:val="auto"/>
        </w:rPr>
        <w:t>Basis of Consolidation</w:t>
      </w:r>
      <w:r>
        <w:rPr>
          <w:rFonts w:ascii="Arial" w:cs="Arial" w:eastAsia="Arial" w:hAnsi="Arial"/>
          <w:sz w:val="18"/>
          <w:szCs w:val="18"/>
          <w:color w:val="auto"/>
        </w:rPr>
        <w:t>—The unaudited condensed consolidated financial statements include the accounts of Root, Inc. and its subsidiaries,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wholly owned. These financial statements have been prepared in accordance with accounting principles generally accepted in the United States, or GAAP. All intercompany accounts and transactions have been eliminated.</w:t>
      </w:r>
    </w:p>
    <w:p>
      <w:pPr>
        <w:spacing w:after="0" w:line="127" w:lineRule="exact"/>
        <w:rPr>
          <w:sz w:val="20"/>
          <w:szCs w:val="20"/>
          <w:color w:val="auto"/>
        </w:rPr>
      </w:pPr>
    </w:p>
    <w:p>
      <w:pPr>
        <w:ind w:right="180" w:firstLine="318"/>
        <w:spacing w:after="0" w:line="270"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the unaudited condensed consolidated financial statements requires management to make certain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premium write-offs and valuation allowances for income taxes.</w:t>
      </w:r>
    </w:p>
    <w:p>
      <w:pPr>
        <w:spacing w:after="0" w:line="119" w:lineRule="exact"/>
        <w:rPr>
          <w:sz w:val="20"/>
          <w:szCs w:val="20"/>
          <w:color w:val="auto"/>
        </w:rPr>
      </w:pPr>
    </w:p>
    <w:p>
      <w:pPr>
        <w:ind w:right="120" w:firstLine="318"/>
        <w:spacing w:after="0" w:line="304" w:lineRule="auto"/>
        <w:rPr>
          <w:sz w:val="20"/>
          <w:szCs w:val="20"/>
          <w:color w:val="auto"/>
        </w:rPr>
      </w:pPr>
      <w:r>
        <w:rPr>
          <w:rFonts w:ascii="Arial" w:cs="Arial" w:eastAsia="Arial" w:hAnsi="Arial"/>
          <w:sz w:val="15"/>
          <w:szCs w:val="15"/>
          <w:b w:val="1"/>
          <w:bCs w:val="1"/>
          <w:color w:val="auto"/>
        </w:rPr>
        <w:t>COVID-19</w:t>
      </w:r>
      <w:r>
        <w:rPr>
          <w:rFonts w:ascii="Arial" w:cs="Arial" w:eastAsia="Arial" w:hAnsi="Arial"/>
          <w:sz w:val="15"/>
          <w:szCs w:val="15"/>
          <w:color w:val="auto"/>
        </w:rPr>
        <w:t>—In March 2020, the World Health Organization declared COVID-19 to be a global pandemic. The pandemic and related measures taken to</w:t>
      </w:r>
      <w:r>
        <w:rPr>
          <w:rFonts w:ascii="Arial" w:cs="Arial" w:eastAsia="Arial" w:hAnsi="Arial"/>
          <w:sz w:val="15"/>
          <w:szCs w:val="15"/>
          <w:b w:val="1"/>
          <w:bCs w:val="1"/>
          <w:color w:val="auto"/>
        </w:rPr>
        <w:t xml:space="preserve"> </w:t>
      </w:r>
      <w:r>
        <w:rPr>
          <w:rFonts w:ascii="Arial" w:cs="Arial" w:eastAsia="Arial" w:hAnsi="Arial"/>
          <w:sz w:val="15"/>
          <w:szCs w:val="15"/>
          <w:color w:val="auto"/>
        </w:rPr>
        <w:t>contain the spread of COVID-19, such as government-mandated business closures, orders to “shelter in place” and travel and transportation restrictions, have negatively affected the U.S. and global economies, disrupted global supply chains, and led to unprecedented levels of unemployment. We, and other businesses within the insurance industry, have been impacted by certain individual state bulletins that were issued in 2020 and outlined COVID-19 premium relief efforts, including restrictions on the ability to cancel policies for non-payment, requirements to defer insurance payments for up to 60 days and restrictions on increasing policy premiums. The COVID-19 pandemic has impacted and may further impact the broader economic environment, including negatively impacting unemployment levels, economic growth, the proper functioning of financial and capital markets and interest rates. As the COVID-19 pandemic continues, there is uncertainty around the severity and duration of the pandemic and the pandemic’s potential impact on our business and our financial performance. Accordingly, we cannot predict the impact that it may have on our future results of operations and financial condition.</w:t>
      </w:r>
    </w:p>
    <w:p>
      <w:pPr>
        <w:spacing w:after="0" w:line="101" w:lineRule="exact"/>
        <w:rPr>
          <w:sz w:val="20"/>
          <w:szCs w:val="20"/>
          <w:color w:val="auto"/>
        </w:rPr>
      </w:pPr>
    </w:p>
    <w:p>
      <w:pPr>
        <w:ind w:right="140" w:firstLine="318"/>
        <w:spacing w:after="0" w:line="321" w:lineRule="auto"/>
        <w:rPr>
          <w:sz w:val="20"/>
          <w:szCs w:val="20"/>
          <w:color w:val="auto"/>
        </w:rPr>
      </w:pPr>
      <w:r>
        <w:rPr>
          <w:rFonts w:ascii="Arial" w:cs="Arial" w:eastAsia="Arial" w:hAnsi="Arial"/>
          <w:sz w:val="15"/>
          <w:szCs w:val="15"/>
          <w:b w:val="1"/>
          <w:bCs w:val="1"/>
          <w:color w:val="auto"/>
        </w:rPr>
        <w:t>Recently Adopted Financial Accounting Standards</w:t>
      </w:r>
      <w:r>
        <w:rPr>
          <w:rFonts w:ascii="Arial" w:cs="Arial" w:eastAsia="Arial" w:hAnsi="Arial"/>
          <w:sz w:val="15"/>
          <w:szCs w:val="15"/>
          <w:color w:val="auto"/>
        </w:rPr>
        <w:t>—In February 2016, the Financial Accounting Standards Board, or FASB, issued Accounting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Standards Update, or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The main provision of ASU 2016-02 requires the recognition of right-of-use lease assets and lease liabilities by lessees for those leases classified as operating leases under previous GAAP. The guidance also requires disclosures that meet the objective of enabling financial statement users to assess the amount, timing, and uncertainty of related cash flows. We adopted ASU 2016-02 on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19" w:lineRule="exact"/>
        <w:rPr>
          <w:sz w:val="20"/>
          <w:szCs w:val="20"/>
          <w:color w:val="auto"/>
        </w:rPr>
      </w:pPr>
    </w:p>
    <w:p>
      <w:pPr>
        <w:jc w:val="both"/>
        <w:ind w:right="180" w:firstLine="318"/>
        <w:spacing w:after="0" w:line="330" w:lineRule="auto"/>
        <w:rPr>
          <w:sz w:val="20"/>
          <w:szCs w:val="20"/>
          <w:color w:val="auto"/>
        </w:rPr>
      </w:pPr>
      <w:r>
        <w:rPr>
          <w:rFonts w:ascii="Arial" w:cs="Arial" w:eastAsia="Arial" w:hAnsi="Arial"/>
          <w:sz w:val="15"/>
          <w:szCs w:val="15"/>
          <w:color w:val="auto"/>
        </w:rPr>
        <w:t>We elected various practical expedients which include: not applying the amended lease accounting guidance to comparative periods; including the carry forward of our leases without reassessing whether any contracts are leases or contain leases, lease classification and initial direct costs; and excluding leases with a term of 12 months or less from lease liability and right-of-use asset recognition. We did not elect the hindsight practical expedient.</w:t>
      </w:r>
    </w:p>
    <w:p>
      <w:pPr>
        <w:spacing w:after="0" w:line="84"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Our lease agreements contain lease components and non-lease components, both of which we have elected to account for as a single lease component for our real estate asset class. Operating lease expense for operating lease right-of-use assets is recognized on a straight-line basis over the lease term, which may include options to extend or terminate the lease when it is reasonably certain to do so and there is a significant economic incentive to exercise that option.</w:t>
      </w:r>
    </w:p>
    <w:p>
      <w:pPr>
        <w:spacing w:after="0" w:line="8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Upon adoption of ASU 2016-02, we recognized an operating lease liability of $16.2 million and corresponding right-of-use asset of $9.9 million, which includes the effect of $6.3 million from reclassifying previously recognized deferred rent and lease exit liabilities as an offset, in accordance with the transition guidance. These lease assets and liabilities are recorded as other assets and other liabilities on the condensed consolidated balance sheets. This transition adjustment was reflected as a non-cash transaction in our condensed consolidated statements of cash flows. The transition did not have a material impact on our results of operations, liquidity or debt covenant compliance under our current debt agreements. For additional information refer to Note 6, “Leases.”</w:t>
      </w:r>
    </w:p>
    <w:p>
      <w:pPr>
        <w:spacing w:after="0" w:line="92" w:lineRule="exact"/>
        <w:rPr>
          <w:sz w:val="20"/>
          <w:szCs w:val="20"/>
          <w:color w:val="auto"/>
        </w:rPr>
      </w:pPr>
    </w:p>
    <w:p>
      <w:pPr>
        <w:ind w:right="80" w:firstLine="318"/>
        <w:spacing w:after="0" w:line="270" w:lineRule="auto"/>
        <w:rPr>
          <w:sz w:val="20"/>
          <w:szCs w:val="20"/>
          <w:color w:val="auto"/>
        </w:rPr>
      </w:pPr>
      <w:r>
        <w:rPr>
          <w:rFonts w:ascii="Arial" w:cs="Arial" w:eastAsia="Arial" w:hAnsi="Arial"/>
          <w:sz w:val="17"/>
          <w:szCs w:val="17"/>
          <w:b w:val="1"/>
          <w:bCs w:val="1"/>
          <w:color w:val="auto"/>
        </w:rPr>
        <w:t>Upcoming Accounting Pronouncements—</w:t>
      </w:r>
      <w:r>
        <w:rPr>
          <w:rFonts w:ascii="Arial" w:cs="Arial" w:eastAsia="Arial" w:hAnsi="Arial"/>
          <w:sz w:val="17"/>
          <w:szCs w:val="17"/>
          <w:color w:val="auto"/>
        </w:rPr>
        <w:t>We currently qualify as an "emerging growth company," or EGC, under the Jumpstart Our Business Startups</w:t>
      </w:r>
      <w:r>
        <w:rPr>
          <w:rFonts w:ascii="Arial" w:cs="Arial" w:eastAsia="Arial" w:hAnsi="Arial"/>
          <w:sz w:val="17"/>
          <w:szCs w:val="17"/>
          <w:b w:val="1"/>
          <w:bCs w:val="1"/>
          <w:color w:val="auto"/>
        </w:rPr>
        <w:t xml:space="preserve"> </w:t>
      </w:r>
      <w:r>
        <w:rPr>
          <w:rFonts w:ascii="Arial" w:cs="Arial" w:eastAsia="Arial" w:hAnsi="Arial"/>
          <w:sz w:val="17"/>
          <w:szCs w:val="17"/>
          <w:color w:val="auto"/>
        </w:rPr>
        <w:t>Act of 2012, or JOBS Act, whereby we have the option to adopt new or revised accounting guidance within the same time periods as private companies. We have elected this option, but may ultimately determine it is preferable to take advantage of early adoption provisions offered within the applicable guidance. As of June 30, 2021, the market value of our common stock held by non-affiliates exceeded $700 million. We will follow the adoption criteria for public companies and reflect such adoption criteria in our Annual Report on Form 10-K for the 2021 fiscal year.</w:t>
      </w:r>
    </w:p>
    <w:p>
      <w:pPr>
        <w:spacing w:after="0" w:line="125" w:lineRule="exact"/>
        <w:rPr>
          <w:sz w:val="20"/>
          <w:szCs w:val="20"/>
          <w:color w:val="auto"/>
        </w:rPr>
      </w:pPr>
    </w:p>
    <w:p>
      <w:pPr>
        <w:ind w:right="160" w:firstLine="318"/>
        <w:spacing w:after="0" w:line="26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ASU 2016-13 amends previous guidance on the impairment measurement of financial assets, including reinsurance recoverables, available-for-sale securities, and premium receivables, by requiring an entity to recognize an allowance for expected credit losses as a contra asset, rather than impairment as losses are incurred. The amended guidance is intended to result in more timely recognition of expected credit losses and enhance the accounting and disclosure of credit losses on financial assets. The ASU requires a cumulative-effect change to retained earnings in the period of adoption and prospective changes on previously recorded impairments, to the extent applicable. Upon losing EGC status as of December 31, 2021, we will adopt this guidance retroactively to January 1, 2021. We are currently evaluating the impact of this ASU.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13" w:lineRule="exact"/>
        <w:rPr>
          <w:sz w:val="20"/>
          <w:szCs w:val="20"/>
          <w:color w:val="auto"/>
        </w:rPr>
      </w:pPr>
    </w:p>
    <w:p>
      <w:pPr>
        <w:ind w:left="640" w:hanging="634"/>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70"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amortized cost and fair value of short-term investments and available-for-sale fixed maturity securities at June 30, 2021 and December 31, 2020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0"/>
              </w:rPr>
              <w:t>June 30, 2021</w:t>
            </w: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460" w:type="dxa"/>
            <w:vAlign w:val="bottom"/>
          </w:tcPr>
          <w:p>
            <w:pPr>
              <w:spacing w:after="0"/>
              <w:rPr>
                <w:sz w:val="11"/>
                <w:szCs w:val="11"/>
                <w:color w:val="auto"/>
              </w:rPr>
            </w:pPr>
          </w:p>
        </w:tc>
        <w:tc>
          <w:tcPr>
            <w:tcW w:w="134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rPr>
              <w:t>Gross Unrealized</w:t>
            </w:r>
          </w:p>
        </w:tc>
        <w:tc>
          <w:tcPr>
            <w:tcW w:w="460" w:type="dxa"/>
            <w:vAlign w:val="bottom"/>
          </w:tcPr>
          <w:p>
            <w:pPr>
              <w:spacing w:after="0"/>
              <w:rPr>
                <w:sz w:val="11"/>
                <w:szCs w:val="11"/>
                <w:color w:val="auto"/>
              </w:rPr>
            </w:pPr>
          </w:p>
        </w:tc>
        <w:tc>
          <w:tcPr>
            <w:tcW w:w="136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Gross Unrealized</w:t>
            </w:r>
          </w:p>
        </w:tc>
        <w:tc>
          <w:tcPr>
            <w:tcW w:w="560" w:type="dxa"/>
            <w:vAlign w:val="bottom"/>
          </w:tcPr>
          <w:p>
            <w:pPr>
              <w:spacing w:after="0"/>
              <w:rPr>
                <w:sz w:val="11"/>
                <w:szCs w:val="11"/>
                <w:color w:val="auto"/>
              </w:rPr>
            </w:pPr>
          </w:p>
        </w:tc>
        <w:tc>
          <w:tcPr>
            <w:tcW w:w="11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Losses</w:t>
            </w: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(dollars in millions)</w:t>
            </w: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maturities: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U.S. Treasury securities and agencies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Corporate debt securities</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mortgage-backed securities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Commercial mortgage backed securities</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obligations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8"/>
        </w:trPr>
        <w:tc>
          <w:tcPr>
            <w:tcW w:w="4040" w:type="dxa"/>
            <w:vAlign w:val="bottom"/>
          </w:tcPr>
          <w:p>
            <w:pPr>
              <w:ind w:left="560"/>
              <w:spacing w:after="0"/>
              <w:rPr>
                <w:sz w:val="20"/>
                <w:szCs w:val="20"/>
                <w:color w:val="auto"/>
              </w:rPr>
            </w:pPr>
            <w:r>
              <w:rPr>
                <w:rFonts w:ascii="Arial" w:cs="Arial" w:eastAsia="Arial" w:hAnsi="Arial"/>
                <w:sz w:val="18"/>
                <w:szCs w:val="18"/>
                <w:color w:val="auto"/>
              </w:rPr>
              <w:t>Total fixed maturities</w:t>
            </w:r>
          </w:p>
        </w:tc>
        <w:tc>
          <w:tcPr>
            <w:tcW w:w="4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9"/>
        </w:trPr>
        <w:tc>
          <w:tcPr>
            <w:tcW w:w="4040" w:type="dxa"/>
            <w:vAlign w:val="bottom"/>
          </w:tcPr>
          <w:p>
            <w:pPr>
              <w:ind w:left="66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0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0"/>
              </w:rPr>
              <w:t>December 31, 2020</w:t>
            </w: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460" w:type="dxa"/>
            <w:vAlign w:val="bottom"/>
          </w:tcPr>
          <w:p>
            <w:pPr>
              <w:spacing w:after="0"/>
              <w:rPr>
                <w:sz w:val="11"/>
                <w:szCs w:val="11"/>
                <w:color w:val="auto"/>
              </w:rPr>
            </w:pPr>
          </w:p>
        </w:tc>
        <w:tc>
          <w:tcPr>
            <w:tcW w:w="134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rPr>
              <w:t>Gross Unrealized</w:t>
            </w:r>
          </w:p>
        </w:tc>
        <w:tc>
          <w:tcPr>
            <w:tcW w:w="460" w:type="dxa"/>
            <w:vAlign w:val="bottom"/>
          </w:tcPr>
          <w:p>
            <w:pPr>
              <w:spacing w:after="0"/>
              <w:rPr>
                <w:sz w:val="11"/>
                <w:szCs w:val="11"/>
                <w:color w:val="auto"/>
              </w:rPr>
            </w:pPr>
          </w:p>
        </w:tc>
        <w:tc>
          <w:tcPr>
            <w:tcW w:w="136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Gross Unrealized</w:t>
            </w:r>
          </w:p>
        </w:tc>
        <w:tc>
          <w:tcPr>
            <w:tcW w:w="560" w:type="dxa"/>
            <w:vAlign w:val="bottom"/>
          </w:tcPr>
          <w:p>
            <w:pPr>
              <w:spacing w:after="0"/>
              <w:rPr>
                <w:sz w:val="11"/>
                <w:szCs w:val="11"/>
                <w:color w:val="auto"/>
              </w:rPr>
            </w:pPr>
          </w:p>
        </w:tc>
        <w:tc>
          <w:tcPr>
            <w:tcW w:w="11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Losses</w:t>
            </w: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(dollars in millions)</w:t>
            </w: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maturities: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U.S. Treasury securities and agencies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Corporate debt securities</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mortgage-backed securities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Commercial mortgage backed securities</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obligations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8"/>
        </w:trPr>
        <w:tc>
          <w:tcPr>
            <w:tcW w:w="4040" w:type="dxa"/>
            <w:vAlign w:val="bottom"/>
          </w:tcPr>
          <w:p>
            <w:pPr>
              <w:ind w:left="560"/>
              <w:spacing w:after="0"/>
              <w:rPr>
                <w:sz w:val="20"/>
                <w:szCs w:val="20"/>
                <w:color w:val="auto"/>
              </w:rPr>
            </w:pPr>
            <w:r>
              <w:rPr>
                <w:rFonts w:ascii="Arial" w:cs="Arial" w:eastAsia="Arial" w:hAnsi="Arial"/>
                <w:sz w:val="18"/>
                <w:szCs w:val="18"/>
                <w:color w:val="auto"/>
              </w:rPr>
              <w:t>Total fixed maturities</w:t>
            </w:r>
          </w:p>
        </w:tc>
        <w:tc>
          <w:tcPr>
            <w:tcW w:w="4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9"/>
        </w:trPr>
        <w:tc>
          <w:tcPr>
            <w:tcW w:w="4040" w:type="dxa"/>
            <w:vAlign w:val="bottom"/>
          </w:tcPr>
          <w:p>
            <w:pPr>
              <w:ind w:left="66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64" w:lineRule="exact"/>
        <w:rPr>
          <w:sz w:val="20"/>
          <w:szCs w:val="20"/>
          <w:color w:val="auto"/>
        </w:rPr>
      </w:pPr>
    </w:p>
    <w:p>
      <w:pPr>
        <w:ind w:right="260" w:firstLine="318"/>
        <w:spacing w:after="0" w:line="271" w:lineRule="auto"/>
        <w:rPr>
          <w:sz w:val="20"/>
          <w:szCs w:val="20"/>
          <w:color w:val="auto"/>
        </w:rPr>
      </w:pPr>
      <w:r>
        <w:rPr>
          <w:rFonts w:ascii="Arial" w:cs="Arial" w:eastAsia="Arial" w:hAnsi="Arial"/>
          <w:sz w:val="17"/>
          <w:szCs w:val="17"/>
          <w:color w:val="auto"/>
        </w:rPr>
        <w:t>Other investments consist of private equity investments without a readily determinable fair value. We elected to account for these investments at cost minus any impairment, plus or minus changes resulting from observable price changes in orderly transactions for an identical or a similar investment of the same issuer. As of June 30, 2021 and December 31, 2020, other investments were $0.8 million and $0.5 million, respectively. There were no impairments recognized on other investments for the three and six months ended June 30,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19"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The following tables reflect the gross unrealized losses and fair value of bonds, aggregated by investment category and length of time that individual securities have been in a continuous unrealized loss position at June 30, 2021 and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June 30, 2021</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5"/>
                <w:szCs w:val="15"/>
                <w:color w:val="auto"/>
              </w:rPr>
            </w:pP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12 Months or More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5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6"/>
              <w:spacing w:after="0" w:line="127"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40" w:type="dxa"/>
            <w:vAlign w:val="bottom"/>
            <w:tcBorders>
              <w:top w:val="single" w:sz="8" w:color="auto"/>
            </w:tcBorders>
          </w:tcPr>
          <w:p>
            <w:pPr>
              <w:jc w:val="center"/>
              <w:ind w:left="161"/>
              <w:spacing w:after="0" w:line="127"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16"/>
              <w:spacing w:after="0" w:line="127"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79"/>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tcPr>
          <w:p>
            <w:pPr>
              <w:jc w:val="center"/>
              <w:ind w:left="181"/>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79"/>
        </w:trPr>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(dollars in millions)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U.S. Treasury securities and agencies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61"/>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640"/>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bonds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7"/>
              </w:rPr>
              <w:t>(0.3)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1"/>
              </w:rPr>
              <w:t>(0.3)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5"/>
                <w:szCs w:val="15"/>
                <w:color w:val="auto"/>
              </w:rPr>
            </w:pP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12 Months or More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5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6"/>
              <w:spacing w:after="0" w:line="127"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40" w:type="dxa"/>
            <w:vAlign w:val="bottom"/>
            <w:tcBorders>
              <w:top w:val="single" w:sz="8" w:color="auto"/>
            </w:tcBorders>
          </w:tcPr>
          <w:p>
            <w:pPr>
              <w:jc w:val="center"/>
              <w:ind w:left="161"/>
              <w:spacing w:after="0" w:line="127"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16"/>
              <w:spacing w:after="0" w:line="127"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79"/>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tcPr>
          <w:p>
            <w:pPr>
              <w:jc w:val="center"/>
              <w:ind w:left="181"/>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79"/>
        </w:trPr>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(dollars in millions)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580" w:type="dxa"/>
            <w:vAlign w:val="bottom"/>
          </w:tcPr>
          <w:p>
            <w:pPr>
              <w:ind w:left="120"/>
              <w:spacing w:after="0"/>
              <w:rPr>
                <w:sz w:val="20"/>
                <w:szCs w:val="20"/>
                <w:color w:val="auto"/>
              </w:rPr>
            </w:pPr>
            <w:r>
              <w:rPr>
                <w:rFonts w:ascii="Arial" w:cs="Arial" w:eastAsia="Arial" w:hAnsi="Arial"/>
                <w:sz w:val="18"/>
                <w:szCs w:val="18"/>
                <w:color w:val="auto"/>
              </w:rPr>
              <w:t>U.S. Treasury securities and agencies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61"/>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3"/>
                <w:szCs w:val="23"/>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358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6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3580" w:type="dxa"/>
            <w:vAlign w:val="bottom"/>
          </w:tcPr>
          <w:p>
            <w:pPr>
              <w:ind w:left="12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debt obligations</w:t>
            </w: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3580" w:type="dxa"/>
            <w:vAlign w:val="bottom"/>
          </w:tcPr>
          <w:p>
            <w:pPr>
              <w:ind w:left="240"/>
              <w:spacing w:after="0"/>
              <w:rPr>
                <w:sz w:val="20"/>
                <w:szCs w:val="20"/>
                <w:color w:val="auto"/>
              </w:rPr>
            </w:pPr>
            <w:r>
              <w:rPr>
                <w:rFonts w:ascii="Arial" w:cs="Arial" w:eastAsia="Arial" w:hAnsi="Arial"/>
                <w:sz w:val="18"/>
                <w:szCs w:val="18"/>
                <w:color w:val="auto"/>
              </w:rPr>
              <w:t>Total bonds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61"/>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2"/>
                <w:szCs w:val="22"/>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640"/>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other-than-temporary impairments recognized for the three and six months ended June 30, 2021 or 2020.</w:t>
      </w:r>
    </w:p>
    <w:p>
      <w:pPr>
        <w:spacing w:after="0" w:line="164" w:lineRule="exact"/>
        <w:rPr>
          <w:sz w:val="20"/>
          <w:szCs w:val="20"/>
          <w:color w:val="auto"/>
        </w:rPr>
      </w:pPr>
    </w:p>
    <w:p>
      <w:pPr>
        <w:ind w:right="540" w:firstLine="318"/>
        <w:spacing w:after="0" w:line="365" w:lineRule="auto"/>
        <w:rPr>
          <w:sz w:val="20"/>
          <w:szCs w:val="20"/>
          <w:color w:val="auto"/>
        </w:rPr>
      </w:pPr>
      <w:r>
        <w:rPr>
          <w:rFonts w:ascii="Arial" w:cs="Arial" w:eastAsia="Arial" w:hAnsi="Arial"/>
          <w:sz w:val="15"/>
          <w:szCs w:val="15"/>
          <w:color w:val="auto"/>
        </w:rPr>
        <w:t>The following table reflects the gross and net realized gains and losses on short-term investments and fixed maturities that have been included in the condensed consolidated statements of operations and comprehensive loss for the three and six months ended June 30, 2021 and 2020:</w:t>
      </w:r>
    </w:p>
    <w:p>
      <w:pPr>
        <w:spacing w:after="0" w:line="88"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5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16"/>
                <w:szCs w:val="16"/>
                <w:color w:val="auto"/>
              </w:rPr>
            </w:pPr>
          </w:p>
        </w:tc>
      </w:tr>
      <w:tr>
        <w:trPr>
          <w:trHeight w:val="183"/>
        </w:trPr>
        <w:tc>
          <w:tcPr>
            <w:tcW w:w="4040" w:type="dxa"/>
            <w:vAlign w:val="bottom"/>
          </w:tcPr>
          <w:p>
            <w:pPr>
              <w:spacing w:after="0"/>
              <w:rPr>
                <w:sz w:val="15"/>
                <w:szCs w:val="15"/>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r>
      <w:tr>
        <w:trPr>
          <w:trHeight w:val="179"/>
        </w:trPr>
        <w:tc>
          <w:tcPr>
            <w:tcW w:w="4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20" w:type="dxa"/>
            <w:vAlign w:val="bottom"/>
            <w:gridSpan w:val="3"/>
          </w:tcPr>
          <w:p>
            <w:pPr>
              <w:jc w:val="right"/>
              <w:ind w:right="461"/>
              <w:spacing w:after="0"/>
              <w:rPr>
                <w:sz w:val="20"/>
                <w:szCs w:val="20"/>
                <w:color w:val="auto"/>
              </w:rPr>
            </w:pPr>
            <w:r>
              <w:rPr>
                <w:rFonts w:ascii="Arial" w:cs="Arial" w:eastAsia="Arial" w:hAnsi="Arial"/>
                <w:sz w:val="14"/>
                <w:szCs w:val="14"/>
                <w:b w:val="1"/>
                <w:bCs w:val="1"/>
                <w:color w:val="auto"/>
                <w:w w:val="98"/>
              </w:rPr>
              <w:t>(dollars in millions)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Realized gains on investments</w:t>
            </w:r>
          </w:p>
        </w:tc>
        <w:tc>
          <w:tcPr>
            <w:tcW w:w="13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7"/>
              </w:rPr>
              <w:t>2.5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5"/>
        </w:trPr>
        <w:tc>
          <w:tcPr>
            <w:tcW w:w="4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Realized losses on investments</w:t>
            </w:r>
          </w:p>
        </w:tc>
        <w:tc>
          <w:tcPr>
            <w:tcW w:w="1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(0.1)</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239"/>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gains on investments</w:t>
            </w:r>
          </w:p>
        </w:tc>
        <w:tc>
          <w:tcPr>
            <w:tcW w:w="13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7"/>
              </w:rPr>
              <w:t>2.4</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3" w:name="page14"/>
    <w:bookmarkEnd w:id="13"/>
    <w:p>
      <w:pPr>
        <w:spacing w:after="0" w:line="119"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following table sets forth the amortized cost and fair value of short-term investments and fixed maturity securities by contractual maturity at June 30, 2021:</w:t>
      </w:r>
    </w:p>
    <w:p>
      <w:pPr>
        <w:spacing w:after="0" w:line="157"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June 30, 2021</w:t>
            </w:r>
          </w:p>
        </w:tc>
        <w:tc>
          <w:tcPr>
            <w:tcW w:w="1060" w:type="dxa"/>
            <w:vAlign w:val="bottom"/>
            <w:tcBorders>
              <w:bottom w:val="single" w:sz="8" w:color="auto"/>
            </w:tcBorders>
          </w:tcPr>
          <w:p>
            <w:pPr>
              <w:spacing w:after="0"/>
              <w:rPr>
                <w:sz w:val="16"/>
                <w:szCs w:val="16"/>
                <w:color w:val="auto"/>
              </w:rPr>
            </w:pPr>
          </w:p>
        </w:tc>
      </w:tr>
      <w:tr>
        <w:trPr>
          <w:trHeight w:val="183"/>
        </w:trPr>
        <w:tc>
          <w:tcPr>
            <w:tcW w:w="7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7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2"/>
              </w:rPr>
              <w:t>Fair Value</w:t>
            </w:r>
          </w:p>
        </w:tc>
      </w:tr>
      <w:tr>
        <w:trPr>
          <w:trHeight w:val="179"/>
        </w:trPr>
        <w:tc>
          <w:tcPr>
            <w:tcW w:w="7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15"/>
                <w:szCs w:val="15"/>
                <w:color w:val="auto"/>
              </w:rPr>
            </w:pPr>
          </w:p>
        </w:tc>
      </w:tr>
      <w:tr>
        <w:trPr>
          <w:trHeight w:val="226"/>
        </w:trPr>
        <w:tc>
          <w:tcPr>
            <w:tcW w:w="7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Due in one year or less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5"/>
        </w:trPr>
        <w:tc>
          <w:tcPr>
            <w:tcW w:w="7140" w:type="dxa"/>
            <w:vAlign w:val="bottom"/>
          </w:tcPr>
          <w:p>
            <w:pPr>
              <w:ind w:left="320"/>
              <w:spacing w:after="0"/>
              <w:rPr>
                <w:sz w:val="20"/>
                <w:szCs w:val="20"/>
                <w:color w:val="auto"/>
              </w:rPr>
            </w:pPr>
            <w:r>
              <w:rPr>
                <w:rFonts w:ascii="Arial" w:cs="Arial" w:eastAsia="Arial" w:hAnsi="Arial"/>
                <w:sz w:val="18"/>
                <w:szCs w:val="18"/>
                <w:color w:val="auto"/>
              </w:rPr>
              <w:t>Due after one year through five years</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104.5</w:t>
            </w:r>
          </w:p>
        </w:tc>
      </w:tr>
      <w:tr>
        <w:trPr>
          <w:trHeight w:val="226"/>
        </w:trPr>
        <w:tc>
          <w:tcPr>
            <w:tcW w:w="7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Due five years through 10 years</w:t>
            </w: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5"/>
        </w:trPr>
        <w:tc>
          <w:tcPr>
            <w:tcW w:w="71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Due after 10 years</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44"/>
        </w:trPr>
        <w:tc>
          <w:tcPr>
            <w:tcW w:w="71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components of net investment income for the three and six months ended June 30, 2021 and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3220" w:type="dxa"/>
            <w:vAlign w:val="bottom"/>
            <w:tcBorders>
              <w:bottom w:val="single" w:sz="8" w:color="auto"/>
            </w:tcBorders>
            <w:gridSpan w:val="6"/>
          </w:tcPr>
          <w:p>
            <w:pPr>
              <w:jc w:val="right"/>
              <w:ind w:right="296"/>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277"/>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6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1"/>
              </w:rPr>
              <w:t>(dollars in millions)</w:t>
            </w: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bonds</w:t>
            </w:r>
          </w:p>
        </w:tc>
        <w:tc>
          <w:tcPr>
            <w:tcW w:w="12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center"/>
              <w:ind w:left="856"/>
              <w:spacing w:after="0"/>
              <w:rPr>
                <w:sz w:val="20"/>
                <w:szCs w:val="20"/>
                <w:color w:val="auto"/>
              </w:rPr>
            </w:pPr>
            <w:r>
              <w:rPr>
                <w:rFonts w:ascii="Arial" w:cs="Arial" w:eastAsia="Arial" w:hAnsi="Arial"/>
                <w:sz w:val="18"/>
                <w:szCs w:val="18"/>
                <w:color w:val="auto"/>
                <w:w w:val="87"/>
              </w:rPr>
              <w:t>1.3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Interest on deposits and cash equivalents</w:t>
            </w: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0.3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0.2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left="856"/>
              <w:spacing w:after="0"/>
              <w:rPr>
                <w:sz w:val="20"/>
                <w:szCs w:val="20"/>
                <w:color w:val="auto"/>
              </w:rPr>
            </w:pPr>
            <w:r>
              <w:rPr>
                <w:rFonts w:ascii="Arial" w:cs="Arial" w:eastAsia="Arial" w:hAnsi="Arial"/>
                <w:sz w:val="18"/>
                <w:szCs w:val="18"/>
                <w:color w:val="auto"/>
                <w:w w:val="87"/>
              </w:rPr>
              <w:t>0.6</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center"/>
              <w:ind w:left="856"/>
              <w:spacing w:after="0"/>
              <w:rPr>
                <w:sz w:val="20"/>
                <w:szCs w:val="20"/>
                <w:color w:val="auto"/>
              </w:rPr>
            </w:pPr>
            <w:r>
              <w:rPr>
                <w:rFonts w:ascii="Arial" w:cs="Arial" w:eastAsia="Arial" w:hAnsi="Arial"/>
                <w:sz w:val="18"/>
                <w:szCs w:val="18"/>
                <w:color w:val="auto"/>
                <w:w w:val="87"/>
              </w:rPr>
              <w:t>1.9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Investment expense</w:t>
            </w: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6"/>
              </w:rPr>
              <w:t>(0.2)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ind w:left="1056"/>
              <w:spacing w:after="0"/>
              <w:rPr>
                <w:sz w:val="20"/>
                <w:szCs w:val="20"/>
                <w:color w:val="auto"/>
              </w:rPr>
            </w:pPr>
            <w:r>
              <w:rPr>
                <w:rFonts w:ascii="Arial" w:cs="Arial" w:eastAsia="Arial" w:hAnsi="Arial"/>
                <w:sz w:val="18"/>
                <w:szCs w:val="18"/>
                <w:color w:val="auto"/>
                <w:w w:val="91"/>
              </w:rPr>
              <w:t>(0.1)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left="816"/>
              <w:spacing w:after="0"/>
              <w:rPr>
                <w:sz w:val="20"/>
                <w:szCs w:val="20"/>
                <w:color w:val="auto"/>
              </w:rPr>
            </w:pPr>
            <w:r>
              <w:rPr>
                <w:rFonts w:ascii="Arial" w:cs="Arial" w:eastAsia="Arial" w:hAnsi="Arial"/>
                <w:sz w:val="18"/>
                <w:szCs w:val="18"/>
                <w:color w:val="auto"/>
                <w:w w:val="91"/>
              </w:rPr>
              <w:t>(0.3)</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investment income</w:t>
            </w:r>
          </w:p>
        </w:tc>
        <w:tc>
          <w:tcPr>
            <w:tcW w:w="12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7"/>
              </w:rPr>
              <w:t>1.3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3"/>
            <w:shd w:val="clear" w:color="auto" w:fill="CCEEFF"/>
          </w:tcPr>
          <w:p>
            <w:pPr>
              <w:jc w:val="center"/>
              <w:ind w:left="856"/>
              <w:spacing w:after="0"/>
              <w:rPr>
                <w:sz w:val="20"/>
                <w:szCs w:val="20"/>
                <w:color w:val="auto"/>
              </w:rPr>
            </w:pPr>
            <w:r>
              <w:rPr>
                <w:rFonts w:ascii="Arial" w:cs="Arial" w:eastAsia="Arial" w:hAnsi="Arial"/>
                <w:sz w:val="18"/>
                <w:szCs w:val="18"/>
                <w:color w:val="auto"/>
                <w:w w:val="87"/>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7940" w:type="dxa"/>
            <w:vAlign w:val="bottom"/>
            <w:gridSpan w:val="12"/>
          </w:tcPr>
          <w:p>
            <w:pPr>
              <w:ind w:left="320"/>
              <w:spacing w:after="0"/>
              <w:rPr>
                <w:sz w:val="20"/>
                <w:szCs w:val="20"/>
                <w:color w:val="auto"/>
              </w:rPr>
            </w:pPr>
            <w:r>
              <w:rPr>
                <w:rFonts w:ascii="Arial" w:cs="Arial" w:eastAsia="Arial" w:hAnsi="Arial"/>
                <w:sz w:val="18"/>
                <w:szCs w:val="18"/>
                <w:color w:val="auto"/>
                <w:w w:val="89"/>
              </w:rPr>
              <w:t>The following tables summarize the credit ratings of investments at June 30, 2021 and December 31, 2020:</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90"/>
              </w:rPr>
              <w:t>June 30, 2021</w:t>
            </w:r>
          </w:p>
        </w:tc>
        <w:tc>
          <w:tcPr>
            <w:tcW w:w="1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6"/>
              </w:rPr>
              <w:t>Amortized Cost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 of Total</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vMerge w:val="continue"/>
          </w:tcPr>
          <w:p>
            <w:pPr>
              <w:spacing w:after="0"/>
              <w:rPr>
                <w:sz w:val="15"/>
                <w:szCs w:val="15"/>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tcPr>
          <w:p>
            <w:pPr>
              <w:ind w:left="340"/>
              <w:spacing w:after="0"/>
              <w:rPr>
                <w:sz w:val="20"/>
                <w:szCs w:val="20"/>
                <w:color w:val="auto"/>
              </w:rPr>
            </w:pPr>
            <w:r>
              <w:rPr>
                <w:rFonts w:ascii="Arial" w:cs="Arial" w:eastAsia="Arial" w:hAnsi="Arial"/>
                <w:sz w:val="14"/>
                <w:szCs w:val="14"/>
                <w:b w:val="1"/>
                <w:bCs w:val="1"/>
                <w:color w:val="auto"/>
              </w:rPr>
              <w:t>S&amp;P Global rating or equivalent</w:t>
            </w: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0"/>
              </w:rPr>
              <w:t>(dollars in millions)</w:t>
            </w: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AAA</w:t>
            </w:r>
          </w:p>
        </w:tc>
        <w:tc>
          <w:tcPr>
            <w:tcW w:w="126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640" w:type="dxa"/>
            <w:vAlign w:val="bottom"/>
            <w:gridSpan w:val="5"/>
            <w:shd w:val="clear" w:color="auto" w:fill="CCEEFF"/>
          </w:tcPr>
          <w:p>
            <w:pPr>
              <w:jc w:val="center"/>
              <w:ind w:left="31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54.3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rPr>
              <w:t>AA+, AA, AA-, A-1</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11.2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 A, A-</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26.1</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BBB+, BBB, BBB-</w:t>
            </w:r>
          </w:p>
        </w:tc>
        <w:tc>
          <w:tcPr>
            <w:tcW w:w="12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8.4</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0"/>
              </w:rPr>
              <w:t>December 31, 2020</w:t>
            </w:r>
          </w:p>
        </w:tc>
        <w:tc>
          <w:tcPr>
            <w:tcW w:w="1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6"/>
              </w:rPr>
              <w:t>Amortized Cost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 of Total</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vMerge w:val="continue"/>
          </w:tcPr>
          <w:p>
            <w:pPr>
              <w:spacing w:after="0"/>
              <w:rPr>
                <w:sz w:val="15"/>
                <w:szCs w:val="15"/>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tcPr>
          <w:p>
            <w:pPr>
              <w:ind w:left="340"/>
              <w:spacing w:after="0"/>
              <w:rPr>
                <w:sz w:val="20"/>
                <w:szCs w:val="20"/>
                <w:color w:val="auto"/>
              </w:rPr>
            </w:pPr>
            <w:r>
              <w:rPr>
                <w:rFonts w:ascii="Arial" w:cs="Arial" w:eastAsia="Arial" w:hAnsi="Arial"/>
                <w:sz w:val="14"/>
                <w:szCs w:val="14"/>
                <w:b w:val="1"/>
                <w:bCs w:val="1"/>
                <w:color w:val="auto"/>
              </w:rPr>
              <w:t>S&amp;P Global rating or equivalent</w:t>
            </w: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0"/>
              </w:rPr>
              <w:t>(dollars in millions)</w:t>
            </w: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AAA</w:t>
            </w:r>
          </w:p>
        </w:tc>
        <w:tc>
          <w:tcPr>
            <w:tcW w:w="126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640" w:type="dxa"/>
            <w:vAlign w:val="bottom"/>
            <w:gridSpan w:val="5"/>
            <w:shd w:val="clear" w:color="auto" w:fill="CCEEFF"/>
          </w:tcPr>
          <w:p>
            <w:pPr>
              <w:jc w:val="center"/>
              <w:ind w:left="31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53.0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rPr>
              <w:t>AA+, AA, AA-, A-1</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 A, A-</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26.5</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BBB+, BBB, BBB-</w:t>
            </w:r>
          </w:p>
        </w:tc>
        <w:tc>
          <w:tcPr>
            <w:tcW w:w="12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10.1</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20"/>
                <w:szCs w:val="20"/>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640" w:type="dxa"/>
            <w:vAlign w:val="bottom"/>
            <w:gridSpan w:val="5"/>
            <w:shd w:val="clear" w:color="auto" w:fill="CCEEFF"/>
          </w:tcPr>
          <w:p>
            <w:pPr>
              <w:jc w:val="center"/>
              <w:ind w:left="31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4" w:name="page15"/>
    <w:bookmarkEnd w:id="14"/>
    <w:p>
      <w:pPr>
        <w:spacing w:after="0" w:line="113" w:lineRule="exact"/>
        <w:rPr>
          <w:sz w:val="20"/>
          <w:szCs w:val="20"/>
          <w:color w:val="auto"/>
        </w:rPr>
      </w:pPr>
    </w:p>
    <w:p>
      <w:pPr>
        <w:ind w:left="640" w:hanging="634"/>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tables provide information about our financial assets measured and reported at fair value as of June 30, 2021 and December 31, 2020:</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498"/>
              <w:spacing w:after="0"/>
              <w:rPr>
                <w:sz w:val="20"/>
                <w:szCs w:val="20"/>
                <w:color w:val="auto"/>
              </w:rPr>
            </w:pPr>
            <w:r>
              <w:rPr>
                <w:rFonts w:ascii="Arial" w:cs="Arial" w:eastAsia="Arial" w:hAnsi="Arial"/>
                <w:sz w:val="14"/>
                <w:szCs w:val="14"/>
                <w:b w:val="1"/>
                <w:bCs w:val="1"/>
                <w:color w:val="auto"/>
                <w:w w:val="90"/>
              </w:rPr>
              <w:t>June 30, 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jc w:val="right"/>
              <w:ind w:right="475"/>
              <w:spacing w:after="0" w:line="13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20" w:type="dxa"/>
            <w:vAlign w:val="bottom"/>
            <w:gridSpan w:val="3"/>
          </w:tcPr>
          <w:p>
            <w:pPr>
              <w:jc w:val="center"/>
              <w:ind w:right="498"/>
              <w:spacing w:after="0"/>
              <w:rPr>
                <w:sz w:val="20"/>
                <w:szCs w:val="20"/>
                <w:color w:val="auto"/>
              </w:rPr>
            </w:pPr>
            <w:r>
              <w:rPr>
                <w:rFonts w:ascii="Arial" w:cs="Arial" w:eastAsia="Arial" w:hAnsi="Arial"/>
                <w:sz w:val="14"/>
                <w:szCs w:val="14"/>
                <w:b w:val="1"/>
                <w:bCs w:val="1"/>
                <w:color w:val="auto"/>
                <w:w w:val="91"/>
              </w:rPr>
              <w:t>(dollars in millions)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Fixed maturities:</w:t>
            </w: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U.S. Treasury securities and agencies</w:t>
            </w: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Municipal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Corporate debt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Residential mortgage-backed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Commercial mortgage-backed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debt obligations</w:t>
            </w: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fixed maturities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112.8</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w:t>
            </w:r>
          </w:p>
        </w:tc>
        <w:tc>
          <w:tcPr>
            <w:tcW w:w="12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336.5</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19"/>
        </w:trPr>
        <w:tc>
          <w:tcPr>
            <w:tcW w:w="4040" w:type="dxa"/>
            <w:vAlign w:val="bottom"/>
          </w:tcPr>
          <w:p>
            <w:pPr>
              <w:ind w:left="760"/>
              <w:spacing w:after="0"/>
              <w:rPr>
                <w:sz w:val="20"/>
                <w:szCs w:val="20"/>
                <w:color w:val="auto"/>
              </w:rPr>
            </w:pPr>
            <w:r>
              <w:rPr>
                <w:rFonts w:ascii="Arial" w:cs="Arial" w:eastAsia="Arial" w:hAnsi="Arial"/>
                <w:sz w:val="18"/>
                <w:szCs w:val="18"/>
                <w:b w:val="1"/>
                <w:bCs w:val="1"/>
                <w:color w:val="auto"/>
              </w:rPr>
              <w:t>Total assets at fair value</w:t>
            </w:r>
          </w:p>
        </w:tc>
        <w:tc>
          <w:tcPr>
            <w:tcW w:w="1260" w:type="dxa"/>
            <w:vAlign w:val="bottom"/>
            <w:tcBorders>
              <w:bottom w:val="single" w:sz="8" w:color="auto"/>
            </w:tcBorders>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358.1</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75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113.1</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ind w:right="83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right="498"/>
              <w:spacing w:after="0"/>
              <w:rPr>
                <w:sz w:val="20"/>
                <w:szCs w:val="20"/>
                <w:color w:val="auto"/>
              </w:rPr>
            </w:pPr>
            <w:r>
              <w:rPr>
                <w:rFonts w:ascii="Arial" w:cs="Arial" w:eastAsia="Arial" w:hAnsi="Arial"/>
                <w:sz w:val="14"/>
                <w:szCs w:val="14"/>
                <w:b w:val="1"/>
                <w:bCs w:val="1"/>
                <w:color w:val="auto"/>
                <w:w w:val="90"/>
              </w:rPr>
              <w:t>December 31, 2020</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jc w:val="right"/>
              <w:ind w:right="475"/>
              <w:spacing w:after="0" w:line="13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20" w:type="dxa"/>
            <w:vAlign w:val="bottom"/>
            <w:gridSpan w:val="3"/>
          </w:tcPr>
          <w:p>
            <w:pPr>
              <w:jc w:val="center"/>
              <w:ind w:right="498"/>
              <w:spacing w:after="0"/>
              <w:rPr>
                <w:sz w:val="20"/>
                <w:szCs w:val="20"/>
                <w:color w:val="auto"/>
              </w:rPr>
            </w:pPr>
            <w:r>
              <w:rPr>
                <w:rFonts w:ascii="Arial" w:cs="Arial" w:eastAsia="Arial" w:hAnsi="Arial"/>
                <w:sz w:val="14"/>
                <w:szCs w:val="14"/>
                <w:b w:val="1"/>
                <w:bCs w:val="1"/>
                <w:color w:val="auto"/>
                <w:w w:val="91"/>
              </w:rPr>
              <w:t>(dollars in millions)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Fixed maturities:</w:t>
            </w: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U.S. Treasury securities and agencies</w:t>
            </w: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Municipal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Corporate debt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Residential mortgage-backed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Commercial mortgage-backed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debt obligations</w:t>
            </w: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fixed maturities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204.0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1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w:t>
            </w:r>
          </w:p>
        </w:tc>
        <w:tc>
          <w:tcPr>
            <w:tcW w:w="12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568.4</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19"/>
        </w:trPr>
        <w:tc>
          <w:tcPr>
            <w:tcW w:w="4040" w:type="dxa"/>
            <w:vAlign w:val="bottom"/>
          </w:tcPr>
          <w:p>
            <w:pPr>
              <w:ind w:left="760"/>
              <w:spacing w:after="0"/>
              <w:rPr>
                <w:sz w:val="20"/>
                <w:szCs w:val="20"/>
                <w:color w:val="auto"/>
              </w:rPr>
            </w:pPr>
            <w:r>
              <w:rPr>
                <w:rFonts w:ascii="Arial" w:cs="Arial" w:eastAsia="Arial" w:hAnsi="Arial"/>
                <w:sz w:val="18"/>
                <w:szCs w:val="18"/>
                <w:b w:val="1"/>
                <w:bCs w:val="1"/>
                <w:color w:val="auto"/>
              </w:rPr>
              <w:t>Total assets at fair value</w:t>
            </w:r>
          </w:p>
        </w:tc>
        <w:tc>
          <w:tcPr>
            <w:tcW w:w="1260" w:type="dxa"/>
            <w:vAlign w:val="bottom"/>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587.6</w:t>
            </w:r>
          </w:p>
        </w:tc>
        <w:tc>
          <w:tcPr>
            <w:tcW w:w="100" w:type="dxa"/>
            <w:vAlign w:val="bottom"/>
          </w:tcPr>
          <w:p>
            <w:pPr>
              <w:spacing w:after="0"/>
              <w:rPr>
                <w:sz w:val="19"/>
                <w:szCs w:val="19"/>
                <w:color w:val="auto"/>
              </w:rPr>
            </w:pPr>
          </w:p>
        </w:tc>
        <w:tc>
          <w:tcPr>
            <w:tcW w:w="1260" w:type="dxa"/>
            <w:vAlign w:val="bottom"/>
          </w:tcPr>
          <w:p>
            <w:pPr>
              <w:jc w:val="right"/>
              <w:ind w:right="75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204.8</w:t>
            </w:r>
          </w:p>
        </w:tc>
        <w:tc>
          <w:tcPr>
            <w:tcW w:w="80" w:type="dxa"/>
            <w:vAlign w:val="bottom"/>
          </w:tcPr>
          <w:p>
            <w:pPr>
              <w:spacing w:after="0"/>
              <w:rPr>
                <w:sz w:val="19"/>
                <w:szCs w:val="19"/>
                <w:color w:val="auto"/>
              </w:rPr>
            </w:pPr>
          </w:p>
        </w:tc>
        <w:tc>
          <w:tcPr>
            <w:tcW w:w="1340" w:type="dxa"/>
            <w:vAlign w:val="bottom"/>
          </w:tcPr>
          <w:p>
            <w:pPr>
              <w:jc w:val="right"/>
              <w:ind w:right="838"/>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792.4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40" w:firstLine="318"/>
        <w:spacing w:after="0" w:line="365" w:lineRule="auto"/>
        <w:rPr>
          <w:sz w:val="20"/>
          <w:szCs w:val="20"/>
          <w:color w:val="auto"/>
        </w:rPr>
      </w:pPr>
      <w:r>
        <w:rPr>
          <w:rFonts w:ascii="Arial" w:cs="Arial" w:eastAsia="Arial" w:hAnsi="Arial"/>
          <w:sz w:val="15"/>
          <w:szCs w:val="15"/>
          <w:color w:val="auto"/>
        </w:rPr>
        <w:t>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19" w:lineRule="exact"/>
        <w:rPr>
          <w:sz w:val="20"/>
          <w:szCs w:val="20"/>
          <w:color w:val="auto"/>
        </w:rPr>
      </w:pPr>
    </w:p>
    <w:p>
      <w:pPr>
        <w:jc w:val="both"/>
        <w:ind w:right="200" w:firstLine="318"/>
        <w:spacing w:after="0" w:line="330" w:lineRule="auto"/>
        <w:rPr>
          <w:sz w:val="20"/>
          <w:szCs w:val="20"/>
          <w:color w:val="auto"/>
        </w:rPr>
      </w:pPr>
      <w:r>
        <w:rPr>
          <w:rFonts w:ascii="Arial" w:cs="Arial" w:eastAsia="Arial" w:hAnsi="Arial"/>
          <w:sz w:val="15"/>
          <w:szCs w:val="15"/>
          <w:color w:val="auto"/>
        </w:rPr>
        <w:t>The carrying amount of long-term debt is recorded at historical amounts. The fair value of outstanding long-term debt is classified within Level 2 of the fair value hierarchy. The fair value is based on a model referencing observable interest rates and spreads to project and discount cash flows to present value. As of June 30, 2021 and December 31, 2020, the carrying amounts and fair values of these financial instruments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vMerge w:val="restart"/>
          </w:tcPr>
          <w:p>
            <w:pPr>
              <w:jc w:val="center"/>
              <w:ind w:right="283"/>
              <w:spacing w:after="0"/>
              <w:rPr>
                <w:sz w:val="20"/>
                <w:szCs w:val="20"/>
                <w:color w:val="auto"/>
              </w:rPr>
            </w:pPr>
            <w:r>
              <w:rPr>
                <w:rFonts w:ascii="Arial" w:cs="Arial" w:eastAsia="Arial" w:hAnsi="Arial"/>
                <w:sz w:val="14"/>
                <w:szCs w:val="14"/>
                <w:b w:val="1"/>
                <w:bCs w:val="1"/>
                <w:color w:val="auto"/>
                <w:w w:val="96"/>
              </w:rPr>
              <w:t>Carrying Amount</w:t>
            </w:r>
          </w:p>
        </w:tc>
        <w:tc>
          <w:tcPr>
            <w:tcW w:w="2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Estimated Fair Value as of</w:t>
            </w:r>
          </w:p>
        </w:tc>
        <w:tc>
          <w:tcPr>
            <w:tcW w:w="400" w:type="dxa"/>
            <w:vAlign w:val="bottom"/>
          </w:tcPr>
          <w:p>
            <w:pPr>
              <w:spacing w:after="0"/>
              <w:rPr>
                <w:sz w:val="14"/>
                <w:szCs w:val="14"/>
                <w:color w:val="auto"/>
              </w:rPr>
            </w:pPr>
          </w:p>
        </w:tc>
        <w:tc>
          <w:tcPr>
            <w:tcW w:w="1680" w:type="dxa"/>
            <w:vAlign w:val="bottom"/>
          </w:tcPr>
          <w:p>
            <w:pPr>
              <w:jc w:val="center"/>
              <w:ind w:right="285"/>
              <w:spacing w:after="0"/>
              <w:rPr>
                <w:sz w:val="20"/>
                <w:szCs w:val="20"/>
                <w:color w:val="auto"/>
              </w:rPr>
            </w:pPr>
            <w:r>
              <w:rPr>
                <w:rFonts w:ascii="Arial" w:cs="Arial" w:eastAsia="Arial" w:hAnsi="Arial"/>
                <w:sz w:val="14"/>
                <w:szCs w:val="14"/>
                <w:b w:val="1"/>
                <w:bCs w:val="1"/>
                <w:color w:val="auto"/>
                <w:w w:val="94"/>
              </w:rPr>
              <w:t>Carrying Amount</w:t>
            </w: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Estimated Fair Value as of</w:t>
            </w: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680" w:type="dxa"/>
            <w:vAlign w:val="bottom"/>
          </w:tcPr>
          <w:p>
            <w:pPr>
              <w:jc w:val="center"/>
              <w:ind w:right="285"/>
              <w:spacing w:after="0" w:line="133" w:lineRule="exact"/>
              <w:rPr>
                <w:sz w:val="20"/>
                <w:szCs w:val="20"/>
                <w:color w:val="auto"/>
              </w:rPr>
            </w:pPr>
            <w:r>
              <w:rPr>
                <w:rFonts w:ascii="Arial" w:cs="Arial" w:eastAsia="Arial" w:hAnsi="Arial"/>
                <w:sz w:val="14"/>
                <w:szCs w:val="14"/>
                <w:b w:val="1"/>
                <w:bCs w:val="1"/>
                <w:color w:val="auto"/>
                <w:w w:val="85"/>
              </w:rPr>
              <w:t>as of</w:t>
            </w: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83"/>
              <w:spacing w:after="0"/>
              <w:rPr>
                <w:sz w:val="20"/>
                <w:szCs w:val="20"/>
                <w:color w:val="auto"/>
              </w:rPr>
            </w:pPr>
            <w:r>
              <w:rPr>
                <w:rFonts w:ascii="Arial" w:cs="Arial" w:eastAsia="Arial" w:hAnsi="Arial"/>
                <w:sz w:val="14"/>
                <w:szCs w:val="14"/>
                <w:b w:val="1"/>
                <w:bCs w:val="1"/>
                <w:color w:val="auto"/>
                <w:w w:val="89"/>
              </w:rPr>
              <w:t>as of June 30, 2021</w:t>
            </w: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w w:val="96"/>
              </w:rPr>
              <w:t>June 30, 2021</w:t>
            </w: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305"/>
              <w:spacing w:after="0"/>
              <w:rPr>
                <w:sz w:val="20"/>
                <w:szCs w:val="20"/>
                <w:color w:val="auto"/>
              </w:rPr>
            </w:pPr>
            <w:r>
              <w:rPr>
                <w:rFonts w:ascii="Arial" w:cs="Arial" w:eastAsia="Arial" w:hAnsi="Arial"/>
                <w:sz w:val="14"/>
                <w:szCs w:val="14"/>
                <w:b w:val="1"/>
                <w:bCs w:val="1"/>
                <w:color w:val="auto"/>
                <w:w w:val="90"/>
              </w:rPr>
              <w:t>December 31, 2020</w:t>
            </w: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88"/>
              </w:rPr>
              <w:t>December 31, 2020</w:t>
            </w: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60" w:type="dxa"/>
            <w:vAlign w:val="bottom"/>
            <w:gridSpan w:val="3"/>
          </w:tcPr>
          <w:p>
            <w:pPr>
              <w:jc w:val="right"/>
              <w:ind w:right="1385"/>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63"/>
              <w:spacing w:after="0"/>
              <w:rPr>
                <w:sz w:val="20"/>
                <w:szCs w:val="20"/>
                <w:color w:val="auto"/>
              </w:rPr>
            </w:pPr>
            <w:r>
              <w:rPr>
                <w:rFonts w:ascii="Arial" w:cs="Arial" w:eastAsia="Arial" w:hAnsi="Arial"/>
                <w:sz w:val="18"/>
                <w:szCs w:val="18"/>
                <w:color w:val="auto"/>
              </w:rPr>
              <w:t>197.1</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83"/>
              <w:spacing w:after="0"/>
              <w:rPr>
                <w:sz w:val="20"/>
                <w:szCs w:val="20"/>
                <w:color w:val="auto"/>
              </w:rPr>
            </w:pPr>
            <w:r>
              <w:rPr>
                <w:rFonts w:ascii="Arial" w:cs="Arial" w:eastAsia="Arial" w:hAnsi="Arial"/>
                <w:sz w:val="18"/>
                <w:szCs w:val="18"/>
                <w:color w:val="auto"/>
              </w:rPr>
              <w:t>215.1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85"/>
              <w:spacing w:after="0"/>
              <w:rPr>
                <w:sz w:val="20"/>
                <w:szCs w:val="20"/>
                <w:color w:val="auto"/>
              </w:rPr>
            </w:pPr>
            <w:r>
              <w:rPr>
                <w:rFonts w:ascii="Arial" w:cs="Arial" w:eastAsia="Arial" w:hAnsi="Arial"/>
                <w:sz w:val="18"/>
                <w:szCs w:val="18"/>
                <w:color w:val="auto"/>
              </w:rPr>
              <w:t>188.2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amounts of other short-term financial instruments approximates their fair value due to their short-term nature.</w:t>
      </w:r>
    </w:p>
    <w:p>
      <w:pPr>
        <w:spacing w:after="0" w:line="158" w:lineRule="exact"/>
        <w:rPr>
          <w:sz w:val="20"/>
          <w:szCs w:val="20"/>
          <w:color w:val="auto"/>
        </w:rPr>
      </w:pPr>
    </w:p>
    <w:p>
      <w:pPr>
        <w:ind w:left="640" w:hanging="634"/>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LOSS AND LOSS ADJUSTMENT EXPENSE RESERVES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provides a reconciliation of the beginning and ending reserve balances for loss and LAE, net of reinsurance: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r>
      <w:tr>
        <w:trPr>
          <w:trHeight w:val="179"/>
        </w:trPr>
        <w:tc>
          <w:tcPr>
            <w:tcW w:w="8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80" w:type="dxa"/>
            <w:vAlign w:val="bottom"/>
            <w:gridSpan w:val="3"/>
          </w:tcPr>
          <w:p>
            <w:pPr>
              <w:jc w:val="right"/>
              <w:ind w:right="378"/>
              <w:spacing w:after="0"/>
              <w:rPr>
                <w:sz w:val="20"/>
                <w:szCs w:val="20"/>
                <w:color w:val="auto"/>
              </w:rPr>
            </w:pPr>
            <w:r>
              <w:rPr>
                <w:rFonts w:ascii="Arial" w:cs="Arial" w:eastAsia="Arial" w:hAnsi="Arial"/>
                <w:sz w:val="14"/>
                <w:szCs w:val="14"/>
                <w:b w:val="1"/>
                <w:bCs w:val="1"/>
                <w:color w:val="auto"/>
                <w:w w:val="93"/>
              </w:rPr>
              <w:t>(dollars in millions)</w:t>
            </w:r>
          </w:p>
        </w:tc>
        <w:tc>
          <w:tcPr>
            <w:tcW w:w="560" w:type="dxa"/>
            <w:vAlign w:val="bottom"/>
          </w:tcPr>
          <w:p>
            <w:pPr>
              <w:spacing w:after="0"/>
              <w:rPr>
                <w:sz w:val="15"/>
                <w:szCs w:val="15"/>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and LAE reserves, January 1</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Reinsurance recoverable on unpaid losses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LAE reserves, January 1</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05"/>
        </w:trPr>
        <w:tc>
          <w:tcPr>
            <w:tcW w:w="8020" w:type="dxa"/>
            <w:vAlign w:val="bottom"/>
          </w:tcPr>
          <w:p>
            <w:pPr>
              <w:ind w:left="20"/>
              <w:spacing w:after="0" w:line="204" w:lineRule="exact"/>
              <w:rPr>
                <w:sz w:val="20"/>
                <w:szCs w:val="20"/>
                <w:color w:val="auto"/>
              </w:rPr>
            </w:pPr>
            <w:r>
              <w:rPr>
                <w:rFonts w:ascii="Arial" w:cs="Arial" w:eastAsia="Arial" w:hAnsi="Arial"/>
                <w:sz w:val="18"/>
                <w:szCs w:val="18"/>
                <w:color w:val="auto"/>
              </w:rPr>
              <w:t>Net incurred loss and LAE related to:</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Prior years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incurred</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r>
      <w:tr>
        <w:trPr>
          <w:trHeight w:val="205"/>
        </w:trPr>
        <w:tc>
          <w:tcPr>
            <w:tcW w:w="8020" w:type="dxa"/>
            <w:vAlign w:val="bottom"/>
          </w:tcPr>
          <w:p>
            <w:pPr>
              <w:ind w:left="20"/>
              <w:spacing w:after="0" w:line="204" w:lineRule="exact"/>
              <w:rPr>
                <w:sz w:val="20"/>
                <w:szCs w:val="20"/>
                <w:color w:val="auto"/>
              </w:rPr>
            </w:pPr>
            <w:r>
              <w:rPr>
                <w:rFonts w:ascii="Arial" w:cs="Arial" w:eastAsia="Arial" w:hAnsi="Arial"/>
                <w:sz w:val="18"/>
                <w:szCs w:val="18"/>
                <w:color w:val="auto"/>
              </w:rPr>
              <w:t>Net paid loss and LAE related to:</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Prior years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paid</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18"/>
        </w:trPr>
        <w:tc>
          <w:tcPr>
            <w:tcW w:w="8020" w:type="dxa"/>
            <w:vAlign w:val="bottom"/>
          </w:tcPr>
          <w:p>
            <w:pPr>
              <w:ind w:left="20"/>
              <w:spacing w:after="0"/>
              <w:rPr>
                <w:sz w:val="20"/>
                <w:szCs w:val="20"/>
                <w:color w:val="auto"/>
              </w:rPr>
            </w:pPr>
            <w:r>
              <w:rPr>
                <w:rFonts w:ascii="Arial" w:cs="Arial" w:eastAsia="Arial" w:hAnsi="Arial"/>
                <w:sz w:val="18"/>
                <w:szCs w:val="18"/>
                <w:color w:val="auto"/>
              </w:rPr>
              <w:t>Net loss and LAE reserves, June 30</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159.1</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reinsurance recoverable on unpaid losses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Gross loss and LAE reserves, June 30</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Incurred losses and LAE attributable to prior accident years was a decrease of $8.6 million and an increase of $13.0 million for the six months ended June 30, 2021 and 2020, respectively. For the six months ended June 30, 2021, the development of incurred losses related to prior periods was primarily related to lower-than-expected reported losses on bodily injury and uninsured motorist bodily injury claims and greater than expected recoveries from subrogation and salvage from 2020. For the six months ended June 30, 2020, the development of incurred losses related to prior periods was primarily related to higher-than-expected reported losses on bodily injury, uninsured and under-insured bodily injury, property damage and collision coverages.</w:t>
      </w:r>
    </w:p>
    <w:p>
      <w:pPr>
        <w:spacing w:after="0" w:line="92" w:lineRule="exact"/>
        <w:rPr>
          <w:sz w:val="20"/>
          <w:szCs w:val="20"/>
          <w:color w:val="auto"/>
        </w:rPr>
      </w:pPr>
    </w:p>
    <w:p>
      <w:pPr>
        <w:ind w:left="640" w:hanging="634"/>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We primarily have operating leases for offices that support our corporate, claims and customer service functions. We determine if an arrangement is a lease at inception by evaluating whether the arrangement conveys the right to use an identified asset and whether we obtain substantially all of the economic benefits from and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ability to direct the use of the asset. Our lease agreements do not contain any material residual value guarantees or material restrictive covenants.</w:t>
      </w:r>
    </w:p>
    <w:p>
      <w:pPr>
        <w:spacing w:after="0" w:line="176"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Operating lease right-of-use assets and corresponding operating lease liabilities are recognized upon the commencement date based primarily on the present value of lease payments over the lease term. We use the implicit rate of the lease, if it is readily determinable, in determining the present value of lease payments. Our leases generally do not provide an implicit rate. Therefore, we use a collateralized incremental borrowing rate that incorporates information available at commencement date, including our company-specific interest rates from recent debt issuances, which we adjust to remove the LIBOR component in order to obtain our company-specific interest rate risk. We also leverage commercial mortgage-backed securities, or CMBS, rates, for transactions with similar values, origination dates, geographies and property types as the respective lease, which are adjusted using linear interpolation if the lease term falls between the published CMBS terms. As of June 30, 2021, our leases had a weighted-average discount rate of 10.8%. Our leases have remaining lease terms from approximately one year up to approximately seven years with a weighted-average remaining lease term of 4.8 as of June 30, 2021.</w:t>
      </w:r>
    </w:p>
    <w:p>
      <w:pPr>
        <w:spacing w:after="0" w:line="101"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As of June 30, 2021, we recognized an operating lease liability of $15.3 million and corresponding right-of-use asset of $9.3 million. Operating lease liabilities are included in other liabilities and operating lease right-of-use assets are included in other assets in our condensed consolidated balance sheets. For the three and six months ended June 30, 2021, we recognized operating lease costs of $0.8 million and $1.5 million, respectively. Variable lease expense and short-term lease expense recognized during the three and six months ended June 30, 2021 were not material. Moreover, we recognized operating cash flows paid for amounts included in the measurement of operating lease liabilities of $1.2 million.</w:t>
      </w:r>
    </w:p>
    <w:p>
      <w:pPr>
        <w:spacing w:after="0" w:line="128" w:lineRule="exact"/>
        <w:rPr>
          <w:sz w:val="20"/>
          <w:szCs w:val="20"/>
          <w:color w:val="auto"/>
        </w:rPr>
      </w:pPr>
    </w:p>
    <w:p>
      <w:pPr>
        <w:ind w:right="440" w:firstLine="318"/>
        <w:spacing w:after="0" w:line="277" w:lineRule="auto"/>
        <w:rPr>
          <w:sz w:val="20"/>
          <w:szCs w:val="20"/>
          <w:color w:val="auto"/>
        </w:rPr>
      </w:pPr>
      <w:r>
        <w:rPr>
          <w:rFonts w:ascii="Arial" w:cs="Arial" w:eastAsia="Arial" w:hAnsi="Arial"/>
          <w:sz w:val="17"/>
          <w:szCs w:val="17"/>
          <w:color w:val="auto"/>
        </w:rPr>
        <w:t>We also sublease certain office space, resulting in sublease income. Sublease income and the related assets and cash flows are not material to our condensed consolidated financial statements as of and for the three and six months ended June 30, 2021. Sublease income is recognized as a reduction to operating lease expense in our condensed consolidated statements of operations and comprehensive loss.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lease payments as of June 30, 2021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Operating Leases</w:t>
            </w:r>
          </w:p>
        </w:tc>
      </w:tr>
      <w:tr>
        <w:trPr>
          <w:trHeight w:val="183"/>
        </w:trPr>
        <w:tc>
          <w:tcPr>
            <w:tcW w:w="9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8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(dollars in millions)</w:t>
            </w:r>
          </w:p>
        </w:tc>
      </w:tr>
      <w:tr>
        <w:trPr>
          <w:trHeight w:val="226"/>
        </w:trPr>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Remainder of 2021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9140" w:type="dxa"/>
            <w:vAlign w:val="bottom"/>
          </w:tcPr>
          <w:p>
            <w:pPr>
              <w:ind w:left="34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6"/>
        </w:trPr>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9140" w:type="dxa"/>
            <w:vAlign w:val="bottom"/>
          </w:tcPr>
          <w:p>
            <w:pPr>
              <w:ind w:left="34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6"/>
        </w:trPr>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9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2026 and thereafter</w:t>
            </w: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19"/>
        </w:trPr>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future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8"/>
        </w:trPr>
        <w:tc>
          <w:tcPr>
            <w:tcW w:w="9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imputed interest</w:t>
            </w:r>
          </w:p>
        </w:tc>
        <w:tc>
          <w:tcPr>
            <w:tcW w:w="5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44"/>
        </w:trPr>
        <w:tc>
          <w:tcPr>
            <w:tcW w:w="91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lease liabilities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19"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As previously disclosed in our 2020 10-K under the prior lease accounting guidance, the following table summarizes, by remaining maturity, future commitments related to operating leases and other arrangements as of December 31, 2020:</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134860" cy="142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2023</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2025</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330" w:lineRule="exact"/>
        <w:rPr>
          <w:sz w:val="20"/>
          <w:szCs w:val="20"/>
          <w:color w:val="auto"/>
        </w:rPr>
      </w:pPr>
    </w:p>
    <w:p>
      <w:pPr>
        <w:ind w:left="640" w:hanging="634"/>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Operating Leases</w:t>
            </w:r>
          </w:p>
        </w:tc>
      </w:tr>
      <w:tr>
        <w:trPr>
          <w:trHeight w:val="183"/>
        </w:trPr>
        <w:tc>
          <w:tcPr>
            <w:tcW w:w="200" w:type="dxa"/>
            <w:vAlign w:val="bottom"/>
          </w:tcPr>
          <w:p>
            <w:pPr>
              <w:spacing w:after="0"/>
              <w:rPr>
                <w:sz w:val="15"/>
                <w:szCs w:val="15"/>
                <w:color w:val="auto"/>
              </w:rPr>
            </w:pPr>
          </w:p>
        </w:tc>
        <w:tc>
          <w:tcPr>
            <w:tcW w:w="1600" w:type="dxa"/>
            <w:vAlign w:val="bottom"/>
          </w:tcPr>
          <w:p>
            <w:pPr>
              <w:jc w:val="right"/>
              <w:ind w:right="236"/>
              <w:spacing w:after="0"/>
              <w:rPr>
                <w:sz w:val="20"/>
                <w:szCs w:val="20"/>
                <w:color w:val="auto"/>
              </w:rPr>
            </w:pPr>
            <w:r>
              <w:rPr>
                <w:rFonts w:ascii="Arial" w:cs="Arial" w:eastAsia="Arial" w:hAnsi="Arial"/>
                <w:sz w:val="14"/>
                <w:szCs w:val="14"/>
                <w:b w:val="1"/>
                <w:bCs w:val="1"/>
                <w:color w:val="auto"/>
                <w:w w:val="98"/>
              </w:rPr>
              <w:t>(dollars in millions)</w:t>
            </w:r>
          </w:p>
        </w:tc>
      </w:tr>
      <w:tr>
        <w:trPr>
          <w:trHeight w:val="226"/>
        </w:trPr>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5"/>
        </w:trPr>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5"/>
        </w:trPr>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18"/>
        </w:trPr>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63" w:lineRule="exact"/>
        <w:rPr>
          <w:sz w:val="20"/>
          <w:szCs w:val="20"/>
          <w:color w:val="auto"/>
        </w:rPr>
      </w:pPr>
    </w:p>
    <w:p>
      <w:pPr>
        <w:sectPr>
          <w:pgSz w:w="11900" w:h="16838" w:orient="portrait"/>
          <w:cols w:equalWidth="0" w:num="2">
            <w:col w:w="8720" w:space="720"/>
            <w:col w:w="1800"/>
          </w:cols>
          <w:pgMar w:left="320" w:top="1440" w:right="339" w:bottom="1440" w:gutter="0" w:footer="0" w:header="0"/>
          <w:type w:val="continuous"/>
        </w:sectPr>
      </w:pPr>
    </w:p>
    <w:p>
      <w:pPr>
        <w:jc w:val="both"/>
        <w:ind w:firstLine="318"/>
        <w:spacing w:after="0" w:line="248" w:lineRule="auto"/>
        <w:rPr>
          <w:sz w:val="20"/>
          <w:szCs w:val="20"/>
          <w:color w:val="auto"/>
        </w:rPr>
      </w:pPr>
      <w:r>
        <w:rPr>
          <w:rFonts w:ascii="Arial" w:cs="Arial" w:eastAsia="Arial" w:hAnsi="Arial"/>
          <w:sz w:val="18"/>
          <w:szCs w:val="18"/>
          <w:color w:val="auto"/>
        </w:rPr>
        <w:t>Term Loan A is a term loan we have outstanding with a group of syndicated financial institutions which matures on October 15, 2021. Interest is paid monthly and is determined on a floating interest rate calculated on the one-month LIBOR plus an applicable margin of 4%. As a part of the amended Term Loan A, the syndicate committed, pro rata, to a new $100 million revolving loan. Commitment fees accrue at 0.50% per annum on the daily amount of unused revolving loan and is paid quarterly. For any amounts drawn on the revolving loan, interest accrues and is paid consistent with Term Loan A. In addition, there is a letter of credit fee of 4% per annum on the average daily amount of issued letters of credit against the revolver and a 0.125% per annum fronting fee based on the average daily amount of letter of credit exposure. We have no letters of credit outstanding or amounts drawn against the revolving loan as of June 30, 2021.</w:t>
      </w:r>
    </w:p>
    <w:p>
      <w:pPr>
        <w:spacing w:after="0" w:line="14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Term Loan B is a note we issued to a private equity investor that matures on November 25, 2024. Interest is determined on a floating interest rate calculated on the three-month LIBOR plus an applicable margin of 10.5%. We currently pay interest pursuant to the terms of the loan agreements and have the option to pay-in-kind, or PIK, on Term Loan B until October 15, 2021. PIK interest is added to the principal balance every three months until we no longer PIK interest, at which point interest is paid quarterly. We have elected to PIK interest on Term Loan B from the original date of closing through June 30, 2021. Deferred PIK interest was $3.4 million and $2.2 million for the three months ended June 30, 2021 and 2020, respectively. Deferred PIK interest was $5.8 million and $4.5 million for the six months ended June 30, 2021 and 2020, respectively. Deferred PIK interest is recognized as interest expense in the condensed consolidated statements of operations and comprehensive loss.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the carrying value of long-term debt as of June 30, 2021 and December 31,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680" w:type="dxa"/>
            <w:vAlign w:val="bottom"/>
          </w:tcPr>
          <w:p>
            <w:pPr>
              <w:spacing w:after="0"/>
              <w:rPr>
                <w:sz w:val="15"/>
                <w:szCs w:val="15"/>
                <w:color w:val="auto"/>
              </w:rPr>
            </w:pPr>
          </w:p>
        </w:tc>
        <w:tc>
          <w:tcPr>
            <w:tcW w:w="2740" w:type="dxa"/>
            <w:vAlign w:val="bottom"/>
            <w:gridSpan w:val="4"/>
          </w:tcPr>
          <w:p>
            <w:pPr>
              <w:jc w:val="right"/>
              <w:ind w:right="298"/>
              <w:spacing w:after="0"/>
              <w:rPr>
                <w:sz w:val="20"/>
                <w:szCs w:val="20"/>
                <w:color w:val="auto"/>
              </w:rPr>
            </w:pPr>
            <w:r>
              <w:rPr>
                <w:rFonts w:ascii="Arial" w:cs="Arial" w:eastAsia="Arial" w:hAnsi="Arial"/>
                <w:sz w:val="14"/>
                <w:szCs w:val="14"/>
                <w:b w:val="1"/>
                <w:bCs w:val="1"/>
                <w:color w:val="auto"/>
              </w:rPr>
              <w:t>(dollars in millions)</w:t>
            </w:r>
          </w:p>
        </w:tc>
        <w:tc>
          <w:tcPr>
            <w:tcW w:w="820" w:type="dxa"/>
            <w:vAlign w:val="bottom"/>
          </w:tcPr>
          <w:p>
            <w:pPr>
              <w:spacing w:after="0"/>
              <w:rPr>
                <w:sz w:val="15"/>
                <w:szCs w:val="15"/>
                <w:color w:val="auto"/>
              </w:rPr>
            </w:pPr>
          </w:p>
        </w:tc>
      </w:tr>
      <w:tr>
        <w:trPr>
          <w:trHeight w:val="24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300" w:type="dxa"/>
            <w:vAlign w:val="bottom"/>
            <w:tcBorders>
              <w:bottom w:val="single" w:sz="8" w:color="CCEEFF"/>
            </w:tcBorders>
            <w:shd w:val="clear" w:color="auto" w:fill="CCEEFF"/>
          </w:tcPr>
          <w:p>
            <w:pPr>
              <w:jc w:val="right"/>
              <w:ind w:right="112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38"/>
        </w:trPr>
        <w:tc>
          <w:tcPr>
            <w:tcW w:w="768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100.0</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8"/>
        </w:trPr>
        <w:tc>
          <w:tcPr>
            <w:tcW w:w="7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199.0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52"/>
        </w:trPr>
        <w:tc>
          <w:tcPr>
            <w:tcW w:w="7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5"/>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 payable</w:t>
            </w:r>
          </w:p>
        </w:tc>
        <w:tc>
          <w:tcPr>
            <w:tcW w:w="1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8"/>
        </w:trPr>
        <w:tc>
          <w:tcPr>
            <w:tcW w:w="7680" w:type="dxa"/>
            <w:vAlign w:val="bottom"/>
          </w:tcPr>
          <w:p>
            <w:pPr>
              <w:ind w:left="20"/>
              <w:spacing w:after="0"/>
              <w:rPr>
                <w:sz w:val="20"/>
                <w:szCs w:val="20"/>
                <w:color w:val="auto"/>
              </w:rPr>
            </w:pPr>
            <w:r>
              <w:rPr>
                <w:rFonts w:ascii="Arial" w:cs="Arial" w:eastAsia="Arial" w:hAnsi="Arial"/>
                <w:sz w:val="18"/>
                <w:szCs w:val="18"/>
                <w:color w:val="auto"/>
              </w:rPr>
              <w:t>Unamortized discount and debt issuance costs</w:t>
            </w:r>
          </w:p>
        </w:tc>
        <w:tc>
          <w:tcPr>
            <w:tcW w:w="1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(18.1)</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7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CEEFF"/>
          </w:tcPr>
          <w:p>
            <w:pPr>
              <w:jc w:val="right"/>
              <w:ind w:right="112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197.1</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13" w:lineRule="exact"/>
        <w:rPr>
          <w:sz w:val="20"/>
          <w:szCs w:val="20"/>
          <w:color w:val="auto"/>
        </w:rPr>
      </w:pPr>
    </w:p>
    <w:p>
      <w:pPr>
        <w:ind w:left="640" w:hanging="634"/>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consolidated effective tax rate was zero for the three and six months ended June 30, 2021 and 2020. The difference between these rates and the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rate of 21% was primarily due to a full valuation allowance on our U.S. deferred tax assets.</w:t>
      </w:r>
    </w:p>
    <w:p>
      <w:pPr>
        <w:spacing w:after="0" w:line="153"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As of June 30, 2021 and December 31, 2020, we did not have any unrecognized tax benefits for uncertain tax positions and had no interest or penalties related to uncertain tax positions.</w:t>
      </w:r>
    </w:p>
    <w:p>
      <w:pPr>
        <w:spacing w:after="0" w:line="360" w:lineRule="exact"/>
        <w:rPr>
          <w:sz w:val="20"/>
          <w:szCs w:val="20"/>
          <w:color w:val="auto"/>
        </w:rPr>
      </w:pPr>
    </w:p>
    <w:p>
      <w:pPr>
        <w:ind w:left="640" w:hanging="634"/>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7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We maintain an equity incentive plan, the 2020 Equity Incentive Plan, or the 2020 Plan, for the issuance and grant of equity awards (restricted stock, restricted stock units, or RSUs, and incentive and nonqualified stock options) to our officers, directors, employees and certain advisors. As of June 30, 2021, we had 24.7 million common shares authorized and available for issuance under the 2020 Plan.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displays share-based compensation expense recorded in the condensed consolidated statements of operations and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r>
      <w:tr>
        <w:trPr>
          <w:trHeight w:val="183"/>
        </w:trPr>
        <w:tc>
          <w:tcPr>
            <w:tcW w:w="4700" w:type="dxa"/>
            <w:vAlign w:val="bottom"/>
          </w:tcPr>
          <w:p>
            <w:pPr>
              <w:spacing w:after="0"/>
              <w:rPr>
                <w:sz w:val="15"/>
                <w:szCs w:val="15"/>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179"/>
        </w:trPr>
        <w:tc>
          <w:tcPr>
            <w:tcW w:w="4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80" w:type="dxa"/>
            <w:vAlign w:val="bottom"/>
            <w:gridSpan w:val="3"/>
          </w:tcPr>
          <w:p>
            <w:pPr>
              <w:jc w:val="right"/>
              <w:ind w:right="481"/>
              <w:spacing w:after="0"/>
              <w:rPr>
                <w:sz w:val="20"/>
                <w:szCs w:val="20"/>
                <w:color w:val="auto"/>
              </w:rPr>
            </w:pPr>
            <w:r>
              <w:rPr>
                <w:rFonts w:ascii="Arial" w:cs="Arial" w:eastAsia="Arial" w:hAnsi="Arial"/>
                <w:sz w:val="14"/>
                <w:szCs w:val="14"/>
                <w:b w:val="1"/>
                <w:bCs w:val="1"/>
                <w:color w:val="auto"/>
                <w:w w:val="93"/>
              </w:rPr>
              <w:t>(dollars in millions)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4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64"/>
        </w:trPr>
        <w:tc>
          <w:tcPr>
            <w:tcW w:w="4700" w:type="dxa"/>
            <w:vAlign w:val="bottom"/>
          </w:tcPr>
          <w:p>
            <w:pPr>
              <w:ind w:left="20"/>
              <w:spacing w:after="0"/>
              <w:rPr>
                <w:sz w:val="20"/>
                <w:szCs w:val="20"/>
                <w:color w:val="auto"/>
              </w:rPr>
            </w:pPr>
            <w:r>
              <w:rPr>
                <w:rFonts w:ascii="Arial" w:cs="Arial" w:eastAsia="Arial" w:hAnsi="Arial"/>
                <w:sz w:val="18"/>
                <w:szCs w:val="18"/>
                <w:color w:val="auto"/>
              </w:rPr>
              <w:t>Loss and loss adjustment expenses</w:t>
            </w:r>
          </w:p>
        </w:tc>
        <w:tc>
          <w:tcPr>
            <w:tcW w:w="1100" w:type="dxa"/>
            <w:vAlign w:val="bottom"/>
          </w:tcPr>
          <w:p>
            <w:pPr>
              <w:jc w:val="right"/>
              <w:ind w:right="90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3"/>
                <w:szCs w:val="23"/>
                <w:color w:val="auto"/>
              </w:rPr>
            </w:pPr>
          </w:p>
        </w:tc>
        <w:tc>
          <w:tcPr>
            <w:tcW w:w="980" w:type="dxa"/>
            <w:vAlign w:val="bottom"/>
          </w:tcPr>
          <w:p>
            <w:pPr>
              <w:jc w:val="right"/>
              <w:ind w:right="778"/>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1060" w:type="dxa"/>
            <w:vAlign w:val="bottom"/>
          </w:tcPr>
          <w:p>
            <w:pPr>
              <w:jc w:val="right"/>
              <w:ind w:right="878"/>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6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4700" w:type="dxa"/>
            <w:vAlign w:val="bottom"/>
          </w:tcPr>
          <w:p>
            <w:pPr>
              <w:ind w:left="20"/>
              <w:spacing w:after="0"/>
              <w:rPr>
                <w:sz w:val="20"/>
                <w:szCs w:val="20"/>
                <w:color w:val="auto"/>
              </w:rPr>
            </w:pPr>
            <w:r>
              <w:rPr>
                <w:rFonts w:ascii="Arial" w:cs="Arial" w:eastAsia="Arial" w:hAnsi="Arial"/>
                <w:sz w:val="18"/>
                <w:szCs w:val="18"/>
                <w:color w:val="auto"/>
              </w:rPr>
              <w:t>Other insurance expense</w:t>
            </w:r>
          </w:p>
        </w:tc>
        <w:tc>
          <w:tcPr>
            <w:tcW w:w="1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6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1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6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compensation expense</w:t>
            </w: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total share-based compensation expense by type of award: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060" w:type="dxa"/>
            <w:vAlign w:val="bottom"/>
          </w:tcPr>
          <w:p>
            <w:pPr>
              <w:spacing w:after="0"/>
              <w:rPr>
                <w:sz w:val="15"/>
                <w:szCs w:val="15"/>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179"/>
        </w:trPr>
        <w:tc>
          <w:tcPr>
            <w:tcW w:w="4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(dollars in millions)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6"/>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4060" w:type="dxa"/>
            <w:vAlign w:val="bottom"/>
          </w:tcPr>
          <w:p>
            <w:pPr>
              <w:ind w:left="440"/>
              <w:spacing w:after="0"/>
              <w:rPr>
                <w:sz w:val="20"/>
                <w:szCs w:val="20"/>
                <w:color w:val="auto"/>
              </w:rPr>
            </w:pPr>
            <w:r>
              <w:rPr>
                <w:rFonts w:ascii="Arial" w:cs="Arial" w:eastAsia="Arial" w:hAnsi="Arial"/>
                <w:sz w:val="18"/>
                <w:szCs w:val="18"/>
                <w:color w:val="auto"/>
              </w:rPr>
              <w:t>Restricted stock unit expense</w:t>
            </w:r>
          </w:p>
        </w:tc>
        <w:tc>
          <w:tcPr>
            <w:tcW w:w="1300" w:type="dxa"/>
            <w:vAlign w:val="bottom"/>
          </w:tcPr>
          <w:p>
            <w:pPr>
              <w:jc w:val="right"/>
              <w:ind w:right="801"/>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240" w:type="dxa"/>
            <w:vAlign w:val="bottom"/>
          </w:tcPr>
          <w:p>
            <w:pPr>
              <w:jc w:val="right"/>
              <w:ind w:right="73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 expense</w:t>
            </w:r>
          </w:p>
        </w:tc>
        <w:tc>
          <w:tcPr>
            <w:tcW w:w="1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19"/>
        </w:trPr>
        <w:tc>
          <w:tcPr>
            <w:tcW w:w="4060" w:type="dxa"/>
            <w:vAlign w:val="bottom"/>
          </w:tcPr>
          <w:p>
            <w:pPr>
              <w:ind w:left="560"/>
              <w:spacing w:after="0"/>
              <w:rPr>
                <w:sz w:val="20"/>
                <w:szCs w:val="20"/>
                <w:color w:val="auto"/>
              </w:rPr>
            </w:pPr>
            <w:r>
              <w:rPr>
                <w:rFonts w:ascii="Arial" w:cs="Arial" w:eastAsia="Arial" w:hAnsi="Arial"/>
                <w:sz w:val="18"/>
                <w:szCs w:val="18"/>
                <w:color w:val="auto"/>
              </w:rPr>
              <w:t>Total share-based compensation expense</w:t>
            </w:r>
          </w:p>
        </w:tc>
        <w:tc>
          <w:tcPr>
            <w:tcW w:w="1300" w:type="dxa"/>
            <w:vAlign w:val="bottom"/>
            <w:tcBorders>
              <w:bottom w:val="single" w:sz="8" w:color="auto"/>
            </w:tcBorders>
          </w:tcPr>
          <w:p>
            <w:pPr>
              <w:jc w:val="right"/>
              <w:ind w:right="80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4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200" w:firstLine="318"/>
        <w:spacing w:after="0" w:line="277" w:lineRule="auto"/>
        <w:rPr>
          <w:sz w:val="20"/>
          <w:szCs w:val="20"/>
          <w:color w:val="auto"/>
        </w:rPr>
      </w:pPr>
      <w:r>
        <w:rPr>
          <w:rFonts w:ascii="Arial" w:cs="Arial" w:eastAsia="Arial" w:hAnsi="Arial"/>
          <w:sz w:val="17"/>
          <w:szCs w:val="17"/>
          <w:color w:val="auto"/>
        </w:rPr>
        <w:t>In March 2020, a current investor completed a tender offer for vested common stock from shareholders, many of whom were employees or members of the Board of Directors. To encourage participation, the tender offer was made at a price in excess of the fair value of our common stock. As a result, we recognized $25.1 million of share-based compensation expense during the six months ended June 30, 2020.</w:t>
      </w:r>
    </w:p>
    <w:p>
      <w:pPr>
        <w:spacing w:after="0" w:line="118" w:lineRule="exact"/>
        <w:rPr>
          <w:sz w:val="20"/>
          <w:szCs w:val="20"/>
          <w:color w:val="auto"/>
        </w:rPr>
      </w:pPr>
    </w:p>
    <w:p>
      <w:pPr>
        <w:ind w:right="140" w:firstLine="318"/>
        <w:spacing w:after="0" w:line="365" w:lineRule="auto"/>
        <w:rPr>
          <w:sz w:val="20"/>
          <w:szCs w:val="20"/>
          <w:color w:val="auto"/>
        </w:rPr>
      </w:pPr>
      <w:r>
        <w:rPr>
          <w:rFonts w:ascii="Arial" w:cs="Arial" w:eastAsia="Arial" w:hAnsi="Arial"/>
          <w:sz w:val="15"/>
          <w:szCs w:val="15"/>
          <w:color w:val="auto"/>
        </w:rPr>
        <w:t>As of June 30, 2021, there was $7.4 million and $66.1 million of unrecognized compensation cost related to nonvested stock options and restricted stock units, respectively. The remaining costs are expected to be recognized over a period of approximately six and four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RSU activity for the six months ended June 30, 2021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Six Months Ended June 30, 2021</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tcPr>
          <w:p>
            <w:pPr>
              <w:jc w:val="right"/>
              <w:ind w:right="518"/>
              <w:spacing w:after="0" w:line="131" w:lineRule="exact"/>
              <w:rPr>
                <w:sz w:val="20"/>
                <w:szCs w:val="20"/>
                <w:color w:val="auto"/>
              </w:rPr>
            </w:pPr>
            <w:r>
              <w:rPr>
                <w:rFonts w:ascii="Arial" w:cs="Arial" w:eastAsia="Arial" w:hAnsi="Arial"/>
                <w:sz w:val="14"/>
                <w:szCs w:val="14"/>
                <w:b w:val="1"/>
                <w:bCs w:val="1"/>
                <w:color w:val="auto"/>
                <w:w w:val="97"/>
              </w:rPr>
              <w:t>Weighted-Average</w:t>
            </w:r>
          </w:p>
        </w:tc>
        <w:tc>
          <w:tcPr>
            <w:tcW w:w="160" w:type="dxa"/>
            <w:vAlign w:val="bottom"/>
          </w:tcPr>
          <w:p>
            <w:pPr>
              <w:spacing w:after="0"/>
              <w:rPr>
                <w:sz w:val="11"/>
                <w:szCs w:val="11"/>
                <w:color w:val="auto"/>
              </w:rPr>
            </w:pPr>
          </w:p>
        </w:tc>
        <w:tc>
          <w:tcPr>
            <w:tcW w:w="13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Aggregate Intrinsic</w:t>
            </w:r>
          </w:p>
        </w:tc>
        <w:tc>
          <w:tcPr>
            <w:tcW w:w="0" w:type="dxa"/>
            <w:vAlign w:val="bottom"/>
          </w:tcPr>
          <w:p>
            <w:pPr>
              <w:spacing w:after="0"/>
              <w:rPr>
                <w:sz w:val="1"/>
                <w:szCs w:val="1"/>
                <w:color w:val="auto"/>
              </w:rPr>
            </w:pPr>
          </w:p>
        </w:tc>
      </w:tr>
      <w:tr>
        <w:trPr>
          <w:trHeight w:val="133"/>
        </w:trPr>
        <w:tc>
          <w:tcPr>
            <w:tcW w:w="59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Restricted Stock Units</w:t>
            </w:r>
          </w:p>
        </w:tc>
        <w:tc>
          <w:tcPr>
            <w:tcW w:w="1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500" w:type="dxa"/>
            <w:vAlign w:val="bottom"/>
          </w:tcPr>
          <w:p>
            <w:pPr>
              <w:spacing w:after="0"/>
              <w:rPr>
                <w:sz w:val="11"/>
                <w:szCs w:val="11"/>
                <w:color w:val="auto"/>
              </w:rPr>
            </w:pPr>
          </w:p>
        </w:tc>
        <w:tc>
          <w:tcPr>
            <w:tcW w:w="1820" w:type="dxa"/>
            <w:vAlign w:val="bottom"/>
          </w:tcPr>
          <w:p>
            <w:pPr>
              <w:jc w:val="right"/>
              <w:ind w:right="738"/>
              <w:spacing w:after="0" w:line="133" w:lineRule="exact"/>
              <w:rPr>
                <w:sz w:val="20"/>
                <w:szCs w:val="20"/>
                <w:color w:val="auto"/>
              </w:rPr>
            </w:pPr>
            <w:r>
              <w:rPr>
                <w:rFonts w:ascii="Arial" w:cs="Arial" w:eastAsia="Arial" w:hAnsi="Arial"/>
                <w:sz w:val="14"/>
                <w:szCs w:val="14"/>
                <w:b w:val="1"/>
                <w:bCs w:val="1"/>
                <w:color w:val="auto"/>
                <w:w w:val="96"/>
              </w:rPr>
              <w:t>Grant Date Fair</w:t>
            </w:r>
          </w:p>
        </w:tc>
        <w:tc>
          <w:tcPr>
            <w:tcW w:w="1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90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820" w:type="dxa"/>
            <w:vAlign w:val="bottom"/>
          </w:tcPr>
          <w:p>
            <w:pPr>
              <w:jc w:val="right"/>
              <w:ind w:right="758"/>
              <w:spacing w:after="0"/>
              <w:rPr>
                <w:sz w:val="20"/>
                <w:szCs w:val="20"/>
                <w:color w:val="auto"/>
              </w:rPr>
            </w:pPr>
            <w:r>
              <w:rPr>
                <w:rFonts w:ascii="Arial" w:cs="Arial" w:eastAsia="Arial" w:hAnsi="Arial"/>
                <w:sz w:val="14"/>
                <w:szCs w:val="14"/>
                <w:b w:val="1"/>
                <w:bCs w:val="1"/>
                <w:color w:val="auto"/>
                <w:w w:val="90"/>
              </w:rPr>
              <w:t>Value per Share</w:t>
            </w:r>
          </w:p>
        </w:tc>
        <w:tc>
          <w:tcPr>
            <w:tcW w:w="160" w:type="dxa"/>
            <w:vAlign w:val="bottom"/>
          </w:tcPr>
          <w:p>
            <w:pPr>
              <w:spacing w:after="0"/>
              <w:rPr>
                <w:sz w:val="16"/>
                <w:szCs w:val="16"/>
                <w:color w:val="auto"/>
              </w:rPr>
            </w:pPr>
          </w:p>
        </w:tc>
        <w:tc>
          <w:tcPr>
            <w:tcW w:w="1340" w:type="dxa"/>
            <w:vAlign w:val="bottom"/>
          </w:tcPr>
          <w:p>
            <w:pPr>
              <w:jc w:val="right"/>
              <w:ind w:right="65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9"/>
        </w:trPr>
        <w:tc>
          <w:tcPr>
            <w:tcW w:w="5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(in millions, except per share amounts)</w:t>
            </w: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Nonvested at January 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18.41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5"/>
        </w:trPr>
        <w:tc>
          <w:tcPr>
            <w:tcW w:w="590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19"/>
                <w:szCs w:val="19"/>
                <w:color w:val="auto"/>
              </w:rPr>
            </w:pPr>
          </w:p>
        </w:tc>
        <w:tc>
          <w:tcPr>
            <w:tcW w:w="1820" w:type="dxa"/>
            <w:vAlign w:val="bottom"/>
          </w:tcPr>
          <w:p>
            <w:pPr>
              <w:jc w:val="right"/>
              <w:ind w:right="398"/>
              <w:spacing w:after="0"/>
              <w:rPr>
                <w:sz w:val="20"/>
                <w:szCs w:val="20"/>
                <w:color w:val="auto"/>
              </w:rPr>
            </w:pPr>
            <w:r>
              <w:rPr>
                <w:rFonts w:ascii="Arial" w:cs="Arial" w:eastAsia="Arial" w:hAnsi="Arial"/>
                <w:sz w:val="18"/>
                <w:szCs w:val="18"/>
                <w:color w:val="auto"/>
              </w:rPr>
              <w:t>11.55</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16.88</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5"/>
        </w:trPr>
        <w:tc>
          <w:tcPr>
            <w:tcW w:w="59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Forfeited, expired or canceled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5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jc w:val="right"/>
              <w:ind w:right="398"/>
              <w:spacing w:after="0"/>
              <w:rPr>
                <w:sz w:val="20"/>
                <w:szCs w:val="20"/>
                <w:color w:val="auto"/>
              </w:rPr>
            </w:pPr>
            <w:r>
              <w:rPr>
                <w:rFonts w:ascii="Arial" w:cs="Arial" w:eastAsia="Arial" w:hAnsi="Arial"/>
                <w:sz w:val="18"/>
                <w:szCs w:val="18"/>
                <w:color w:val="auto"/>
              </w:rPr>
              <w:t>12.34</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Nonvested at June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398"/>
              <w:spacing w:after="0"/>
              <w:rPr>
                <w:sz w:val="20"/>
                <w:szCs w:val="20"/>
                <w:color w:val="auto"/>
              </w:rPr>
            </w:pPr>
            <w:r>
              <w:rPr>
                <w:rFonts w:ascii="Arial" w:cs="Arial" w:eastAsia="Arial" w:hAnsi="Arial"/>
                <w:sz w:val="18"/>
                <w:szCs w:val="18"/>
                <w:color w:val="auto"/>
              </w:rPr>
              <w:t>11.96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option activity for the six months ended June 30, 2021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2"/>
          </w:tcPr>
          <w:p>
            <w:pPr>
              <w:jc w:val="right"/>
              <w:ind w:right="622"/>
              <w:spacing w:after="0"/>
              <w:rPr>
                <w:sz w:val="20"/>
                <w:szCs w:val="20"/>
                <w:color w:val="auto"/>
              </w:rPr>
            </w:pPr>
            <w:r>
              <w:rPr>
                <w:rFonts w:ascii="Arial" w:cs="Arial" w:eastAsia="Arial" w:hAnsi="Arial"/>
                <w:sz w:val="14"/>
                <w:szCs w:val="14"/>
                <w:b w:val="1"/>
                <w:bCs w:val="1"/>
                <w:color w:val="auto"/>
              </w:rPr>
              <w:t>Six Months Ended June 30, 2021</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4"/>
              </w:rPr>
              <w:t>Weighted-Average</w:t>
            </w:r>
          </w:p>
        </w:tc>
        <w:tc>
          <w:tcPr>
            <w:tcW w:w="1880" w:type="dxa"/>
            <w:vAlign w:val="bottom"/>
          </w:tcPr>
          <w:p>
            <w:pPr>
              <w:jc w:val="right"/>
              <w:ind w:right="282"/>
              <w:spacing w:after="0" w:line="131" w:lineRule="exact"/>
              <w:rPr>
                <w:sz w:val="20"/>
                <w:szCs w:val="20"/>
                <w:color w:val="auto"/>
              </w:rPr>
            </w:pPr>
            <w:r>
              <w:rPr>
                <w:rFonts w:ascii="Arial" w:cs="Arial" w:eastAsia="Arial" w:hAnsi="Arial"/>
                <w:sz w:val="14"/>
                <w:szCs w:val="14"/>
                <w:b w:val="1"/>
                <w:bCs w:val="1"/>
                <w:color w:val="auto"/>
              </w:rPr>
              <w:t>Weighted-Average</w:t>
            </w:r>
          </w:p>
        </w:tc>
        <w:tc>
          <w:tcPr>
            <w:tcW w:w="240" w:type="dxa"/>
            <w:vAlign w:val="bottom"/>
          </w:tcPr>
          <w:p>
            <w:pPr>
              <w:spacing w:after="0"/>
              <w:rPr>
                <w:sz w:val="11"/>
                <w:szCs w:val="11"/>
                <w:color w:val="auto"/>
              </w:rPr>
            </w:pPr>
          </w:p>
        </w:tc>
        <w:tc>
          <w:tcPr>
            <w:tcW w:w="13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3"/>
        </w:trPr>
        <w:tc>
          <w:tcPr>
            <w:tcW w:w="43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Options</w:t>
            </w: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5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880" w:type="dxa"/>
            <w:vAlign w:val="bottom"/>
          </w:tcPr>
          <w:p>
            <w:pPr>
              <w:jc w:val="right"/>
              <w:ind w:right="282"/>
              <w:spacing w:after="0" w:line="133" w:lineRule="exact"/>
              <w:rPr>
                <w:sz w:val="20"/>
                <w:szCs w:val="20"/>
                <w:color w:val="auto"/>
              </w:rPr>
            </w:pPr>
            <w:r>
              <w:rPr>
                <w:rFonts w:ascii="Arial" w:cs="Arial" w:eastAsia="Arial" w:hAnsi="Arial"/>
                <w:sz w:val="14"/>
                <w:szCs w:val="14"/>
                <w:b w:val="1"/>
                <w:bCs w:val="1"/>
                <w:color w:val="auto"/>
                <w:w w:val="97"/>
              </w:rPr>
              <w:t>Remaining Contractual</w:t>
            </w:r>
          </w:p>
        </w:tc>
        <w:tc>
          <w:tcPr>
            <w:tcW w:w="2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3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1"/>
              </w:rPr>
              <w:t>Exercise Price</w:t>
            </w:r>
          </w:p>
        </w:tc>
        <w:tc>
          <w:tcPr>
            <w:tcW w:w="18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Term (in Years)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9"/>
        </w:trPr>
        <w:tc>
          <w:tcPr>
            <w:tcW w:w="4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8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w w:val="89"/>
              </w:rPr>
              <w:t>(in millions, except exercise price and term amounts)</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and exercisable at January 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18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5"/>
        </w:trPr>
        <w:tc>
          <w:tcPr>
            <w:tcW w:w="43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0" w:type="dxa"/>
            <w:vAlign w:val="bottom"/>
          </w:tcPr>
          <w:p>
            <w:pPr>
              <w:jc w:val="right"/>
              <w:ind w:right="20"/>
              <w:spacing w:after="0"/>
              <w:rPr>
                <w:sz w:val="20"/>
                <w:szCs w:val="20"/>
                <w:color w:val="auto"/>
              </w:rPr>
            </w:pPr>
            <w:r>
              <w:rPr>
                <w:rFonts w:ascii="Arial" w:cs="Arial" w:eastAsia="Arial" w:hAnsi="Arial"/>
                <w:sz w:val="18"/>
                <w:szCs w:val="18"/>
                <w:color w:val="auto"/>
              </w:rPr>
              <w:t>10.82</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 expired or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5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4.62</w:t>
            </w:r>
          </w:p>
        </w:tc>
        <w:tc>
          <w:tcPr>
            <w:tcW w:w="18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June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188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8"/>
                <w:szCs w:val="18"/>
                <w:color w:val="auto"/>
              </w:rPr>
              <w:t>7.22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Except as disclosed below, we do not believe that we are party to any current or pending legal action that could reasonably be expected to have a material adverse effect on our financial condition or results of operations and cash flow.</w:t>
      </w:r>
    </w:p>
    <w:p>
      <w:pPr>
        <w:spacing w:after="0" w:line="135"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On March 19, 2021, a purported class action complaint was filed against the Company and certain of its current officers and directors in the U.S. District Court for the Southern District of Ohio (Case No. 2:21-cv-01197) on behalf of certain Root shareholders. The complaint alleges that defendants made false or misleading statements and omissions of purportedly material fact, in violation of Sections 10(b) and 20(a) of the Securities Exchange Act of 1934 and Rule 10b-5 thereunder, and of Sections 11 and 15 of the Securities Act of 1933, in connection with and following the Company’s initial public offering. The complaint seeks unspecified damages. The Company believes that the claims in this lawsuit are without merit and intends to defend against them vigorously. The lawsuit is in the early stages and, at this time, we are unable to predict the outcome and we cannot estimate the likelihood or magnitude of our possible or potential loss contingency.</w:t>
      </w:r>
    </w:p>
    <w:p>
      <w:pPr>
        <w:spacing w:after="0" w:line="146" w:lineRule="exact"/>
        <w:rPr>
          <w:sz w:val="20"/>
          <w:szCs w:val="20"/>
          <w:color w:val="auto"/>
        </w:rPr>
      </w:pPr>
    </w:p>
    <w:p>
      <w:pPr>
        <w:ind w:right="80" w:firstLine="318"/>
        <w:spacing w:after="0" w:line="277" w:lineRule="auto"/>
        <w:rPr>
          <w:sz w:val="20"/>
          <w:szCs w:val="20"/>
          <w:color w:val="auto"/>
        </w:rPr>
      </w:pPr>
      <w:r>
        <w:rPr>
          <w:rFonts w:ascii="Arial" w:cs="Arial" w:eastAsia="Arial" w:hAnsi="Arial"/>
          <w:sz w:val="17"/>
          <w:szCs w:val="17"/>
          <w:color w:val="auto"/>
        </w:rPr>
        <w:t>On March 25, 2021, a purported class action complaint was filed against the Company, certain of its current officers and directors, Goldman Sachs &amp; Co. LLC, Morgan Stanley &amp; Co. LLC, Barclays Capital Inc. and Wells Fargo Securities, LLC, in the U.S. District Court for the Southern District of Ohio (Case No. 2:21-cv-01301) on behalf of certain Root shareholders. This matter was voluntarily dismissed on May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19"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We are contingently liable for possible future assessments under regulatory requirements for insolvencies and impairments of unaffiliated insurance companies.</w:t>
      </w:r>
    </w:p>
    <w:p>
      <w:pPr>
        <w:spacing w:after="0" w:line="135" w:lineRule="exact"/>
        <w:rPr>
          <w:sz w:val="20"/>
          <w:szCs w:val="20"/>
          <w:color w:val="auto"/>
        </w:rPr>
      </w:pPr>
    </w:p>
    <w:p>
      <w:pPr>
        <w:ind w:left="620" w:hanging="614"/>
        <w:spacing w:after="0"/>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AND ACCUMULATED OTHER COMPREHENSIVE INCOME</w:t>
      </w:r>
    </w:p>
    <w:p>
      <w:pPr>
        <w:spacing w:after="0" w:line="170"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The following table presents the changes in our accumulated other comprehensive income (loss), or AOCI, for the three and six months ended June 30,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7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6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84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179"/>
        </w:trPr>
        <w:tc>
          <w:tcPr>
            <w:tcW w:w="5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5"/>
          </w:tcPr>
          <w:p>
            <w:pPr>
              <w:ind w:left="46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unrealized gains on investments:</w:t>
            </w: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w w:val="99"/>
              </w:rPr>
              <w:t>Accumulated other comprehensive income (loss) beginning balance</w:t>
            </w:r>
          </w:p>
        </w:tc>
        <w:tc>
          <w:tcPr>
            <w:tcW w:w="880" w:type="dxa"/>
            <w:vAlign w:val="bottom"/>
          </w:tcPr>
          <w:p>
            <w:pPr>
              <w:jc w:val="right"/>
              <w:ind w:right="701"/>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center"/>
              <w:ind w:left="517"/>
              <w:spacing w:after="0"/>
              <w:rPr>
                <w:sz w:val="20"/>
                <w:szCs w:val="20"/>
                <w:color w:val="auto"/>
              </w:rPr>
            </w:pPr>
            <w:r>
              <w:rPr>
                <w:rFonts w:ascii="Arial" w:cs="Arial" w:eastAsia="Arial" w:hAnsi="Arial"/>
                <w:sz w:val="18"/>
                <w:szCs w:val="18"/>
                <w:color w:val="auto"/>
                <w:w w:val="91"/>
              </w:rPr>
              <w:t>(1.2)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center"/>
              <w:ind w:left="557"/>
              <w:spacing w:after="0"/>
              <w:rPr>
                <w:sz w:val="20"/>
                <w:szCs w:val="20"/>
                <w:color w:val="auto"/>
              </w:rPr>
            </w:pPr>
            <w:r>
              <w:rPr>
                <w:rFonts w:ascii="Arial" w:cs="Arial" w:eastAsia="Arial" w:hAnsi="Arial"/>
                <w:sz w:val="18"/>
                <w:szCs w:val="18"/>
                <w:color w:val="auto"/>
                <w:w w:val="87"/>
              </w:rPr>
              <w:t>5.6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center"/>
              <w:ind w:left="555"/>
              <w:spacing w:after="0"/>
              <w:rPr>
                <w:sz w:val="20"/>
                <w:szCs w:val="20"/>
                <w:color w:val="auto"/>
              </w:rPr>
            </w:pPr>
            <w:r>
              <w:rPr>
                <w:rFonts w:ascii="Arial" w:cs="Arial" w:eastAsia="Arial" w:hAnsi="Arial"/>
                <w:sz w:val="18"/>
                <w:szCs w:val="18"/>
                <w:color w:val="auto"/>
                <w:w w:val="87"/>
              </w:rPr>
              <w:t>0.6</w:t>
            </w:r>
          </w:p>
        </w:tc>
      </w:tr>
      <w:tr>
        <w:trPr>
          <w:trHeight w:val="22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7"/>
              <w:spacing w:after="0"/>
              <w:rPr>
                <w:sz w:val="20"/>
                <w:szCs w:val="20"/>
                <w:color w:val="auto"/>
              </w:rPr>
            </w:pPr>
            <w:r>
              <w:rPr>
                <w:rFonts w:ascii="Arial" w:cs="Arial" w:eastAsia="Arial" w:hAnsi="Arial"/>
                <w:sz w:val="18"/>
                <w:szCs w:val="18"/>
                <w:color w:val="auto"/>
                <w:w w:val="87"/>
              </w:rPr>
              <w:t>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91"/>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5"/>
              <w:spacing w:after="0"/>
              <w:rPr>
                <w:sz w:val="20"/>
                <w:szCs w:val="20"/>
                <w:color w:val="auto"/>
              </w:rPr>
            </w:pPr>
            <w:r>
              <w:rPr>
                <w:rFonts w:ascii="Arial" w:cs="Arial" w:eastAsia="Arial" w:hAnsi="Arial"/>
                <w:sz w:val="18"/>
                <w:szCs w:val="18"/>
                <w:color w:val="auto"/>
                <w:w w:val="87"/>
              </w:rPr>
              <w:t>5.0</w:t>
            </w:r>
          </w:p>
        </w:tc>
      </w:tr>
      <w:tr>
        <w:trPr>
          <w:trHeight w:val="225"/>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realized gains on investments reclassified from AOCI to net loss</w:t>
            </w: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color w:val="auto"/>
                <w:w w:val="91"/>
              </w:rPr>
              <w:t>(2.4)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15"/>
              <w:spacing w:after="0"/>
              <w:rPr>
                <w:sz w:val="20"/>
                <w:szCs w:val="20"/>
                <w:color w:val="auto"/>
              </w:rPr>
            </w:pPr>
            <w:r>
              <w:rPr>
                <w:rFonts w:ascii="Arial" w:cs="Arial" w:eastAsia="Arial" w:hAnsi="Arial"/>
                <w:sz w:val="18"/>
                <w:szCs w:val="18"/>
                <w:color w:val="auto"/>
                <w:w w:val="91"/>
              </w:rPr>
              <w:t>(0.1)</w:t>
            </w:r>
          </w:p>
        </w:tc>
      </w:tr>
      <w:tr>
        <w:trPr>
          <w:trHeight w:val="218"/>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7"/>
              <w:spacing w:after="0"/>
              <w:rPr>
                <w:sz w:val="20"/>
                <w:szCs w:val="20"/>
                <w:color w:val="auto"/>
              </w:rPr>
            </w:pPr>
            <w:r>
              <w:rPr>
                <w:rFonts w:ascii="Arial" w:cs="Arial" w:eastAsia="Arial" w:hAnsi="Arial"/>
                <w:sz w:val="18"/>
                <w:szCs w:val="18"/>
                <w:color w:val="auto"/>
                <w:w w:val="87"/>
              </w:rPr>
              <w:t>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91"/>
              </w:rPr>
              <w:t>(3.5)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5"/>
              <w:spacing w:after="0"/>
              <w:rPr>
                <w:sz w:val="20"/>
                <w:szCs w:val="20"/>
                <w:color w:val="auto"/>
              </w:rPr>
            </w:pPr>
            <w:r>
              <w:rPr>
                <w:rFonts w:ascii="Arial" w:cs="Arial" w:eastAsia="Arial" w:hAnsi="Arial"/>
                <w:sz w:val="18"/>
                <w:szCs w:val="18"/>
                <w:color w:val="auto"/>
                <w:w w:val="87"/>
              </w:rPr>
              <w:t>4.9</w:t>
            </w:r>
          </w:p>
        </w:tc>
      </w:tr>
      <w:tr>
        <w:trPr>
          <w:trHeight w:val="21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 ending balance</w:t>
            </w:r>
          </w:p>
        </w:tc>
        <w:tc>
          <w:tcPr>
            <w:tcW w:w="88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center"/>
              <w:ind w:left="557"/>
              <w:spacing w:after="0"/>
              <w:rPr>
                <w:sz w:val="20"/>
                <w:szCs w:val="20"/>
                <w:color w:val="auto"/>
              </w:rPr>
            </w:pPr>
            <w:r>
              <w:rPr>
                <w:rFonts w:ascii="Arial" w:cs="Arial" w:eastAsia="Arial" w:hAnsi="Arial"/>
                <w:sz w:val="18"/>
                <w:szCs w:val="18"/>
                <w:color w:val="auto"/>
                <w:w w:val="87"/>
              </w:rPr>
              <w:t>5.5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center"/>
              <w:ind w:left="557"/>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center"/>
              <w:ind w:left="555"/>
              <w:spacing w:after="0"/>
              <w:rPr>
                <w:sz w:val="20"/>
                <w:szCs w:val="20"/>
                <w:color w:val="auto"/>
              </w:rPr>
            </w:pPr>
            <w:r>
              <w:rPr>
                <w:rFonts w:ascii="Arial" w:cs="Arial" w:eastAsia="Arial" w:hAnsi="Arial"/>
                <w:sz w:val="18"/>
                <w:szCs w:val="18"/>
                <w:color w:val="auto"/>
                <w:w w:val="87"/>
              </w:rPr>
              <w:t>5.5</w:t>
            </w:r>
          </w:p>
        </w:tc>
      </w:tr>
      <w:tr>
        <w:trPr>
          <w:trHeight w:val="20"/>
        </w:trPr>
        <w:tc>
          <w:tcPr>
            <w:tcW w:w="5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680" w:hanging="674"/>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70"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following table displays the computation of basic and diluted loss per share for both Class A and Class B common stock for the three and six months ended June 30,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6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(in millions, except per share amounts)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center"/>
              <w:ind w:left="599"/>
              <w:spacing w:after="0"/>
              <w:rPr>
                <w:sz w:val="20"/>
                <w:szCs w:val="20"/>
                <w:color w:val="auto"/>
              </w:rPr>
            </w:pPr>
            <w:r>
              <w:rPr>
                <w:rFonts w:ascii="Arial" w:cs="Arial" w:eastAsia="Arial" w:hAnsi="Arial"/>
                <w:sz w:val="18"/>
                <w:szCs w:val="18"/>
                <w:color w:val="auto"/>
                <w:w w:val="89"/>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0"/>
              </w:rPr>
              <w:t>Weighted-average common shares outstanding: basic and diluted (both Class 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8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center"/>
              <w:ind w:left="619"/>
              <w:spacing w:after="0"/>
              <w:rPr>
                <w:sz w:val="20"/>
                <w:szCs w:val="20"/>
                <w:color w:val="auto"/>
              </w:rPr>
            </w:pPr>
            <w:r>
              <w:rPr>
                <w:rFonts w:ascii="Arial" w:cs="Arial" w:eastAsia="Arial" w:hAnsi="Arial"/>
                <w:sz w:val="18"/>
                <w:szCs w:val="18"/>
                <w:color w:val="auto"/>
                <w:w w:val="91"/>
              </w:rPr>
              <w:t>37.9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4"/>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B)</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Loss per common share: basic and diluted (both Class A and B)</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center"/>
              <w:ind w:left="599"/>
              <w:spacing w:after="0"/>
              <w:rPr>
                <w:sz w:val="20"/>
                <w:szCs w:val="20"/>
                <w:color w:val="auto"/>
              </w:rPr>
            </w:pPr>
            <w:r>
              <w:rPr>
                <w:rFonts w:ascii="Arial" w:cs="Arial" w:eastAsia="Arial" w:hAnsi="Arial"/>
                <w:sz w:val="18"/>
                <w:szCs w:val="18"/>
                <w:color w:val="auto"/>
                <w:w w:val="89"/>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both"/>
        <w:ind w:firstLine="318"/>
        <w:spacing w:after="0" w:line="315" w:lineRule="auto"/>
        <w:rPr>
          <w:sz w:val="20"/>
          <w:szCs w:val="20"/>
          <w:color w:val="auto"/>
        </w:rPr>
      </w:pPr>
      <w:r>
        <w:rPr>
          <w:rFonts w:ascii="Arial" w:cs="Arial" w:eastAsia="Arial" w:hAnsi="Arial"/>
          <w:sz w:val="15"/>
          <w:szCs w:val="15"/>
          <w:color w:val="auto"/>
        </w:rPr>
        <w:t>We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1"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As of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179"/>
        </w:trPr>
        <w:tc>
          <w:tcPr>
            <w:tcW w:w="8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r>
      <w:tr>
        <w:trPr>
          <w:trHeight w:val="226"/>
        </w:trPr>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Options to purchase common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5"/>
        </w:trPr>
        <w:tc>
          <w:tcPr>
            <w:tcW w:w="9160" w:type="dxa"/>
            <w:vAlign w:val="bottom"/>
            <w:gridSpan w:val="2"/>
          </w:tcPr>
          <w:p>
            <w:pPr>
              <w:ind w:left="340"/>
              <w:spacing w:after="0"/>
              <w:rPr>
                <w:sz w:val="20"/>
                <w:szCs w:val="20"/>
                <w:color w:val="auto"/>
              </w:rPr>
            </w:pPr>
            <w:r>
              <w:rPr>
                <w:rFonts w:ascii="Arial" w:cs="Arial" w:eastAsia="Arial" w:hAnsi="Arial"/>
                <w:sz w:val="18"/>
                <w:szCs w:val="18"/>
                <w:color w:val="auto"/>
              </w:rPr>
              <w:t>Nonvested shares subject to repurchase</w:t>
            </w: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6"/>
        </w:trPr>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Restricted stock units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5"/>
        </w:trPr>
        <w:tc>
          <w:tcPr>
            <w:tcW w:w="9160" w:type="dxa"/>
            <w:vAlign w:val="bottom"/>
            <w:gridSpan w:val="2"/>
          </w:tcPr>
          <w:p>
            <w:pPr>
              <w:ind w:left="340"/>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116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161.8</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redeemable convertible preferred stock (as converted to common stock)</w:t>
            </w:r>
          </w:p>
        </w:tc>
        <w:tc>
          <w:tcPr>
            <w:tcW w:w="1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9"/>
        </w:trPr>
        <w:tc>
          <w:tcPr>
            <w:tcW w:w="91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17.3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180.4</w:t>
            </w:r>
          </w:p>
        </w:tc>
      </w:tr>
      <w:tr>
        <w:trPr>
          <w:trHeight w:val="20"/>
        </w:trPr>
        <w:tc>
          <w:tcPr>
            <w:tcW w:w="80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13" w:lineRule="exact"/>
        <w:rPr>
          <w:sz w:val="20"/>
          <w:szCs w:val="20"/>
          <w:color w:val="auto"/>
        </w:rPr>
      </w:pPr>
    </w:p>
    <w:p>
      <w:pPr>
        <w:ind w:left="640" w:hanging="634"/>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BREAKDOWN OF DIRECT WRITTEN PREMIUM</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 written premium, or DWP, by state is as follows for the three and six months ended June 30,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4"/>
              </w:rPr>
              <w:t>Three Months Ended 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9"/>
              </w:rPr>
              <w:t>Six Months Ended June 30,</w:t>
            </w:r>
          </w:p>
        </w:tc>
        <w:tc>
          <w:tcPr>
            <w:tcW w:w="940" w:type="dxa"/>
            <w:vAlign w:val="bottom"/>
            <w:tcBorders>
              <w:bottom w:val="single" w:sz="8" w:color="auto"/>
            </w:tcBorders>
          </w:tcPr>
          <w:p>
            <w:pPr>
              <w:spacing w:after="0"/>
              <w:rPr>
                <w:sz w:val="16"/>
                <w:szCs w:val="16"/>
                <w:color w:val="auto"/>
              </w:rPr>
            </w:pPr>
          </w:p>
        </w:tc>
      </w:tr>
      <w:tr>
        <w:trPr>
          <w:trHeight w:val="183"/>
        </w:trPr>
        <w:tc>
          <w:tcPr>
            <w:tcW w:w="2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5"/>
                <w:szCs w:val="15"/>
                <w:color w:val="auto"/>
              </w:rPr>
            </w:pPr>
          </w:p>
        </w:tc>
      </w:tr>
      <w:tr>
        <w:trPr>
          <w:trHeight w:val="178"/>
        </w:trPr>
        <w:tc>
          <w:tcPr>
            <w:tcW w:w="2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of DWP</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of DWP</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 of DWP</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of DWP</w:t>
            </w:r>
          </w:p>
        </w:tc>
      </w:tr>
      <w:tr>
        <w:trPr>
          <w:trHeight w:val="207"/>
        </w:trPr>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State</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Georgia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12.3</w:t>
            </w: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Louisiana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5.0</w:t>
            </w: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w:t>
            </w: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Utah</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4.0</w:t>
            </w: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w:t>
            </w: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Missouri</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4.4</w:t>
            </w:r>
          </w:p>
        </w:tc>
      </w:tr>
      <w:tr>
        <w:trPr>
          <w:trHeight w:val="22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w:t>
            </w:r>
          </w:p>
        </w:tc>
      </w:tr>
      <w:tr>
        <w:trPr>
          <w:trHeight w:val="225"/>
        </w:trPr>
        <w:tc>
          <w:tcPr>
            <w:tcW w:w="2040" w:type="dxa"/>
            <w:vAlign w:val="bottom"/>
          </w:tcPr>
          <w:p>
            <w:pPr>
              <w:ind w:left="20"/>
              <w:spacing w:after="0"/>
              <w:rPr>
                <w:sz w:val="20"/>
                <w:szCs w:val="20"/>
                <w:color w:val="auto"/>
              </w:rPr>
            </w:pPr>
            <w:r>
              <w:rPr>
                <w:rFonts w:ascii="Arial" w:cs="Arial" w:eastAsia="Arial" w:hAnsi="Arial"/>
                <w:sz w:val="18"/>
                <w:szCs w:val="18"/>
                <w:color w:val="auto"/>
              </w:rPr>
              <w:t>South Carolina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1.4</w:t>
            </w:r>
          </w:p>
        </w:tc>
      </w:tr>
      <w:tr>
        <w:trPr>
          <w:trHeight w:val="225"/>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others states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37.5</w:t>
            </w:r>
          </w:p>
        </w:tc>
      </w:tr>
      <w:tr>
        <w:trPr>
          <w:trHeight w:val="219"/>
        </w:trPr>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40" w:hanging="634"/>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On August 11, 2021, we and Carvana (“CVNA”) announced an investment agreement, or agreement, to embed Root’s telematics-based auto insurance products into Carvana’s industry-leading, online car buying platform, or Integrated Platform. In connection with the agreement, Carvana will invest approximately $126 million of primary capital in a convertible preferred security, convertible at $9.00 per share, into approximately 14 million Class A shares of Root, or an ownership interest of 5.0% on a fully-diluted basis as of August 11, 2021.</w:t>
      </w:r>
    </w:p>
    <w:p>
      <w:pPr>
        <w:spacing w:after="0" w:line="138"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agreement also includes eight tranches of warrants that will be issued to Carvana (three tranches of which are “short-term warrants” and five tranches of which are “long-term warrants”). The short-term warrants will expire three years following the earlier of the date of completion of the Integrated Platform or 18 months following closing (such earlier date, the “Reference Date”) and long-term warrants will expire five years after the Reference Date. The short-term warrants will have exercise prices of $10.00 to $12.00 and the long-term warrants will have exercise prices of $10.00 to $30.00. The warrants will be subject to certain conditions to exercise, including relating to the achievement of defined milestones tied to the development of the Integrated Platform and insurance sales through the Integrated Platform. These warrants would enable Carvana to acquire additional shares of Class A Common Stock, up to an amount representing 29.9% of the aggregate number of issued and outstanding shares of the Company’s common stock (including shares of the Company’s Class B common stock) on a fully-diluted basis as of August 11, 2021.</w:t>
      </w:r>
    </w:p>
    <w:p>
      <w:pPr>
        <w:spacing w:after="0" w:line="128"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The exclusive partnership includes a commercial arrangement incorporating agent commissions payable to Carvana for policy origination, and an enterprise total loss replacement vehicle solution.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plan to close the transaction during the second half of 2021, subject to customary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ind w:right="160" w:firstLine="318"/>
        <w:spacing w:after="0" w:line="303"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2020 filed with the Securities and Exchange Commission, or SEC, on March 4, 2021, or the 2020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2020 10-K for a discussion of important factors that could cause our actual results to differ materially from those anticipated in these forward-looking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0" w:lineRule="exact"/>
        <w:rPr>
          <w:sz w:val="20"/>
          <w:szCs w:val="20"/>
          <w:color w:val="auto"/>
        </w:rPr>
      </w:pPr>
    </w:p>
    <w:p>
      <w:pPr>
        <w:ind w:right="460" w:firstLine="318"/>
        <w:spacing w:after="0" w:line="294" w:lineRule="auto"/>
        <w:rPr>
          <w:sz w:val="20"/>
          <w:szCs w:val="20"/>
          <w:color w:val="auto"/>
        </w:rPr>
      </w:pPr>
      <w:r>
        <w:rPr>
          <w:rFonts w:ascii="Arial" w:cs="Arial" w:eastAsia="Arial" w:hAnsi="Arial"/>
          <w:sz w:val="17"/>
          <w:szCs w:val="17"/>
          <w:color w:val="auto"/>
        </w:rPr>
        <w:t>Root is a technology company revolutionizing personal insurance with a pricing model based upon fairness and a modern customer experience. We operate a direct-to-consumer model in which we currently acquire the majority of our customers through mobile applications.</w:t>
      </w:r>
    </w:p>
    <w:p>
      <w:pPr>
        <w:spacing w:after="0" w:line="104" w:lineRule="exact"/>
        <w:rPr>
          <w:sz w:val="20"/>
          <w:szCs w:val="20"/>
          <w:color w:val="auto"/>
        </w:rPr>
      </w:pPr>
    </w:p>
    <w:p>
      <w:pPr>
        <w:jc w:val="both"/>
        <w:ind w:right="320" w:firstLine="318"/>
        <w:spacing w:after="0" w:line="318" w:lineRule="auto"/>
        <w:rPr>
          <w:sz w:val="20"/>
          <w:szCs w:val="20"/>
          <w:color w:val="auto"/>
        </w:rPr>
      </w:pPr>
      <w:r>
        <w:rPr>
          <w:rFonts w:ascii="Arial" w:cs="Arial" w:eastAsia="Arial" w:hAnsi="Arial"/>
          <w:sz w:val="15"/>
          <w:szCs w:val="15"/>
          <w:color w:val="auto"/>
        </w:rPr>
        <w:t>We believe the $260 billion U.S. auto insurance market is ripe for disruption. Auto insurance is required for the vast majority of drivers in the United States and we believe it is typically the first insurance policy purchased by consumers. As a result, our auto-first strategy establishes the foundation for an expansive lifetime relationship with the opportunity to add other personal insurance lines as customer needs evolve. As part of our strategy, we have also established the technological foundation for an enterprise software offering, diversifying our revenue streams over time.</w:t>
      </w:r>
    </w:p>
    <w:p>
      <w:pPr>
        <w:spacing w:after="0" w:line="93"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The Root advantage is derived from our unique ability to segment individual risk based on complex behavioral data and proprietary telematics, a customer experience built for ease of use and a product offering made possible with our full-stack insurance structure. These are all uniquely integrated into a single cloud-based technology platform that captures the entire insurance value chain – from customer acquisition to underwriting to claims and administration to ongoing customer engagement.</w:t>
      </w:r>
    </w:p>
    <w:p>
      <w:pPr>
        <w:spacing w:after="0" w:line="138" w:lineRule="exact"/>
        <w:rPr>
          <w:sz w:val="20"/>
          <w:szCs w:val="20"/>
          <w:color w:val="auto"/>
        </w:rPr>
      </w:pPr>
    </w:p>
    <w:p>
      <w:pPr>
        <w:ind w:right="680" w:firstLine="318"/>
        <w:spacing w:after="0" w:line="365" w:lineRule="auto"/>
        <w:rPr>
          <w:sz w:val="20"/>
          <w:szCs w:val="20"/>
          <w:color w:val="auto"/>
        </w:rPr>
      </w:pPr>
      <w:r>
        <w:rPr>
          <w:rFonts w:ascii="Arial" w:cs="Arial" w:eastAsia="Arial" w:hAnsi="Arial"/>
          <w:sz w:val="15"/>
          <w:szCs w:val="15"/>
          <w:color w:val="auto"/>
        </w:rPr>
        <w:t>Our model benefits from portfolio maturity. As we scale the business rapidly our results are disproportionately weighted towards new customers compared to traditional insurance carriers. As we build an underlying base of recurring customers, we expect the following financial impacts:</w:t>
      </w:r>
    </w:p>
    <w:p>
      <w:pPr>
        <w:spacing w:after="0" w:line="58" w:lineRule="exact"/>
        <w:rPr>
          <w:sz w:val="20"/>
          <w:szCs w:val="20"/>
          <w:color w:val="auto"/>
        </w:rPr>
      </w:pPr>
    </w:p>
    <w:p>
      <w:pPr>
        <w:ind w:left="640" w:right="140" w:hanging="316"/>
        <w:spacing w:after="0" w:line="277"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Improved loss ratio. </w:t>
      </w:r>
      <w:r>
        <w:rPr>
          <w:rFonts w:ascii="Arial" w:cs="Arial" w:eastAsia="Arial" w:hAnsi="Arial"/>
          <w:sz w:val="17"/>
          <w:szCs w:val="17"/>
          <w:color w:val="auto"/>
        </w:rPr>
        <w:t>Renewal premiums, referring to premiums from a customer’s second term and beyond, have lower loss ratios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premiums in the customer’s first term. As we grow our business, we anticipate, consistent with industry norms, that a greater proportion of our premiums will be from customer renewals driving down the total loss ratio across our portfolio.</w:t>
      </w:r>
    </w:p>
    <w:p>
      <w:pPr>
        <w:spacing w:after="0" w:line="118" w:lineRule="exact"/>
        <w:rPr>
          <w:rFonts w:ascii="Arial" w:cs="Arial" w:eastAsia="Arial" w:hAnsi="Arial"/>
          <w:sz w:val="17"/>
          <w:szCs w:val="17"/>
          <w:color w:val="auto"/>
        </w:rPr>
      </w:pPr>
    </w:p>
    <w:p>
      <w:pPr>
        <w:ind w:left="640" w:right="360" w:hanging="316"/>
        <w:spacing w:after="0" w:line="25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Reduced marketing as a percentage of premium. </w:t>
      </w:r>
      <w:r>
        <w:rPr>
          <w:rFonts w:ascii="Arial" w:cs="Arial" w:eastAsia="Arial" w:hAnsi="Arial"/>
          <w:sz w:val="18"/>
          <w:szCs w:val="18"/>
          <w:color w:val="auto"/>
        </w:rPr>
        <w:t>Recurring customer premiums have no associated customer acquisition costs and minimal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costs, driving profitability. As we grow our business, we anticipate, consistent with industry norms, that a greater proportion of our premiums will be from customer renewals without associated marketing costs.</w:t>
      </w:r>
    </w:p>
    <w:p>
      <w:pPr>
        <w:spacing w:after="0" w:line="135" w:lineRule="exact"/>
        <w:rPr>
          <w:rFonts w:ascii="Arial" w:cs="Arial" w:eastAsia="Arial" w:hAnsi="Arial"/>
          <w:sz w:val="18"/>
          <w:szCs w:val="18"/>
          <w:color w:val="auto"/>
        </w:rPr>
      </w:pPr>
    </w:p>
    <w:p>
      <w:pPr>
        <w:ind w:left="640" w:hanging="316"/>
        <w:spacing w:after="0" w:line="252"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Improved retention. </w:t>
      </w:r>
      <w:r>
        <w:rPr>
          <w:rFonts w:ascii="Arial" w:cs="Arial" w:eastAsia="Arial" w:hAnsi="Arial"/>
          <w:sz w:val="18"/>
          <w:szCs w:val="18"/>
          <w:color w:val="auto"/>
        </w:rPr>
        <w:t>As a young insurance carrier weighted towards new customers, we naturally have a higher percentage of more frequent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shoppers. As our business tenures and our flywheel spins allowing us to increase our pricing advantage, we will have the opportunity to acquire more long-standing customers and retain those that might naturally shop frequently. In addition to our pricing advantage, our expanding relationships with customers through product bundling has also demonstrated improvement in retention.</w:t>
      </w:r>
    </w:p>
    <w:p>
      <w:pPr>
        <w:spacing w:after="0" w:line="137" w:lineRule="exact"/>
        <w:rPr>
          <w:rFonts w:ascii="Arial" w:cs="Arial" w:eastAsia="Arial" w:hAnsi="Arial"/>
          <w:sz w:val="18"/>
          <w:szCs w:val="18"/>
          <w:color w:val="auto"/>
        </w:rPr>
      </w:pPr>
    </w:p>
    <w:p>
      <w:pPr>
        <w:ind w:left="640" w:right="46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revenue per customer. </w:t>
      </w:r>
      <w:r>
        <w:rPr>
          <w:rFonts w:ascii="Arial" w:cs="Arial" w:eastAsia="Arial" w:hAnsi="Arial"/>
          <w:sz w:val="18"/>
          <w:szCs w:val="18"/>
          <w:color w:val="auto"/>
        </w:rPr>
        <w:t>Our product expansion provides an opportunity to generate additional premium and fee income per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material incremental marketing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line="119"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We use technology to drive efficiency across all functions, including distribution, underwriting, policy administration and claims in particular. This allows us to operate with a cost to acquire and cost to serve advantage. We efficiently acquire customers directly through multiple channels, including digital (performance), strategic partnerships, channel media and referrals. Our marketing costs have historically been well below industry averages. Today, we acquire the vast majority of our customers through our mobile app and mobile website. We believe that continued investment in and diversification of our marketing channels, including a focus on embedded insurance through our strategic partnership channel and leveraging proprietary data science and technology to scale our internal sales agent program and build out independent agent products and relationships, will position us for more sustainable, long-term and profitable growth. Additionally, we are realizing operating efficiencies as we scale against our fixed expense base. Our claims management expenses, as represented by our loss adjustment expenses, or LAE, are in line with peers within only three years of bringing claims management in-house and are expected to improve as we further embed machine learning into our processes.</w:t>
      </w:r>
    </w:p>
    <w:p>
      <w:pPr>
        <w:spacing w:after="0" w:line="132"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We also use our proprietary technology to measure long-term benefits to our business. When a state reaches certain maturation thresholds, we refer to it as a seasoned state. A seasoned state is defined as a state where (1) the regulator has approved our data science-driven telematics and pricing models and (2) we have been writing policies in the state for a minimum of one year with a minimum of two pricing filings.</w:t>
      </w:r>
    </w:p>
    <w:p>
      <w:pPr>
        <w:spacing w:after="0" w:line="118"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As a rapidly growing full-stack insurance company, we currently employ a “capital light” model, which utilizes a variety of reinsurance structures at elevated levels of reinsurance. These reinsurance structures deliver three core objectives: (1) top-line growth without a commensurate increase in regulatory capital requirements; (2) support of customer acquisition costs and (3) protection from outsized losses or tail events. We expect to maintain an elevated level of third-party quota share reinsurance while rapidly growing our business in order to operate a capital light business model. As our business scales, we expect to have the flexibility to reduce our quota share levels to maximize the return to shareholders.</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Given the significant impact of reinsurance on our results of operations, we use certain direct basis key performance indicators to manage and measure our business operations and enhance investor understanding of our business model prior to reinsurance. We believe our long-term success will be determined by the progression of our direct metrics. Results of operations on a direct basis alone are not achievable under our regulatory landscape given our top-line growth and resulting capital requirements, which are relieved, in part, by obtaining reinsurance. The direct basis metrics include direct written premium, direct earned premium, direct contribution, ratio of direct contribution to total revenue, ratio of direct contribution to direct earned premium, direct loss ratio, direct LAE ratio and direct accident period loss ratio. For additional information, including definitions of these metrics, see “— Key Performance Indicators” and for a reconciliation of direct contribution to the most directly comparable generally accepted accounting principles in the United States, or GAAP, metric, see “— Non-GAAP Financial Measures.”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Comparability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COVID-19 Impact</w:t>
      </w:r>
    </w:p>
    <w:p>
      <w:pPr>
        <w:spacing w:after="0" w:line="170"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In March 2020, the World Health Organization declared COVID-19 a global pandemic. The pandemic and related measures taken to contain the spread of COVID-19, such as government-mandated business closures, “shelter in place” orders, or SIPs, and travel and transportation restrictions, have negatively affected the U.S. and global economies, disrupted global supply chains, and led to unprecedented levels of unemployment. We, and other businesses within the insurance industry, have been impacted by certain individual state bulletins that were issued in 2020 and outlined COVID-19 premium relief efforts, including restrictions on the ability to cancel policies for non-payment, requirements to defer insurance premium payments for up to 60 days and restrictions on increasing policy premiums. The COVID-19 pandemic has impacted and may further impact the broader economic environment, including negatively impacting unemployment levels, economic growth, the proper functioning of financial and capital markets and interest rates.</w:t>
      </w:r>
    </w:p>
    <w:p>
      <w:pPr>
        <w:spacing w:after="0" w:line="104"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As a result of the SIPs that started to occur toward the end of March 2020, our customers drove less and we had a resulting decline in loss coverages during the first quarter of 2020. Most parts of the country eased COVID-19 related restrictions and began to return to customary levels of business activity during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We are now seeing miles driven exceed pre-COVID-19 levels, especially in the latter part of the current quarter. As a result of the increase in miles driven, we expect claims frequency to rebound accordingly. This has primarily impacted our LAE. The American Rescue Plan Act became law in March of 2021 and provided a third round of stimulus payments from the federal government to many American consumers. The easing of COVID-19 SIPs and these stimulus payments have led to an unexpected surge in interest in vehicle and auto insurance purchases. This elevated interest has resulted in a significant increase in customer acquisition and advertising campaigns in digital channels on the part of our competitors, increasing our customer acquisition costs. With the recent surge of the Delta variant of COVID-19 across the United States and increasing rates of COVID-19 cases and hospitalizations, it is unclear what the impact of the pandemic will be on the second half of 2021. As the COVID-19 pandemic continues, there is ongoing uncertainty around the severity and duration of the pandemic and the pandemic’s potential impact on our business and our financial performance. See the section titled “Risk Factors” in the 2020 10-K for more details.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Comprehensive Reinsurance</w:t>
      </w:r>
    </w:p>
    <w:p>
      <w:pPr>
        <w:spacing w:after="0" w:line="170"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auto"/>
        </w:rPr>
        <w:t>We expect to continue to utilize reinsurance in the future, and our diversified approach to reinsurance allows us to be flexible in response to changes in market conditions or our own business changes, which allows us to strategically fuel growth and technology investment by optimizing the amount of capital required.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Revenue</w:t>
      </w:r>
    </w:p>
    <w:p>
      <w:pPr>
        <w:spacing w:after="0" w:line="170"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We generate revenue primarily from the sale of auto insurance policies within the United States and, to a lesser extent, from the sale of renters insurance policies. We have agency operations that generate commission revenue by selling homeowners insurance policies on behalf of third-party insurance companies. We distribute website and app policy inquiry leads in geographies where we do not have a presence to third parties in exchange for fee revenue. We also generate revenue through fee income from our customers paying on installment and from net investment income earned on our investment portfolio.</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Premiums Earned</w:t>
      </w:r>
    </w:p>
    <w:p>
      <w:pPr>
        <w:spacing w:after="0" w:line="170"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Premiums written are deferred and earned pro rata over the policy period. Net premiums earned represents the earned portion of our gross written premium, less the earned portion that is ceded to third-party reinsurers under our reinsurance agreements.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Investment Income</w:t>
      </w:r>
    </w:p>
    <w:p>
      <w:pPr>
        <w:spacing w:after="0" w:line="170" w:lineRule="exact"/>
        <w:rPr>
          <w:sz w:val="20"/>
          <w:szCs w:val="20"/>
          <w:color w:val="auto"/>
        </w:rPr>
      </w:pPr>
    </w:p>
    <w:p>
      <w:pPr>
        <w:ind w:right="400" w:firstLine="318"/>
        <w:spacing w:after="0" w:line="277" w:lineRule="auto"/>
        <w:rPr>
          <w:sz w:val="20"/>
          <w:szCs w:val="20"/>
          <w:color w:val="auto"/>
        </w:rPr>
      </w:pPr>
      <w:r>
        <w:rPr>
          <w:rFonts w:ascii="Arial" w:cs="Arial" w:eastAsia="Arial" w:hAnsi="Arial"/>
          <w:sz w:val="17"/>
          <w:szCs w:val="17"/>
          <w:color w:val="auto"/>
        </w:rPr>
        <w:t>Net investment income represents interest earned from our fixed maturity and short-term investments and cash and cash equivalents less investment expenses. Net investment income is directly correlated with the overall size of our investment portfolio and with the market level of interest rates. Net investment income will vary with both the size of our investment portfolio and the investment strategy.</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Realized Gains on Investments</w:t>
      </w:r>
    </w:p>
    <w:p>
      <w:pPr>
        <w:spacing w:after="0" w:line="170"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Net realized gains on investments represents the net positive difference between the amount received by us on the sale of an investment as compared to the investment’s cost basis.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Fee and Other Income</w:t>
      </w:r>
    </w:p>
    <w:p>
      <w:pPr>
        <w:spacing w:after="0" w:line="170"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For those policyholders who pay premiums on an installment basis, we charge a flat fee for each installment related to the additional administrative costs associated with processing more frequent billing. Other income is primarily comprised of revenue earned from distributing website and app policy inquiry leads in geographies where we do not have a presence, commissions earned for homeowners policies placed with third-party insurance companies where we have no exposure to the insured risk, recognized on the effective date of the associated policy, and sale of enterprise technology products to provide telematics-based data collection and trip tracking, recognized ratably as the service is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5" w:name="page26"/>
    <w:bookmarkEnd w:id="25"/>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Operating Expenses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operating expenses consist of loss and loss adjustment expenses, sales and marketing, other insurance expense, technology and development, and general and administrative expenses.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Loss and Loss Adjustment Expenses</w:t>
      </w:r>
    </w:p>
    <w:p>
      <w:pPr>
        <w:spacing w:after="0" w:line="170"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Loss and LAE include an amount determined using adjuster determined case-base estimates for reported claims and actuarial determined unpaid claim estimates using past experience and historical emergence patterns for unreported losses and loss adjustment expenses.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spacing w:after="0" w:line="128"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Loss and LAE is net of amounts ceded to reinsurers. We enter into reinsurance contracts to limit our exposure to potential losses as well as to provide additional capacity for growth. These expenses are a function of the size and term of the insurance policies we write and the loss experience associated with the underlying risks. Loss and LAE may be paid out over a period of years.</w:t>
      </w:r>
    </w:p>
    <w:p>
      <w:pPr>
        <w:spacing w:after="0" w:line="135" w:lineRule="exact"/>
        <w:rPr>
          <w:sz w:val="20"/>
          <w:szCs w:val="20"/>
          <w:color w:val="auto"/>
        </w:rPr>
      </w:pPr>
    </w:p>
    <w:p>
      <w:pPr>
        <w:ind w:right="480" w:firstLine="318"/>
        <w:spacing w:after="0" w:line="255" w:lineRule="auto"/>
        <w:rPr>
          <w:sz w:val="20"/>
          <w:szCs w:val="20"/>
          <w:color w:val="auto"/>
        </w:rPr>
      </w:pPr>
      <w:r>
        <w:rPr>
          <w:rFonts w:ascii="Arial" w:cs="Arial" w:eastAsia="Arial" w:hAnsi="Arial"/>
          <w:sz w:val="18"/>
          <w:szCs w:val="18"/>
          <w:color w:val="auto"/>
        </w:rPr>
        <w:t>Various other expenses incurred during claims processing are allocated to LAE. These amounts include claims salaries, health benefits, bonuses, employee retirement plan related expenses and share-based compensation expense, or Personnel Costs; software expense; internally developed software amortization; and overhead allocated based on headcount, or Overhead.</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Marketing</w:t>
      </w:r>
    </w:p>
    <w:p>
      <w:pPr>
        <w:spacing w:after="0" w:line="17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Sales and marketing expense includes spend related to performance and partnership channels, channel media, advertising, branding, public relations, consumer insights and referral fees. These expenses also include related Personnel Costs and Overhead. We incur sales and marketing expenses for all product offerings. Sales and marketing are expensed as incurred.</w:t>
      </w:r>
    </w:p>
    <w:p>
      <w:pPr>
        <w:spacing w:after="0" w:line="135"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plan to continue investing in and diversifying our marketing channels to attract and acquire new customers, increase our brand awareness, and expand our product offerings. We expect that sales and marketing will increase in absolute dollars in future periods and vary from period-to-period as a percentage of revenue in the near-term. We expect that, in the long-term, our sales and marketing will decrease as a percentage of revenue as the proportion of renewals to our total business increases.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Insurance Expense</w:t>
      </w:r>
    </w:p>
    <w:p>
      <w:pPr>
        <w:spacing w:after="0" w:line="170"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Other insurance expense includes underwriting expenses, credit card and policy processing expenses, premium write-offs, insurance license expenses, and Personnel Costs and Overhead related to actuarial and certain data science activities. Other insurance expense also includes amortization of deferred acquisition costs like premium taxes and report costs related to the successful acquisition of a policy. Other insurance expense is expensed as incurred, except for costs related to deferred acquisition costs that are capitalized and subsequently amortized over the same period in which the related premiums are earned. These expenses are also recognized net of ceding commissions earned.</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Technology and Development</w:t>
      </w:r>
    </w:p>
    <w:p>
      <w:pPr>
        <w:spacing w:after="0" w:line="170"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Technology and development expense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19"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We expect technology and development to increase in absolute dollars and as a percentage of total revenue as we continue to devote significant resources to enhance our customer experience and continually improve our integrated technology platform. Over time, we expect technology and development to decrease as a percentage of revenue.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and Administrative</w:t>
      </w:r>
    </w:p>
    <w:p>
      <w:pPr>
        <w:spacing w:after="0" w:line="170"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General and administrative expenses primarily relate to external professional service expenses; Personnel Costs and Overhead for corporate functions; and depreciation expense for computers, furniture and other fixed assets. General and administrative expenses are expensed as incurred.</w:t>
      </w:r>
    </w:p>
    <w:p>
      <w:pPr>
        <w:spacing w:after="0" w:line="10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expect general and administrative expenses to continue to increase in the near term, both in absolute dollars and as a percentage of total revenue, and then decrease as a percentage of revenue over time.</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Interest Expense</w:t>
      </w:r>
    </w:p>
    <w:p>
      <w:pPr>
        <w:spacing w:after="0" w:line="170" w:lineRule="exact"/>
        <w:rPr>
          <w:sz w:val="20"/>
          <w:szCs w:val="20"/>
          <w:color w:val="auto"/>
        </w:rPr>
      </w:pPr>
    </w:p>
    <w:p>
      <w:pPr>
        <w:ind w:right="80" w:firstLine="318"/>
        <w:spacing w:after="0" w:line="277" w:lineRule="auto"/>
        <w:rPr>
          <w:sz w:val="20"/>
          <w:szCs w:val="20"/>
          <w:color w:val="auto"/>
        </w:rPr>
      </w:pPr>
      <w:r>
        <w:rPr>
          <w:rFonts w:ascii="Arial" w:cs="Arial" w:eastAsia="Arial" w:hAnsi="Arial"/>
          <w:sz w:val="17"/>
          <w:szCs w:val="17"/>
          <w:color w:val="auto"/>
        </w:rPr>
        <w:t>Interest expense is not an operating expense; therefore, we include these expenses below operating expenses. Interest expense primarily relates to interest incurred on our long-term debt; certain fees that are expensed as incurred; and amortization of debt issuance costs. In addition, changes in the fair value of warrant liabilities that were associated with our long-term debt are recorded as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 Non-GAAP Financial Measures” for additional information regarding our use of adjusted gross profit/(loss) and direct contribution and their reconciliations to the most directly comparable GAAP measures.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Borders>
              <w:bottom w:val="single" w:sz="8" w:color="auto"/>
            </w:tcBorders>
          </w:tcPr>
          <w:p>
            <w:pPr>
              <w:spacing w:after="0"/>
              <w:rPr>
                <w:sz w:val="16"/>
                <w:szCs w:val="16"/>
                <w:color w:val="auto"/>
              </w:rPr>
            </w:pPr>
          </w:p>
        </w:tc>
      </w:tr>
      <w:tr>
        <w:trPr>
          <w:trHeight w:val="186"/>
        </w:trPr>
        <w:tc>
          <w:tcPr>
            <w:tcW w:w="2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r>
      <w:tr>
        <w:trPr>
          <w:trHeight w:val="24"/>
        </w:trPr>
        <w:tc>
          <w:tcPr>
            <w:tcW w:w="28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2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20" w:type="dxa"/>
            <w:vAlign w:val="bottom"/>
            <w:gridSpan w:val="5"/>
          </w:tcPr>
          <w:p>
            <w:pPr>
              <w:jc w:val="right"/>
              <w:ind w:right="33"/>
              <w:spacing w:after="0"/>
              <w:rPr>
                <w:sz w:val="20"/>
                <w:szCs w:val="20"/>
                <w:color w:val="auto"/>
              </w:rPr>
            </w:pPr>
            <w:r>
              <w:rPr>
                <w:rFonts w:ascii="Arial" w:cs="Arial" w:eastAsia="Arial" w:hAnsi="Arial"/>
                <w:sz w:val="14"/>
                <w:szCs w:val="14"/>
                <w:b w:val="1"/>
                <w:bCs w:val="1"/>
                <w:color w:val="auto"/>
                <w:w w:val="95"/>
              </w:rPr>
              <w:t>(dollars in millions, except Premiums per Policy)</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4"/>
        </w:trPr>
        <w:tc>
          <w:tcPr>
            <w:tcW w:w="2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2"/>
        </w:trPr>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Policies in Force</w:t>
            </w: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45"/>
        </w:trPr>
        <w:tc>
          <w:tcPr>
            <w:tcW w:w="2880" w:type="dxa"/>
            <w:vAlign w:val="bottom"/>
          </w:tcPr>
          <w:p>
            <w:pPr>
              <w:ind w:left="560"/>
              <w:spacing w:after="0"/>
              <w:rPr>
                <w:sz w:val="20"/>
                <w:szCs w:val="20"/>
                <w:color w:val="auto"/>
              </w:rPr>
            </w:pPr>
            <w:r>
              <w:rPr>
                <w:rFonts w:ascii="Arial" w:cs="Arial" w:eastAsia="Arial" w:hAnsi="Arial"/>
                <w:sz w:val="18"/>
                <w:szCs w:val="18"/>
                <w:color w:val="auto"/>
              </w:rPr>
              <w:t>Auto</w:t>
            </w:r>
          </w:p>
        </w:tc>
        <w:tc>
          <w:tcPr>
            <w:tcW w:w="66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373,721</w:t>
            </w: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334,327</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373,721</w:t>
            </w: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334,327</w:t>
            </w:r>
          </w:p>
        </w:tc>
        <w:tc>
          <w:tcPr>
            <w:tcW w:w="340" w:type="dxa"/>
            <w:vAlign w:val="bottom"/>
          </w:tcPr>
          <w:p>
            <w:pPr>
              <w:spacing w:after="0"/>
              <w:rPr>
                <w:sz w:val="21"/>
                <w:szCs w:val="21"/>
                <w:color w:val="auto"/>
              </w:rPr>
            </w:pPr>
          </w:p>
        </w:tc>
      </w:tr>
      <w:tr>
        <w:trPr>
          <w:trHeight w:val="259"/>
        </w:trPr>
        <w:tc>
          <w:tcPr>
            <w:tcW w:w="2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Renters</w:t>
            </w:r>
          </w:p>
        </w:tc>
        <w:tc>
          <w:tcPr>
            <w:tcW w:w="6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9,103</w:t>
            </w:r>
          </w:p>
        </w:tc>
        <w:tc>
          <w:tcPr>
            <w:tcW w:w="5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5,974</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9,103</w:t>
            </w:r>
          </w:p>
        </w:tc>
        <w:tc>
          <w:tcPr>
            <w:tcW w:w="5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5,974</w:t>
            </w:r>
          </w:p>
        </w:tc>
        <w:tc>
          <w:tcPr>
            <w:tcW w:w="340" w:type="dxa"/>
            <w:vAlign w:val="bottom"/>
            <w:shd w:val="clear" w:color="auto" w:fill="CCEEFF"/>
          </w:tcPr>
          <w:p>
            <w:pPr>
              <w:spacing w:after="0"/>
              <w:rPr>
                <w:sz w:val="22"/>
                <w:szCs w:val="22"/>
                <w:color w:val="auto"/>
              </w:rPr>
            </w:pPr>
          </w:p>
        </w:tc>
      </w:tr>
      <w:tr>
        <w:trPr>
          <w:trHeight w:val="245"/>
        </w:trPr>
        <w:tc>
          <w:tcPr>
            <w:tcW w:w="2880" w:type="dxa"/>
            <w:vAlign w:val="bottom"/>
          </w:tcPr>
          <w:p>
            <w:pPr>
              <w:ind w:left="340"/>
              <w:spacing w:after="0"/>
              <w:rPr>
                <w:sz w:val="20"/>
                <w:szCs w:val="20"/>
                <w:color w:val="auto"/>
              </w:rPr>
            </w:pPr>
            <w:r>
              <w:rPr>
                <w:rFonts w:ascii="Arial" w:cs="Arial" w:eastAsia="Arial" w:hAnsi="Arial"/>
                <w:sz w:val="18"/>
                <w:szCs w:val="18"/>
                <w:color w:val="auto"/>
              </w:rPr>
              <w:t>Premiums per Policy</w:t>
            </w: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9"/>
        </w:trPr>
        <w:tc>
          <w:tcPr>
            <w:tcW w:w="2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Auto</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971</w:t>
            </w:r>
          </w:p>
        </w:tc>
        <w:tc>
          <w:tcPr>
            <w:tcW w:w="54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909</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971</w:t>
            </w:r>
          </w:p>
        </w:tc>
        <w:tc>
          <w:tcPr>
            <w:tcW w:w="5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909</w:t>
            </w:r>
          </w:p>
        </w:tc>
        <w:tc>
          <w:tcPr>
            <w:tcW w:w="340" w:type="dxa"/>
            <w:vAlign w:val="bottom"/>
            <w:shd w:val="clear" w:color="auto" w:fill="CCEEFF"/>
          </w:tcPr>
          <w:p>
            <w:pPr>
              <w:spacing w:after="0"/>
              <w:rPr>
                <w:sz w:val="22"/>
                <w:szCs w:val="22"/>
                <w:color w:val="auto"/>
              </w:rPr>
            </w:pPr>
          </w:p>
        </w:tc>
      </w:tr>
      <w:tr>
        <w:trPr>
          <w:trHeight w:val="245"/>
        </w:trPr>
        <w:tc>
          <w:tcPr>
            <w:tcW w:w="2880" w:type="dxa"/>
            <w:vAlign w:val="bottom"/>
          </w:tcPr>
          <w:p>
            <w:pPr>
              <w:ind w:left="560"/>
              <w:spacing w:after="0"/>
              <w:rPr>
                <w:sz w:val="20"/>
                <w:szCs w:val="20"/>
                <w:color w:val="auto"/>
              </w:rPr>
            </w:pPr>
            <w:r>
              <w:rPr>
                <w:rFonts w:ascii="Arial" w:cs="Arial" w:eastAsia="Arial" w:hAnsi="Arial"/>
                <w:sz w:val="18"/>
                <w:szCs w:val="18"/>
                <w:color w:val="auto"/>
              </w:rPr>
              <w:t>Renters</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141</w:t>
            </w:r>
          </w:p>
        </w:tc>
        <w:tc>
          <w:tcPr>
            <w:tcW w:w="540" w:type="dxa"/>
            <w:vAlign w:val="bottom"/>
          </w:tcPr>
          <w:p>
            <w:pPr>
              <w:spacing w:after="0"/>
              <w:rPr>
                <w:sz w:val="21"/>
                <w:szCs w:val="21"/>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141</w:t>
            </w:r>
          </w:p>
        </w:tc>
        <w:tc>
          <w:tcPr>
            <w:tcW w:w="520" w:type="dxa"/>
            <w:vAlign w:val="bottom"/>
          </w:tcPr>
          <w:p>
            <w:pPr>
              <w:spacing w:after="0"/>
              <w:rPr>
                <w:sz w:val="21"/>
                <w:szCs w:val="21"/>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21"/>
                <w:szCs w:val="21"/>
                <w:color w:val="auto"/>
              </w:rPr>
            </w:pPr>
          </w:p>
        </w:tc>
      </w:tr>
      <w:tr>
        <w:trPr>
          <w:trHeight w:val="259"/>
        </w:trPr>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Premiums in Force</w:t>
            </w:r>
          </w:p>
        </w:tc>
        <w:tc>
          <w:tcPr>
            <w:tcW w:w="6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r>
      <w:tr>
        <w:trPr>
          <w:trHeight w:val="245"/>
        </w:trPr>
        <w:tc>
          <w:tcPr>
            <w:tcW w:w="2880" w:type="dxa"/>
            <w:vAlign w:val="bottom"/>
          </w:tcPr>
          <w:p>
            <w:pPr>
              <w:ind w:left="560"/>
              <w:spacing w:after="0"/>
              <w:rPr>
                <w:sz w:val="20"/>
                <w:szCs w:val="20"/>
                <w:color w:val="auto"/>
              </w:rPr>
            </w:pPr>
            <w:r>
              <w:rPr>
                <w:rFonts w:ascii="Arial" w:cs="Arial" w:eastAsia="Arial" w:hAnsi="Arial"/>
                <w:sz w:val="18"/>
                <w:szCs w:val="18"/>
                <w:color w:val="auto"/>
              </w:rPr>
              <w:t>Auto</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725.8</w:t>
            </w:r>
          </w:p>
        </w:tc>
        <w:tc>
          <w:tcPr>
            <w:tcW w:w="540" w:type="dxa"/>
            <w:vAlign w:val="bottom"/>
          </w:tcPr>
          <w:p>
            <w:pPr>
              <w:spacing w:after="0"/>
              <w:rPr>
                <w:sz w:val="21"/>
                <w:szCs w:val="21"/>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607.8</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725.8</w:t>
            </w:r>
          </w:p>
        </w:tc>
        <w:tc>
          <w:tcPr>
            <w:tcW w:w="520" w:type="dxa"/>
            <w:vAlign w:val="bottom"/>
          </w:tcPr>
          <w:p>
            <w:pPr>
              <w:spacing w:after="0"/>
              <w:rPr>
                <w:sz w:val="21"/>
                <w:szCs w:val="21"/>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607.8</w:t>
            </w:r>
          </w:p>
        </w:tc>
        <w:tc>
          <w:tcPr>
            <w:tcW w:w="340" w:type="dxa"/>
            <w:vAlign w:val="bottom"/>
          </w:tcPr>
          <w:p>
            <w:pPr>
              <w:spacing w:after="0"/>
              <w:rPr>
                <w:sz w:val="21"/>
                <w:szCs w:val="21"/>
                <w:color w:val="auto"/>
              </w:rPr>
            </w:pPr>
          </w:p>
        </w:tc>
      </w:tr>
      <w:tr>
        <w:trPr>
          <w:trHeight w:val="259"/>
        </w:trPr>
        <w:tc>
          <w:tcPr>
            <w:tcW w:w="2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Renters</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22"/>
                <w:szCs w:val="22"/>
                <w:color w:val="auto"/>
              </w:rPr>
            </w:pPr>
          </w:p>
        </w:tc>
      </w:tr>
      <w:tr>
        <w:trPr>
          <w:trHeight w:val="245"/>
        </w:trPr>
        <w:tc>
          <w:tcPr>
            <w:tcW w:w="2880" w:type="dxa"/>
            <w:vAlign w:val="bottom"/>
          </w:tcPr>
          <w:p>
            <w:pPr>
              <w:ind w:left="340"/>
              <w:spacing w:after="0"/>
              <w:rPr>
                <w:sz w:val="20"/>
                <w:szCs w:val="20"/>
                <w:color w:val="auto"/>
              </w:rPr>
            </w:pPr>
            <w:r>
              <w:rPr>
                <w:rFonts w:ascii="Arial" w:cs="Arial" w:eastAsia="Arial" w:hAnsi="Arial"/>
                <w:sz w:val="18"/>
                <w:szCs w:val="18"/>
                <w:color w:val="auto"/>
              </w:rPr>
              <w:t>Direct Written Premium</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177.1</w:t>
            </w:r>
          </w:p>
        </w:tc>
        <w:tc>
          <w:tcPr>
            <w:tcW w:w="540" w:type="dxa"/>
            <w:vAlign w:val="bottom"/>
          </w:tcPr>
          <w:p>
            <w:pPr>
              <w:spacing w:after="0"/>
              <w:rPr>
                <w:sz w:val="21"/>
                <w:szCs w:val="21"/>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142.3</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379.6</w:t>
            </w:r>
          </w:p>
        </w:tc>
        <w:tc>
          <w:tcPr>
            <w:tcW w:w="520" w:type="dxa"/>
            <w:vAlign w:val="bottom"/>
          </w:tcPr>
          <w:p>
            <w:pPr>
              <w:spacing w:after="0"/>
              <w:rPr>
                <w:sz w:val="21"/>
                <w:szCs w:val="21"/>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306.5</w:t>
            </w:r>
          </w:p>
        </w:tc>
        <w:tc>
          <w:tcPr>
            <w:tcW w:w="340" w:type="dxa"/>
            <w:vAlign w:val="bottom"/>
          </w:tcPr>
          <w:p>
            <w:pPr>
              <w:spacing w:after="0"/>
              <w:rPr>
                <w:sz w:val="21"/>
                <w:szCs w:val="21"/>
                <w:color w:val="auto"/>
              </w:rPr>
            </w:pPr>
          </w:p>
        </w:tc>
      </w:tr>
      <w:tr>
        <w:trPr>
          <w:trHeight w:val="259"/>
        </w:trPr>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 Earned Premium</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180.7</w:t>
            </w:r>
          </w:p>
        </w:tc>
        <w:tc>
          <w:tcPr>
            <w:tcW w:w="54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151.9</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340.9</w:t>
            </w:r>
          </w:p>
        </w:tc>
        <w:tc>
          <w:tcPr>
            <w:tcW w:w="5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295.8</w:t>
            </w:r>
          </w:p>
        </w:tc>
        <w:tc>
          <w:tcPr>
            <w:tcW w:w="340" w:type="dxa"/>
            <w:vAlign w:val="bottom"/>
            <w:shd w:val="clear" w:color="auto" w:fill="CCEEFF"/>
          </w:tcPr>
          <w:p>
            <w:pPr>
              <w:spacing w:after="0"/>
              <w:rPr>
                <w:sz w:val="22"/>
                <w:szCs w:val="22"/>
                <w:color w:val="auto"/>
              </w:rPr>
            </w:pPr>
          </w:p>
        </w:tc>
      </w:tr>
      <w:tr>
        <w:trPr>
          <w:trHeight w:val="245"/>
        </w:trPr>
        <w:tc>
          <w:tcPr>
            <w:tcW w:w="2880" w:type="dxa"/>
            <w:vAlign w:val="bottom"/>
          </w:tcPr>
          <w:p>
            <w:pPr>
              <w:ind w:left="340"/>
              <w:spacing w:after="0"/>
              <w:rPr>
                <w:sz w:val="20"/>
                <w:szCs w:val="20"/>
                <w:color w:val="auto"/>
              </w:rPr>
            </w:pPr>
            <w:r>
              <w:rPr>
                <w:rFonts w:ascii="Arial" w:cs="Arial" w:eastAsia="Arial" w:hAnsi="Arial"/>
                <w:sz w:val="18"/>
                <w:szCs w:val="18"/>
                <w:color w:val="auto"/>
              </w:rPr>
              <w:t>Gross Profit/(Loss)</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(18.9)</w:t>
            </w:r>
          </w:p>
        </w:tc>
        <w:tc>
          <w:tcPr>
            <w:tcW w:w="540" w:type="dxa"/>
            <w:vAlign w:val="bottom"/>
          </w:tcPr>
          <w:p>
            <w:pPr>
              <w:spacing w:after="0"/>
              <w:rPr>
                <w:sz w:val="21"/>
                <w:szCs w:val="21"/>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(12.6)</w:t>
            </w:r>
          </w:p>
        </w:tc>
        <w:tc>
          <w:tcPr>
            <w:tcW w:w="520" w:type="dxa"/>
            <w:vAlign w:val="bottom"/>
          </w:tcPr>
          <w:p>
            <w:pPr>
              <w:spacing w:after="0"/>
              <w:rPr>
                <w:sz w:val="21"/>
                <w:szCs w:val="21"/>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1"/>
                <w:szCs w:val="21"/>
                <w:color w:val="auto"/>
              </w:rPr>
            </w:pPr>
          </w:p>
        </w:tc>
      </w:tr>
      <w:tr>
        <w:trPr>
          <w:trHeight w:val="259"/>
        </w:trPr>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6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(21.0)</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2880" w:type="dxa"/>
            <w:vAlign w:val="bottom"/>
          </w:tcPr>
          <w:p>
            <w:pPr>
              <w:ind w:left="340"/>
              <w:spacing w:after="0"/>
              <w:rPr>
                <w:sz w:val="20"/>
                <w:szCs w:val="20"/>
                <w:color w:val="auto"/>
              </w:rPr>
            </w:pPr>
            <w:r>
              <w:rPr>
                <w:rFonts w:ascii="Arial" w:cs="Arial" w:eastAsia="Arial" w:hAnsi="Arial"/>
                <w:sz w:val="18"/>
                <w:szCs w:val="18"/>
                <w:color w:val="auto"/>
              </w:rPr>
              <w:t>Adjusted Gross Profit/(Loss)</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21"/>
                <w:szCs w:val="21"/>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13.2</w:t>
            </w:r>
          </w:p>
        </w:tc>
        <w:tc>
          <w:tcPr>
            <w:tcW w:w="520" w:type="dxa"/>
            <w:vAlign w:val="bottom"/>
          </w:tcPr>
          <w:p>
            <w:pPr>
              <w:spacing w:after="0"/>
              <w:rPr>
                <w:sz w:val="21"/>
                <w:szCs w:val="21"/>
                <w:color w:val="auto"/>
              </w:rPr>
            </w:pP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21"/>
                <w:szCs w:val="21"/>
                <w:color w:val="auto"/>
              </w:rPr>
            </w:pPr>
          </w:p>
        </w:tc>
      </w:tr>
      <w:tr>
        <w:trPr>
          <w:trHeight w:val="272"/>
        </w:trPr>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 Contribution</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22.0</w:t>
            </w: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22.8</w:t>
            </w:r>
          </w:p>
        </w:tc>
        <w:tc>
          <w:tcPr>
            <w:tcW w:w="5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23"/>
                <w:szCs w:val="23"/>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8"/>
                <w:szCs w:val="18"/>
                <w:color w:val="auto"/>
                <w:w w:val="90"/>
              </w:rPr>
              <w:t>Ratio of Adjusted Gross Profit/(Loss) to</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660" w:type="dxa"/>
            <w:vAlign w:val="bottom"/>
          </w:tcPr>
          <w:p>
            <w:pPr>
              <w:spacing w:after="0"/>
              <w:rPr>
                <w:sz w:val="20"/>
                <w:szCs w:val="20"/>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13.3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8.3</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Ratio of Adjusted Gross Profit/(Loss) to</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38"/>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Earned Premium</w:t>
            </w: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2880" w:type="dxa"/>
            <w:vAlign w:val="bottom"/>
          </w:tcPr>
          <w:p>
            <w:pPr>
              <w:ind w:left="340"/>
              <w:spacing w:after="0"/>
              <w:rPr>
                <w:sz w:val="20"/>
                <w:szCs w:val="20"/>
                <w:color w:val="auto"/>
              </w:rPr>
            </w:pPr>
            <w:r>
              <w:rPr>
                <w:rFonts w:ascii="Arial" w:cs="Arial" w:eastAsia="Arial" w:hAnsi="Arial"/>
                <w:sz w:val="18"/>
                <w:szCs w:val="18"/>
                <w:color w:val="auto"/>
              </w:rPr>
              <w:t>Ratio of Direct Contribution to</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660" w:type="dxa"/>
            <w:vAlign w:val="bottom"/>
          </w:tcPr>
          <w:p>
            <w:pPr>
              <w:spacing w:after="0"/>
              <w:rPr>
                <w:sz w:val="20"/>
                <w:szCs w:val="20"/>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(4.2)</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18.1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14.4</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4.5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Ratio of Direct Contribution to Direct</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38"/>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w:t>
            </w: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6.7</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2880" w:type="dxa"/>
            <w:vAlign w:val="bottom"/>
          </w:tcPr>
          <w:p>
            <w:pPr>
              <w:ind w:left="340"/>
              <w:spacing w:after="0"/>
              <w:rPr>
                <w:sz w:val="20"/>
                <w:szCs w:val="20"/>
                <w:color w:val="auto"/>
              </w:rPr>
            </w:pPr>
            <w:r>
              <w:rPr>
                <w:rFonts w:ascii="Arial" w:cs="Arial" w:eastAsia="Arial" w:hAnsi="Arial"/>
                <w:sz w:val="18"/>
                <w:szCs w:val="18"/>
                <w:color w:val="auto"/>
              </w:rPr>
              <w:t>Direct Loss Ratio</w:t>
            </w:r>
          </w:p>
        </w:tc>
        <w:tc>
          <w:tcPr>
            <w:tcW w:w="66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89.9</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70.4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81.0</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81.3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2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 LAE Ratio</w:t>
            </w:r>
          </w:p>
        </w:tc>
        <w:tc>
          <w:tcPr>
            <w:tcW w:w="6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10.6</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10.2</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880" w:type="dxa"/>
            <w:vAlign w:val="bottom"/>
          </w:tcPr>
          <w:p>
            <w:pPr>
              <w:ind w:left="340"/>
              <w:spacing w:after="0"/>
              <w:rPr>
                <w:sz w:val="20"/>
                <w:szCs w:val="20"/>
                <w:color w:val="auto"/>
              </w:rPr>
            </w:pPr>
            <w:r>
              <w:rPr>
                <w:rFonts w:ascii="Arial" w:cs="Arial" w:eastAsia="Arial" w:hAnsi="Arial"/>
                <w:sz w:val="18"/>
                <w:szCs w:val="18"/>
                <w:color w:val="auto"/>
                <w:w w:val="93"/>
              </w:rPr>
              <w:t>Direct Accident Period Loss Ratio</w:t>
            </w:r>
          </w:p>
        </w:tc>
        <w:tc>
          <w:tcPr>
            <w:tcW w:w="66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88.3</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66.2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83.1</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73.0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Policies in Force</w:t>
      </w:r>
    </w:p>
    <w:p>
      <w:pPr>
        <w:spacing w:after="0" w:line="17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We define policies in force as the number of current and active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Premiums per Policy</w:t>
      </w:r>
    </w:p>
    <w:p>
      <w:pPr>
        <w:spacing w:after="0" w:line="170"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We define premiums per policy as the ratio of direct written premium on policies in force divided by policies in force. We view premiums per policy as an important metric since the higher the premiums per policy the greater the amount of earned premium we expect from each policy.</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8" w:name="page29"/>
    <w:bookmarkEnd w:id="28"/>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Premiums in Force</w:t>
      </w:r>
    </w:p>
    <w:p>
      <w:pPr>
        <w:spacing w:after="0" w:line="170"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We define premiums in force for our auto policies as premiums per policy multiplied by policies in force multiplied by two. We view premiums in force as an estimate of annualized run rate of direct written premium as of a given period. Since our auto policies are six month policies, we multiply this figure by two in order to determine an annualized amount of premiums in force. We define premiums in force for our renters policies as premiums per policy multiplied by policies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growth in customers and premiums per policy at the end of each reported period, without adjusting for known or projected policy updates, cancellations and non-renewals.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Direct Written Premium</w:t>
      </w:r>
    </w:p>
    <w:p>
      <w:pPr>
        <w:spacing w:after="0" w:line="170"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We define direct written premium as the total amount of direct premium on policies that were bound during the period less the prorated impact of policy cancellations. We view direct written premium as an important metric because it is the metric that most closely correlates with our growth in direct earned premium. We use direct written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(direct loss ratio and direct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Direct Earned Premium</w:t>
      </w:r>
    </w:p>
    <w:p>
      <w:pPr>
        <w:spacing w:after="0" w:line="170"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We define direct earned premium as the amount of direct premium that was earned during the period. Premiums are earned over the period in which insurance protection is provided, which is typically six months. We view direct earned premium as an important metric as it allows us to evaluate our growth prior to the impacts of reinsurance. It is the primary driver of our consolidated GAAP revenues. As with direct written premium, we use direct earned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(direct loss ratio and direct LAE) are the key drivers of our future profit opportunities.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Profit/(Loss)</w:t>
      </w:r>
    </w:p>
    <w:p>
      <w:pPr>
        <w:spacing w:after="0" w:line="170" w:lineRule="exact"/>
        <w:rPr>
          <w:sz w:val="20"/>
          <w:szCs w:val="20"/>
          <w:color w:val="auto"/>
        </w:rPr>
      </w:pPr>
    </w:p>
    <w:p>
      <w:pPr>
        <w:ind w:right="20" w:firstLine="318"/>
        <w:spacing w:after="0" w:line="365" w:lineRule="auto"/>
        <w:rPr>
          <w:sz w:val="20"/>
          <w:szCs w:val="20"/>
          <w:color w:val="auto"/>
        </w:rPr>
      </w:pPr>
      <w:r>
        <w:rPr>
          <w:rFonts w:ascii="Arial" w:cs="Arial" w:eastAsia="Arial" w:hAnsi="Arial"/>
          <w:sz w:val="15"/>
          <w:szCs w:val="15"/>
          <w:color w:val="auto"/>
        </w:rPr>
        <w:t>We define gross profit/(loss) as total revenue minus net loss and LAE expense and other insurance expense inclusive of depreciation and amortization. We view gross profit/(loss) as an important metric because we believe it is informative of the financial performance of our core insurance business.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profit/(loss) margin is equal to gross profit/(loss) divided by revenue.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Adjusted Gross Profit/(Loss)</w:t>
      </w:r>
    </w:p>
    <w:p>
      <w:pPr>
        <w:spacing w:after="0" w:line="170"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We define adjusted gross profit/(loss), a non-GAAP financial measure, as gross profit/(loss) excluding net investment income, net realized gains (losses) on investments, report costs, Personnel Costs, allocated Overhead, licenses, professional fees and other expenses, which are included in other insurance (benefit) expense. After these adjustments, the resulting calculation is inclusive of only those variable costs of revenue incurred on the successful acquisition of business. We view adjusted gross profit/(loss) as an important metric because we believe it measures our progress towards profitability for our core insurance business.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ratio of adjusted gross profit/(loss) to total revenue is equal to adjusted gross profit/(loss) divided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section titled “— Non-GAAP Financial Measures” for a reconciliation of total revenue to adjusted gross profit/(loss).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Direct Contribution</w:t>
      </w:r>
    </w:p>
    <w:p>
      <w:pPr>
        <w:spacing w:after="0" w:line="170"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We define direct contribution, a non-GAAP financial measure, as adjusted gross profit/(loss) excluding ceded earned premium, ceded loss and LAE, and net ceding commission and other. Net ceding commission and other is comprised of ceding commission received in connection with reinsurance ceded, partially offset by sliding scale commission adjustments and amortization of excess ceding commission, and other impacts of reinsurance which are included in other insurance (benefit) expense. After these adjustments, the resulting calculation is inclusive of only those direct variable costs of revenue incurred on the successful acquisition of business, but exclusive of net ceding commission, ceded loss and LAE and other impacts of reinsurance. We view direct contribution as an important metric because we believe it measures progress towards the profitability of our total policy portfolio prior to the impact of reinsurance.</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ratio of direct contribution to total revenue is equal to direct contribution divided by total 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section titled “— Non-GAAP Financial Measures” for a reconciliation of total revenue to direct contribution.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Ratio of Adjusted Gross Profit/(Loss) to Direct Earned Premium</w:t>
      </w:r>
    </w:p>
    <w:p>
      <w:pPr>
        <w:spacing w:after="0" w:line="17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ratio of adjusted gross profit/(loss) to direct earned premium measures the relationship between the underlying business volume and gross economic benefit generated by our underwriting operations, on the one hand, and our underlying profitability trends, on the other. We rely on this measure, which supplements our gross profit/(loss) ratio as calculated in accordance with GAAP, because it provides management with insight into our underlying profitability trends with respect to our customer base. We use direct earned premium as the denominator in calculating this ratio because it reflects business volume free of elective capital efficiency choices related to our reinsurance programs.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8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4"/>
        </w:trPr>
        <w:tc>
          <w:tcPr>
            <w:tcW w:w="30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3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140" w:type="dxa"/>
            <w:vAlign w:val="bottom"/>
          </w:tcPr>
          <w:p>
            <w:pPr>
              <w:spacing w:after="0"/>
              <w:rPr>
                <w:sz w:val="15"/>
                <w:szCs w:val="15"/>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380" w:type="dxa"/>
            <w:vAlign w:val="bottom"/>
          </w:tcPr>
          <w:p>
            <w:pPr>
              <w:spacing w:after="0"/>
              <w:rPr>
                <w:sz w:val="15"/>
                <w:szCs w:val="15"/>
                <w:color w:val="auto"/>
              </w:rPr>
            </w:pPr>
          </w:p>
        </w:tc>
        <w:tc>
          <w:tcPr>
            <w:tcW w:w="660" w:type="dxa"/>
            <w:vAlign w:val="bottom"/>
          </w:tcPr>
          <w:p>
            <w:pPr>
              <w:jc w:val="right"/>
              <w:ind w:right="256"/>
              <w:spacing w:after="0"/>
              <w:rPr>
                <w:sz w:val="20"/>
                <w:szCs w:val="20"/>
                <w:color w:val="auto"/>
              </w:rPr>
            </w:pPr>
            <w:r>
              <w:rPr>
                <w:rFonts w:ascii="Arial" w:cs="Arial" w:eastAsia="Arial" w:hAnsi="Arial"/>
                <w:sz w:val="14"/>
                <w:szCs w:val="14"/>
                <w:b w:val="1"/>
                <w:bCs w:val="1"/>
                <w:color w:val="auto"/>
                <w:w w:val="96"/>
              </w:rPr>
              <w:t>2020</w:t>
            </w:r>
          </w:p>
        </w:tc>
        <w:tc>
          <w:tcPr>
            <w:tcW w:w="340" w:type="dxa"/>
            <w:vAlign w:val="bottom"/>
          </w:tcPr>
          <w:p>
            <w:pPr>
              <w:spacing w:after="0"/>
              <w:rPr>
                <w:sz w:val="15"/>
                <w:szCs w:val="15"/>
                <w:color w:val="auto"/>
              </w:rPr>
            </w:pPr>
          </w:p>
        </w:tc>
      </w:tr>
      <w:tr>
        <w:trPr>
          <w:trHeight w:val="24"/>
        </w:trPr>
        <w:tc>
          <w:tcPr>
            <w:tcW w:w="30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3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(dollars in millions)</w:t>
            </w: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4"/>
        </w:trPr>
        <w:tc>
          <w:tcPr>
            <w:tcW w:w="3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26"/>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Numerator: Adjusted Gross</w:t>
            </w: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51"/>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Profit/(Loss)</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(3.8)</w:t>
            </w: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13.2</w:t>
            </w:r>
          </w:p>
        </w:tc>
        <w:tc>
          <w:tcPr>
            <w:tcW w:w="13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21"/>
                <w:szCs w:val="21"/>
                <w:color w:val="auto"/>
              </w:rPr>
            </w:pPr>
          </w:p>
        </w:tc>
      </w:tr>
      <w:tr>
        <w:trPr>
          <w:trHeight w:val="226"/>
        </w:trPr>
        <w:tc>
          <w:tcPr>
            <w:tcW w:w="3060" w:type="dxa"/>
            <w:vAlign w:val="bottom"/>
          </w:tcPr>
          <w:p>
            <w:pPr>
              <w:ind w:left="340"/>
              <w:spacing w:after="0"/>
              <w:rPr>
                <w:sz w:val="20"/>
                <w:szCs w:val="20"/>
                <w:color w:val="auto"/>
              </w:rPr>
            </w:pPr>
            <w:r>
              <w:rPr>
                <w:rFonts w:ascii="Arial" w:cs="Arial" w:eastAsia="Arial" w:hAnsi="Arial"/>
                <w:sz w:val="18"/>
                <w:szCs w:val="18"/>
                <w:color w:val="auto"/>
              </w:rPr>
              <w:t>Denominator: Total Direct Earned</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50"/>
        </w:trPr>
        <w:tc>
          <w:tcPr>
            <w:tcW w:w="3060" w:type="dxa"/>
            <w:vAlign w:val="bottom"/>
          </w:tcPr>
          <w:p>
            <w:pPr>
              <w:ind w:left="20"/>
              <w:spacing w:after="0"/>
              <w:rPr>
                <w:sz w:val="20"/>
                <w:szCs w:val="20"/>
                <w:color w:val="auto"/>
              </w:rPr>
            </w:pPr>
            <w:r>
              <w:rPr>
                <w:rFonts w:ascii="Arial" w:cs="Arial" w:eastAsia="Arial" w:hAnsi="Arial"/>
                <w:sz w:val="18"/>
                <w:szCs w:val="18"/>
                <w:color w:val="auto"/>
              </w:rPr>
              <w:t>Premium</w:t>
            </w:r>
          </w:p>
        </w:tc>
        <w:tc>
          <w:tcPr>
            <w:tcW w:w="72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8"/>
                <w:szCs w:val="18"/>
                <w:color w:val="auto"/>
              </w:rPr>
              <w:t>180.7</w:t>
            </w: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151.9</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jc w:val="right"/>
              <w:ind w:right="119"/>
              <w:spacing w:after="0"/>
              <w:rPr>
                <w:sz w:val="20"/>
                <w:szCs w:val="20"/>
                <w:color w:val="auto"/>
              </w:rPr>
            </w:pPr>
            <w:r>
              <w:rPr>
                <w:rFonts w:ascii="Arial" w:cs="Arial" w:eastAsia="Arial" w:hAnsi="Arial"/>
                <w:sz w:val="18"/>
                <w:szCs w:val="18"/>
                <w:color w:val="auto"/>
              </w:rPr>
              <w:t>340.9</w:t>
            </w:r>
          </w:p>
        </w:tc>
        <w:tc>
          <w:tcPr>
            <w:tcW w:w="1380" w:type="dxa"/>
            <w:vAlign w:val="bottom"/>
          </w:tcPr>
          <w:p>
            <w:pPr>
              <w:spacing w:after="0"/>
              <w:rPr>
                <w:sz w:val="21"/>
                <w:szCs w:val="21"/>
                <w:color w:val="auto"/>
              </w:rPr>
            </w:pPr>
          </w:p>
        </w:tc>
        <w:tc>
          <w:tcPr>
            <w:tcW w:w="660" w:type="dxa"/>
            <w:vAlign w:val="bottom"/>
          </w:tcPr>
          <w:p>
            <w:pPr>
              <w:jc w:val="right"/>
              <w:ind w:right="116"/>
              <w:spacing w:after="0"/>
              <w:rPr>
                <w:sz w:val="20"/>
                <w:szCs w:val="20"/>
                <w:color w:val="auto"/>
              </w:rPr>
            </w:pPr>
            <w:r>
              <w:rPr>
                <w:rFonts w:ascii="Arial" w:cs="Arial" w:eastAsia="Arial" w:hAnsi="Arial"/>
                <w:sz w:val="18"/>
                <w:szCs w:val="18"/>
                <w:color w:val="auto"/>
                <w:w w:val="97"/>
              </w:rPr>
              <w:t>295.8</w:t>
            </w:r>
          </w:p>
        </w:tc>
        <w:tc>
          <w:tcPr>
            <w:tcW w:w="340" w:type="dxa"/>
            <w:vAlign w:val="bottom"/>
          </w:tcPr>
          <w:p>
            <w:pPr>
              <w:spacing w:after="0"/>
              <w:rPr>
                <w:sz w:val="21"/>
                <w:szCs w:val="21"/>
                <w:color w:val="auto"/>
              </w:rPr>
            </w:pPr>
          </w:p>
        </w:tc>
      </w:tr>
      <w:tr>
        <w:trPr>
          <w:trHeight w:val="21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Ratio of Adjusted Gross Profit/(Loss) to</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38"/>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Earned Premium</w:t>
            </w:r>
          </w:p>
        </w:tc>
        <w:tc>
          <w:tcPr>
            <w:tcW w:w="7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(2.1)</w:t>
            </w:r>
          </w:p>
        </w:tc>
        <w:tc>
          <w:tcPr>
            <w:tcW w:w="11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3.9</w:t>
            </w:r>
          </w:p>
        </w:tc>
        <w:tc>
          <w:tcPr>
            <w:tcW w:w="138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Ratio of Direct Contribution to Direct Earned Premium</w:t>
      </w:r>
    </w:p>
    <w:p>
      <w:pPr>
        <w:spacing w:after="0" w:line="170"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The ratio of direct contribution to direct earned premium measures the relationship between the underlying business volume and gross economic benefit generated by our underwriting operations, on the one hand, and our underlying profitability trends, on the other, without contemplating the impacts of reinsurance. We rely on this measure, which supplements our gross margin as calculated in accordance with GAAP, because it provides management with insight into our underlying profitability trends with respect to our total policy portfolio. We use direct earned premium as the denominator in calculating this ratio because it reflects business volume free of elective capital efficiency cession or commission structures choices from our reinsurance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8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4"/>
        </w:trPr>
        <w:tc>
          <w:tcPr>
            <w:tcW w:w="30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3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140" w:type="dxa"/>
            <w:vAlign w:val="bottom"/>
          </w:tcPr>
          <w:p>
            <w:pPr>
              <w:spacing w:after="0"/>
              <w:rPr>
                <w:sz w:val="15"/>
                <w:szCs w:val="15"/>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420" w:type="dxa"/>
            <w:vAlign w:val="bottom"/>
          </w:tcPr>
          <w:p>
            <w:pPr>
              <w:spacing w:after="0"/>
              <w:rPr>
                <w:sz w:val="15"/>
                <w:szCs w:val="15"/>
                <w:color w:val="auto"/>
              </w:rPr>
            </w:pPr>
          </w:p>
        </w:tc>
        <w:tc>
          <w:tcPr>
            <w:tcW w:w="660" w:type="dxa"/>
            <w:vAlign w:val="bottom"/>
          </w:tcPr>
          <w:p>
            <w:pPr>
              <w:jc w:val="right"/>
              <w:ind w:right="276"/>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Pr>
          <w:p>
            <w:pPr>
              <w:spacing w:after="0"/>
              <w:rPr>
                <w:sz w:val="15"/>
                <w:szCs w:val="15"/>
                <w:color w:val="auto"/>
              </w:rPr>
            </w:pPr>
          </w:p>
        </w:tc>
      </w:tr>
      <w:tr>
        <w:trPr>
          <w:trHeight w:val="24"/>
        </w:trPr>
        <w:tc>
          <w:tcPr>
            <w:tcW w:w="30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3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(dollars in millions)</w:t>
            </w:r>
          </w:p>
        </w:tc>
        <w:tc>
          <w:tcPr>
            <w:tcW w:w="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4"/>
        </w:trPr>
        <w:tc>
          <w:tcPr>
            <w:tcW w:w="3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5"/>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Numerator: Direct Contribution</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(3.8)</w:t>
            </w: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22.8</w:t>
            </w:r>
          </w:p>
        </w:tc>
        <w:tc>
          <w:tcPr>
            <w:tcW w:w="14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23"/>
                <w:szCs w:val="23"/>
                <w:color w:val="auto"/>
              </w:rPr>
            </w:pPr>
          </w:p>
        </w:tc>
      </w:tr>
      <w:tr>
        <w:trPr>
          <w:trHeight w:val="226"/>
        </w:trPr>
        <w:tc>
          <w:tcPr>
            <w:tcW w:w="3060" w:type="dxa"/>
            <w:vAlign w:val="bottom"/>
          </w:tcPr>
          <w:p>
            <w:pPr>
              <w:ind w:left="340"/>
              <w:spacing w:after="0"/>
              <w:rPr>
                <w:sz w:val="20"/>
                <w:szCs w:val="20"/>
                <w:color w:val="auto"/>
              </w:rPr>
            </w:pPr>
            <w:r>
              <w:rPr>
                <w:rFonts w:ascii="Arial" w:cs="Arial" w:eastAsia="Arial" w:hAnsi="Arial"/>
                <w:sz w:val="18"/>
                <w:szCs w:val="18"/>
                <w:color w:val="auto"/>
              </w:rPr>
              <w:t>Denominator: Total Direct Earned</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50"/>
        </w:trPr>
        <w:tc>
          <w:tcPr>
            <w:tcW w:w="3060" w:type="dxa"/>
            <w:vAlign w:val="bottom"/>
          </w:tcPr>
          <w:p>
            <w:pPr>
              <w:ind w:left="20"/>
              <w:spacing w:after="0"/>
              <w:rPr>
                <w:sz w:val="20"/>
                <w:szCs w:val="20"/>
                <w:color w:val="auto"/>
              </w:rPr>
            </w:pPr>
            <w:r>
              <w:rPr>
                <w:rFonts w:ascii="Arial" w:cs="Arial" w:eastAsia="Arial" w:hAnsi="Arial"/>
                <w:sz w:val="18"/>
                <w:szCs w:val="18"/>
                <w:color w:val="auto"/>
              </w:rPr>
              <w:t>Premium</w:t>
            </w:r>
          </w:p>
        </w:tc>
        <w:tc>
          <w:tcPr>
            <w:tcW w:w="700" w:type="dxa"/>
            <w:vAlign w:val="bottom"/>
          </w:tcPr>
          <w:p>
            <w:pPr>
              <w:spacing w:after="0"/>
              <w:rPr>
                <w:sz w:val="21"/>
                <w:szCs w:val="21"/>
                <w:color w:val="auto"/>
              </w:rPr>
            </w:pPr>
          </w:p>
        </w:tc>
        <w:tc>
          <w:tcPr>
            <w:tcW w:w="940" w:type="dxa"/>
            <w:vAlign w:val="bottom"/>
          </w:tcPr>
          <w:p>
            <w:pPr>
              <w:jc w:val="right"/>
              <w:ind w:right="119"/>
              <w:spacing w:after="0"/>
              <w:rPr>
                <w:sz w:val="20"/>
                <w:szCs w:val="20"/>
                <w:color w:val="auto"/>
              </w:rPr>
            </w:pPr>
            <w:r>
              <w:rPr>
                <w:rFonts w:ascii="Arial" w:cs="Arial" w:eastAsia="Arial" w:hAnsi="Arial"/>
                <w:sz w:val="18"/>
                <w:szCs w:val="18"/>
                <w:color w:val="auto"/>
              </w:rPr>
              <w:t>180.7</w:t>
            </w: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151.9</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jc w:val="right"/>
              <w:ind w:right="119"/>
              <w:spacing w:after="0"/>
              <w:rPr>
                <w:sz w:val="20"/>
                <w:szCs w:val="20"/>
                <w:color w:val="auto"/>
              </w:rPr>
            </w:pPr>
            <w:r>
              <w:rPr>
                <w:rFonts w:ascii="Arial" w:cs="Arial" w:eastAsia="Arial" w:hAnsi="Arial"/>
                <w:sz w:val="18"/>
                <w:szCs w:val="18"/>
                <w:color w:val="auto"/>
              </w:rPr>
              <w:t>340.9</w:t>
            </w:r>
          </w:p>
        </w:tc>
        <w:tc>
          <w:tcPr>
            <w:tcW w:w="1420" w:type="dxa"/>
            <w:vAlign w:val="bottom"/>
          </w:tcPr>
          <w:p>
            <w:pPr>
              <w:spacing w:after="0"/>
              <w:rPr>
                <w:sz w:val="21"/>
                <w:szCs w:val="21"/>
                <w:color w:val="auto"/>
              </w:rPr>
            </w:pPr>
          </w:p>
        </w:tc>
        <w:tc>
          <w:tcPr>
            <w:tcW w:w="660" w:type="dxa"/>
            <w:vAlign w:val="bottom"/>
          </w:tcPr>
          <w:p>
            <w:pPr>
              <w:jc w:val="right"/>
              <w:ind w:right="116"/>
              <w:spacing w:after="0"/>
              <w:rPr>
                <w:sz w:val="20"/>
                <w:szCs w:val="20"/>
                <w:color w:val="auto"/>
              </w:rPr>
            </w:pPr>
            <w:r>
              <w:rPr>
                <w:rFonts w:ascii="Arial" w:cs="Arial" w:eastAsia="Arial" w:hAnsi="Arial"/>
                <w:sz w:val="18"/>
                <w:szCs w:val="18"/>
                <w:color w:val="auto"/>
                <w:w w:val="97"/>
              </w:rPr>
              <w:t>295.8</w:t>
            </w:r>
          </w:p>
        </w:tc>
        <w:tc>
          <w:tcPr>
            <w:tcW w:w="340" w:type="dxa"/>
            <w:vAlign w:val="bottom"/>
          </w:tcPr>
          <w:p>
            <w:pPr>
              <w:spacing w:after="0"/>
              <w:rPr>
                <w:sz w:val="21"/>
                <w:szCs w:val="21"/>
                <w:color w:val="auto"/>
              </w:rPr>
            </w:pPr>
          </w:p>
        </w:tc>
      </w:tr>
      <w:tr>
        <w:trPr>
          <w:trHeight w:val="21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Direct</w:t>
            </w: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38"/>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Premium</w:t>
            </w:r>
          </w:p>
        </w:tc>
        <w:tc>
          <w:tcPr>
            <w:tcW w:w="7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(2.1)</w:t>
            </w:r>
          </w:p>
        </w:tc>
        <w:tc>
          <w:tcPr>
            <w:tcW w:w="114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6.7</w:t>
            </w:r>
          </w:p>
        </w:tc>
        <w:tc>
          <w:tcPr>
            <w:tcW w:w="142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Direct Loss Ratio</w:t>
      </w:r>
    </w:p>
    <w:p>
      <w:pPr>
        <w:spacing w:after="0" w:line="170" w:lineRule="exact"/>
        <w:rPr>
          <w:sz w:val="20"/>
          <w:szCs w:val="20"/>
          <w:color w:val="auto"/>
        </w:rPr>
      </w:pPr>
    </w:p>
    <w:p>
      <w:pPr>
        <w:ind w:right="440" w:firstLine="318"/>
        <w:spacing w:after="0" w:line="365" w:lineRule="auto"/>
        <w:rPr>
          <w:sz w:val="20"/>
          <w:szCs w:val="20"/>
          <w:color w:val="auto"/>
        </w:rPr>
      </w:pPr>
      <w:r>
        <w:rPr>
          <w:rFonts w:ascii="Arial" w:cs="Arial" w:eastAsia="Arial" w:hAnsi="Arial"/>
          <w:sz w:val="15"/>
          <w:szCs w:val="15"/>
          <w:color w:val="auto"/>
        </w:rPr>
        <w:t>We define direct loss ratio expressed as a percentage, as the ratio of direct losses to direct earned premium. Direct loss ratio excludes LAE. We view direct loss ratio as an important metric because it allows us to evaluate incurred losses and LAE separately prior to the impact of reinsurance.</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Direct LAE Ratio</w:t>
      </w:r>
    </w:p>
    <w:p>
      <w:pPr>
        <w:spacing w:after="0" w:line="170" w:lineRule="exact"/>
        <w:rPr>
          <w:sz w:val="20"/>
          <w:szCs w:val="20"/>
          <w:color w:val="auto"/>
        </w:rPr>
      </w:pPr>
    </w:p>
    <w:p>
      <w:pPr>
        <w:ind w:right="180" w:firstLine="318"/>
        <w:spacing w:after="0" w:line="277" w:lineRule="auto"/>
        <w:rPr>
          <w:sz w:val="20"/>
          <w:szCs w:val="20"/>
          <w:color w:val="auto"/>
        </w:rPr>
      </w:pPr>
      <w:r>
        <w:rPr>
          <w:rFonts w:ascii="Arial" w:cs="Arial" w:eastAsia="Arial" w:hAnsi="Arial"/>
          <w:sz w:val="17"/>
          <w:szCs w:val="17"/>
          <w:color w:val="auto"/>
        </w:rPr>
        <w:t>We define direct LAE ratio expressed as a percentage, as the ratio of direct LAE to direct earned premium. We view direct LAE ratio as an important metric because it allows us to evaluate incurred losses and LAE separately. Currently, we do not cede any of our LAE to third-party reinsurers; therefore, we actively monitor LAE ratio as it has a direct impact on our results regardless of our reinsurance strategy.</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Direct Accident Period Loss Ratio</w:t>
      </w:r>
    </w:p>
    <w:p>
      <w:pPr>
        <w:spacing w:after="0" w:line="17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Direct accident period loss ratio, expressed as a percentage, represents all losses and claims expected to arise from insured events that occurred during the applicable period regardless of when they are reported and finally settled divided by direct earned premiums for the same period. Changes to our loss reserves are the primary driver of the difference between our direct accident period loss ratio and direct loss ratio. We believe that direct accident period loss ratio is useful in evaluating expected losses prior to the impact of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07"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29845</wp:posOffset>
            </wp:positionV>
            <wp:extent cx="32981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44" w:lineRule="exact"/>
        <w:rPr>
          <w:sz w:val="20"/>
          <w:szCs w:val="20"/>
          <w:color w:val="auto"/>
        </w:rPr>
      </w:pPr>
    </w:p>
    <w:p>
      <w:pPr>
        <w:jc w:val="both"/>
        <w:ind w:left="6500"/>
        <w:spacing w:after="0"/>
        <w:tabs>
          <w:tab w:leader="none" w:pos="7760" w:val="left"/>
          <w:tab w:leader="none" w:pos="8920" w:val="left"/>
          <w:tab w:leader="none" w:pos="102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29845</wp:posOffset>
            </wp:positionV>
            <wp:extent cx="32981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44"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168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premiums earned</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investment income</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Net realized gains on investments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Fee and other income</w:t>
      </w:r>
    </w:p>
    <w:p>
      <w:pPr>
        <w:spacing w:after="0" w:line="71" w:lineRule="exact"/>
        <w:rPr>
          <w:sz w:val="20"/>
          <w:szCs w:val="20"/>
          <w:color w:val="auto"/>
        </w:rPr>
      </w:pPr>
    </w:p>
    <w:p>
      <w:pPr>
        <w:jc w:val="center"/>
        <w:ind w:right="3820"/>
        <w:spacing w:after="0"/>
        <w:rPr>
          <w:sz w:val="20"/>
          <w:szCs w:val="20"/>
          <w:color w:val="auto"/>
        </w:rPr>
      </w:pPr>
      <w:r>
        <w:rPr>
          <w:rFonts w:ascii="Arial" w:cs="Arial" w:eastAsia="Arial" w:hAnsi="Arial"/>
          <w:sz w:val="18"/>
          <w:szCs w:val="18"/>
          <w:color w:val="auto"/>
        </w:rPr>
        <w:t>Total revenues</w:t>
      </w:r>
    </w:p>
    <w:p>
      <w:pPr>
        <w:spacing w:after="0" w:line="58" w:lineRule="exact"/>
        <w:rPr>
          <w:sz w:val="20"/>
          <w:szCs w:val="20"/>
          <w:color w:val="auto"/>
        </w:rPr>
      </w:pPr>
    </w:p>
    <w:p>
      <w:pPr>
        <w:jc w:val="center"/>
        <w:ind w:right="3840"/>
        <w:spacing w:after="0"/>
        <w:rPr>
          <w:sz w:val="20"/>
          <w:szCs w:val="20"/>
          <w:color w:val="auto"/>
        </w:rPr>
      </w:pPr>
      <w:r>
        <w:rPr>
          <w:rFonts w:ascii="Arial" w:cs="Arial" w:eastAsia="Arial" w:hAnsi="Arial"/>
          <w:sz w:val="15"/>
          <w:szCs w:val="15"/>
          <w:color w:val="auto"/>
        </w:rPr>
        <w:t>Operating expenses: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Loss and loss adjustment expenses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Sales and marketing</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Other insurance (benefit) expense</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Technology and development</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and administrative</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operating expenses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loss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65"/>
        </w:trPr>
        <w:tc>
          <w:tcPr>
            <w:tcW w:w="380" w:type="dxa"/>
            <w:vAlign w:val="bottom"/>
          </w:tcPr>
          <w:p>
            <w:pPr>
              <w:spacing w:after="0"/>
              <w:rPr>
                <w:sz w:val="23"/>
                <w:szCs w:val="2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66"/>
        </w:trPr>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83.7 %</w:t>
            </w:r>
          </w:p>
        </w:tc>
      </w:tr>
      <w:tr>
        <w:trPr>
          <w:trHeight w:val="231"/>
        </w:trPr>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8"/>
        </w:trPr>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509"/>
        </w:trPr>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13.3 %</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542.0 %</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54.9 %</w:t>
            </w:r>
          </w:p>
        </w:tc>
      </w:tr>
      <w:tr>
        <w:trPr>
          <w:trHeight w:val="266"/>
        </w:trPr>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112.4 %</w:t>
            </w:r>
          </w:p>
        </w:tc>
      </w:tr>
      <w:tr>
        <w:trPr>
          <w:trHeight w:val="231"/>
        </w:trPr>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109.3</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71.6 %</w:t>
            </w:r>
          </w:p>
        </w:tc>
      </w:tr>
      <w:tr>
        <w:trPr>
          <w:trHeight w:val="28"/>
        </w:trPr>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(140.9)</w:t>
            </w:r>
          </w:p>
        </w:tc>
        <w:tc>
          <w:tcPr>
            <w:tcW w:w="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-2211705</wp:posOffset>
            </wp:positionV>
            <wp:extent cx="7134860" cy="168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-1875155</wp:posOffset>
            </wp:positionV>
            <wp:extent cx="7134860" cy="168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-1530350</wp:posOffset>
            </wp:positionV>
            <wp:extent cx="7134860" cy="168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-1193800</wp:posOffset>
            </wp:positionV>
            <wp:extent cx="7134860" cy="168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-857250</wp:posOffset>
            </wp:positionV>
            <wp:extent cx="7134860" cy="168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-520065</wp:posOffset>
            </wp:positionV>
            <wp:extent cx="7134860" cy="176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-167005</wp:posOffset>
            </wp:positionV>
            <wp:extent cx="7134860" cy="176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(139.7)</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8"/>
        </w:trPr>
        <w:tc>
          <w:tcPr>
            <w:tcW w:w="6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8"/>
        </w:trPr>
        <w:tc>
          <w:tcPr>
            <w:tcW w:w="6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8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2"/>
        </w:trPr>
        <w:tc>
          <w:tcPr>
            <w:tcW w:w="60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Other comprehensive income:</w:t>
            </w: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65"/>
        </w:trPr>
        <w:tc>
          <w:tcPr>
            <w:tcW w:w="6040" w:type="dxa"/>
            <w:vAlign w:val="bottom"/>
          </w:tcPr>
          <w:p>
            <w:pPr>
              <w:ind w:left="80"/>
              <w:spacing w:after="0"/>
              <w:rPr>
                <w:sz w:val="20"/>
                <w:szCs w:val="20"/>
                <w:color w:val="auto"/>
              </w:rPr>
            </w:pPr>
            <w:r>
              <w:rPr>
                <w:rFonts w:ascii="Arial" w:cs="Arial" w:eastAsia="Arial" w:hAnsi="Arial"/>
                <w:sz w:val="18"/>
                <w:szCs w:val="18"/>
                <w:color w:val="auto"/>
              </w:rPr>
              <w:t>Changes in net unrealized gains on investments</w:t>
            </w:r>
          </w:p>
        </w:tc>
        <w:tc>
          <w:tcPr>
            <w:tcW w:w="380" w:type="dxa"/>
            <w:vAlign w:val="bottom"/>
          </w:tcPr>
          <w:p>
            <w:pPr>
              <w:spacing w:after="0"/>
              <w:rPr>
                <w:sz w:val="23"/>
                <w:szCs w:val="23"/>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83"/>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change not meaningful</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Premiums Earned</w:t>
      </w:r>
    </w:p>
    <w:p>
      <w:pPr>
        <w:spacing w:after="0" w:line="17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Net premiums earned decreased $34.5 million, or (29.8)%, to $81.2 million for the three months ended June 30, 2021, compared to the same period ended in 2020. The decrease was primarily due to greater cessions of direct earned premium as a result of a change in reinsurance structure, partially offset by growth in direct earned premium between the periods.</w:t>
      </w:r>
    </w:p>
    <w:p>
      <w:pPr>
        <w:spacing w:after="0" w:line="135"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During the three months ended June 30, 2021 and 2020, we ceded approximately 55.1% and 23.8% of our direct earned premiums to third-party reinsurers, respectively. The change in ceding percentage between the periods was driven by our evolving approach to our reinsurance structure, in an effort to produce a capital efficient model with reinsurance terms available to us in the market.</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119"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presents direct written premium, ceded written premium, net written premium, direct earned premium, ceded earned premium and net earned premium for the three months ended June 30, 2021 and 2020: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4"/>
        </w:trPr>
        <w:tc>
          <w:tcPr>
            <w:tcW w:w="50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1"/>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5"/>
                <w:szCs w:val="15"/>
                <w:color w:val="auto"/>
              </w:rPr>
            </w:pPr>
          </w:p>
        </w:tc>
      </w:tr>
      <w:tr>
        <w:trPr>
          <w:trHeight w:val="24"/>
        </w:trPr>
        <w:tc>
          <w:tcPr>
            <w:tcW w:w="50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1"/>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20" w:type="dxa"/>
            <w:vAlign w:val="bottom"/>
            <w:gridSpan w:val="5"/>
          </w:tcPr>
          <w:p>
            <w:pPr>
              <w:ind w:left="560"/>
              <w:spacing w:after="0"/>
              <w:rPr>
                <w:sz w:val="20"/>
                <w:szCs w:val="20"/>
                <w:color w:val="auto"/>
              </w:rPr>
            </w:pPr>
            <w:r>
              <w:rPr>
                <w:rFonts w:ascii="Arial" w:cs="Arial" w:eastAsia="Arial" w:hAnsi="Arial"/>
                <w:sz w:val="14"/>
                <w:szCs w:val="14"/>
                <w:b w:val="1"/>
                <w:bCs w:val="1"/>
                <w:color w:val="auto"/>
              </w:rPr>
              <w:t>(dollars in millions)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4"/>
        </w:trPr>
        <w:tc>
          <w:tcPr>
            <w:tcW w:w="5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65"/>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 written premium</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142.3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394"/>
              <w:spacing w:after="0"/>
              <w:rPr>
                <w:sz w:val="20"/>
                <w:szCs w:val="20"/>
                <w:color w:val="auto"/>
              </w:rPr>
            </w:pPr>
            <w:r>
              <w:rPr>
                <w:rFonts w:ascii="Arial" w:cs="Arial" w:eastAsia="Arial" w:hAnsi="Arial"/>
                <w:sz w:val="18"/>
                <w:szCs w:val="18"/>
                <w:color w:val="auto"/>
                <w:w w:val="85"/>
              </w:rPr>
              <w:t>34.8</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5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Ceded written premium</w:t>
            </w:r>
          </w:p>
        </w:tc>
        <w:tc>
          <w:tcPr>
            <w:tcW w:w="5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9"/>
              </w:rPr>
              <w:t>(37.7)</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left="374"/>
              <w:spacing w:after="0"/>
              <w:rPr>
                <w:sz w:val="20"/>
                <w:szCs w:val="20"/>
                <w:color w:val="auto"/>
              </w:rPr>
            </w:pPr>
            <w:r>
              <w:rPr>
                <w:rFonts w:ascii="Arial" w:cs="Arial" w:eastAsia="Arial" w:hAnsi="Arial"/>
                <w:sz w:val="18"/>
                <w:szCs w:val="18"/>
                <w:color w:val="auto"/>
                <w:w w:val="93"/>
              </w:rPr>
              <w:t>(72.0)</w:t>
            </w: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191.0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w:t>
            </w: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104.6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93"/>
              </w:rPr>
              <w:t>(37.2)</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5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45"/>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Direct earned premium</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7"/>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394"/>
              <w:spacing w:after="0"/>
              <w:rPr>
                <w:sz w:val="20"/>
                <w:szCs w:val="20"/>
                <w:color w:val="auto"/>
              </w:rPr>
            </w:pPr>
            <w:r>
              <w:rPr>
                <w:rFonts w:ascii="Arial" w:cs="Arial" w:eastAsia="Arial" w:hAnsi="Arial"/>
                <w:sz w:val="18"/>
                <w:szCs w:val="18"/>
                <w:color w:val="auto"/>
                <w:w w:val="85"/>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19.0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000" w:type="dxa"/>
            <w:vAlign w:val="bottom"/>
          </w:tcPr>
          <w:p>
            <w:pPr>
              <w:ind w:left="340"/>
              <w:spacing w:after="0"/>
              <w:rPr>
                <w:sz w:val="20"/>
                <w:szCs w:val="20"/>
                <w:color w:val="auto"/>
              </w:rPr>
            </w:pPr>
            <w:r>
              <w:rPr>
                <w:rFonts w:ascii="Arial" w:cs="Arial" w:eastAsia="Arial" w:hAnsi="Arial"/>
                <w:sz w:val="18"/>
                <w:szCs w:val="18"/>
                <w:color w:val="auto"/>
              </w:rPr>
              <w:t>Ceded earned premium</w:t>
            </w: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w w:val="89"/>
              </w:rPr>
              <w:t>(36.2)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center"/>
              <w:ind w:left="374"/>
              <w:spacing w:after="0"/>
              <w:rPr>
                <w:sz w:val="20"/>
                <w:szCs w:val="20"/>
                <w:color w:val="auto"/>
              </w:rPr>
            </w:pPr>
            <w:r>
              <w:rPr>
                <w:rFonts w:ascii="Arial" w:cs="Arial" w:eastAsia="Arial" w:hAnsi="Arial"/>
                <w:sz w:val="18"/>
                <w:szCs w:val="18"/>
                <w:color w:val="auto"/>
                <w:w w:val="93"/>
              </w:rPr>
              <w:t>(63.3)</w:t>
            </w:r>
          </w:p>
        </w:tc>
        <w:tc>
          <w:tcPr>
            <w:tcW w:w="100" w:type="dxa"/>
            <w:vAlign w:val="bottom"/>
          </w:tcPr>
          <w:p>
            <w:pPr>
              <w:spacing w:after="0"/>
              <w:rPr>
                <w:sz w:val="20"/>
                <w:szCs w:val="20"/>
                <w:color w:val="auto"/>
              </w:rPr>
            </w:pPr>
          </w:p>
        </w:tc>
        <w:tc>
          <w:tcPr>
            <w:tcW w:w="1340" w:type="dxa"/>
            <w:vAlign w:val="bottom"/>
          </w:tcPr>
          <w:p>
            <w:pPr>
              <w:jc w:val="right"/>
              <w:ind w:right="214"/>
              <w:spacing w:after="0"/>
              <w:rPr>
                <w:sz w:val="20"/>
                <w:szCs w:val="20"/>
                <w:color w:val="auto"/>
              </w:rPr>
            </w:pPr>
            <w:r>
              <w:rPr>
                <w:rFonts w:ascii="Arial" w:cs="Arial" w:eastAsia="Arial" w:hAnsi="Arial"/>
                <w:sz w:val="18"/>
                <w:szCs w:val="18"/>
                <w:color w:val="auto"/>
              </w:rPr>
              <w:t>174.9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0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1"/>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earned premium</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115.7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93"/>
              </w:rPr>
              <w:t>(34.5)</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ind w:right="360" w:firstLine="318"/>
        <w:spacing w:after="0" w:line="255" w:lineRule="auto"/>
        <w:rPr>
          <w:sz w:val="20"/>
          <w:szCs w:val="20"/>
          <w:color w:val="auto"/>
        </w:rPr>
      </w:pPr>
      <w:r>
        <w:rPr>
          <w:rFonts w:ascii="Arial" w:cs="Arial" w:eastAsia="Arial" w:hAnsi="Arial"/>
          <w:sz w:val="18"/>
          <w:szCs w:val="18"/>
          <w:color w:val="auto"/>
        </w:rPr>
        <w:t>Direct earned premium growth was primarily due to a 24.5% increase in direct written premium from deeper market penetration across our U.S. state footprint. We also saw a 6.8% increase in Premium per Policy for automobile insurance primarily resulting from pricing increases in several U.S. states between the periods.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Fee and Other Income</w:t>
      </w:r>
    </w:p>
    <w:p>
      <w:pPr>
        <w:spacing w:after="0" w:line="170"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auto"/>
        </w:rPr>
        <w:t>Fee income increased $3.6 million, or 83.7%, to $7.9 million for the three months ended June 30, 2021 compared to the same period ended in 2020. The increase was primarily due to fee revenue from distributing web and app policy inquiry leads in geographies where we do not have a presence to third parties and an increase in customers making payments in installments.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Loss and Loss Adjustment Expenses</w:t>
      </w:r>
    </w:p>
    <w:p>
      <w:pPr>
        <w:spacing w:after="0" w:line="170" w:lineRule="exact"/>
        <w:rPr>
          <w:sz w:val="20"/>
          <w:szCs w:val="20"/>
          <w:color w:val="auto"/>
        </w:rPr>
      </w:pPr>
    </w:p>
    <w:p>
      <w:pPr>
        <w:ind w:right="80" w:firstLine="318"/>
        <w:spacing w:after="0" w:line="330" w:lineRule="auto"/>
        <w:rPr>
          <w:sz w:val="20"/>
          <w:szCs w:val="20"/>
          <w:color w:val="auto"/>
        </w:rPr>
      </w:pPr>
      <w:r>
        <w:rPr>
          <w:rFonts w:ascii="Arial" w:cs="Arial" w:eastAsia="Arial" w:hAnsi="Arial"/>
          <w:sz w:val="15"/>
          <w:szCs w:val="15"/>
          <w:color w:val="auto"/>
        </w:rPr>
        <w:t>Loss and LAE increased $12.9 million, or 13.3%, to $110.2 million for the three months ended June 30, 2021 compared to the same period in 2020. The increase was primarily due to higher claims volume, increased claim severity and greater reserves related to the growth in policies in force for the three months ended June 30, 2021 compared to the prior year period, offset by greater cession of incurred losses as a result of a change in our reinsurance structure.</w:t>
      </w:r>
    </w:p>
    <w:p>
      <w:pPr>
        <w:spacing w:after="0" w:line="84" w:lineRule="exact"/>
        <w:rPr>
          <w:sz w:val="20"/>
          <w:szCs w:val="20"/>
          <w:color w:val="auto"/>
        </w:rPr>
      </w:pPr>
    </w:p>
    <w:p>
      <w:pPr>
        <w:ind w:right="140" w:firstLine="318"/>
        <w:spacing w:after="0" w:line="271" w:lineRule="auto"/>
        <w:rPr>
          <w:sz w:val="20"/>
          <w:szCs w:val="20"/>
          <w:color w:val="auto"/>
        </w:rPr>
      </w:pPr>
      <w:r>
        <w:rPr>
          <w:rFonts w:ascii="Arial" w:cs="Arial" w:eastAsia="Arial" w:hAnsi="Arial"/>
          <w:sz w:val="17"/>
          <w:szCs w:val="17"/>
          <w:color w:val="auto"/>
        </w:rPr>
        <w:t>Direct accident period loss ratios increased to 88.3% from 66.2% for the three months ended June 30, 2021 and 2020, respectively. This change corresponds with the increase in our direct loss ratio to 89.9% from 70.4%, for the three months ended June 30, 2021 and 2020, respectively. The change in the ratios was driven by greater loss costs as severity per claim has increased and miles driven during the period exceeding pre-COVID-19 levels resulting in elevated claims frequency. This was partially offset by growth in average premium per policy.</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Marketing</w:t>
      </w:r>
    </w:p>
    <w:p>
      <w:pPr>
        <w:spacing w:after="0" w:line="170"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Sales and marketing expense increased $94.3 million, or 542.0%, to $111.7 million for the three months ended June 30, 2021 compared to the same period in 2020. The increase was primarily due to increased investment in performance marketing of $73.0 million and branding and advertising of $18.4 million as we responded to unexpected changes in consumer behavior and increased customer acquisition and advertising campaigns in digital channels on the part of our competitors. We have focused on diversifying our marketing channels and evolving marketing investments to drive growth and deeper market penetration in the states in which we operate. During the three months ended June 30, 2020, there was a slowdown in digital marketing spend due to the uncertainty surrounding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Insurance (Benefit) Expense</w:t>
      </w:r>
    </w:p>
    <w:p>
      <w:pPr>
        <w:spacing w:after="0" w:line="170"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Other insurance (benefit) expense decreased $16.8 million, or (109.8)%, to $(1.5) million for the three months ended June 30, 2021 compared to the same period in 2020. The decrease was primarily driven by greater ceding commission contra-expense due to reinsurance structure changes of $19.7 million and lower premium write-offs of $2.6 million due to improved collections of premium receivables. These decreases were partially offset by greater underwriting costs of $3.9 million driven by growth in the core insurance business and personnel costs of $1.5 million as a result of an increase in headcount for the three months ended June 30, 2021 compared to the three months ended June 30, 2020.</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Technology and Development</w:t>
      </w:r>
    </w:p>
    <w:p>
      <w:pPr>
        <w:spacing w:after="0" w:line="170"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Technology and development expense increased $6.2 million, or 54.9%, to $17.5 million for the three months ended June 30, 2021 compared to the same period in 2020. The increase was primarily driven by incremental investments in personnel and overhead resulting from growth of engineering and product teams of $3.8 million for the three months ended June 30, 2021 compared to the same period in 2020, as we continue to invest in developing and improving our technology platforms and infrastructure. In addition, in the three months ended June 30, 2021 we incurred an additional $1.3 million in share-based compensation expense compared to the same period in 2020 relating to our equity incentive plan.</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and Administrative</w:t>
      </w:r>
    </w:p>
    <w:p>
      <w:pPr>
        <w:spacing w:after="0" w:line="17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General and administrative increased $12.7 million, or 112.4%, to $24.0 million for the three months ended June 30, 2021 compared to the same period in 2020. The increase was driven by $4.1 million in personnel costs across finance, legal and administrative teams as a result of an increase in headcount. In addition, professional service fees increased $2.7 million driven by overall growth and emerging compliance initiatives and we incurred an additional $2.0 million related to corporate insurance. Also, we incurred an additional $2.0 million in share-based compensation expense for the three months ended June 30, 2021 compared to the same period in 2020 relating to our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07"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29845</wp:posOffset>
            </wp:positionV>
            <wp:extent cx="32981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44" w:lineRule="exact"/>
        <w:rPr>
          <w:sz w:val="20"/>
          <w:szCs w:val="20"/>
          <w:color w:val="auto"/>
        </w:rPr>
      </w:pPr>
    </w:p>
    <w:p>
      <w:pPr>
        <w:jc w:val="both"/>
        <w:ind w:left="6500"/>
        <w:spacing w:after="0"/>
        <w:tabs>
          <w:tab w:leader="none" w:pos="7760" w:val="left"/>
          <w:tab w:leader="none" w:pos="8920" w:val="left"/>
          <w:tab w:leader="none" w:pos="102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29845</wp:posOffset>
            </wp:positionV>
            <wp:extent cx="32981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44"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168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premiums earned</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investment income</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Net realized gains on investments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Fee and other income</w:t>
      </w:r>
    </w:p>
    <w:p>
      <w:pPr>
        <w:spacing w:after="0" w:line="71" w:lineRule="exact"/>
        <w:rPr>
          <w:sz w:val="20"/>
          <w:szCs w:val="20"/>
          <w:color w:val="auto"/>
        </w:rPr>
      </w:pPr>
    </w:p>
    <w:p>
      <w:pPr>
        <w:jc w:val="center"/>
        <w:ind w:right="3820"/>
        <w:spacing w:after="0"/>
        <w:rPr>
          <w:sz w:val="20"/>
          <w:szCs w:val="20"/>
          <w:color w:val="auto"/>
        </w:rPr>
      </w:pPr>
      <w:r>
        <w:rPr>
          <w:rFonts w:ascii="Arial" w:cs="Arial" w:eastAsia="Arial" w:hAnsi="Arial"/>
          <w:sz w:val="18"/>
          <w:szCs w:val="18"/>
          <w:color w:val="auto"/>
        </w:rPr>
        <w:t>Total revenues</w:t>
      </w:r>
    </w:p>
    <w:p>
      <w:pPr>
        <w:spacing w:after="0" w:line="58" w:lineRule="exact"/>
        <w:rPr>
          <w:sz w:val="20"/>
          <w:szCs w:val="20"/>
          <w:color w:val="auto"/>
        </w:rPr>
      </w:pPr>
    </w:p>
    <w:p>
      <w:pPr>
        <w:jc w:val="center"/>
        <w:ind w:right="3840"/>
        <w:spacing w:after="0"/>
        <w:rPr>
          <w:sz w:val="20"/>
          <w:szCs w:val="20"/>
          <w:color w:val="auto"/>
        </w:rPr>
      </w:pPr>
      <w:r>
        <w:rPr>
          <w:rFonts w:ascii="Arial" w:cs="Arial" w:eastAsia="Arial" w:hAnsi="Arial"/>
          <w:sz w:val="15"/>
          <w:szCs w:val="15"/>
          <w:color w:val="auto"/>
        </w:rPr>
        <w:t>Operating expenses: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Loss and loss adjustment expenses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Sales and marketing</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insurance expense</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Technology and development</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and administrative</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operating expenses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loss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2300.0 %</w:t>
            </w:r>
          </w:p>
        </w:tc>
      </w:tr>
      <w:tr>
        <w:trPr>
          <w:trHeight w:val="266"/>
        </w:trPr>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64.0 %</w:t>
            </w:r>
          </w:p>
        </w:tc>
      </w:tr>
      <w:tr>
        <w:trPr>
          <w:trHeight w:val="231"/>
        </w:trPr>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8"/>
        </w:trPr>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509"/>
        </w:trPr>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126.9</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238.5 %</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14.7 %</w:t>
            </w:r>
          </w:p>
        </w:tc>
      </w:tr>
      <w:tr>
        <w:trPr>
          <w:trHeight w:val="266"/>
        </w:trPr>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r>
      <w:tr>
        <w:trPr>
          <w:trHeight w:val="231"/>
        </w:trPr>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12.8 %</w:t>
            </w:r>
          </w:p>
        </w:tc>
      </w:tr>
      <w:tr>
        <w:trPr>
          <w:trHeight w:val="28"/>
        </w:trPr>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65"/>
        </w:trPr>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-2211705</wp:posOffset>
            </wp:positionV>
            <wp:extent cx="7134860" cy="168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-1875155</wp:posOffset>
            </wp:positionV>
            <wp:extent cx="7134860" cy="168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-1529715</wp:posOffset>
            </wp:positionV>
            <wp:extent cx="7134860" cy="168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-1193165</wp:posOffset>
            </wp:positionV>
            <wp:extent cx="7134860" cy="168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-856615</wp:posOffset>
            </wp:positionV>
            <wp:extent cx="7134860" cy="168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-520065</wp:posOffset>
            </wp:positionV>
            <wp:extent cx="7134860" cy="176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-167005</wp:posOffset>
            </wp:positionV>
            <wp:extent cx="7134860" cy="176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(133.7)</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8"/>
        </w:trPr>
        <w:tc>
          <w:tcPr>
            <w:tcW w:w="6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8"/>
        </w:trPr>
        <w:tc>
          <w:tcPr>
            <w:tcW w:w="6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8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2"/>
        </w:trPr>
        <w:tc>
          <w:tcPr>
            <w:tcW w:w="60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65"/>
        </w:trPr>
        <w:tc>
          <w:tcPr>
            <w:tcW w:w="6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net unrealized gains (losses) on investments</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r>
      <w:tr>
        <w:trPr>
          <w:trHeight w:val="283"/>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change not meaningful</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Premiums Earned</w:t>
      </w:r>
    </w:p>
    <w:p>
      <w:pPr>
        <w:spacing w:after="0" w:line="170"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Net premiums earned decreased $93.2 million, or (39.9)%, to $140.3 million for the six months ended June 30, 2021 compared to the same period in 2020. The decrease was primarily due to greater cessions of direct earned premium as a result of a change in reinsurance structure, partially offset by growth in direct earned premium between the periods.</w:t>
      </w:r>
    </w:p>
    <w:p>
      <w:pPr>
        <w:spacing w:after="0" w:line="135"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During the six months ended June 30, 2021 and 2020, we ceded approximately 58.8% and 21.1% of our direct earned premiums to third-party reinsurers, respectively. The change in ceding percentage between the periods was driven by our evolving approach to our reinsurance structure, in an effort to produce a capital efficient model with reinsurance terms available to us in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119"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presents direct written premium, ceded written premium, net written premium, direct earned premium, ceded earned premium and net earned premium for the six months ended June 30, 2021 and 2020: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2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4"/>
        </w:trPr>
        <w:tc>
          <w:tcPr>
            <w:tcW w:w="50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1"/>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5"/>
                <w:szCs w:val="15"/>
                <w:color w:val="auto"/>
              </w:rPr>
            </w:pPr>
          </w:p>
        </w:tc>
      </w:tr>
      <w:tr>
        <w:trPr>
          <w:trHeight w:val="24"/>
        </w:trPr>
        <w:tc>
          <w:tcPr>
            <w:tcW w:w="50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1"/>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20" w:type="dxa"/>
            <w:vAlign w:val="bottom"/>
            <w:gridSpan w:val="5"/>
          </w:tcPr>
          <w:p>
            <w:pPr>
              <w:ind w:left="560"/>
              <w:spacing w:after="0"/>
              <w:rPr>
                <w:sz w:val="20"/>
                <w:szCs w:val="20"/>
                <w:color w:val="auto"/>
              </w:rPr>
            </w:pPr>
            <w:r>
              <w:rPr>
                <w:rFonts w:ascii="Arial" w:cs="Arial" w:eastAsia="Arial" w:hAnsi="Arial"/>
                <w:sz w:val="14"/>
                <w:szCs w:val="14"/>
                <w:b w:val="1"/>
                <w:bCs w:val="1"/>
                <w:color w:val="auto"/>
              </w:rPr>
              <w:t>(dollars in millions)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4"/>
        </w:trPr>
        <w:tc>
          <w:tcPr>
            <w:tcW w:w="5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65"/>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 written premium</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84"/>
              </w:rPr>
              <w:t>379.6</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306.5</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5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Ceded written premium</w:t>
            </w:r>
          </w:p>
        </w:tc>
        <w:tc>
          <w:tcPr>
            <w:tcW w:w="5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left="234"/>
              <w:spacing w:after="0"/>
              <w:rPr>
                <w:sz w:val="20"/>
                <w:szCs w:val="20"/>
                <w:color w:val="auto"/>
              </w:rPr>
            </w:pPr>
            <w:r>
              <w:rPr>
                <w:rFonts w:ascii="Arial" w:cs="Arial" w:eastAsia="Arial" w:hAnsi="Arial"/>
                <w:sz w:val="18"/>
                <w:szCs w:val="18"/>
                <w:color w:val="auto"/>
                <w:w w:val="91"/>
              </w:rPr>
              <w:t>(199.3)</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9"/>
              </w:rPr>
              <w:t>(85.6)</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132.8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w:t>
            </w: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84"/>
              </w:rPr>
              <w:t>180.3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220.9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5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45"/>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Direct earned premium</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54"/>
              <w:spacing w:after="0"/>
              <w:rPr>
                <w:sz w:val="20"/>
                <w:szCs w:val="20"/>
                <w:color w:val="auto"/>
              </w:rPr>
            </w:pPr>
            <w:r>
              <w:rPr>
                <w:rFonts w:ascii="Arial" w:cs="Arial" w:eastAsia="Arial" w:hAnsi="Arial"/>
                <w:sz w:val="18"/>
                <w:szCs w:val="18"/>
                <w:color w:val="auto"/>
                <w:w w:val="84"/>
              </w:rPr>
              <w:t>340.9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7"/>
              </w:rPr>
              <w:t>295.8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15.2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5000" w:type="dxa"/>
            <w:vAlign w:val="bottom"/>
          </w:tcPr>
          <w:p>
            <w:pPr>
              <w:ind w:left="340"/>
              <w:spacing w:after="0"/>
              <w:rPr>
                <w:sz w:val="20"/>
                <w:szCs w:val="20"/>
                <w:color w:val="auto"/>
              </w:rPr>
            </w:pPr>
            <w:r>
              <w:rPr>
                <w:rFonts w:ascii="Arial" w:cs="Arial" w:eastAsia="Arial" w:hAnsi="Arial"/>
                <w:sz w:val="18"/>
                <w:szCs w:val="18"/>
                <w:color w:val="auto"/>
              </w:rPr>
              <w:t>Ceded earned premium</w:t>
            </w:r>
          </w:p>
        </w:tc>
        <w:tc>
          <w:tcPr>
            <w:tcW w:w="580" w:type="dxa"/>
            <w:vAlign w:val="bottom"/>
          </w:tcPr>
          <w:p>
            <w:pPr>
              <w:spacing w:after="0"/>
              <w:rPr>
                <w:sz w:val="20"/>
                <w:szCs w:val="20"/>
                <w:color w:val="auto"/>
              </w:rPr>
            </w:pPr>
          </w:p>
        </w:tc>
        <w:tc>
          <w:tcPr>
            <w:tcW w:w="880" w:type="dxa"/>
            <w:vAlign w:val="bottom"/>
          </w:tcPr>
          <w:p>
            <w:pPr>
              <w:jc w:val="center"/>
              <w:ind w:left="234"/>
              <w:spacing w:after="0"/>
              <w:rPr>
                <w:sz w:val="20"/>
                <w:szCs w:val="20"/>
                <w:color w:val="auto"/>
              </w:rPr>
            </w:pPr>
            <w:r>
              <w:rPr>
                <w:rFonts w:ascii="Arial" w:cs="Arial" w:eastAsia="Arial" w:hAnsi="Arial"/>
                <w:sz w:val="18"/>
                <w:szCs w:val="18"/>
                <w:color w:val="auto"/>
                <w:w w:val="91"/>
              </w:rPr>
              <w:t>(200.6)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w w:val="89"/>
              </w:rPr>
              <w:t>(62.3)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0"/>
                <w:szCs w:val="20"/>
                <w:color w:val="auto"/>
              </w:rPr>
            </w:pPr>
          </w:p>
        </w:tc>
        <w:tc>
          <w:tcPr>
            <w:tcW w:w="1340" w:type="dxa"/>
            <w:vAlign w:val="bottom"/>
          </w:tcPr>
          <w:p>
            <w:pPr>
              <w:jc w:val="right"/>
              <w:ind w:right="214"/>
              <w:spacing w:after="0"/>
              <w:rPr>
                <w:sz w:val="20"/>
                <w:szCs w:val="20"/>
                <w:color w:val="auto"/>
              </w:rPr>
            </w:pPr>
            <w:r>
              <w:rPr>
                <w:rFonts w:ascii="Arial" w:cs="Arial" w:eastAsia="Arial" w:hAnsi="Arial"/>
                <w:sz w:val="18"/>
                <w:szCs w:val="18"/>
                <w:color w:val="auto"/>
              </w:rPr>
              <w:t>222.0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0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1"/>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earned premium</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84"/>
              </w:rPr>
              <w:t>140.3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233.5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ind w:right="360" w:firstLine="318"/>
        <w:spacing w:after="0" w:line="255" w:lineRule="auto"/>
        <w:rPr>
          <w:sz w:val="20"/>
          <w:szCs w:val="20"/>
          <w:color w:val="auto"/>
        </w:rPr>
      </w:pPr>
      <w:r>
        <w:rPr>
          <w:rFonts w:ascii="Arial" w:cs="Arial" w:eastAsia="Arial" w:hAnsi="Arial"/>
          <w:sz w:val="18"/>
          <w:szCs w:val="18"/>
          <w:color w:val="auto"/>
        </w:rPr>
        <w:t>Direct earned premium growth was primarily due to a 23.8% increase in direct written premium from deeper market penetration across our U.S. state footprint. We also saw a 6.8% increase in Premium per Policy for automobile insurance primarily resulting from pricing increases in several U.S. states between the periods.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Fee and Other Income</w:t>
      </w:r>
    </w:p>
    <w:p>
      <w:pPr>
        <w:spacing w:after="0" w:line="170"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auto"/>
        </w:rPr>
        <w:t>Fee income increased $5.5 million, or 64.0%, to $14.1 million for the six months ended June 30, 2021 compared to the same period ended in 2020. The increase was primarily due to fee revenue from distributing web and app policy inquiry leads in geographies where we do not have a presence to third parties and an increase in customers making payments in installments.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Loss and Loss Adjustment Expenses</w:t>
      </w:r>
    </w:p>
    <w:p>
      <w:pPr>
        <w:spacing w:after="0" w:line="170"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Loss and LAE decreased $57.1 million, or (25.1)%, to $170.1 million for the six months ended June 30, 2021 compared to the same period in 2020. The decrease was primarily due to greater cession of incurred losses as a result of a change in reinsurance structure for the six months ended June 30, 2021 compared to the prior year period, which more than offset the higher claims volume, increased claim severity, and greater reserves related to the growth in policies in force during the first half of 2021.</w:t>
      </w:r>
    </w:p>
    <w:p>
      <w:pPr>
        <w:spacing w:after="0" w:line="138"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Direct accident period loss ratios increased to 83.1% from 73.0% for the six months ended June 30, 2021 and 2020, respectively. The change in the ratios was driven by greater loss costs due to increased severity per claim as a result of higher replacement parts cost and growth in used car values that outpaced expected inflation. Additionally, miles driven exceeded pre-COVID-19 levels resulting in elevated claims frequency. This was partially offset by growth in average premium per policy.</w:t>
      </w:r>
    </w:p>
    <w:p>
      <w:pPr>
        <w:spacing w:after="0" w:line="138"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In addition, loss and LAE for the six months ended June 30, 2021 includes a decrease in incurred losses and LAE attributable to accident periods prior to 2021 of $8.6 million. This decrease relates to lower-than-expected reported losses on bodily injury and uninsured motorist claims bodily injury claims from 2020. In addition, recoveries from subrogation and salvage were higher than expected.</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Marketing</w:t>
      </w:r>
    </w:p>
    <w:p>
      <w:pPr>
        <w:spacing w:after="0" w:line="170"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Sales and marketing expense increased $126.9 million, or 238.5%, to $180.1 million for the six months ended June 30, 2021 compared to the same period in 2020. The increase was primarily due to increased investment in performance marketing of $90.2 million and branding and advertising of $31.0 million as we responded to unexpected changes in consumer behavior and increased customer acquisition and advertising campaigns in digital channels on the part of our competitors. We have focused our marketing investments to drive growth and deeper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market penetration in the states in which we operate. During the six months ended June 30, 2020, there was a slowdown in digital marketing spend due to the uncertainty surrounding the COVID-19 pandemic.</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Insurance Expense</w:t>
      </w:r>
    </w:p>
    <w:p>
      <w:pPr>
        <w:spacing w:after="0" w:line="170"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Other insurance expense decreased $25.7 million, or (96.6)%, to $0.9 million for the six months ended June 30, 2021 compared to the same period in 2020. The decrease was primarily driven by greater ceding commission contra-expense due to reinsurance structure changes of $32.7 million. This was partially offset by greater underwriting costs of $5.3 million due to growth in the core insurance business and $2.2 million in personnel costs as a result of an increase in headcount for the six months ended June 30, 2021 compared to the six months ended June 30, 2020.</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Technology and Development</w:t>
      </w:r>
    </w:p>
    <w:p>
      <w:pPr>
        <w:spacing w:after="0" w:line="170"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Technology and development expense increased $4.0 million, or 14.7%, to $31.3 million for the six months ended June 30, 2021 compared to the same period in 2020. The increase was primarily driven by incremental investments in personnel and overhead resulting from growth of engineering and product teams of $5.2 million for the six months ended June 30, 2021 compared to the same period in 2020. In addition, we incurred a $2.1 million increase in software development expense, as we continue to invest in developing and improving our technology platforms and infrastructure. This was partially offset by lower share-based compensation expense of $3.5 million for the six months ended June 30, 2021 compared to the same period in 2020 primarily related to the secondary tender offer completed during the first quarter of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0"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The non-GAAP financial measures below have not been calculated in accordance with generally accepted accounting principles in the United States, or GAAP, and should be considered in addition to results prepared in accordance with GAAP and should not be considered as a substitute for, or superior to, GAAP results. In addition, adjusted gross profit/(loss) and direct contribution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pacing w:after="0" w:line="99"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(5) analyze and evaluate financial and strategic planning decisions regarding future operating investments; and (6) plan for and prepare future annual operating budgets and determine appropriate levels of operating investments.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Adjusted Gross Profit/(Loss)</w:t>
      </w:r>
    </w:p>
    <w:p>
      <w:pPr>
        <w:spacing w:after="0" w:line="170" w:lineRule="exact"/>
        <w:rPr>
          <w:sz w:val="20"/>
          <w:szCs w:val="20"/>
          <w:color w:val="auto"/>
        </w:rPr>
      </w:pPr>
    </w:p>
    <w:p>
      <w:pPr>
        <w:ind w:right="560" w:firstLine="318"/>
        <w:spacing w:after="0" w:line="264" w:lineRule="auto"/>
        <w:rPr>
          <w:sz w:val="20"/>
          <w:szCs w:val="20"/>
          <w:color w:val="auto"/>
        </w:rPr>
      </w:pPr>
      <w:r>
        <w:rPr>
          <w:rFonts w:ascii="Arial" w:cs="Arial" w:eastAsia="Arial" w:hAnsi="Arial"/>
          <w:sz w:val="18"/>
          <w:szCs w:val="18"/>
          <w:color w:val="auto"/>
        </w:rPr>
        <w:t>For the definition of adjusted gross profit/(loss) and why management believes this measure provides useful information to investors, see “— Key Performance Indicators.”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Direct Contribution</w:t>
      </w:r>
    </w:p>
    <w:p>
      <w:pPr>
        <w:spacing w:after="0" w:line="170"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For the definition of direct contribution and why management believes this measure provides useful information to investors, see “— Key Performance Indicators.”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1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provides a reconciliation of total revenue to adjusted gross profit/(loss) and direct contribution for the three and six months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4"/>
        </w:trPr>
        <w:tc>
          <w:tcPr>
            <w:tcW w:w="44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4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(dollars 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8"/>
              </w:rPr>
              <w:t>121.4</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245.4</w:t>
            </w:r>
          </w:p>
        </w:tc>
      </w:tr>
      <w:tr>
        <w:trPr>
          <w:trHeight w:val="264"/>
        </w:trPr>
        <w:tc>
          <w:tcPr>
            <w:tcW w:w="4440" w:type="dxa"/>
            <w:vAlign w:val="bottom"/>
          </w:tcPr>
          <w:p>
            <w:pPr>
              <w:ind w:left="20"/>
              <w:spacing w:after="0"/>
              <w:rPr>
                <w:sz w:val="20"/>
                <w:szCs w:val="20"/>
                <w:color w:val="auto"/>
              </w:rPr>
            </w:pPr>
            <w:r>
              <w:rPr>
                <w:rFonts w:ascii="Arial" w:cs="Arial" w:eastAsia="Arial" w:hAnsi="Arial"/>
                <w:sz w:val="18"/>
                <w:szCs w:val="18"/>
                <w:color w:val="auto"/>
              </w:rPr>
              <w:t>Loss and loss adjustment expenses</w:t>
            </w:r>
          </w:p>
        </w:tc>
        <w:tc>
          <w:tcPr>
            <w:tcW w:w="400" w:type="dxa"/>
            <w:vAlign w:val="bottom"/>
          </w:tcPr>
          <w:p>
            <w:pPr>
              <w:spacing w:after="0"/>
              <w:rPr>
                <w:sz w:val="23"/>
                <w:szCs w:val="23"/>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(110.2)</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w w:val="93"/>
              </w:rPr>
              <w:t>(97.3)</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(227.2)</w:t>
            </w: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insurance benefit (expense)</w:t>
            </w: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3"/>
              </w:rPr>
              <w:t>(15.3)</w:t>
            </w:r>
          </w:p>
        </w:tc>
        <w:tc>
          <w:tcPr>
            <w:tcW w:w="8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(26.6)</w:t>
            </w:r>
          </w:p>
        </w:tc>
      </w:tr>
      <w:tr>
        <w:trPr>
          <w:trHeight w:val="231"/>
        </w:trPr>
        <w:tc>
          <w:tcPr>
            <w:tcW w:w="444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400" w:type="dxa"/>
            <w:vAlign w:val="bottom"/>
          </w:tcPr>
          <w:p>
            <w:pPr>
              <w:spacing w:after="0"/>
              <w:rPr>
                <w:sz w:val="20"/>
                <w:szCs w:val="20"/>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(8.4)</w:t>
            </w:r>
          </w:p>
        </w:tc>
      </w:tr>
      <w:tr>
        <w:trPr>
          <w:trHeight w:val="28"/>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8"/>
        </w:trPr>
        <w:tc>
          <w:tcPr>
            <w:tcW w:w="4440" w:type="dxa"/>
            <w:vAlign w:val="bottom"/>
          </w:tcPr>
          <w:p>
            <w:pPr>
              <w:ind w:left="20"/>
              <w:spacing w:after="0"/>
              <w:rPr>
                <w:sz w:val="20"/>
                <w:szCs w:val="20"/>
                <w:color w:val="auto"/>
              </w:rPr>
            </w:pPr>
            <w:r>
              <w:rPr>
                <w:rFonts w:ascii="Arial" w:cs="Arial" w:eastAsia="Arial" w:hAnsi="Arial"/>
                <w:sz w:val="18"/>
                <w:szCs w:val="18"/>
                <w:color w:val="auto"/>
              </w:rPr>
              <w:t>Less: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w:t>
            </w:r>
          </w:p>
        </w:tc>
      </w:tr>
      <w:tr>
        <w:trPr>
          <w:trHeight w:val="264"/>
        </w:trPr>
        <w:tc>
          <w:tcPr>
            <w:tcW w:w="4440" w:type="dxa"/>
            <w:vAlign w:val="bottom"/>
          </w:tcPr>
          <w:p>
            <w:pPr>
              <w:ind w:left="20"/>
              <w:spacing w:after="0"/>
              <w:rPr>
                <w:sz w:val="20"/>
                <w:szCs w:val="20"/>
                <w:color w:val="auto"/>
              </w:rPr>
            </w:pPr>
            <w:r>
              <w:rPr>
                <w:rFonts w:ascii="Arial" w:cs="Arial" w:eastAsia="Arial" w:hAnsi="Arial"/>
                <w:sz w:val="18"/>
                <w:szCs w:val="18"/>
                <w:color w:val="auto"/>
              </w:rPr>
              <w:t>Net realized gains on investments</w:t>
            </w:r>
          </w:p>
        </w:tc>
        <w:tc>
          <w:tcPr>
            <w:tcW w:w="400" w:type="dxa"/>
            <w:vAlign w:val="bottom"/>
          </w:tcPr>
          <w:p>
            <w:pPr>
              <w:spacing w:after="0"/>
              <w:rPr>
                <w:sz w:val="23"/>
                <w:szCs w:val="2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3"/>
                <w:szCs w:val="23"/>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(0.1)</w:t>
            </w:r>
          </w:p>
        </w:tc>
      </w:tr>
      <w:tr>
        <w:trPr>
          <w:trHeight w:val="26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from other insurance expense</w:t>
            </w:r>
            <w:r>
              <w:rPr>
                <w:rFonts w:ascii="Arial" w:cs="Arial" w:eastAsia="Arial" w:hAnsi="Arial"/>
                <w:sz w:val="22"/>
                <w:szCs w:val="22"/>
                <w:color w:val="auto"/>
                <w:vertAlign w:val="superscript"/>
              </w:rPr>
              <w:t>(1)</w:t>
            </w: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19.1</w:t>
            </w:r>
          </w:p>
        </w:tc>
      </w:tr>
      <w:tr>
        <w:trPr>
          <w:trHeight w:val="231"/>
        </w:trPr>
        <w:tc>
          <w:tcPr>
            <w:tcW w:w="4440" w:type="dxa"/>
            <w:vAlign w:val="bottom"/>
          </w:tcPr>
          <w:p>
            <w:pPr>
              <w:ind w:left="20"/>
              <w:spacing w:after="0"/>
              <w:rPr>
                <w:sz w:val="20"/>
                <w:szCs w:val="20"/>
                <w:color w:val="auto"/>
              </w:rPr>
            </w:pPr>
            <w:r>
              <w:rPr>
                <w:rFonts w:ascii="Arial" w:cs="Arial" w:eastAsia="Arial" w:hAnsi="Arial"/>
                <w:sz w:val="18"/>
                <w:szCs w:val="18"/>
                <w:color w:val="auto"/>
              </w:rPr>
              <w:t>Adjusted gross profit/(loss)</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1000" w:type="dxa"/>
            <w:vAlign w:val="bottom"/>
          </w:tcPr>
          <w:p>
            <w:pPr>
              <w:jc w:val="right"/>
              <w:ind w:right="795"/>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0"/>
                <w:szCs w:val="20"/>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7.4</w:t>
            </w:r>
          </w:p>
        </w:tc>
      </w:tr>
      <w:tr>
        <w:trPr>
          <w:trHeight w:val="28"/>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earned premium</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99.5</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36.2</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62.3</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Ceded loss and LAE</w:t>
            </w:r>
          </w:p>
        </w:tc>
        <w:tc>
          <w:tcPr>
            <w:tcW w:w="400" w:type="dxa"/>
            <w:vAlign w:val="bottom"/>
          </w:tcPr>
          <w:p>
            <w:pPr>
              <w:spacing w:after="0"/>
              <w:rPr>
                <w:sz w:val="20"/>
                <w:szCs w:val="20"/>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w w:val="93"/>
              </w:rPr>
              <w:t>(22.7)</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(41.8)</w:t>
            </w:r>
          </w:p>
        </w:tc>
      </w:tr>
      <w:tr>
        <w:trPr>
          <w:trHeight w:val="28"/>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ceding commission and other</w:t>
            </w:r>
            <w:r>
              <w:rPr>
                <w:rFonts w:ascii="Arial" w:cs="Arial" w:eastAsia="Arial" w:hAnsi="Arial"/>
                <w:sz w:val="22"/>
                <w:szCs w:val="22"/>
                <w:color w:val="auto"/>
                <w:vertAlign w:val="superscript"/>
              </w:rPr>
              <w:t>(2)</w:t>
            </w: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(16.9)</w:t>
            </w:r>
          </w:p>
        </w:tc>
      </w:tr>
      <w:tr>
        <w:trPr>
          <w:trHeight w:val="231"/>
        </w:trPr>
        <w:tc>
          <w:tcPr>
            <w:tcW w:w="4440" w:type="dxa"/>
            <w:vAlign w:val="bottom"/>
          </w:tcPr>
          <w:p>
            <w:pPr>
              <w:ind w:left="20"/>
              <w:spacing w:after="0"/>
              <w:rPr>
                <w:sz w:val="20"/>
                <w:szCs w:val="20"/>
                <w:color w:val="auto"/>
              </w:rPr>
            </w:pPr>
            <w:r>
              <w:rPr>
                <w:rFonts w:ascii="Arial" w:cs="Arial" w:eastAsia="Arial" w:hAnsi="Arial"/>
                <w:sz w:val="18"/>
                <w:szCs w:val="18"/>
                <w:color w:val="auto"/>
              </w:rPr>
              <w:t>Direct contribution</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1000" w:type="dxa"/>
            <w:vAlign w:val="bottom"/>
          </w:tcPr>
          <w:p>
            <w:pPr>
              <w:jc w:val="right"/>
              <w:ind w:right="795"/>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20"/>
                <w:szCs w:val="20"/>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11.0</w:t>
            </w:r>
          </w:p>
        </w:tc>
      </w:tr>
      <w:tr>
        <w:trPr>
          <w:trHeight w:val="28"/>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earned premium</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180.7</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8"/>
              </w:rPr>
              <w:t>151.9</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295.8</w:t>
            </w:r>
          </w:p>
        </w:tc>
      </w:tr>
      <w:tr>
        <w:trPr>
          <w:trHeight w:val="258"/>
        </w:trPr>
        <w:tc>
          <w:tcPr>
            <w:tcW w:w="4440" w:type="dxa"/>
            <w:vAlign w:val="bottom"/>
          </w:tcPr>
          <w:p>
            <w:pPr>
              <w:ind w:left="20"/>
              <w:spacing w:after="0"/>
              <w:rPr>
                <w:sz w:val="20"/>
                <w:szCs w:val="20"/>
                <w:color w:val="auto"/>
              </w:rPr>
            </w:pPr>
            <w:r>
              <w:rPr>
                <w:rFonts w:ascii="Arial" w:cs="Arial" w:eastAsia="Arial" w:hAnsi="Arial"/>
                <w:sz w:val="18"/>
                <w:szCs w:val="18"/>
                <w:color w:val="auto"/>
              </w:rPr>
              <w:t>Ratio of adjusted gross profit/(loss) to total revenue</w:t>
            </w: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13.3 %</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72"/>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Ratio of adjusted gross profit/(loss) to direct earned premium</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58"/>
        </w:trPr>
        <w:tc>
          <w:tcPr>
            <w:tcW w:w="4440" w:type="dxa"/>
            <w:vAlign w:val="bottom"/>
          </w:tcPr>
          <w:p>
            <w:pPr>
              <w:ind w:left="20"/>
              <w:spacing w:after="0"/>
              <w:rPr>
                <w:sz w:val="20"/>
                <w:szCs w:val="20"/>
                <w:color w:val="auto"/>
              </w:rPr>
            </w:pPr>
            <w:r>
              <w:rPr>
                <w:rFonts w:ascii="Arial" w:cs="Arial" w:eastAsia="Arial" w:hAnsi="Arial"/>
                <w:sz w:val="18"/>
                <w:szCs w:val="18"/>
                <w:color w:val="auto"/>
              </w:rPr>
              <w:t>Ratio of direct contribution to total revenue</w:t>
            </w: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18.1 %</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72"/>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direct earned premium</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304"/>
        </w:trPr>
        <w:tc>
          <w:tcPr>
            <w:tcW w:w="4440" w:type="dxa"/>
            <w:vAlign w:val="bottom"/>
          </w:tcPr>
          <w:p>
            <w:pPr>
              <w:spacing w:after="0"/>
              <w:rPr>
                <w:sz w:val="20"/>
                <w:szCs w:val="20"/>
                <w:color w:val="auto"/>
              </w:rPr>
            </w:pPr>
            <w:r>
              <w:rPr>
                <w:rFonts w:ascii="Arial" w:cs="Arial" w:eastAsia="Arial" w:hAnsi="Arial"/>
                <w:sz w:val="18"/>
                <w:szCs w:val="18"/>
                <w:color w:val="auto"/>
              </w:rPr>
              <w:t>______________</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ind w:left="200" w:hanging="194"/>
        <w:spacing w:after="0"/>
        <w:tabs>
          <w:tab w:leader="none" w:pos="2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Adjustments from other insurance expense includes report costs, personnel costs, allocated overhead, licenses, professional fees and other</w:t>
      </w:r>
      <w:r>
        <w:rPr>
          <w:rFonts w:ascii="Arial" w:cs="Arial" w:eastAsia="Arial" w:hAnsi="Arial"/>
          <w:sz w:val="17"/>
          <w:szCs w:val="17"/>
          <w:color w:val="auto"/>
        </w:rPr>
        <w:t>.</w:t>
      </w:r>
    </w:p>
    <w:p>
      <w:pPr>
        <w:spacing w:after="0" w:line="157" w:lineRule="exact"/>
        <w:rPr>
          <w:rFonts w:ascii="Arial" w:cs="Arial" w:eastAsia="Arial" w:hAnsi="Arial"/>
          <w:sz w:val="14"/>
          <w:szCs w:val="14"/>
          <w:color w:val="auto"/>
        </w:rPr>
      </w:pPr>
    </w:p>
    <w:p>
      <w:pPr>
        <w:ind w:left="320" w:right="20" w:hanging="314"/>
        <w:spacing w:after="0" w:line="265" w:lineRule="auto"/>
        <w:tabs>
          <w:tab w:leader="none" w:pos="202"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ceding commission and other is comprised of ceding commissions received in connection with reinsurance ceded, partially offset by sliding scale commission adjustments and amortization of excess ceding commission, and other impacts of reinsurance.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 insurance products appropriately. We are continuously evaluating alternatives for efficiently funding our ongoing operations. We expect, from time to time, to engage in a variety of financing transactions for such purposes, including the issuance of securities. In addition, we expect to meet our current debt obligations as they come due, including the $99.0 million of Term Loan A maturing in October of 2021, through refinancing, internally generated funds from operations or cash currently available. As of June 30, 2021, we had $973.1 million in cash and cash equivalents, of which $825.1 million was held outside of regulated insurance entities. As of June 30, 2021, $134.7 million was held in marketable securities. As of June 30, 2021 we had $100.0 million available under our revolving loan, of which there were no borrowings or letters of credit outstanding.</w:t>
      </w:r>
    </w:p>
    <w:p>
      <w:pPr>
        <w:spacing w:after="0" w:line="101" w:lineRule="exact"/>
        <w:rPr>
          <w:sz w:val="20"/>
          <w:szCs w:val="20"/>
          <w:color w:val="auto"/>
        </w:rPr>
      </w:pPr>
    </w:p>
    <w:p>
      <w:pPr>
        <w:jc w:val="both"/>
        <w:ind w:right="220" w:firstLine="318"/>
        <w:spacing w:after="0" w:line="255" w:lineRule="auto"/>
        <w:rPr>
          <w:sz w:val="20"/>
          <w:szCs w:val="20"/>
          <w:color w:val="auto"/>
        </w:rPr>
      </w:pPr>
      <w:r>
        <w:rPr>
          <w:rFonts w:ascii="Arial" w:cs="Arial" w:eastAsia="Arial" w:hAnsi="Arial"/>
          <w:sz w:val="18"/>
          <w:szCs w:val="18"/>
          <w:color w:val="auto"/>
        </w:rPr>
        <w:t>Our cash and cash equivalents primarily consist of bank deposits and money market funds. Our marketable securities consist of U.S. treasury securities and agencies, municipal securities, corporate debt securities, residential and commercial mortgage-backed securities, and other debt obligations. We believe that our existing cash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1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equivalents, marketable securities, borrowings under our revolving loan and cash flow from operations will be sufficient to support working capital and capital expenditure requirements for at least the next 12 months.</w:t>
      </w:r>
    </w:p>
    <w:p>
      <w:pPr>
        <w:spacing w:after="0" w:line="128" w:lineRule="exact"/>
        <w:rPr>
          <w:sz w:val="20"/>
          <w:szCs w:val="20"/>
          <w:color w:val="auto"/>
        </w:rPr>
      </w:pPr>
    </w:p>
    <w:p>
      <w:pPr>
        <w:ind w:right="260" w:firstLine="318"/>
        <w:spacing w:after="0" w:line="250" w:lineRule="auto"/>
        <w:rPr>
          <w:sz w:val="20"/>
          <w:szCs w:val="20"/>
          <w:color w:val="auto"/>
        </w:rPr>
      </w:pPr>
      <w:r>
        <w:rPr>
          <w:rFonts w:ascii="Arial" w:cs="Arial" w:eastAsia="Arial" w:hAnsi="Arial"/>
          <w:sz w:val="18"/>
          <w:szCs w:val="18"/>
          <w:color w:val="auto"/>
        </w:rPr>
        <w:t>We are organized as a holding company, but our primary operations are conducted by two of our wholly-owned insurance subsidiaries, Root Insurance Company, an Ohio-domiciled insurance company, and Root Property &amp; Casualty Company, a Delaware-domiciled insurance company. The payment of dividends by our insurance subsidiaries is subject to restrictions set forth in the insurance laws and regulations of the States of Ohio and Delaware. To date, our insurance subsidiaries have not paid any dividends and, as of June 30, 2021, they were not permitted to pay any dividends without approval of the applicable superintendent, commissioner and/or director.</w:t>
      </w:r>
    </w:p>
    <w:p>
      <w:pPr>
        <w:spacing w:after="0" w:line="141"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As our insurance subsidiaries’ businesses grow,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June 30, 2021, our insurance subsidiaries maintained a risk-based capital level that is in excess of an amount that would require any corrective actions on our part.</w:t>
      </w:r>
    </w:p>
    <w:p>
      <w:pPr>
        <w:spacing w:after="0" w:line="138"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Our wholly-owned, Cayman Islands-based reinsurance subsidiary, Root Reinsurance Company, Ltd., or Root Re, maintains a Class B(iii) insurer license under Cayman Islands Monetary Authority. At June 30, 2021, Root Re was subject to compliance with certain capital levels and a net earned premium to capital ratio of 8:1, which we maintained.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 data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Six Months Ended June 30,</w:t>
            </w:r>
          </w:p>
        </w:tc>
        <w:tc>
          <w:tcPr>
            <w:tcW w:w="900" w:type="dxa"/>
            <w:vAlign w:val="bottom"/>
            <w:tcBorders>
              <w:bottom w:val="single" w:sz="8" w:color="auto"/>
            </w:tcBorders>
          </w:tcPr>
          <w:p>
            <w:pPr>
              <w:spacing w:after="0"/>
              <w:rPr>
                <w:sz w:val="16"/>
                <w:szCs w:val="16"/>
                <w:color w:val="auto"/>
              </w:rPr>
            </w:pPr>
          </w:p>
        </w:tc>
      </w:tr>
      <w:tr>
        <w:trPr>
          <w:trHeight w:val="186"/>
        </w:trPr>
        <w:tc>
          <w:tcPr>
            <w:tcW w:w="7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jc w:val="right"/>
              <w:ind w:right="536"/>
              <w:spacing w:after="0"/>
              <w:rPr>
                <w:sz w:val="20"/>
                <w:szCs w:val="20"/>
                <w:color w:val="auto"/>
              </w:rPr>
            </w:pPr>
            <w:r>
              <w:rPr>
                <w:rFonts w:ascii="Arial" w:cs="Arial" w:eastAsia="Arial" w:hAnsi="Arial"/>
                <w:sz w:val="14"/>
                <w:szCs w:val="14"/>
                <w:b w:val="1"/>
                <w:bCs w:val="1"/>
                <w:color w:val="auto"/>
                <w:w w:val="83"/>
              </w:rPr>
              <w:t>2020</w:t>
            </w:r>
          </w:p>
        </w:tc>
      </w:tr>
      <w:tr>
        <w:trPr>
          <w:trHeight w:val="24"/>
        </w:trPr>
        <w:tc>
          <w:tcPr>
            <w:tcW w:w="74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7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900" w:type="dxa"/>
            <w:vAlign w:val="bottom"/>
          </w:tcPr>
          <w:p>
            <w:pPr>
              <w:spacing w:after="0"/>
              <w:rPr>
                <w:sz w:val="15"/>
                <w:szCs w:val="15"/>
                <w:color w:val="auto"/>
              </w:rPr>
            </w:pPr>
          </w:p>
        </w:tc>
      </w:tr>
      <w:tr>
        <w:trPr>
          <w:trHeight w:val="24"/>
        </w:trPr>
        <w:tc>
          <w:tcPr>
            <w:tcW w:w="7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(226.5)</w:t>
            </w:r>
          </w:p>
        </w:tc>
        <w:tc>
          <w:tcPr>
            <w:tcW w:w="8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45"/>
        </w:trPr>
        <w:tc>
          <w:tcPr>
            <w:tcW w:w="7460" w:type="dxa"/>
            <w:vAlign w:val="bottom"/>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1220" w:type="dxa"/>
            <w:vAlign w:val="bottom"/>
          </w:tcPr>
          <w:p>
            <w:pPr>
              <w:spacing w:after="0"/>
              <w:rPr>
                <w:sz w:val="21"/>
                <w:szCs w:val="21"/>
                <w:color w:val="auto"/>
              </w:rPr>
            </w:pPr>
          </w:p>
        </w:tc>
        <w:tc>
          <w:tcPr>
            <w:tcW w:w="820" w:type="dxa"/>
            <w:vAlign w:val="bottom"/>
          </w:tcPr>
          <w:p>
            <w:pPr>
              <w:jc w:val="right"/>
              <w:ind w:right="179"/>
              <w:spacing w:after="0"/>
              <w:rPr>
                <w:sz w:val="20"/>
                <w:szCs w:val="20"/>
                <w:color w:val="auto"/>
              </w:rPr>
            </w:pPr>
            <w:r>
              <w:rPr>
                <w:rFonts w:ascii="Arial" w:cs="Arial" w:eastAsia="Arial" w:hAnsi="Arial"/>
                <w:sz w:val="18"/>
                <w:szCs w:val="18"/>
                <w:color w:val="auto"/>
              </w:rPr>
              <w:t>82.6</w:t>
            </w:r>
          </w:p>
        </w:tc>
        <w:tc>
          <w:tcPr>
            <w:tcW w:w="8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(99.3)</w:t>
            </w:r>
          </w:p>
        </w:tc>
      </w:tr>
      <w:tr>
        <w:trPr>
          <w:trHeight w:val="25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4.2</w:t>
            </w:r>
          </w:p>
        </w:tc>
        <w:tc>
          <w:tcPr>
            <w:tcW w:w="8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bl>
    <w:p>
      <w:pPr>
        <w:spacing w:after="0" w:line="239"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Net cash used in operating activities for the six months ended June 30, 2021 was $226.5 million compared to $62.4 million of net cash used in operating activities for the six months ended June 30, 2020. The increase was primarily due to the volume and timing of premium receipts, claims payments, reinsurance activity and accruals of accounts payable and expenses as well as the non-cash impact of the tender offer effected during the first quarter of 2020.</w:t>
      </w:r>
    </w:p>
    <w:p>
      <w:pPr>
        <w:spacing w:after="0" w:line="8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Net cash provided by investing activities for the six months ended June 30, 2021 was $82.6 million, primarily due to proceeds from sales, maturities, calls and pay downs of investments. Net cash used in investing activities for the six months ended June 30, 2020 was $99.3 million primarily due to purchases of corporate debt securities, commercial mortgage-backed securities, residential mortgage-backed securities and other debt obligations, partially offset by sales, maturities, calls and pay downs of investments.</w:t>
      </w:r>
    </w:p>
    <w:p>
      <w:pPr>
        <w:spacing w:after="0" w:line="138"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Net cash provided by financing activities for the six months ended June 30, 2021 was $4.2 million, primarily due to proceeds from employees exercising stock options, net of tax proceeds (withholding), which was offset by a partial repayment of long term debt. Net cash used in financing activities for the six months ended June 30, 2020 was $13.0 million primarily due to the repayment of long-term debt.</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Contractual Obligations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material changes to our contractual obligations from those described in our 2020 10-K.</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liquidity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reserves for loss and loss adjustment expense, premium write-offs and valuation allowance on our deferred tax assets.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spacing w:after="0" w:line="104"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and Estimates” in our 2020 10-K and the Notes to the Condensed Consolidated Financial Statements - Unaudited appearing elsewhere in this Quarterly Report on Form 10-Q. During the six months ended June 30, 2021, there were no material changes to our critical accounting policies from those discussed in our 2020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0" w:lineRule="exact"/>
        <w:rPr>
          <w:sz w:val="20"/>
          <w:szCs w:val="20"/>
          <w:color w:val="auto"/>
        </w:rPr>
      </w:pPr>
    </w:p>
    <w:p>
      <w:pPr>
        <w:jc w:val="both"/>
        <w:ind w:right="240" w:firstLine="318"/>
        <w:spacing w:after="0" w:line="255" w:lineRule="auto"/>
        <w:rPr>
          <w:sz w:val="20"/>
          <w:szCs w:val="20"/>
          <w:color w:val="auto"/>
        </w:rPr>
      </w:pPr>
      <w:r>
        <w:rPr>
          <w:rFonts w:ascii="Arial" w:cs="Arial" w:eastAsia="Arial" w:hAnsi="Arial"/>
          <w:sz w:val="18"/>
          <w:szCs w:val="18"/>
          <w:color w:val="auto"/>
        </w:rPr>
        <w:t>See Note 2, Basis of Presentation and Summary of Significant Accounting Policies, in the Notes to the Condensed Consolidated Financial Statements - Unaudited included in this Quarterly Report on Form 10-Q for a discussion of accounting pronouncements recently adopted and recently issued accounting pronouncements not yet adopted and their potential impact to our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Under the Jumpstart Our Business Startups Act of 2012</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currently qualify as an “emerging growth company” under the Jumpstart Our Business Startups Act. Accordingly, we are provided the option to adopt new or revised accounting guidance either (1) within the same periods as those otherwise applicable to non-emerging growth companies or (2) within the same time periods as private companies.</w:t>
      </w:r>
    </w:p>
    <w:p>
      <w:pPr>
        <w:spacing w:after="0" w:line="135"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have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 As of June 30, 2021, the market value of our common stock held by non-affiliates exceeded $700 million. We will be deemed a “large accelerated filer” under the Securities Exchange Act of 1934, as amended, or Exchange Act, and will no longer qualify as an emerging growth company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have been no material changes in the quantitative and qualitative market risk disclosures included in the 2020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1" w:name="page42"/>
    <w:bookmarkEnd w:id="4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at the reasonable assurance level as of June 30, 2021.</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0"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2021 that materially affected, or are reasonably likely to materially affect, our internal control over financial reporting.</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70"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Except as disclosed below, we do not believe that we are party to any current or pending legal action that could reasonably be expected to have a material adverse effect on our financial condition or results of operations and cash flow.</w:t>
      </w:r>
    </w:p>
    <w:p>
      <w:pPr>
        <w:spacing w:after="0" w:line="135"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On March 19, 2021, a purported class action complaint was filed against the Company and certain of its current officers and directors in the U.S. District Court for the Southern District of Ohio (Case No. 2:21-cv-01197) on behalf of certain Root shareholders. The complaint alleges that defendants made false or misleading statements and omissions of purportedly material fact, in violation of Sections 10(b) and 20(a) of the Securities Exchange Act of 1934 and Rule 10b-5 thereunder, and of Sections 11 and 15 of the Securities Act of 1933, in connection with and following the Company’s initial public offering. The complaint seeks unspecified damages. The Company believes that the claims in this lawsuit are without merit and intends to defend against them vigorously. The lawsuit is in the early stages and, at this time, we are unable to predict the outcome and we cannot estimate the likelihood or magnitude of our possible or potential loss contingency.</w:t>
      </w:r>
    </w:p>
    <w:p>
      <w:pPr>
        <w:spacing w:after="0" w:line="146" w:lineRule="exact"/>
        <w:rPr>
          <w:sz w:val="20"/>
          <w:szCs w:val="20"/>
          <w:color w:val="auto"/>
        </w:rPr>
      </w:pPr>
    </w:p>
    <w:p>
      <w:pPr>
        <w:ind w:right="80" w:firstLine="318"/>
        <w:spacing w:after="0" w:line="277" w:lineRule="auto"/>
        <w:rPr>
          <w:sz w:val="20"/>
          <w:szCs w:val="20"/>
          <w:color w:val="auto"/>
        </w:rPr>
      </w:pPr>
      <w:r>
        <w:rPr>
          <w:rFonts w:ascii="Arial" w:cs="Arial" w:eastAsia="Arial" w:hAnsi="Arial"/>
          <w:sz w:val="17"/>
          <w:szCs w:val="17"/>
          <w:color w:val="auto"/>
        </w:rPr>
        <w:t>On March 25, 2021, a purported class action complaint was filed against the Company, certain of its current officers and directors, Goldman Sachs &amp; Co. LLC, Morgan Stanley &amp; Co. LLC, Barclays Capital Inc. and Wells Fargo Securities, LLC, in the U.S. District Court for the Southern District of Ohio (Case No. 2:21-cv-01301) on behalf of certain Root shareholders. This matter was voluntarily dismissed on May 12,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There have been no material changes in our risk factors from those disclosed in the 2020 10-K. In addition to the other information set forth in this Quarterly Report on Form 10-Q, you should carefully consider the risk factors discussed in Part I, Item IA, “Risk Factors” in the 2020 Annual Report on Form 10-K. You should not interpret the disclosure of any risk factor to imply the risk has not already materialized.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Total number of shares</w:t>
            </w: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90"/>
              </w:rPr>
              <w:t>Total number of shares</w:t>
            </w:r>
          </w:p>
        </w:tc>
        <w:tc>
          <w:tcPr>
            <w:tcW w:w="2180" w:type="dxa"/>
            <w:vAlign w:val="bottom"/>
          </w:tcPr>
          <w:p>
            <w:pPr>
              <w:ind w:left="400"/>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33"/>
        </w:trPr>
        <w:tc>
          <w:tcPr>
            <w:tcW w:w="2160" w:type="dxa"/>
            <w:vAlign w:val="bottom"/>
            <w:vMerge w:val="restart"/>
          </w:tcPr>
          <w:p>
            <w:pPr>
              <w:jc w:val="right"/>
              <w:ind w:right="636"/>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2260" w:type="dxa"/>
            <w:vAlign w:val="bottom"/>
            <w:gridSpan w:val="2"/>
            <w:vMerge w:val="continue"/>
          </w:tcPr>
          <w:p>
            <w:pPr>
              <w:spacing w:after="0"/>
              <w:rPr>
                <w:sz w:val="11"/>
                <w:szCs w:val="11"/>
                <w:color w:val="auto"/>
              </w:rPr>
            </w:pPr>
          </w:p>
        </w:tc>
        <w:tc>
          <w:tcPr>
            <w:tcW w:w="218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2"/>
              </w:rPr>
              <w:t>Average price paid per share</w:t>
            </w:r>
          </w:p>
        </w:tc>
        <w:tc>
          <w:tcPr>
            <w:tcW w:w="80" w:type="dxa"/>
            <w:vAlign w:val="bottom"/>
            <w:vMerge w:val="restart"/>
          </w:tcPr>
          <w:p>
            <w:pPr>
              <w:spacing w:after="0"/>
              <w:rPr>
                <w:sz w:val="11"/>
                <w:szCs w:val="11"/>
                <w:color w:val="auto"/>
              </w:rPr>
            </w:pPr>
          </w:p>
        </w:tc>
        <w:tc>
          <w:tcPr>
            <w:tcW w:w="228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purchased as part of publicly</w:t>
            </w:r>
          </w:p>
        </w:tc>
        <w:tc>
          <w:tcPr>
            <w:tcW w:w="2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that may yet be purchased under</w:t>
            </w:r>
          </w:p>
        </w:tc>
        <w:tc>
          <w:tcPr>
            <w:tcW w:w="0" w:type="dxa"/>
            <w:vAlign w:val="bottom"/>
          </w:tcPr>
          <w:p>
            <w:pPr>
              <w:spacing w:after="0"/>
              <w:rPr>
                <w:sz w:val="1"/>
                <w:szCs w:val="1"/>
                <w:color w:val="auto"/>
              </w:rPr>
            </w:pPr>
          </w:p>
        </w:tc>
      </w:tr>
      <w:tr>
        <w:trPr>
          <w:trHeight w:val="185"/>
        </w:trPr>
        <w:tc>
          <w:tcPr>
            <w:tcW w:w="2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purchased</w:t>
            </w:r>
          </w:p>
        </w:tc>
        <w:tc>
          <w:tcPr>
            <w:tcW w:w="8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announced plans or programs</w:t>
            </w:r>
          </w:p>
        </w:tc>
        <w:tc>
          <w:tcPr>
            <w:tcW w:w="1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plans or programs</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4/1/2021 - 4/30/2021</w:t>
            </w: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left="159"/>
              <w:spacing w:after="0"/>
              <w:rPr>
                <w:sz w:val="20"/>
                <w:szCs w:val="20"/>
                <w:color w:val="auto"/>
              </w:rPr>
            </w:pPr>
            <w:r>
              <w:rPr>
                <w:rFonts w:ascii="Arial" w:cs="Arial" w:eastAsia="Arial" w:hAnsi="Arial"/>
                <w:sz w:val="18"/>
                <w:szCs w:val="18"/>
                <w:color w:val="auto"/>
                <w:w w:val="99"/>
              </w:rPr>
              <w:t>—</w:t>
            </w:r>
          </w:p>
        </w:tc>
        <w:tc>
          <w:tcPr>
            <w:tcW w:w="2260" w:type="dxa"/>
            <w:vAlign w:val="bottom"/>
            <w:gridSpan w:val="2"/>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2280" w:type="dxa"/>
            <w:vAlign w:val="bottom"/>
            <w:gridSpan w:val="2"/>
            <w:shd w:val="clear" w:color="auto" w:fill="CCEEFF"/>
          </w:tcPr>
          <w:p>
            <w:pPr>
              <w:jc w:val="center"/>
              <w:ind w:left="141"/>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60" w:type="dxa"/>
            <w:vAlign w:val="bottom"/>
          </w:tcPr>
          <w:p>
            <w:pPr>
              <w:jc w:val="right"/>
              <w:ind w:right="236"/>
              <w:spacing w:after="0"/>
              <w:rPr>
                <w:sz w:val="20"/>
                <w:szCs w:val="20"/>
                <w:color w:val="auto"/>
              </w:rPr>
            </w:pPr>
            <w:r>
              <w:rPr>
                <w:rFonts w:ascii="Arial" w:cs="Arial" w:eastAsia="Arial" w:hAnsi="Arial"/>
                <w:sz w:val="18"/>
                <w:szCs w:val="18"/>
                <w:color w:val="auto"/>
              </w:rPr>
              <w:t>5/1/2021 - 5/31/2021</w:t>
            </w:r>
          </w:p>
        </w:tc>
        <w:tc>
          <w:tcPr>
            <w:tcW w:w="100" w:type="dxa"/>
            <w:vAlign w:val="bottom"/>
          </w:tcPr>
          <w:p>
            <w:pPr>
              <w:spacing w:after="0"/>
              <w:rPr>
                <w:sz w:val="19"/>
                <w:szCs w:val="19"/>
                <w:color w:val="auto"/>
              </w:rPr>
            </w:pPr>
          </w:p>
        </w:tc>
        <w:tc>
          <w:tcPr>
            <w:tcW w:w="2180" w:type="dxa"/>
            <w:vAlign w:val="bottom"/>
          </w:tcPr>
          <w:p>
            <w:pPr>
              <w:jc w:val="center"/>
              <w:ind w:left="219"/>
              <w:spacing w:after="0"/>
              <w:rPr>
                <w:sz w:val="20"/>
                <w:szCs w:val="20"/>
                <w:color w:val="auto"/>
              </w:rPr>
            </w:pPr>
            <w:r>
              <w:rPr>
                <w:rFonts w:ascii="Arial" w:cs="Arial" w:eastAsia="Arial" w:hAnsi="Arial"/>
                <w:sz w:val="18"/>
                <w:szCs w:val="18"/>
                <w:color w:val="auto"/>
                <w:w w:val="87"/>
              </w:rPr>
              <w:t>21,773</w:t>
            </w:r>
          </w:p>
        </w:tc>
        <w:tc>
          <w:tcPr>
            <w:tcW w:w="80" w:type="dxa"/>
            <w:vAlign w:val="bottom"/>
          </w:tcPr>
          <w:p>
            <w:pPr>
              <w:spacing w:after="0"/>
              <w:rPr>
                <w:sz w:val="19"/>
                <w:szCs w:val="19"/>
                <w:color w:val="auto"/>
              </w:rPr>
            </w:pPr>
          </w:p>
        </w:tc>
        <w:tc>
          <w:tcPr>
            <w:tcW w:w="2180" w:type="dxa"/>
            <w:vAlign w:val="bottom"/>
          </w:tcPr>
          <w:p>
            <w:pPr>
              <w:jc w:val="center"/>
              <w:ind w:left="236"/>
              <w:spacing w:after="0"/>
              <w:rPr>
                <w:sz w:val="20"/>
                <w:szCs w:val="20"/>
                <w:color w:val="auto"/>
              </w:rPr>
            </w:pPr>
            <w:r>
              <w:rPr>
                <w:rFonts w:ascii="Arial" w:cs="Arial" w:eastAsia="Arial" w:hAnsi="Arial"/>
                <w:sz w:val="18"/>
                <w:szCs w:val="18"/>
                <w:color w:val="auto"/>
                <w:w w:val="85"/>
              </w:rPr>
              <w:t>1.42</w:t>
            </w:r>
          </w:p>
        </w:tc>
        <w:tc>
          <w:tcPr>
            <w:tcW w:w="80" w:type="dxa"/>
            <w:vAlign w:val="bottom"/>
          </w:tcPr>
          <w:p>
            <w:pPr>
              <w:spacing w:after="0"/>
              <w:rPr>
                <w:sz w:val="19"/>
                <w:szCs w:val="19"/>
                <w:color w:val="auto"/>
              </w:rPr>
            </w:pPr>
          </w:p>
        </w:tc>
        <w:tc>
          <w:tcPr>
            <w:tcW w:w="2280" w:type="dxa"/>
            <w:vAlign w:val="bottom"/>
            <w:gridSpan w:val="2"/>
          </w:tcPr>
          <w:p>
            <w:pPr>
              <w:jc w:val="center"/>
              <w:ind w:left="141"/>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1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6/1/2021 - 6/30/2021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ind w:left="219"/>
              <w:spacing w:after="0"/>
              <w:rPr>
                <w:sz w:val="20"/>
                <w:szCs w:val="20"/>
                <w:color w:val="auto"/>
              </w:rPr>
            </w:pPr>
            <w:r>
              <w:rPr>
                <w:rFonts w:ascii="Arial" w:cs="Arial" w:eastAsia="Arial" w:hAnsi="Arial"/>
                <w:sz w:val="18"/>
                <w:szCs w:val="18"/>
                <w:color w:val="auto"/>
                <w:w w:val="88"/>
              </w:rPr>
              <w:t>3,542</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ind w:left="236"/>
              <w:spacing w:after="0"/>
              <w:rPr>
                <w:sz w:val="20"/>
                <w:szCs w:val="20"/>
                <w:color w:val="auto"/>
              </w:rPr>
            </w:pPr>
            <w:r>
              <w:rPr>
                <w:rFonts w:ascii="Arial" w:cs="Arial" w:eastAsia="Arial" w:hAnsi="Arial"/>
                <w:sz w:val="18"/>
                <w:szCs w:val="18"/>
                <w:color w:val="auto"/>
                <w:w w:val="85"/>
              </w:rPr>
              <w:t>2.40</w:t>
            </w:r>
          </w:p>
        </w:tc>
        <w:tc>
          <w:tcPr>
            <w:tcW w:w="8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left="141"/>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All of the shares repurchased, as reflected in the table above, were repurchases of unvested shares of our Class A and Class B common stock that had been issued upon early exercise of stock options. Pursuant to the associated option award agreements, upon termination of employment of a person holding unvested shares, we are entitled to repurchase the unvested shares.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64"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On October 30, 2020, we closed our IPO, in which we sold 24,249,330 shares of our Class A common stock at a price of $27.00 per share. The offer and sale of the shares in the IPO were registered under the Securities Act pursuant to a registration statement on Form S-1 (File No. 333-249692), which was declared effective by the SEC on October 27, 2020. We raised approximately $615.4 million in net proceeds after deducting underwriting discounts and commissions of $39.3 million and offering expenses. We have used and will continue to use the net proceeds we received from our IPO for general corporate purposes, including working capital, operating expenses and capital expenditures. Additionally, we may use a portion of the net proceeds we received from our IPO for acquisitions and/or strategic investments in complementary businesses, products, services or technologies. The representatives of the underwriters of our IPO were Goldman Sachs &amp; Co. LLC, Morgan Stanley &amp; Co. LLC, Barclays Capital Inc. and Wells Fargo Securities, LLC.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6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We have never declared or paid cash dividends on our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Repurchase and Working Capital Restrictions</w:t>
      </w:r>
    </w:p>
    <w:p>
      <w:pPr>
        <w:spacing w:after="0" w:line="164" w:lineRule="exact"/>
        <w:rPr>
          <w:sz w:val="20"/>
          <w:szCs w:val="20"/>
          <w:color w:val="auto"/>
        </w:rPr>
      </w:pPr>
    </w:p>
    <w:p>
      <w:pPr>
        <w:ind w:right="420" w:firstLine="318"/>
        <w:spacing w:after="0" w:line="365" w:lineRule="auto"/>
        <w:rPr>
          <w:sz w:val="20"/>
          <w:szCs w:val="20"/>
          <w:color w:val="auto"/>
        </w:rPr>
      </w:pPr>
      <w:r>
        <w:rPr>
          <w:rFonts w:ascii="Arial" w:cs="Arial" w:eastAsia="Arial" w:hAnsi="Arial"/>
          <w:sz w:val="15"/>
          <w:szCs w:val="15"/>
          <w:color w:val="auto"/>
        </w:rPr>
        <w:t>We are a holding company that transacts a majority of its business through operating subsidiaries. Our regulated insurance subsidiaries are subject to restrictions on the dividends they may pay, which could impact our ability to pay dividends to stockholders dividends to stockholders in the future.</w:t>
      </w:r>
    </w:p>
    <w:p>
      <w:pPr>
        <w:spacing w:after="0" w:line="58" w:lineRule="exact"/>
        <w:rPr>
          <w:sz w:val="20"/>
          <w:szCs w:val="20"/>
          <w:color w:val="auto"/>
        </w:rPr>
      </w:pPr>
    </w:p>
    <w:p>
      <w:pPr>
        <w:ind w:right="160" w:firstLine="318"/>
        <w:spacing w:after="0" w:line="302" w:lineRule="auto"/>
        <w:rPr>
          <w:sz w:val="20"/>
          <w:szCs w:val="20"/>
          <w:color w:val="auto"/>
        </w:rPr>
      </w:pPr>
      <w:r>
        <w:rPr>
          <w:rFonts w:ascii="Arial" w:cs="Arial" w:eastAsia="Arial" w:hAnsi="Arial"/>
          <w:sz w:val="15"/>
          <w:szCs w:val="15"/>
          <w:color w:val="auto"/>
        </w:rPr>
        <w:t>The payment of any extraordinary dividend by one of our regulated insurance subsidiaries requires the prior approval of the superintendent of the supervisory Department of Insurance, or DOI. “Extraordinary dividend” is defined under the Ohio Revised Code and Delaware Insurance Code, or Code, as:</w:t>
      </w:r>
    </w:p>
    <w:p>
      <w:pPr>
        <w:spacing w:after="0" w:line="1" w:lineRule="exact"/>
        <w:rPr>
          <w:sz w:val="20"/>
          <w:szCs w:val="20"/>
          <w:color w:val="auto"/>
        </w:rPr>
      </w:pPr>
    </w:p>
    <w:p>
      <w:pPr>
        <w:ind w:right="120" w:firstLine="6"/>
        <w:spacing w:after="0" w:line="265" w:lineRule="auto"/>
        <w:tabs>
          <w:tab w:leader="none" w:pos="2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dividend or distribution of cash or other property whose fair market value, together with that of other dividends or distributions made within the preceding 12 months, exceeds the greater of (a) 10% of an insurer’s policyholder surplus as of December 31 of the preceding year, or (b) an insurer’s net income for the 12-month period ending December 31 of the preceding year or (ii) any dividend or distribution paid by an insurer from a source other than earned surplus. As of December 31, 2020, neither Root Insurance Company nor Root Property &amp; Casualty were permitted to pay any dividends to us without approval of the superintendent of the supervisory DOI. See the section titled “Risk Factors—Risks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Our Business— Failure to maintain our risk-based capital at the required levels could adversely affect our ability to maintain regulatory authority to conduct our business.” included in the 2020 10-K.</w:t>
      </w:r>
    </w:p>
    <w:p>
      <w:pPr>
        <w:spacing w:after="0" w:line="128"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In addition, insurance regulators have broad powers to prevent a reduction of statutory surplus to inadequate levels, and there is no assurance that dividends of the maximum amount calculated under any applicable formula would be permitted. The Ohio DOI and the Delaware DOI may in the future adopt statutory provisions more restrictive than those currently in effect.</w:t>
      </w:r>
    </w:p>
    <w:p>
      <w:pPr>
        <w:spacing w:after="0" w:line="135"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Further, both our Term Loan A and Term Loan B include covenants that require us to maintain certain levels of liquidity and restrict us from declaring or making any cash dividend or other distributions and from repurchasing any of our common stock outside of the ordinary course of business or in excess of certain specified limits during the term of the applicable loan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7" w:name="page48"/>
    <w:bookmarkEnd w:id="4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8" w:name="page49"/>
    <w:bookmarkEnd w:id="48"/>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Arial" w:cs="Arial" w:eastAsia="Arial" w:hAnsi="Arial"/>
                <w:sz w:val="18"/>
                <w:szCs w:val="18"/>
                <w:b w:val="1"/>
                <w:bCs w:val="1"/>
                <w:color w:val="auto"/>
                <w:w w:val="98"/>
              </w:rPr>
              <w:t>Item 6.</w:t>
            </w: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Exhibits.</w:t>
            </w:r>
          </w:p>
        </w:tc>
        <w:tc>
          <w:tcPr>
            <w:tcW w:w="3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580" w:type="dxa"/>
            <w:vAlign w:val="bottom"/>
          </w:tcPr>
          <w:p>
            <w:pPr>
              <w:ind w:left="320"/>
              <w:spacing w:after="0"/>
              <w:rPr>
                <w:sz w:val="20"/>
                <w:szCs w:val="20"/>
                <w:color w:val="auto"/>
              </w:rPr>
            </w:pPr>
            <w:r>
              <w:rPr>
                <w:rFonts w:ascii="Arial" w:cs="Arial" w:eastAsia="Arial" w:hAnsi="Arial"/>
                <w:sz w:val="18"/>
                <w:szCs w:val="18"/>
                <w:color w:val="auto"/>
              </w:rPr>
              <w:t>(a)</w:t>
            </w:r>
          </w:p>
        </w:tc>
        <w:tc>
          <w:tcPr>
            <w:tcW w:w="1280" w:type="dxa"/>
            <w:vAlign w:val="bottom"/>
            <w:gridSpan w:val="3"/>
          </w:tcPr>
          <w:p>
            <w:pPr>
              <w:ind w:left="60"/>
              <w:spacing w:after="0"/>
              <w:rPr>
                <w:sz w:val="20"/>
                <w:szCs w:val="20"/>
                <w:color w:val="auto"/>
              </w:rPr>
            </w:pPr>
            <w:r>
              <w:rPr>
                <w:rFonts w:ascii="Arial" w:cs="Arial" w:eastAsia="Arial" w:hAnsi="Arial"/>
                <w:sz w:val="18"/>
                <w:szCs w:val="18"/>
                <w:color w:val="auto"/>
              </w:rPr>
              <w:t>Exhibits.</w:t>
            </w:r>
          </w:p>
        </w:tc>
        <w:tc>
          <w:tcPr>
            <w:tcW w:w="3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80" w:type="dxa"/>
            <w:vAlign w:val="bottom"/>
            <w:gridSpan w:val="2"/>
          </w:tcPr>
          <w:p>
            <w:pPr>
              <w:ind w:left="840"/>
              <w:spacing w:after="0"/>
              <w:rPr>
                <w:sz w:val="20"/>
                <w:szCs w:val="20"/>
                <w:color w:val="auto"/>
              </w:rPr>
            </w:pPr>
            <w:r>
              <w:rPr>
                <w:rFonts w:ascii="Arial" w:cs="Arial" w:eastAsia="Arial" w:hAnsi="Arial"/>
                <w:sz w:val="14"/>
                <w:szCs w:val="14"/>
                <w:b w:val="1"/>
                <w:bCs w:val="1"/>
                <w:color w:val="auto"/>
                <w:w w:val="99"/>
              </w:rPr>
              <w:t>Incorporation by Reference</w:t>
            </w: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860" w:type="dxa"/>
            <w:vAlign w:val="bottom"/>
            <w:gridSpan w:val="4"/>
            <w:vMerge w:val="restart"/>
          </w:tcPr>
          <w:p>
            <w:pPr>
              <w:jc w:val="center"/>
              <w:ind w:right="820"/>
              <w:spacing w:after="0"/>
              <w:rPr>
                <w:sz w:val="20"/>
                <w:szCs w:val="20"/>
                <w:color w:val="auto"/>
              </w:rPr>
            </w:pPr>
            <w:r>
              <w:rPr>
                <w:rFonts w:ascii="Arial" w:cs="Arial" w:eastAsia="Arial" w:hAnsi="Arial"/>
                <w:sz w:val="14"/>
                <w:szCs w:val="14"/>
                <w:b w:val="1"/>
                <w:bCs w:val="1"/>
                <w:color w:val="auto"/>
                <w:w w:val="94"/>
              </w:rPr>
              <w:t>Exhibit</w:t>
            </w:r>
          </w:p>
        </w:tc>
        <w:tc>
          <w:tcPr>
            <w:tcW w:w="3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860" w:type="dxa"/>
            <w:vAlign w:val="bottom"/>
            <w:gridSpan w:val="4"/>
            <w:vMerge w:val="continue"/>
          </w:tcPr>
          <w:p>
            <w:pPr>
              <w:spacing w:after="0"/>
              <w:rPr>
                <w:sz w:val="12"/>
                <w:szCs w:val="12"/>
                <w:color w:val="auto"/>
              </w:rPr>
            </w:pPr>
          </w:p>
        </w:tc>
        <w:tc>
          <w:tcPr>
            <w:tcW w:w="3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86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4"/>
              </w:rPr>
              <w:t>Number</w:t>
            </w:r>
          </w:p>
        </w:tc>
        <w:tc>
          <w:tcPr>
            <w:tcW w:w="3160" w:type="dxa"/>
            <w:vAlign w:val="bottom"/>
          </w:tcPr>
          <w:p>
            <w:pPr>
              <w:ind w:left="540"/>
              <w:spacing w:after="0"/>
              <w:rPr>
                <w:sz w:val="20"/>
                <w:szCs w:val="20"/>
                <w:color w:val="auto"/>
              </w:rPr>
            </w:pPr>
            <w:r>
              <w:rPr>
                <w:rFonts w:ascii="Arial" w:cs="Arial" w:eastAsia="Arial" w:hAnsi="Arial"/>
                <w:sz w:val="14"/>
                <w:szCs w:val="14"/>
                <w:b w:val="1"/>
                <w:bCs w:val="1"/>
                <w:color w:val="auto"/>
              </w:rPr>
              <w:t>Description of Exhibit</w:t>
            </w: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Form</w:t>
            </w:r>
          </w:p>
        </w:tc>
        <w:tc>
          <w:tcPr>
            <w:tcW w:w="1500" w:type="dxa"/>
            <w:vAlign w:val="bottom"/>
          </w:tcPr>
          <w:p>
            <w:pPr>
              <w:ind w:left="220"/>
              <w:spacing w:after="0"/>
              <w:rPr>
                <w:sz w:val="20"/>
                <w:szCs w:val="20"/>
                <w:color w:val="auto"/>
              </w:rPr>
            </w:pPr>
            <w:r>
              <w:rPr>
                <w:rFonts w:ascii="Arial" w:cs="Arial" w:eastAsia="Arial" w:hAnsi="Arial"/>
                <w:sz w:val="14"/>
                <w:szCs w:val="14"/>
                <w:b w:val="1"/>
                <w:bCs w:val="1"/>
                <w:color w:val="auto"/>
              </w:rPr>
              <w:t>SEC File Number</w:t>
            </w: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240" w:type="dxa"/>
            <w:vAlign w:val="bottom"/>
          </w:tcPr>
          <w:p>
            <w:pPr>
              <w:ind w:left="180"/>
              <w:spacing w:after="0"/>
              <w:rPr>
                <w:sz w:val="20"/>
                <w:szCs w:val="20"/>
                <w:color w:val="auto"/>
              </w:rPr>
            </w:pPr>
            <w:r>
              <w:rPr>
                <w:rFonts w:ascii="Arial" w:cs="Arial" w:eastAsia="Arial" w:hAnsi="Arial"/>
                <w:sz w:val="14"/>
                <w:szCs w:val="14"/>
                <w:b w:val="1"/>
                <w:bCs w:val="1"/>
                <w:color w:val="auto"/>
              </w:rPr>
              <w:t>Filing Date</w:t>
            </w:r>
          </w:p>
        </w:tc>
        <w:tc>
          <w:tcPr>
            <w:tcW w:w="1540" w:type="dxa"/>
            <w:vAlign w:val="bottom"/>
          </w:tcPr>
          <w:p>
            <w:pPr>
              <w:ind w:left="40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24"/>
        </w:trPr>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314" w:right="339" w:bottom="1440" w:gutter="0" w:footer="0" w:header="0"/>
        </w:sectPr>
      </w:pPr>
    </w:p>
    <w:tbl>
      <w:tblPr>
        <w:tblLayout w:type="fixed"/>
        <w:tblInd w:w="20" w:type="dxa"/>
        <w:tblCellMar>
          <w:top w:w="0" w:type="dxa"/>
          <w:left w:w="0" w:type="dxa"/>
          <w:bottom w:w="0" w:type="dxa"/>
          <w:right w:w="0" w:type="dxa"/>
        </w:tblCellMar>
      </w:tblPr>
      <w:tr>
        <w:trPr>
          <w:trHeight w:val="225"/>
        </w:trPr>
        <w:tc>
          <w:tcPr>
            <w:tcW w:w="1120" w:type="dxa"/>
            <w:vAlign w:val="bottom"/>
          </w:tcPr>
          <w:p>
            <w:pPr>
              <w:spacing w:after="0"/>
              <w:rPr>
                <w:sz w:val="20"/>
                <w:szCs w:val="20"/>
                <w:color w:val="auto"/>
              </w:rPr>
            </w:pPr>
            <w:r>
              <w:rPr>
                <w:rFonts w:ascii="Arial" w:cs="Arial" w:eastAsia="Arial" w:hAnsi="Arial"/>
                <w:sz w:val="18"/>
                <w:szCs w:val="18"/>
                <w:color w:val="auto"/>
              </w:rPr>
              <w:t>3.1</w:t>
            </w:r>
          </w:p>
        </w:tc>
        <w:tc>
          <w:tcPr>
            <w:tcW w:w="3820" w:type="dxa"/>
            <w:vAlign w:val="bottom"/>
            <w:tcBorders>
              <w:bottom w:val="single" w:sz="8" w:color="0000FF"/>
            </w:tcBorders>
            <w:gridSpan w:val="14"/>
          </w:tcPr>
          <w:p>
            <w:pPr>
              <w:spacing w:after="0" w:line="205" w:lineRule="exact"/>
              <w:rPr>
                <w:rFonts w:ascii="Arial" w:cs="Arial" w:eastAsia="Arial" w:hAnsi="Arial"/>
                <w:sz w:val="18"/>
                <w:szCs w:val="18"/>
                <w:color w:val="0000FF"/>
                <w:w w:val="89"/>
              </w:rPr>
            </w:pPr>
            <w:hyperlink r:id="rId90">
              <w:r>
                <w:rPr>
                  <w:rFonts w:ascii="Arial" w:cs="Arial" w:eastAsia="Arial" w:hAnsi="Arial"/>
                  <w:sz w:val="18"/>
                  <w:szCs w:val="18"/>
                  <w:color w:val="0000FF"/>
                  <w:w w:val="89"/>
                </w:rPr>
                <w:t>Amended and Restated Certificate of Incorporation of</w:t>
              </w:r>
            </w:hyperlink>
          </w:p>
        </w:tc>
        <w:tc>
          <w:tcPr>
            <w:tcW w:w="40" w:type="dxa"/>
            <w:vAlign w:val="bottom"/>
          </w:tcPr>
          <w:p>
            <w:pPr>
              <w:spacing w:after="0"/>
              <w:rPr>
                <w:sz w:val="19"/>
                <w:szCs w:val="19"/>
                <w:color w:val="auto"/>
              </w:rPr>
            </w:pPr>
          </w:p>
        </w:tc>
      </w:tr>
      <w:tr>
        <w:trPr>
          <w:trHeight w:val="152"/>
        </w:trPr>
        <w:tc>
          <w:tcPr>
            <w:tcW w:w="1120" w:type="dxa"/>
            <w:vAlign w:val="bottom"/>
          </w:tcPr>
          <w:p>
            <w:pPr>
              <w:spacing w:after="0"/>
              <w:rPr>
                <w:sz w:val="13"/>
                <w:szCs w:val="13"/>
                <w:color w:val="auto"/>
              </w:rPr>
            </w:pPr>
          </w:p>
        </w:tc>
        <w:tc>
          <w:tcPr>
            <w:tcW w:w="700" w:type="dxa"/>
            <w:vAlign w:val="bottom"/>
            <w:tcBorders>
              <w:bottom w:val="single" w:sz="8" w:color="0000FF"/>
            </w:tcBorders>
            <w:gridSpan w:val="2"/>
          </w:tcPr>
          <w:p>
            <w:pPr>
              <w:spacing w:after="0" w:line="152" w:lineRule="exact"/>
              <w:rPr>
                <w:rFonts w:ascii="Arial" w:cs="Arial" w:eastAsia="Arial" w:hAnsi="Arial"/>
                <w:sz w:val="17"/>
                <w:szCs w:val="17"/>
                <w:color w:val="0000FF"/>
                <w:w w:val="93"/>
              </w:rPr>
            </w:pPr>
            <w:hyperlink r:id="rId90">
              <w:r>
                <w:rPr>
                  <w:rFonts w:ascii="Arial" w:cs="Arial" w:eastAsia="Arial" w:hAnsi="Arial"/>
                  <w:sz w:val="17"/>
                  <w:szCs w:val="17"/>
                  <w:color w:val="0000FF"/>
                  <w:w w:val="93"/>
                </w:rPr>
                <w:t>Root, Inc.</w:t>
              </w:r>
            </w:hyperlink>
          </w:p>
        </w:tc>
        <w:tc>
          <w:tcPr>
            <w:tcW w:w="3120" w:type="dxa"/>
            <w:vAlign w:val="bottom"/>
            <w:gridSpan w:val="12"/>
          </w:tcPr>
          <w:p>
            <w:pPr>
              <w:spacing w:after="0"/>
              <w:rPr>
                <w:sz w:val="13"/>
                <w:szCs w:val="13"/>
                <w:color w:val="auto"/>
              </w:rPr>
            </w:pPr>
          </w:p>
        </w:tc>
        <w:tc>
          <w:tcPr>
            <w:tcW w:w="40" w:type="dxa"/>
            <w:vAlign w:val="bottom"/>
          </w:tcPr>
          <w:p>
            <w:pPr>
              <w:spacing w:after="0"/>
              <w:rPr>
                <w:sz w:val="13"/>
                <w:szCs w:val="13"/>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3860" w:type="dxa"/>
            <w:vAlign w:val="bottom"/>
            <w:gridSpan w:val="15"/>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Amended and Restated Bylaws of Root, Inc.</w:t>
              </w:r>
            </w:hyperlink>
          </w:p>
        </w:tc>
      </w:tr>
      <w:tr>
        <w:trPr>
          <w:trHeight w:val="298"/>
        </w:trPr>
        <w:tc>
          <w:tcPr>
            <w:tcW w:w="1120" w:type="dxa"/>
            <w:vAlign w:val="bottom"/>
          </w:tcPr>
          <w:p>
            <w:pPr>
              <w:spacing w:after="0"/>
              <w:rPr>
                <w:sz w:val="20"/>
                <w:szCs w:val="20"/>
                <w:color w:val="auto"/>
              </w:rPr>
            </w:pPr>
            <w:r>
              <w:rPr>
                <w:rFonts w:ascii="Arial" w:cs="Arial" w:eastAsia="Arial" w:hAnsi="Arial"/>
                <w:sz w:val="18"/>
                <w:szCs w:val="18"/>
                <w:color w:val="auto"/>
              </w:rPr>
              <w:t>4.1</w:t>
            </w:r>
          </w:p>
        </w:tc>
        <w:tc>
          <w:tcPr>
            <w:tcW w:w="3140" w:type="dxa"/>
            <w:vAlign w:val="bottom"/>
            <w:tcBorders>
              <w:top w:val="single" w:sz="8" w:color="0000FF"/>
            </w:tcBorders>
            <w:gridSpan w:val="5"/>
          </w:tcPr>
          <w:p>
            <w:pPr>
              <w:spacing w:after="0"/>
              <w:rPr>
                <w:rFonts w:ascii="Arial" w:cs="Arial" w:eastAsia="Arial" w:hAnsi="Arial"/>
                <w:sz w:val="18"/>
                <w:szCs w:val="18"/>
                <w:color w:val="0000FF"/>
                <w:w w:val="92"/>
              </w:rPr>
            </w:pPr>
            <w:hyperlink r:id="rId91">
              <w:r>
                <w:rPr>
                  <w:rFonts w:ascii="Arial" w:cs="Arial" w:eastAsia="Arial" w:hAnsi="Arial"/>
                  <w:sz w:val="18"/>
                  <w:szCs w:val="18"/>
                  <w:color w:val="0000FF"/>
                  <w:w w:val="92"/>
                </w:rPr>
                <w:t>Form of Class A common stock certificate.</w:t>
              </w:r>
            </w:hyperlink>
          </w:p>
        </w:tc>
        <w:tc>
          <w:tcPr>
            <w:tcW w:w="720" w:type="dxa"/>
            <w:vAlign w:val="bottom"/>
            <w:gridSpan w:val="10"/>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1"/>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374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Form of Root, Inc. 2020 Equity Incentive Plan Stock</w:t>
              </w:r>
            </w:hyperlink>
          </w:p>
        </w:tc>
        <w:tc>
          <w:tcPr>
            <w:tcW w:w="120" w:type="dxa"/>
            <w:vAlign w:val="bottom"/>
            <w:gridSpan w:val="3"/>
          </w:tcPr>
          <w:p>
            <w:pPr>
              <w:spacing w:after="0"/>
              <w:rPr>
                <w:sz w:val="24"/>
                <w:szCs w:val="24"/>
                <w:color w:val="auto"/>
              </w:rPr>
            </w:pPr>
          </w:p>
        </w:tc>
      </w:tr>
      <w:tr>
        <w:trPr>
          <w:trHeight w:val="179"/>
        </w:trPr>
        <w:tc>
          <w:tcPr>
            <w:tcW w:w="1120" w:type="dxa"/>
            <w:vAlign w:val="bottom"/>
          </w:tcPr>
          <w:p>
            <w:pPr>
              <w:spacing w:after="0"/>
              <w:rPr>
                <w:sz w:val="15"/>
                <w:szCs w:val="15"/>
                <w:color w:val="auto"/>
              </w:rPr>
            </w:pPr>
          </w:p>
        </w:tc>
        <w:tc>
          <w:tcPr>
            <w:tcW w:w="3120" w:type="dxa"/>
            <w:vAlign w:val="bottom"/>
            <w:tcBorders>
              <w:bottom w:val="single" w:sz="8" w:color="0000FF"/>
            </w:tcBorders>
            <w:gridSpan w:val="4"/>
          </w:tcPr>
          <w:p>
            <w:pPr>
              <w:spacing w:after="0" w:line="179"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Option Grant Notice and Option Agreement</w:t>
              </w:r>
            </w:hyperlink>
          </w:p>
        </w:tc>
        <w:tc>
          <w:tcPr>
            <w:tcW w:w="740" w:type="dxa"/>
            <w:vAlign w:val="bottom"/>
            <w:gridSpan w:val="11"/>
          </w:tcPr>
          <w:p>
            <w:pPr>
              <w:spacing w:after="0"/>
              <w:rPr>
                <w:sz w:val="15"/>
                <w:szCs w:val="15"/>
                <w:color w:val="auto"/>
              </w:rPr>
            </w:pPr>
          </w:p>
        </w:tc>
      </w:tr>
      <w:tr>
        <w:trPr>
          <w:trHeight w:val="285"/>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364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82">
              <w:r>
                <w:rPr>
                  <w:rFonts w:ascii="Arial" w:cs="Arial" w:eastAsia="Arial" w:hAnsi="Arial"/>
                  <w:sz w:val="18"/>
                  <w:szCs w:val="18"/>
                  <w:color w:val="0000FF"/>
                  <w:w w:val="88"/>
                </w:rPr>
                <w:t>Executive Employment Agreement by and between</w:t>
              </w:r>
            </w:hyperlink>
          </w:p>
        </w:tc>
        <w:tc>
          <w:tcPr>
            <w:tcW w:w="220" w:type="dxa"/>
            <w:vAlign w:val="bottom"/>
            <w:gridSpan w:val="6"/>
          </w:tcPr>
          <w:p>
            <w:pPr>
              <w:spacing w:after="0"/>
              <w:rPr>
                <w:sz w:val="24"/>
                <w:szCs w:val="24"/>
                <w:color w:val="auto"/>
              </w:rPr>
            </w:pPr>
          </w:p>
        </w:tc>
      </w:tr>
      <w:tr>
        <w:trPr>
          <w:trHeight w:val="179"/>
        </w:trPr>
        <w:tc>
          <w:tcPr>
            <w:tcW w:w="1120" w:type="dxa"/>
            <w:vAlign w:val="bottom"/>
          </w:tcPr>
          <w:p>
            <w:pPr>
              <w:spacing w:after="0"/>
              <w:rPr>
                <w:sz w:val="15"/>
                <w:szCs w:val="15"/>
                <w:color w:val="auto"/>
              </w:rPr>
            </w:pPr>
          </w:p>
        </w:tc>
        <w:tc>
          <w:tcPr>
            <w:tcW w:w="3860" w:type="dxa"/>
            <w:vAlign w:val="bottom"/>
            <w:gridSpan w:val="15"/>
          </w:tcPr>
          <w:p>
            <w:pPr>
              <w:spacing w:after="0" w:line="179" w:lineRule="exact"/>
              <w:rPr>
                <w:rFonts w:ascii="Arial" w:cs="Arial" w:eastAsia="Arial" w:hAnsi="Arial"/>
                <w:sz w:val="18"/>
                <w:szCs w:val="18"/>
                <w:color w:val="0000FF"/>
                <w:w w:val="92"/>
              </w:rPr>
            </w:pPr>
            <w:hyperlink w:anchor="page82">
              <w:r>
                <w:rPr>
                  <w:rFonts w:ascii="Arial" w:cs="Arial" w:eastAsia="Arial" w:hAnsi="Arial"/>
                  <w:sz w:val="18"/>
                  <w:szCs w:val="18"/>
                  <w:color w:val="0000FF"/>
                  <w:w w:val="92"/>
                </w:rPr>
                <w:t>Caret Holdings, Inc. and Anirban Kundu, dated June</w:t>
              </w:r>
            </w:hyperlink>
          </w:p>
        </w:tc>
      </w:tr>
      <w:tr>
        <w:trPr>
          <w:trHeight w:val="179"/>
        </w:trPr>
        <w:tc>
          <w:tcPr>
            <w:tcW w:w="1120" w:type="dxa"/>
            <w:vAlign w:val="bottom"/>
          </w:tcPr>
          <w:p>
            <w:pPr>
              <w:spacing w:after="0"/>
              <w:rPr>
                <w:sz w:val="15"/>
                <w:szCs w:val="15"/>
                <w:color w:val="auto"/>
              </w:rPr>
            </w:pPr>
          </w:p>
        </w:tc>
        <w:tc>
          <w:tcPr>
            <w:tcW w:w="620" w:type="dxa"/>
            <w:vAlign w:val="bottom"/>
            <w:tcBorders>
              <w:top w:val="single" w:sz="8" w:color="0000FF"/>
              <w:bottom w:val="single" w:sz="8" w:color="0000FF"/>
            </w:tcBorders>
          </w:tcPr>
          <w:p>
            <w:pPr>
              <w:spacing w:after="0" w:line="179" w:lineRule="exact"/>
              <w:rPr>
                <w:rFonts w:ascii="Arial" w:cs="Arial" w:eastAsia="Arial" w:hAnsi="Arial"/>
                <w:sz w:val="18"/>
                <w:szCs w:val="18"/>
                <w:color w:val="0000FF"/>
                <w:w w:val="85"/>
              </w:rPr>
            </w:pPr>
            <w:hyperlink w:anchor="page82">
              <w:r>
                <w:rPr>
                  <w:rFonts w:ascii="Arial" w:cs="Arial" w:eastAsia="Arial" w:hAnsi="Arial"/>
                  <w:sz w:val="18"/>
                  <w:szCs w:val="18"/>
                  <w:color w:val="0000FF"/>
                  <w:w w:val="85"/>
                </w:rPr>
                <w:t>21, 2021</w:t>
              </w:r>
            </w:hyperlink>
          </w:p>
        </w:tc>
        <w:tc>
          <w:tcPr>
            <w:tcW w:w="80" w:type="dxa"/>
            <w:vAlign w:val="bottom"/>
            <w:tcBorders>
              <w:top w:val="single" w:sz="8" w:color="0000FF"/>
            </w:tcBorders>
          </w:tcPr>
          <w:p>
            <w:pPr>
              <w:spacing w:after="0"/>
              <w:rPr>
                <w:sz w:val="15"/>
                <w:szCs w:val="15"/>
                <w:color w:val="auto"/>
              </w:rPr>
            </w:pPr>
          </w:p>
        </w:tc>
        <w:tc>
          <w:tcPr>
            <w:tcW w:w="23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85"/>
        </w:trPr>
        <w:tc>
          <w:tcPr>
            <w:tcW w:w="1120" w:type="dxa"/>
            <w:vAlign w:val="bottom"/>
          </w:tcPr>
          <w:p>
            <w:pPr>
              <w:spacing w:after="0"/>
              <w:rPr>
                <w:sz w:val="20"/>
                <w:szCs w:val="20"/>
                <w:color w:val="auto"/>
              </w:rPr>
            </w:pPr>
            <w:r>
              <w:rPr>
                <w:rFonts w:ascii="Arial" w:cs="Arial" w:eastAsia="Arial" w:hAnsi="Arial"/>
                <w:sz w:val="18"/>
                <w:szCs w:val="18"/>
                <w:color w:val="auto"/>
              </w:rPr>
              <w:t>10.3</w:t>
            </w:r>
          </w:p>
        </w:tc>
        <w:tc>
          <w:tcPr>
            <w:tcW w:w="3720" w:type="dxa"/>
            <w:vAlign w:val="bottom"/>
            <w:tcBorders>
              <w:bottom w:val="single" w:sz="8" w:color="0000FF"/>
            </w:tcBorders>
            <w:gridSpan w:val="11"/>
          </w:tcPr>
          <w:p>
            <w:pPr>
              <w:spacing w:after="0"/>
              <w:rPr>
                <w:rFonts w:ascii="Arial" w:cs="Arial" w:eastAsia="Arial" w:hAnsi="Arial"/>
                <w:sz w:val="18"/>
                <w:szCs w:val="18"/>
                <w:color w:val="0000FF"/>
                <w:w w:val="87"/>
              </w:rPr>
            </w:pPr>
            <w:hyperlink r:id="rId92">
              <w:r>
                <w:rPr>
                  <w:rFonts w:ascii="Arial" w:cs="Arial" w:eastAsia="Arial" w:hAnsi="Arial"/>
                  <w:sz w:val="18"/>
                  <w:szCs w:val="18"/>
                  <w:color w:val="0000FF"/>
                  <w:w w:val="87"/>
                </w:rPr>
                <w:t>Investment Agreement, dated as of August 11, 2021,</w:t>
              </w:r>
            </w:hyperlink>
          </w:p>
        </w:tc>
        <w:tc>
          <w:tcPr>
            <w:tcW w:w="140" w:type="dxa"/>
            <w:vAlign w:val="bottom"/>
            <w:gridSpan w:val="4"/>
          </w:tcPr>
          <w:p>
            <w:pPr>
              <w:spacing w:after="0"/>
              <w:rPr>
                <w:sz w:val="24"/>
                <w:szCs w:val="24"/>
                <w:color w:val="auto"/>
              </w:rPr>
            </w:pPr>
          </w:p>
        </w:tc>
      </w:tr>
      <w:tr>
        <w:trPr>
          <w:trHeight w:val="179"/>
        </w:trPr>
        <w:tc>
          <w:tcPr>
            <w:tcW w:w="1120" w:type="dxa"/>
            <w:vAlign w:val="bottom"/>
          </w:tcPr>
          <w:p>
            <w:pPr>
              <w:spacing w:after="0"/>
              <w:rPr>
                <w:sz w:val="15"/>
                <w:szCs w:val="15"/>
                <w:color w:val="auto"/>
              </w:rPr>
            </w:pPr>
          </w:p>
        </w:tc>
        <w:tc>
          <w:tcPr>
            <w:tcW w:w="3700" w:type="dxa"/>
            <w:vAlign w:val="bottom"/>
            <w:tcBorders>
              <w:bottom w:val="single" w:sz="8" w:color="0000FF"/>
            </w:tcBorders>
            <w:gridSpan w:val="10"/>
          </w:tcPr>
          <w:p>
            <w:pPr>
              <w:spacing w:after="0" w:line="179" w:lineRule="exact"/>
              <w:rPr>
                <w:rFonts w:ascii="Arial" w:cs="Arial" w:eastAsia="Arial" w:hAnsi="Arial"/>
                <w:sz w:val="18"/>
                <w:szCs w:val="18"/>
                <w:color w:val="0000FF"/>
                <w:w w:val="88"/>
              </w:rPr>
            </w:pPr>
            <w:hyperlink r:id="rId92">
              <w:r>
                <w:rPr>
                  <w:rFonts w:ascii="Arial" w:cs="Arial" w:eastAsia="Arial" w:hAnsi="Arial"/>
                  <w:sz w:val="18"/>
                  <w:szCs w:val="18"/>
                  <w:color w:val="0000FF"/>
                  <w:w w:val="88"/>
                </w:rPr>
                <w:t>by and between Root, Inc. and Carvana Group, LLC</w:t>
              </w:r>
            </w:hyperlink>
          </w:p>
        </w:tc>
        <w:tc>
          <w:tcPr>
            <w:tcW w:w="160" w:type="dxa"/>
            <w:vAlign w:val="bottom"/>
            <w:gridSpan w:val="5"/>
          </w:tcPr>
          <w:p>
            <w:pPr>
              <w:spacing w:after="0"/>
              <w:rPr>
                <w:sz w:val="15"/>
                <w:szCs w:val="15"/>
                <w:color w:val="auto"/>
              </w:rPr>
            </w:pPr>
          </w:p>
        </w:tc>
      </w:tr>
      <w:tr>
        <w:trPr>
          <w:trHeight w:val="285"/>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3860" w:type="dxa"/>
            <w:vAlign w:val="bottom"/>
            <w:gridSpan w:val="15"/>
          </w:tcPr>
          <w:p>
            <w:pPr>
              <w:spacing w:after="0"/>
              <w:rPr>
                <w:rFonts w:ascii="Arial" w:cs="Arial" w:eastAsia="Arial" w:hAnsi="Arial"/>
                <w:sz w:val="18"/>
                <w:szCs w:val="18"/>
                <w:color w:val="0000FF"/>
                <w:w w:val="94"/>
              </w:rPr>
            </w:pPr>
            <w:hyperlink w:anchor="page97">
              <w:r>
                <w:rPr>
                  <w:rFonts w:ascii="Arial" w:cs="Arial" w:eastAsia="Arial" w:hAnsi="Arial"/>
                  <w:sz w:val="18"/>
                  <w:szCs w:val="18"/>
                  <w:color w:val="0000FF"/>
                  <w:w w:val="94"/>
                </w:rPr>
                <w:t>Certification of Principal Executive Officer Pursuant</w:t>
              </w:r>
            </w:hyperlink>
          </w:p>
        </w:tc>
      </w:tr>
      <w:tr>
        <w:trPr>
          <w:trHeight w:val="20"/>
        </w:trPr>
        <w:tc>
          <w:tcPr>
            <w:tcW w:w="1120" w:type="dxa"/>
            <w:vAlign w:val="bottom"/>
          </w:tcPr>
          <w:p>
            <w:pPr>
              <w:spacing w:after="0" w:line="20" w:lineRule="exact"/>
              <w:rPr>
                <w:sz w:val="1"/>
                <w:szCs w:val="1"/>
                <w:color w:val="auto"/>
              </w:rPr>
            </w:pPr>
          </w:p>
        </w:tc>
        <w:tc>
          <w:tcPr>
            <w:tcW w:w="332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3800" w:type="dxa"/>
            <w:vAlign w:val="bottom"/>
            <w:tcBorders>
              <w:bottom w:val="single" w:sz="8" w:color="0000FF"/>
            </w:tcBorders>
            <w:gridSpan w:val="13"/>
          </w:tcPr>
          <w:p>
            <w:pPr>
              <w:spacing w:after="0" w:line="179" w:lineRule="exact"/>
              <w:rPr>
                <w:rFonts w:ascii="Arial" w:cs="Arial" w:eastAsia="Arial" w:hAnsi="Arial"/>
                <w:sz w:val="18"/>
                <w:szCs w:val="18"/>
                <w:color w:val="0000FF"/>
                <w:w w:val="87"/>
              </w:rPr>
            </w:pPr>
            <w:hyperlink w:anchor="page97">
              <w:r>
                <w:rPr>
                  <w:rFonts w:ascii="Arial" w:cs="Arial" w:eastAsia="Arial" w:hAnsi="Arial"/>
                  <w:sz w:val="18"/>
                  <w:szCs w:val="18"/>
                  <w:color w:val="0000FF"/>
                  <w:w w:val="87"/>
                </w:rPr>
                <w:t>to Rules 13a-14(a) and 15d-14(a) under the Securities</w:t>
              </w:r>
            </w:hyperlink>
          </w:p>
        </w:tc>
        <w:tc>
          <w:tcPr>
            <w:tcW w:w="60" w:type="dxa"/>
            <w:vAlign w:val="bottom"/>
            <w:gridSpan w:val="2"/>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3320" w:type="dxa"/>
            <w:vAlign w:val="bottom"/>
            <w:tcBorders>
              <w:bottom w:val="single" w:sz="8" w:color="0000FF"/>
            </w:tcBorders>
            <w:gridSpan w:val="6"/>
          </w:tcPr>
          <w:p>
            <w:pPr>
              <w:spacing w:after="0" w:line="179" w:lineRule="exact"/>
              <w:rPr>
                <w:rFonts w:ascii="Arial" w:cs="Arial" w:eastAsia="Arial" w:hAnsi="Arial"/>
                <w:sz w:val="18"/>
                <w:szCs w:val="18"/>
                <w:color w:val="0000FF"/>
                <w:w w:val="88"/>
              </w:rPr>
            </w:pPr>
            <w:hyperlink w:anchor="page97">
              <w:r>
                <w:rPr>
                  <w:rFonts w:ascii="Arial" w:cs="Arial" w:eastAsia="Arial" w:hAnsi="Arial"/>
                  <w:sz w:val="18"/>
                  <w:szCs w:val="18"/>
                  <w:color w:val="0000FF"/>
                  <w:w w:val="88"/>
                </w:rPr>
                <w:t>Exchange Act of 1934, as Adopted Pursuant to</w:t>
              </w:r>
            </w:hyperlink>
          </w:p>
        </w:tc>
        <w:tc>
          <w:tcPr>
            <w:tcW w:w="540" w:type="dxa"/>
            <w:vAlign w:val="bottom"/>
            <w:gridSpan w:val="9"/>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3400" w:type="dxa"/>
            <w:vAlign w:val="bottom"/>
            <w:tcBorders>
              <w:bottom w:val="single" w:sz="8" w:color="0000FF"/>
            </w:tcBorders>
            <w:gridSpan w:val="7"/>
          </w:tcPr>
          <w:p>
            <w:pPr>
              <w:spacing w:after="0" w:line="179" w:lineRule="exact"/>
              <w:rPr>
                <w:rFonts w:ascii="Arial" w:cs="Arial" w:eastAsia="Arial" w:hAnsi="Arial"/>
                <w:sz w:val="18"/>
                <w:szCs w:val="18"/>
                <w:color w:val="0000FF"/>
                <w:w w:val="88"/>
              </w:rPr>
            </w:pPr>
            <w:hyperlink w:anchor="page97">
              <w:r>
                <w:rPr>
                  <w:rFonts w:ascii="Arial" w:cs="Arial" w:eastAsia="Arial" w:hAnsi="Arial"/>
                  <w:sz w:val="18"/>
                  <w:szCs w:val="18"/>
                  <w:color w:val="0000FF"/>
                  <w:w w:val="88"/>
                </w:rPr>
                <w:t>Section 302 of the Sarbanes-Oxley Act of 2002.</w:t>
              </w:r>
            </w:hyperlink>
          </w:p>
        </w:tc>
        <w:tc>
          <w:tcPr>
            <w:tcW w:w="460" w:type="dxa"/>
            <w:vAlign w:val="bottom"/>
            <w:gridSpan w:val="8"/>
          </w:tcPr>
          <w:p>
            <w:pPr>
              <w:spacing w:after="0"/>
              <w:rPr>
                <w:sz w:val="15"/>
                <w:szCs w:val="15"/>
                <w:color w:val="auto"/>
              </w:rPr>
            </w:pPr>
          </w:p>
        </w:tc>
      </w:tr>
      <w:tr>
        <w:trPr>
          <w:trHeight w:val="285"/>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386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98">
              <w:r>
                <w:rPr>
                  <w:rFonts w:ascii="Arial" w:cs="Arial" w:eastAsia="Arial" w:hAnsi="Arial"/>
                  <w:sz w:val="18"/>
                  <w:szCs w:val="18"/>
                  <w:color w:val="0000FF"/>
                  <w:w w:val="91"/>
                </w:rPr>
                <w:t>Certification of Principal Financial Officer Pursuant to</w:t>
              </w:r>
            </w:hyperlink>
          </w:p>
        </w:tc>
      </w:tr>
      <w:tr>
        <w:trPr>
          <w:trHeight w:val="179"/>
        </w:trPr>
        <w:tc>
          <w:tcPr>
            <w:tcW w:w="1120" w:type="dxa"/>
            <w:vAlign w:val="bottom"/>
          </w:tcPr>
          <w:p>
            <w:pPr>
              <w:spacing w:after="0"/>
              <w:rPr>
                <w:sz w:val="15"/>
                <w:szCs w:val="15"/>
                <w:color w:val="auto"/>
              </w:rPr>
            </w:pPr>
          </w:p>
        </w:tc>
        <w:tc>
          <w:tcPr>
            <w:tcW w:w="3620" w:type="dxa"/>
            <w:vAlign w:val="bottom"/>
            <w:tcBorders>
              <w:bottom w:val="single" w:sz="8" w:color="0000FF"/>
            </w:tcBorders>
            <w:gridSpan w:val="8"/>
          </w:tcPr>
          <w:p>
            <w:pPr>
              <w:spacing w:after="0" w:line="179" w:lineRule="exact"/>
              <w:rPr>
                <w:rFonts w:ascii="Arial" w:cs="Arial" w:eastAsia="Arial" w:hAnsi="Arial"/>
                <w:sz w:val="18"/>
                <w:szCs w:val="18"/>
                <w:color w:val="0000FF"/>
                <w:w w:val="87"/>
              </w:rPr>
            </w:pPr>
            <w:hyperlink w:anchor="page98">
              <w:r>
                <w:rPr>
                  <w:rFonts w:ascii="Arial" w:cs="Arial" w:eastAsia="Arial" w:hAnsi="Arial"/>
                  <w:sz w:val="18"/>
                  <w:szCs w:val="18"/>
                  <w:color w:val="0000FF"/>
                  <w:w w:val="87"/>
                </w:rPr>
                <w:t>Rules 13a-14(a) and 15d-14(a) under the Securities</w:t>
              </w:r>
            </w:hyperlink>
          </w:p>
        </w:tc>
        <w:tc>
          <w:tcPr>
            <w:tcW w:w="240" w:type="dxa"/>
            <w:vAlign w:val="bottom"/>
            <w:gridSpan w:val="7"/>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3320" w:type="dxa"/>
            <w:vAlign w:val="bottom"/>
            <w:tcBorders>
              <w:bottom w:val="single" w:sz="8" w:color="0000FF"/>
            </w:tcBorders>
            <w:gridSpan w:val="6"/>
          </w:tcPr>
          <w:p>
            <w:pPr>
              <w:spacing w:after="0" w:line="179" w:lineRule="exact"/>
              <w:rPr>
                <w:rFonts w:ascii="Arial" w:cs="Arial" w:eastAsia="Arial" w:hAnsi="Arial"/>
                <w:sz w:val="18"/>
                <w:szCs w:val="18"/>
                <w:color w:val="0000FF"/>
                <w:w w:val="88"/>
              </w:rPr>
            </w:pPr>
            <w:hyperlink w:anchor="page98">
              <w:r>
                <w:rPr>
                  <w:rFonts w:ascii="Arial" w:cs="Arial" w:eastAsia="Arial" w:hAnsi="Arial"/>
                  <w:sz w:val="18"/>
                  <w:szCs w:val="18"/>
                  <w:color w:val="0000FF"/>
                  <w:w w:val="88"/>
                </w:rPr>
                <w:t>Exchange Act of 1934, as Adopted Pursuant to</w:t>
              </w:r>
            </w:hyperlink>
          </w:p>
        </w:tc>
        <w:tc>
          <w:tcPr>
            <w:tcW w:w="540" w:type="dxa"/>
            <w:vAlign w:val="bottom"/>
            <w:gridSpan w:val="9"/>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3400" w:type="dxa"/>
            <w:vAlign w:val="bottom"/>
            <w:tcBorders>
              <w:bottom w:val="single" w:sz="8" w:color="0000FF"/>
            </w:tcBorders>
            <w:gridSpan w:val="7"/>
          </w:tcPr>
          <w:p>
            <w:pPr>
              <w:spacing w:after="0" w:line="179" w:lineRule="exact"/>
              <w:rPr>
                <w:rFonts w:ascii="Arial" w:cs="Arial" w:eastAsia="Arial" w:hAnsi="Arial"/>
                <w:sz w:val="18"/>
                <w:szCs w:val="18"/>
                <w:color w:val="0000FF"/>
                <w:w w:val="88"/>
              </w:rPr>
            </w:pPr>
            <w:hyperlink w:anchor="page98">
              <w:r>
                <w:rPr>
                  <w:rFonts w:ascii="Arial" w:cs="Arial" w:eastAsia="Arial" w:hAnsi="Arial"/>
                  <w:sz w:val="18"/>
                  <w:szCs w:val="18"/>
                  <w:color w:val="0000FF"/>
                  <w:w w:val="88"/>
                </w:rPr>
                <w:t>Section 302 of the Sarbanes-Oxley Act of 2002.</w:t>
              </w:r>
            </w:hyperlink>
          </w:p>
        </w:tc>
        <w:tc>
          <w:tcPr>
            <w:tcW w:w="460" w:type="dxa"/>
            <w:vAlign w:val="bottom"/>
            <w:gridSpan w:val="8"/>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80" w:type="dxa"/>
            <w:vAlign w:val="bottom"/>
          </w:tcPr>
          <w:p>
            <w:pPr>
              <w:jc w:val="center"/>
              <w:ind w:right="152"/>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001-39658</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2520" w:type="dxa"/>
            <w:vAlign w:val="bottom"/>
          </w:tcPr>
          <w:p>
            <w:pPr>
              <w:jc w:val="center"/>
              <w:ind w:right="672"/>
              <w:spacing w:after="0"/>
              <w:rPr>
                <w:sz w:val="20"/>
                <w:szCs w:val="20"/>
                <w:color w:val="auto"/>
              </w:rPr>
            </w:pPr>
            <w:r>
              <w:rPr>
                <w:rFonts w:ascii="Arial" w:cs="Arial" w:eastAsia="Arial" w:hAnsi="Arial"/>
                <w:sz w:val="18"/>
                <w:szCs w:val="18"/>
                <w:color w:val="auto"/>
                <w:w w:val="89"/>
              </w:rPr>
              <w:t>October 30, 2020</w:t>
            </w:r>
          </w:p>
        </w:tc>
      </w:tr>
      <w:tr>
        <w:trPr>
          <w:trHeight w:val="384"/>
        </w:trPr>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318"/>
        </w:trPr>
        <w:tc>
          <w:tcPr>
            <w:tcW w:w="680" w:type="dxa"/>
            <w:vAlign w:val="bottom"/>
          </w:tcPr>
          <w:p>
            <w:pPr>
              <w:jc w:val="center"/>
              <w:ind w:right="172"/>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333-249332</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520" w:type="dxa"/>
            <w:vAlign w:val="bottom"/>
          </w:tcPr>
          <w:p>
            <w:pPr>
              <w:jc w:val="center"/>
              <w:ind w:right="672"/>
              <w:spacing w:after="0"/>
              <w:rPr>
                <w:sz w:val="20"/>
                <w:szCs w:val="20"/>
                <w:color w:val="auto"/>
              </w:rPr>
            </w:pPr>
            <w:r>
              <w:rPr>
                <w:rFonts w:ascii="Arial" w:cs="Arial" w:eastAsia="Arial" w:hAnsi="Arial"/>
                <w:sz w:val="18"/>
                <w:szCs w:val="18"/>
                <w:color w:val="auto"/>
                <w:w w:val="89"/>
              </w:rPr>
              <w:t>October 20, 2020</w:t>
            </w:r>
          </w:p>
        </w:tc>
      </w:tr>
      <w:tr>
        <w:trPr>
          <w:trHeight w:val="411"/>
        </w:trPr>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609"/>
        </w:trPr>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596"/>
        </w:trPr>
        <w:tc>
          <w:tcPr>
            <w:tcW w:w="680" w:type="dxa"/>
            <w:vAlign w:val="bottom"/>
          </w:tcPr>
          <w:p>
            <w:pPr>
              <w:jc w:val="center"/>
              <w:ind w:right="152"/>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001-39658</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520" w:type="dxa"/>
            <w:vAlign w:val="bottom"/>
          </w:tcPr>
          <w:p>
            <w:pPr>
              <w:jc w:val="center"/>
              <w:ind w:right="672"/>
              <w:spacing w:after="0"/>
              <w:rPr>
                <w:sz w:val="20"/>
                <w:szCs w:val="20"/>
                <w:color w:val="auto"/>
              </w:rPr>
            </w:pPr>
            <w:r>
              <w:rPr>
                <w:rFonts w:ascii="Arial" w:cs="Arial" w:eastAsia="Arial" w:hAnsi="Arial"/>
                <w:sz w:val="18"/>
                <w:szCs w:val="18"/>
                <w:color w:val="auto"/>
                <w:w w:val="88"/>
              </w:rPr>
              <w:t>August 12, 2021</w:t>
            </w:r>
          </w:p>
        </w:tc>
      </w:tr>
      <w:tr>
        <w:trPr>
          <w:trHeight w:val="702"/>
        </w:trPr>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901"/>
        </w:trPr>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bl>
    <w:p>
      <w:pPr>
        <w:spacing w:after="0" w:line="364" w:lineRule="exact"/>
        <w:rPr>
          <w:sz w:val="20"/>
          <w:szCs w:val="20"/>
          <w:color w:val="auto"/>
        </w:rPr>
      </w:pPr>
    </w:p>
    <w:p>
      <w:pPr>
        <w:sectPr>
          <w:pgSz w:w="11900" w:h="16838" w:orient="portrait"/>
          <w:cols w:equalWidth="0" w:num="2">
            <w:col w:w="5000" w:space="160"/>
            <w:col w:w="6080"/>
          </w:cols>
          <w:pgMar w:left="320" w:top="1314"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6600" w:type="dxa"/>
            <w:vAlign w:val="bottom"/>
            <w:gridSpan w:val="5"/>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Certification of Principal Executive Officer and</w:t>
              </w:r>
            </w:hyperlink>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3480" w:type="dxa"/>
            <w:vAlign w:val="bottom"/>
            <w:tcBorders>
              <w:bottom w:val="single" w:sz="8" w:color="0000FF"/>
            </w:tcBorders>
            <w:gridSpan w:val="3"/>
          </w:tcPr>
          <w:p>
            <w:pPr>
              <w:spacing w:after="0" w:line="179" w:lineRule="exact"/>
              <w:rPr>
                <w:rFonts w:ascii="Arial" w:cs="Arial" w:eastAsia="Arial" w:hAnsi="Arial"/>
                <w:sz w:val="18"/>
                <w:szCs w:val="18"/>
                <w:color w:val="0000FF"/>
                <w:w w:val="90"/>
              </w:rPr>
            </w:pPr>
            <w:hyperlink w:anchor="page99">
              <w:r>
                <w:rPr>
                  <w:rFonts w:ascii="Arial" w:cs="Arial" w:eastAsia="Arial" w:hAnsi="Arial"/>
                  <w:sz w:val="18"/>
                  <w:szCs w:val="18"/>
                  <w:color w:val="0000FF"/>
                  <w:w w:val="90"/>
                </w:rPr>
                <w:t>Principal Financial Officer Pursuant to 18 U.S.C.</w:t>
              </w:r>
            </w:hyperlink>
          </w:p>
        </w:tc>
        <w:tc>
          <w:tcPr>
            <w:tcW w:w="3120" w:type="dxa"/>
            <w:vAlign w:val="bottom"/>
            <w:gridSpan w:val="2"/>
          </w:tcPr>
          <w:p>
            <w:pPr>
              <w:spacing w:after="0"/>
              <w:rPr>
                <w:sz w:val="15"/>
                <w:szCs w:val="15"/>
                <w:color w:val="auto"/>
              </w:rPr>
            </w:pPr>
          </w:p>
        </w:tc>
        <w:tc>
          <w:tcPr>
            <w:tcW w:w="2880" w:type="dxa"/>
            <w:vAlign w:val="bottom"/>
            <w:vMerge w:val="restart"/>
          </w:tcPr>
          <w:p>
            <w:pPr>
              <w:ind w:left="27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12"/>
        </w:trPr>
        <w:tc>
          <w:tcPr>
            <w:tcW w:w="1120" w:type="dxa"/>
            <w:vAlign w:val="bottom"/>
          </w:tcPr>
          <w:p>
            <w:pPr>
              <w:spacing w:after="0"/>
              <w:rPr>
                <w:sz w:val="9"/>
                <w:szCs w:val="9"/>
                <w:color w:val="auto"/>
              </w:rPr>
            </w:pPr>
          </w:p>
        </w:tc>
        <w:tc>
          <w:tcPr>
            <w:tcW w:w="6600" w:type="dxa"/>
            <w:vAlign w:val="bottom"/>
            <w:gridSpan w:val="5"/>
            <w:vMerge w:val="restart"/>
          </w:tcPr>
          <w:p>
            <w:pPr>
              <w:spacing w:after="0" w:line="179" w:lineRule="exact"/>
              <w:rPr>
                <w:rFonts w:ascii="Arial" w:cs="Arial" w:eastAsia="Arial" w:hAnsi="Arial"/>
                <w:sz w:val="18"/>
                <w:szCs w:val="18"/>
                <w:color w:val="0000FF"/>
              </w:rPr>
            </w:pPr>
            <w:hyperlink w:anchor="page99">
              <w:r>
                <w:rPr>
                  <w:rFonts w:ascii="Arial" w:cs="Arial" w:eastAsia="Arial" w:hAnsi="Arial"/>
                  <w:sz w:val="18"/>
                  <w:szCs w:val="18"/>
                  <w:color w:val="0000FF"/>
                </w:rPr>
                <w:t>Section 1350, as Adopted Pursuant to Section 906 of</w:t>
              </w:r>
            </w:hyperlink>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120" w:type="dxa"/>
            <w:vAlign w:val="bottom"/>
          </w:tcPr>
          <w:p>
            <w:pPr>
              <w:spacing w:after="0"/>
              <w:rPr>
                <w:sz w:val="5"/>
                <w:szCs w:val="5"/>
                <w:color w:val="auto"/>
              </w:rPr>
            </w:pPr>
          </w:p>
        </w:tc>
        <w:tc>
          <w:tcPr>
            <w:tcW w:w="6600" w:type="dxa"/>
            <w:vAlign w:val="bottom"/>
            <w:gridSpan w:val="5"/>
            <w:vMerge w:val="continue"/>
          </w:tcPr>
          <w:p>
            <w:pPr>
              <w:spacing w:after="0"/>
              <w:rPr>
                <w:sz w:val="5"/>
                <w:szCs w:val="5"/>
                <w:color w:val="auto"/>
              </w:rPr>
            </w:pPr>
          </w:p>
        </w:tc>
        <w:tc>
          <w:tcPr>
            <w:tcW w:w="2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2320" w:type="dxa"/>
            <w:vAlign w:val="bottom"/>
            <w:tcBorders>
              <w:top w:val="single" w:sz="8" w:color="0000FF"/>
              <w:bottom w:val="single" w:sz="8" w:color="0000FF"/>
            </w:tcBorders>
          </w:tcPr>
          <w:p>
            <w:pPr>
              <w:spacing w:after="0" w:line="179" w:lineRule="exact"/>
              <w:rPr>
                <w:rFonts w:ascii="Arial" w:cs="Arial" w:eastAsia="Arial" w:hAnsi="Arial"/>
                <w:sz w:val="18"/>
                <w:szCs w:val="18"/>
                <w:color w:val="0000FF"/>
                <w:w w:val="88"/>
              </w:rPr>
            </w:pPr>
            <w:hyperlink w:anchor="page99">
              <w:r>
                <w:rPr>
                  <w:rFonts w:ascii="Arial" w:cs="Arial" w:eastAsia="Arial" w:hAnsi="Arial"/>
                  <w:sz w:val="18"/>
                  <w:szCs w:val="18"/>
                  <w:color w:val="0000FF"/>
                  <w:w w:val="88"/>
                </w:rPr>
                <w:t>the Sarbanes-Oxley Act of 2002.</w:t>
              </w:r>
            </w:hyperlink>
          </w:p>
        </w:tc>
        <w:tc>
          <w:tcPr>
            <w:tcW w:w="1400" w:type="dxa"/>
            <w:vAlign w:val="bottom"/>
            <w:tcBorders>
              <w:top w:val="single" w:sz="8" w:color="0000FF"/>
            </w:tcBorders>
            <w:gridSpan w:val="3"/>
          </w:tcPr>
          <w:p>
            <w:pPr>
              <w:spacing w:after="0"/>
              <w:rPr>
                <w:sz w:val="15"/>
                <w:szCs w:val="15"/>
                <w:color w:val="auto"/>
              </w:rPr>
            </w:pPr>
          </w:p>
        </w:tc>
        <w:tc>
          <w:tcPr>
            <w:tcW w:w="28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6600" w:type="dxa"/>
            <w:vAlign w:val="bottom"/>
            <w:gridSpan w:val="5"/>
          </w:tcPr>
          <w:p>
            <w:pPr>
              <w:spacing w:after="0"/>
              <w:rPr>
                <w:sz w:val="20"/>
                <w:szCs w:val="20"/>
                <w:color w:val="auto"/>
              </w:rPr>
            </w:pPr>
            <w:r>
              <w:rPr>
                <w:rFonts w:ascii="Arial" w:cs="Arial" w:eastAsia="Arial" w:hAnsi="Arial"/>
                <w:sz w:val="18"/>
                <w:szCs w:val="18"/>
                <w:color w:val="auto"/>
              </w:rPr>
              <w:t>Inline XBRL Instance Document</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66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660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600" w:type="dxa"/>
            <w:vAlign w:val="bottom"/>
            <w:gridSpan w:val="5"/>
          </w:tcPr>
          <w:p>
            <w:pPr>
              <w:spacing w:after="0"/>
              <w:rPr>
                <w:sz w:val="20"/>
                <w:szCs w:val="20"/>
                <w:color w:val="auto"/>
              </w:rPr>
            </w:pPr>
            <w:r>
              <w:rPr>
                <w:rFonts w:ascii="Arial" w:cs="Arial" w:eastAsia="Arial" w:hAnsi="Arial"/>
                <w:sz w:val="18"/>
                <w:szCs w:val="18"/>
                <w:color w:val="auto"/>
              </w:rPr>
              <w:t>Linkbase Document</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66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600" w:type="dxa"/>
            <w:vAlign w:val="bottom"/>
            <w:gridSpan w:val="5"/>
          </w:tcPr>
          <w:p>
            <w:pPr>
              <w:spacing w:after="0"/>
              <w:rPr>
                <w:sz w:val="20"/>
                <w:szCs w:val="20"/>
                <w:color w:val="auto"/>
              </w:rPr>
            </w:pPr>
            <w:r>
              <w:rPr>
                <w:rFonts w:ascii="Arial" w:cs="Arial" w:eastAsia="Arial" w:hAnsi="Arial"/>
                <w:sz w:val="18"/>
                <w:szCs w:val="18"/>
                <w:color w:val="auto"/>
              </w:rPr>
              <w:t>Linkbase Document</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66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60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66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600" w:type="dxa"/>
            <w:vAlign w:val="bottom"/>
            <w:gridSpan w:val="5"/>
          </w:tcPr>
          <w:p>
            <w:pPr>
              <w:spacing w:after="0"/>
              <w:rPr>
                <w:sz w:val="20"/>
                <w:szCs w:val="20"/>
                <w:color w:val="auto"/>
              </w:rPr>
            </w:pPr>
            <w:r>
              <w:rPr>
                <w:rFonts w:ascii="Arial" w:cs="Arial" w:eastAsia="Arial" w:hAnsi="Arial"/>
                <w:sz w:val="18"/>
                <w:szCs w:val="18"/>
                <w:color w:val="auto"/>
              </w:rPr>
              <w:t>Linkbase Document</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type w:val="continuous"/>
        </w:sectPr>
      </w:pPr>
    </w:p>
    <w:bookmarkStart w:id="50" w:name="page51"/>
    <w:bookmarkEnd w:id="50"/>
    <w:p>
      <w:pPr>
        <w:ind w:left="1116" w:right="5900" w:hanging="1116"/>
        <w:spacing w:after="0" w:line="229" w:lineRule="auto"/>
        <w:tabs>
          <w:tab w:leader="none" w:pos="1116"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67" w:lineRule="exact"/>
        <w:rPr>
          <w:rFonts w:ascii="Arial" w:cs="Arial" w:eastAsia="Arial" w:hAnsi="Arial"/>
          <w:sz w:val="18"/>
          <w:szCs w:val="18"/>
          <w:color w:val="auto"/>
        </w:rPr>
      </w:pPr>
    </w:p>
    <w:p>
      <w:pPr>
        <w:ind w:left="136" w:hanging="159"/>
        <w:spacing w:after="0" w:line="265" w:lineRule="auto"/>
        <w:rPr>
          <w:rFonts w:ascii="Arial" w:cs="Arial" w:eastAsia="Arial" w:hAnsi="Arial"/>
          <w:sz w:val="18"/>
          <w:szCs w:val="18"/>
          <w:color w:val="auto"/>
        </w:rPr>
      </w:pPr>
      <w:r>
        <w:rPr>
          <w:rFonts w:ascii="Arial" w:cs="Arial" w:eastAsia="Arial" w:hAnsi="Arial"/>
          <w:sz w:val="14"/>
          <w:szCs w:val="14"/>
          <w:color w:val="auto"/>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55"/>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65405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56"/>
          </w:cols>
          <w:pgMar w:left="344" w:top="1359" w:right="799" w:bottom="1440" w:gutter="0" w:footer="0" w:header="0"/>
        </w:sectPr>
      </w:pPr>
    </w:p>
    <w:bookmarkStart w:id="51" w:name="page52"/>
    <w:bookmarkEnd w:id="51"/>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Pursuant to the requirements of the Exchange Act of 1934, the registrant has duly caused this Quarterly Report on Form 10-Q to be signed on its behalf by the undersigned.</w:t>
      </w: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2780" w:type="dxa"/>
            <w:vAlign w:val="bottom"/>
          </w:tcPr>
          <w:p>
            <w:pPr>
              <w:spacing w:after="0"/>
              <w:rPr>
                <w:sz w:val="19"/>
                <w:szCs w:val="19"/>
                <w:color w:val="auto"/>
              </w:rPr>
            </w:pPr>
          </w:p>
        </w:tc>
        <w:tc>
          <w:tcPr>
            <w:tcW w:w="1940" w:type="dxa"/>
            <w:vAlign w:val="bottom"/>
            <w:gridSpan w:val="3"/>
          </w:tcPr>
          <w:p>
            <w:pPr>
              <w:ind w:left="1160"/>
              <w:spacing w:after="0"/>
              <w:rPr>
                <w:sz w:val="20"/>
                <w:szCs w:val="20"/>
                <w:color w:val="auto"/>
              </w:rPr>
            </w:pPr>
            <w:r>
              <w:rPr>
                <w:rFonts w:ascii="Arial" w:cs="Arial" w:eastAsia="Arial" w:hAnsi="Arial"/>
                <w:sz w:val="18"/>
                <w:szCs w:val="18"/>
                <w:color w:val="auto"/>
                <w:w w:val="98"/>
              </w:rPr>
              <w:t>Root, Inc.</w:t>
            </w:r>
          </w:p>
        </w:tc>
        <w:tc>
          <w:tcPr>
            <w:tcW w:w="5960" w:type="dxa"/>
            <w:vAlign w:val="bottom"/>
          </w:tcPr>
          <w:p>
            <w:pPr>
              <w:spacing w:after="0"/>
              <w:rPr>
                <w:sz w:val="19"/>
                <w:szCs w:val="19"/>
                <w:color w:val="auto"/>
              </w:rPr>
            </w:pPr>
          </w:p>
        </w:tc>
      </w:tr>
      <w:tr>
        <w:trPr>
          <w:trHeight w:val="531"/>
        </w:trPr>
        <w:tc>
          <w:tcPr>
            <w:tcW w:w="2780" w:type="dxa"/>
            <w:vAlign w:val="bottom"/>
          </w:tcPr>
          <w:p>
            <w:pPr>
              <w:spacing w:after="0"/>
              <w:rPr>
                <w:sz w:val="20"/>
                <w:szCs w:val="20"/>
                <w:color w:val="auto"/>
              </w:rPr>
            </w:pPr>
            <w:r>
              <w:rPr>
                <w:rFonts w:ascii="Arial" w:cs="Arial" w:eastAsia="Arial" w:hAnsi="Arial"/>
                <w:sz w:val="18"/>
                <w:szCs w:val="18"/>
                <w:color w:val="auto"/>
              </w:rPr>
              <w:t>Date: August 12, 2021</w:t>
            </w:r>
          </w:p>
        </w:tc>
        <w:tc>
          <w:tcPr>
            <w:tcW w:w="1940" w:type="dxa"/>
            <w:vAlign w:val="bottom"/>
            <w:gridSpan w:val="3"/>
          </w:tcPr>
          <w:p>
            <w:pPr>
              <w:ind w:left="1240"/>
              <w:spacing w:after="0"/>
              <w:rPr>
                <w:sz w:val="20"/>
                <w:szCs w:val="20"/>
                <w:color w:val="auto"/>
              </w:rPr>
            </w:pPr>
            <w:r>
              <w:rPr>
                <w:rFonts w:ascii="Arial" w:cs="Arial" w:eastAsia="Arial" w:hAnsi="Arial"/>
                <w:sz w:val="18"/>
                <w:szCs w:val="18"/>
                <w:color w:val="auto"/>
              </w:rPr>
              <w:t>By:</w:t>
            </w:r>
          </w:p>
        </w:tc>
        <w:tc>
          <w:tcPr>
            <w:tcW w:w="5960" w:type="dxa"/>
            <w:vAlign w:val="bottom"/>
          </w:tcPr>
          <w:p>
            <w:pPr>
              <w:ind w:left="160"/>
              <w:spacing w:after="0"/>
              <w:rPr>
                <w:sz w:val="20"/>
                <w:szCs w:val="20"/>
                <w:color w:val="auto"/>
              </w:rPr>
            </w:pPr>
            <w:r>
              <w:rPr>
                <w:rFonts w:ascii="Arial" w:cs="Arial" w:eastAsia="Arial" w:hAnsi="Arial"/>
                <w:sz w:val="18"/>
                <w:szCs w:val="18"/>
                <w:color w:val="auto"/>
              </w:rPr>
              <w:t>/s/ Alexander Timm</w:t>
            </w:r>
          </w:p>
        </w:tc>
      </w:tr>
      <w:tr>
        <w:trPr>
          <w:trHeight w:val="231"/>
        </w:trPr>
        <w:tc>
          <w:tcPr>
            <w:tcW w:w="2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9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Alexander Timm</w:t>
            </w:r>
          </w:p>
        </w:tc>
      </w:tr>
      <w:tr>
        <w:trPr>
          <w:trHeight w:val="252"/>
        </w:trPr>
        <w:tc>
          <w:tcPr>
            <w:tcW w:w="27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Chief Executive Officer and Director</w:t>
            </w:r>
          </w:p>
        </w:tc>
      </w:tr>
      <w:tr>
        <w:trPr>
          <w:trHeight w:val="252"/>
        </w:trPr>
        <w:tc>
          <w:tcPr>
            <w:tcW w:w="27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517"/>
        </w:trPr>
        <w:tc>
          <w:tcPr>
            <w:tcW w:w="2780" w:type="dxa"/>
            <w:vAlign w:val="bottom"/>
          </w:tcPr>
          <w:p>
            <w:pPr>
              <w:spacing w:after="0"/>
              <w:rPr>
                <w:sz w:val="24"/>
                <w:szCs w:val="24"/>
                <w:color w:val="auto"/>
              </w:rPr>
            </w:pPr>
          </w:p>
        </w:tc>
        <w:tc>
          <w:tcPr>
            <w:tcW w:w="1940" w:type="dxa"/>
            <w:vAlign w:val="bottom"/>
            <w:gridSpan w:val="3"/>
          </w:tcPr>
          <w:p>
            <w:pPr>
              <w:ind w:left="1160"/>
              <w:spacing w:after="0"/>
              <w:rPr>
                <w:sz w:val="20"/>
                <w:szCs w:val="20"/>
                <w:color w:val="auto"/>
              </w:rPr>
            </w:pPr>
            <w:r>
              <w:rPr>
                <w:rFonts w:ascii="Arial" w:cs="Arial" w:eastAsia="Arial" w:hAnsi="Arial"/>
                <w:sz w:val="18"/>
                <w:szCs w:val="18"/>
                <w:color w:val="auto"/>
                <w:w w:val="98"/>
              </w:rPr>
              <w:t>Root, Inc.</w:t>
            </w:r>
          </w:p>
        </w:tc>
        <w:tc>
          <w:tcPr>
            <w:tcW w:w="5960" w:type="dxa"/>
            <w:vAlign w:val="bottom"/>
          </w:tcPr>
          <w:p>
            <w:pPr>
              <w:spacing w:after="0"/>
              <w:rPr>
                <w:sz w:val="24"/>
                <w:szCs w:val="24"/>
                <w:color w:val="auto"/>
              </w:rPr>
            </w:pPr>
          </w:p>
        </w:tc>
      </w:tr>
      <w:tr>
        <w:trPr>
          <w:trHeight w:val="531"/>
        </w:trPr>
        <w:tc>
          <w:tcPr>
            <w:tcW w:w="2780" w:type="dxa"/>
            <w:vAlign w:val="bottom"/>
          </w:tcPr>
          <w:p>
            <w:pPr>
              <w:spacing w:after="0"/>
              <w:rPr>
                <w:sz w:val="20"/>
                <w:szCs w:val="20"/>
                <w:color w:val="auto"/>
              </w:rPr>
            </w:pPr>
            <w:r>
              <w:rPr>
                <w:rFonts w:ascii="Arial" w:cs="Arial" w:eastAsia="Arial" w:hAnsi="Arial"/>
                <w:sz w:val="18"/>
                <w:szCs w:val="18"/>
                <w:color w:val="auto"/>
              </w:rPr>
              <w:t>Date: August 12, 2021</w:t>
            </w:r>
          </w:p>
        </w:tc>
        <w:tc>
          <w:tcPr>
            <w:tcW w:w="1940" w:type="dxa"/>
            <w:vAlign w:val="bottom"/>
            <w:gridSpan w:val="3"/>
          </w:tcPr>
          <w:p>
            <w:pPr>
              <w:ind w:left="1160"/>
              <w:spacing w:after="0"/>
              <w:rPr>
                <w:sz w:val="20"/>
                <w:szCs w:val="20"/>
                <w:color w:val="auto"/>
              </w:rPr>
            </w:pPr>
            <w:r>
              <w:rPr>
                <w:rFonts w:ascii="Arial" w:cs="Arial" w:eastAsia="Arial" w:hAnsi="Arial"/>
                <w:sz w:val="18"/>
                <w:szCs w:val="18"/>
                <w:color w:val="auto"/>
              </w:rPr>
              <w:t>By:</w:t>
            </w:r>
          </w:p>
        </w:tc>
        <w:tc>
          <w:tcPr>
            <w:tcW w:w="5960" w:type="dxa"/>
            <w:vAlign w:val="bottom"/>
          </w:tcPr>
          <w:p>
            <w:pPr>
              <w:ind w:left="60"/>
              <w:spacing w:after="0"/>
              <w:rPr>
                <w:sz w:val="20"/>
                <w:szCs w:val="20"/>
                <w:color w:val="auto"/>
              </w:rPr>
            </w:pPr>
            <w:r>
              <w:rPr>
                <w:rFonts w:ascii="Arial" w:cs="Arial" w:eastAsia="Arial" w:hAnsi="Arial"/>
                <w:sz w:val="18"/>
                <w:szCs w:val="18"/>
                <w:color w:val="auto"/>
              </w:rPr>
              <w:t>/s/ Daniel Rosenthal</w:t>
            </w:r>
          </w:p>
        </w:tc>
      </w:tr>
      <w:tr>
        <w:trPr>
          <w:trHeight w:val="231"/>
        </w:trPr>
        <w:tc>
          <w:tcPr>
            <w:tcW w:w="2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9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Daniel Rosenthal</w:t>
            </w:r>
          </w:p>
        </w:tc>
      </w:tr>
      <w:tr>
        <w:trPr>
          <w:trHeight w:val="252"/>
        </w:trPr>
        <w:tc>
          <w:tcPr>
            <w:tcW w:w="27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52"/>
        </w:trPr>
        <w:tc>
          <w:tcPr>
            <w:tcW w:w="27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r>
        <w:trPr>
          <w:trHeight w:val="517"/>
        </w:trPr>
        <w:tc>
          <w:tcPr>
            <w:tcW w:w="2780" w:type="dxa"/>
            <w:vAlign w:val="bottom"/>
          </w:tcPr>
          <w:p>
            <w:pPr>
              <w:spacing w:after="0"/>
              <w:rPr>
                <w:sz w:val="24"/>
                <w:szCs w:val="24"/>
                <w:color w:val="auto"/>
              </w:rPr>
            </w:pPr>
          </w:p>
        </w:tc>
        <w:tc>
          <w:tcPr>
            <w:tcW w:w="1940" w:type="dxa"/>
            <w:vAlign w:val="bottom"/>
            <w:gridSpan w:val="3"/>
          </w:tcPr>
          <w:p>
            <w:pPr>
              <w:ind w:left="1160"/>
              <w:spacing w:after="0"/>
              <w:rPr>
                <w:sz w:val="20"/>
                <w:szCs w:val="20"/>
                <w:color w:val="auto"/>
              </w:rPr>
            </w:pPr>
            <w:r>
              <w:rPr>
                <w:rFonts w:ascii="Arial" w:cs="Arial" w:eastAsia="Arial" w:hAnsi="Arial"/>
                <w:sz w:val="18"/>
                <w:szCs w:val="18"/>
                <w:color w:val="auto"/>
                <w:w w:val="98"/>
              </w:rPr>
              <w:t>Root, Inc.</w:t>
            </w:r>
          </w:p>
        </w:tc>
        <w:tc>
          <w:tcPr>
            <w:tcW w:w="5960" w:type="dxa"/>
            <w:vAlign w:val="bottom"/>
          </w:tcPr>
          <w:p>
            <w:pPr>
              <w:spacing w:after="0"/>
              <w:rPr>
                <w:sz w:val="24"/>
                <w:szCs w:val="24"/>
                <w:color w:val="auto"/>
              </w:rPr>
            </w:pPr>
          </w:p>
        </w:tc>
      </w:tr>
      <w:tr>
        <w:trPr>
          <w:trHeight w:val="531"/>
        </w:trPr>
        <w:tc>
          <w:tcPr>
            <w:tcW w:w="2780" w:type="dxa"/>
            <w:vAlign w:val="bottom"/>
          </w:tcPr>
          <w:p>
            <w:pPr>
              <w:spacing w:after="0"/>
              <w:rPr>
                <w:sz w:val="20"/>
                <w:szCs w:val="20"/>
                <w:color w:val="auto"/>
              </w:rPr>
            </w:pPr>
            <w:r>
              <w:rPr>
                <w:rFonts w:ascii="Arial" w:cs="Arial" w:eastAsia="Arial" w:hAnsi="Arial"/>
                <w:sz w:val="18"/>
                <w:szCs w:val="18"/>
                <w:color w:val="auto"/>
              </w:rPr>
              <w:t>Date: August 12, 2021</w:t>
            </w:r>
          </w:p>
        </w:tc>
        <w:tc>
          <w:tcPr>
            <w:tcW w:w="1940" w:type="dxa"/>
            <w:vAlign w:val="bottom"/>
            <w:gridSpan w:val="3"/>
          </w:tcPr>
          <w:p>
            <w:pPr>
              <w:ind w:left="1160"/>
              <w:spacing w:after="0"/>
              <w:rPr>
                <w:sz w:val="20"/>
                <w:szCs w:val="20"/>
                <w:color w:val="auto"/>
              </w:rPr>
            </w:pPr>
            <w:r>
              <w:rPr>
                <w:rFonts w:ascii="Arial" w:cs="Arial" w:eastAsia="Arial" w:hAnsi="Arial"/>
                <w:sz w:val="18"/>
                <w:szCs w:val="18"/>
                <w:color w:val="auto"/>
              </w:rPr>
              <w:t>By:</w:t>
            </w:r>
          </w:p>
        </w:tc>
        <w:tc>
          <w:tcPr>
            <w:tcW w:w="5960" w:type="dxa"/>
            <w:vAlign w:val="bottom"/>
          </w:tcPr>
          <w:p>
            <w:pPr>
              <w:ind w:left="60"/>
              <w:spacing w:after="0"/>
              <w:rPr>
                <w:sz w:val="20"/>
                <w:szCs w:val="20"/>
                <w:color w:val="auto"/>
              </w:rPr>
            </w:pPr>
            <w:r>
              <w:rPr>
                <w:rFonts w:ascii="Arial" w:cs="Arial" w:eastAsia="Arial" w:hAnsi="Arial"/>
                <w:sz w:val="18"/>
                <w:szCs w:val="18"/>
                <w:color w:val="auto"/>
              </w:rPr>
              <w:t>/s/ Megan Binkley</w:t>
            </w:r>
          </w:p>
        </w:tc>
      </w:tr>
      <w:tr>
        <w:trPr>
          <w:trHeight w:val="231"/>
        </w:trPr>
        <w:tc>
          <w:tcPr>
            <w:tcW w:w="2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9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Megan Binkley</w:t>
            </w:r>
          </w:p>
        </w:tc>
      </w:tr>
      <w:tr>
        <w:trPr>
          <w:trHeight w:val="252"/>
        </w:trPr>
        <w:tc>
          <w:tcPr>
            <w:tcW w:w="27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Chief Accounting Officer</w:t>
            </w:r>
          </w:p>
        </w:tc>
      </w:tr>
      <w:tr>
        <w:trPr>
          <w:trHeight w:val="252"/>
        </w:trPr>
        <w:tc>
          <w:tcPr>
            <w:tcW w:w="27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320" w:top="131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9"/>
          <w:szCs w:val="19"/>
          <w:b w:val="1"/>
          <w:bCs w:val="1"/>
          <w:color w:val="auto"/>
        </w:rPr>
        <w:t>EXHIBIT 3.2</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AND RESTATED BYLAWS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OF</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ROOT,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9"/>
          <w:szCs w:val="19"/>
          <w:b w:val="1"/>
          <w:bCs w:val="1"/>
          <w:color w:val="auto"/>
        </w:rPr>
        <w:t>ARTICLE 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OFFICES</w:t>
      </w:r>
    </w:p>
    <w:p>
      <w:pPr>
        <w:spacing w:after="0" w:line="219"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9"/>
          <w:szCs w:val="19"/>
          <w:b w:val="1"/>
          <w:bCs w:val="1"/>
          <w:color w:val="auto"/>
        </w:rPr>
        <w:t xml:space="preserve">Section 1. Registered Office. </w:t>
      </w:r>
      <w:r>
        <w:rPr>
          <w:rFonts w:ascii="Arial" w:cs="Arial" w:eastAsia="Arial" w:hAnsi="Arial"/>
          <w:sz w:val="19"/>
          <w:szCs w:val="19"/>
          <w:color w:val="auto"/>
        </w:rPr>
        <w:t>The registered office of the corporation in the State of Delaware shall be as set forth in the Certificate of</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Incorporation.</w:t>
      </w:r>
    </w:p>
    <w:p>
      <w:pPr>
        <w:spacing w:after="0" w:line="144"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9"/>
          <w:szCs w:val="19"/>
          <w:b w:val="1"/>
          <w:bCs w:val="1"/>
          <w:color w:val="auto"/>
        </w:rPr>
        <w:t xml:space="preserve">Section 2. Other Offices. </w:t>
      </w:r>
      <w:r>
        <w:rPr>
          <w:rFonts w:ascii="Arial" w:cs="Arial" w:eastAsia="Arial" w:hAnsi="Arial"/>
          <w:sz w:val="19"/>
          <w:szCs w:val="19"/>
          <w:color w:val="auto"/>
        </w:rPr>
        <w:t>The corporation shall also have and maintain an office or principal place of business at such place as may be</w:t>
      </w:r>
      <w:r>
        <w:rPr>
          <w:rFonts w:ascii="Arial" w:cs="Arial" w:eastAsia="Arial" w:hAnsi="Arial"/>
          <w:sz w:val="19"/>
          <w:szCs w:val="19"/>
          <w:b w:val="1"/>
          <w:bCs w:val="1"/>
          <w:color w:val="auto"/>
        </w:rPr>
        <w:t xml:space="preserve"> </w:t>
      </w:r>
      <w:r>
        <w:rPr>
          <w:rFonts w:ascii="Arial" w:cs="Arial" w:eastAsia="Arial" w:hAnsi="Arial"/>
          <w:sz w:val="19"/>
          <w:szCs w:val="19"/>
          <w:color w:val="auto"/>
        </w:rPr>
        <w:t>fixed by the Board of Directors, and may also have offices at such other places, both within and without the State of Delaware, as the Board of Directors may from time to time determine or the business of the corporation may require.</w:t>
      </w:r>
    </w:p>
    <w:p>
      <w:pPr>
        <w:spacing w:after="0" w:line="161"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ARTICLE II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CORPORATE SEAL</w:t>
      </w:r>
    </w:p>
    <w:p>
      <w:pPr>
        <w:spacing w:after="0" w:line="21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9"/>
          <w:szCs w:val="19"/>
          <w:b w:val="1"/>
          <w:bCs w:val="1"/>
          <w:color w:val="auto"/>
        </w:rPr>
        <w:t xml:space="preserve">Section 3. Corporate Seal. </w:t>
      </w:r>
      <w:r>
        <w:rPr>
          <w:rFonts w:ascii="Arial" w:cs="Arial" w:eastAsia="Arial" w:hAnsi="Arial"/>
          <w:sz w:val="19"/>
          <w:szCs w:val="19"/>
          <w:color w:val="auto"/>
        </w:rPr>
        <w:t>The Board of Directors may adopt a corporate seal. If adopted, the corporate seal shall consist of a die bearing</w:t>
      </w:r>
      <w:r>
        <w:rPr>
          <w:rFonts w:ascii="Arial" w:cs="Arial" w:eastAsia="Arial" w:hAnsi="Arial"/>
          <w:sz w:val="19"/>
          <w:szCs w:val="19"/>
          <w:b w:val="1"/>
          <w:bCs w:val="1"/>
          <w:color w:val="auto"/>
        </w:rPr>
        <w:t xml:space="preserve"> </w:t>
      </w:r>
      <w:r>
        <w:rPr>
          <w:rFonts w:ascii="Arial" w:cs="Arial" w:eastAsia="Arial" w:hAnsi="Arial"/>
          <w:sz w:val="19"/>
          <w:szCs w:val="19"/>
          <w:color w:val="auto"/>
        </w:rPr>
        <w:t>the name of the corporation and the inscription, “Corporate Seal Delaware.” Said seal may be used by causing it or a facsimile thereof to be impressed or affixed or reproduced or otherwise.</w:t>
      </w:r>
    </w:p>
    <w:p>
      <w:pPr>
        <w:spacing w:after="0" w:line="161" w:lineRule="exact"/>
        <w:rPr>
          <w:sz w:val="20"/>
          <w:szCs w:val="20"/>
          <w:color w:val="auto"/>
        </w:rPr>
      </w:pPr>
    </w:p>
    <w:p>
      <w:pPr>
        <w:ind w:left="5360"/>
        <w:spacing w:after="0"/>
        <w:rPr>
          <w:sz w:val="20"/>
          <w:szCs w:val="20"/>
          <w:color w:val="auto"/>
        </w:rPr>
      </w:pPr>
      <w:r>
        <w:rPr>
          <w:rFonts w:ascii="Arial" w:cs="Arial" w:eastAsia="Arial" w:hAnsi="Arial"/>
          <w:sz w:val="19"/>
          <w:szCs w:val="19"/>
          <w:b w:val="1"/>
          <w:bCs w:val="1"/>
          <w:color w:val="auto"/>
        </w:rPr>
        <w:t>ARTICLE III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STOCKHOLDERS' MEETINGS</w:t>
      </w:r>
    </w:p>
    <w:p>
      <w:pPr>
        <w:spacing w:after="0" w:line="21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9"/>
          <w:szCs w:val="19"/>
          <w:b w:val="1"/>
          <w:bCs w:val="1"/>
          <w:color w:val="auto"/>
        </w:rPr>
        <w:t xml:space="preserve">Section 4. Place of Meetings. </w:t>
      </w:r>
      <w:r>
        <w:rPr>
          <w:rFonts w:ascii="Arial" w:cs="Arial" w:eastAsia="Arial" w:hAnsi="Arial"/>
          <w:sz w:val="19"/>
          <w:szCs w:val="19"/>
          <w:color w:val="auto"/>
        </w:rPr>
        <w:t>Meetings of the stockholders of the corporation may be held at such place, either within or without the State</w:t>
      </w:r>
      <w:r>
        <w:rPr>
          <w:rFonts w:ascii="Arial" w:cs="Arial" w:eastAsia="Arial" w:hAnsi="Arial"/>
          <w:sz w:val="19"/>
          <w:szCs w:val="19"/>
          <w:b w:val="1"/>
          <w:bCs w:val="1"/>
          <w:color w:val="auto"/>
        </w:rPr>
        <w:t xml:space="preserve"> </w:t>
      </w:r>
      <w:r>
        <w:rPr>
          <w:rFonts w:ascii="Arial" w:cs="Arial" w:eastAsia="Arial" w:hAnsi="Arial"/>
          <w:sz w:val="19"/>
          <w:szCs w:val="19"/>
          <w:color w:val="auto"/>
        </w:rPr>
        <w:t>of Delaware, as may be determined from time to time by the Board of Directors. The Board of Directors may, in its sole discretion, determine that the meeting shall not be held at any place, but may instead be held solely by means of remote communication as provided under the General Corporation Law of the State of Delaware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Section 5.  Annual Meeting.</w:t>
      </w:r>
    </w:p>
    <w:p>
      <w:pPr>
        <w:spacing w:after="0" w:line="225" w:lineRule="exact"/>
        <w:rPr>
          <w:sz w:val="20"/>
          <w:szCs w:val="20"/>
          <w:color w:val="auto"/>
        </w:rPr>
      </w:pPr>
    </w:p>
    <w:p>
      <w:pPr>
        <w:jc w:val="both"/>
        <w:ind w:firstLine="880"/>
        <w:spacing w:after="0" w:line="257" w:lineRule="auto"/>
        <w:tabs>
          <w:tab w:leader="none" w:pos="1260" w:val="left"/>
        </w:tabs>
        <w:numPr>
          <w:ilvl w:val="0"/>
          <w:numId w:val="24"/>
        </w:numPr>
        <w:rPr>
          <w:rFonts w:ascii="Arial" w:cs="Arial" w:eastAsia="Arial" w:hAnsi="Arial"/>
          <w:sz w:val="19"/>
          <w:szCs w:val="19"/>
          <w:b w:val="1"/>
          <w:bCs w:val="1"/>
          <w:color w:val="auto"/>
        </w:rPr>
      </w:pPr>
      <w:r>
        <w:rPr>
          <w:rFonts w:ascii="Arial" w:cs="Arial" w:eastAsia="Arial" w:hAnsi="Arial"/>
          <w:sz w:val="19"/>
          <w:szCs w:val="19"/>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proposals of business to be considered by the stockholders may be made at an annual meeting of stockholders: (i) pursuant to the corporation’s notice</w:t>
      </w:r>
    </w:p>
    <w:p>
      <w:pPr>
        <w:sectPr>
          <w:pgSz w:w="11900" w:h="16838" w:orient="portrait"/>
          <w:cols w:equalWidth="0" w:num="1">
            <w:col w:w="11240"/>
          </w:cols>
          <w:pgMar w:left="320" w:top="138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of meeting of stockholders; (ii) brought specifically by or at the direction of the Board of Directors or a duly authorized committee thereof; or</w:t>
      </w:r>
    </w:p>
    <w:p>
      <w:pPr>
        <w:spacing w:after="0" w:line="34" w:lineRule="exact"/>
        <w:rPr>
          <w:sz w:val="20"/>
          <w:szCs w:val="20"/>
          <w:color w:val="auto"/>
        </w:rPr>
      </w:pPr>
    </w:p>
    <w:p>
      <w:pPr>
        <w:jc w:val="both"/>
        <w:ind w:firstLine="6"/>
        <w:spacing w:after="0" w:line="287" w:lineRule="auto"/>
        <w:tabs>
          <w:tab w:leader="none" w:pos="341" w:val="left"/>
        </w:tabs>
        <w:numPr>
          <w:ilvl w:val="0"/>
          <w:numId w:val="25"/>
        </w:numPr>
        <w:rPr>
          <w:rFonts w:ascii="Arial" w:cs="Arial" w:eastAsia="Arial" w:hAnsi="Arial"/>
          <w:sz w:val="17"/>
          <w:szCs w:val="17"/>
          <w:color w:val="auto"/>
        </w:rPr>
      </w:pPr>
      <w:r>
        <w:rPr>
          <w:rFonts w:ascii="Arial" w:cs="Arial" w:eastAsia="Arial" w:hAnsi="Arial"/>
          <w:sz w:val="17"/>
          <w:szCs w:val="17"/>
          <w:color w:val="auto"/>
        </w:rPr>
        <w:t>by any stockholder of the corporation who was a stockholder of record at the time of giving the stockholder’s notice provided for in Section 5(b) below, who is entitled to vote at the meeting and who complied with the notice procedures set forth in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(the “</w:t>
      </w:r>
      <w:r>
        <w:rPr>
          <w:rFonts w:ascii="Arial" w:cs="Arial" w:eastAsia="Arial" w:hAnsi="Arial"/>
          <w:sz w:val="17"/>
          <w:szCs w:val="17"/>
          <w:b w:val="1"/>
          <w:bCs w:val="1"/>
          <w:i w:val="1"/>
          <w:iCs w:val="1"/>
          <w:color w:val="auto"/>
        </w:rPr>
        <w:t>1934 Act</w:t>
      </w:r>
      <w:r>
        <w:rPr>
          <w:rFonts w:ascii="Arial" w:cs="Arial" w:eastAsia="Arial" w:hAnsi="Arial"/>
          <w:sz w:val="17"/>
          <w:szCs w:val="17"/>
          <w:color w:val="auto"/>
        </w:rPr>
        <w:t>”), and the rules and regulations thereunder before an annual meeting of stockholders).</w:t>
      </w:r>
    </w:p>
    <w:p>
      <w:pPr>
        <w:spacing w:after="0" w:line="153" w:lineRule="exact"/>
        <w:rPr>
          <w:rFonts w:ascii="Arial" w:cs="Arial" w:eastAsia="Arial" w:hAnsi="Arial"/>
          <w:sz w:val="17"/>
          <w:szCs w:val="17"/>
          <w:color w:val="auto"/>
        </w:rPr>
      </w:pPr>
    </w:p>
    <w:p>
      <w:pPr>
        <w:ind w:firstLine="801"/>
        <w:spacing w:after="0" w:line="278" w:lineRule="auto"/>
        <w:tabs>
          <w:tab w:leader="none" w:pos="1271" w:val="left"/>
        </w:tabs>
        <w:numPr>
          <w:ilvl w:val="1"/>
          <w:numId w:val="25"/>
        </w:numPr>
        <w:rPr>
          <w:rFonts w:ascii="Arial" w:cs="Arial" w:eastAsia="Arial" w:hAnsi="Arial"/>
          <w:sz w:val="19"/>
          <w:szCs w:val="19"/>
          <w:b w:val="1"/>
          <w:bCs w:val="1"/>
          <w:color w:val="auto"/>
        </w:rPr>
      </w:pPr>
      <w:r>
        <w:rPr>
          <w:rFonts w:ascii="Arial" w:cs="Arial" w:eastAsia="Arial" w:hAnsi="Arial"/>
          <w:sz w:val="19"/>
          <w:szCs w:val="19"/>
          <w:color w:val="auto"/>
        </w:rPr>
        <w:t>At an annual meeting of the stockholders, only such business shall be conducted as is a proper matter for stockholder action under Delaware law and as shall have been properly brought before the meeting in accordance with the procedures below.</w:t>
      </w:r>
    </w:p>
    <w:p>
      <w:pPr>
        <w:spacing w:after="0" w:line="156" w:lineRule="exact"/>
        <w:rPr>
          <w:rFonts w:ascii="Arial" w:cs="Arial" w:eastAsia="Arial" w:hAnsi="Arial"/>
          <w:sz w:val="19"/>
          <w:szCs w:val="19"/>
          <w:b w:val="1"/>
          <w:bCs w:val="1"/>
          <w:color w:val="auto"/>
        </w:rPr>
      </w:pPr>
    </w:p>
    <w:p>
      <w:pPr>
        <w:jc w:val="both"/>
        <w:ind w:firstLine="1278"/>
        <w:spacing w:after="0" w:line="264" w:lineRule="auto"/>
        <w:tabs>
          <w:tab w:leader="none" w:pos="1906" w:val="left"/>
        </w:tabs>
        <w:numPr>
          <w:ilvl w:val="2"/>
          <w:numId w:val="25"/>
        </w:numPr>
        <w:rPr>
          <w:rFonts w:ascii="Arial" w:cs="Arial" w:eastAsia="Arial" w:hAnsi="Arial"/>
          <w:sz w:val="18"/>
          <w:szCs w:val="18"/>
          <w:b w:val="1"/>
          <w:bCs w:val="1"/>
          <w:color w:val="auto"/>
        </w:rPr>
      </w:pPr>
      <w:r>
        <w:rPr>
          <w:rFonts w:ascii="Arial" w:cs="Arial" w:eastAsia="Arial" w:hAnsi="Arial"/>
          <w:sz w:val="18"/>
          <w:szCs w:val="18"/>
          <w:color w:val="auto"/>
        </w:rPr>
        <w:t>For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beneficially and of record by such nominee; (4) the date or dates on which such shares were acquired and the investment intent of such acquisition; and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in the corporation’s proxy statement and associated proxy card as a nominee of the stockholder and to serving as a director if elected); and (B) the information required by Section 5(b)(iv). The corporation may require any proposed nominee to furnish such other information as it may reasonably require to determine the eligibility of such proposed nominee to serve (i) as an independent director (as such term is used in any applicable stock exchange listing requirements or applicable law) of the corporation or (ii) on any committee or sub-committee of the Board of Directors under any applicable stock exchange listing requirements or applicable law, and that could be material to a reasonable stockholder’s understanding of the independence, or lack thereof, of such proposed nominee.</w:t>
      </w:r>
    </w:p>
    <w:p>
      <w:pPr>
        <w:spacing w:after="0" w:line="173" w:lineRule="exact"/>
        <w:rPr>
          <w:rFonts w:ascii="Arial" w:cs="Arial" w:eastAsia="Arial" w:hAnsi="Arial"/>
          <w:sz w:val="18"/>
          <w:szCs w:val="18"/>
          <w:b w:val="1"/>
          <w:bCs w:val="1"/>
          <w:color w:val="auto"/>
        </w:rPr>
      </w:pPr>
    </w:p>
    <w:p>
      <w:pPr>
        <w:jc w:val="both"/>
        <w:ind w:firstLine="1278"/>
        <w:spacing w:after="0" w:line="266" w:lineRule="auto"/>
        <w:tabs>
          <w:tab w:leader="none" w:pos="1907" w:val="left"/>
        </w:tabs>
        <w:numPr>
          <w:ilvl w:val="2"/>
          <w:numId w:val="25"/>
        </w:numPr>
        <w:rPr>
          <w:rFonts w:ascii="Arial" w:cs="Arial" w:eastAsia="Arial" w:hAnsi="Arial"/>
          <w:sz w:val="18"/>
          <w:szCs w:val="18"/>
          <w:b w:val="1"/>
          <w:bCs w:val="1"/>
          <w:color w:val="auto"/>
        </w:rPr>
      </w:pPr>
      <w:r>
        <w:rPr>
          <w:rFonts w:ascii="Arial" w:cs="Arial" w:eastAsia="Arial" w:hAnsi="Arial"/>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(including any anticipated benefit of such business to any Proponent (as defined below) other than solely as a result of its ownership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395" w:right="339" w:bottom="1440" w:gutter="0" w:footer="0" w:header="0"/>
        </w:sectPr>
      </w:pPr>
    </w:p>
    <w:bookmarkStart w:id="54" w:name="page55"/>
    <w:bookmarkEnd w:id="54"/>
    <w:p>
      <w:pPr>
        <w:spacing w:after="0" w:line="278" w:lineRule="auto"/>
        <w:rPr>
          <w:sz w:val="20"/>
          <w:szCs w:val="20"/>
          <w:color w:val="auto"/>
        </w:rPr>
      </w:pPr>
      <w:r>
        <w:rPr>
          <w:rFonts w:ascii="Arial" w:cs="Arial" w:eastAsia="Arial" w:hAnsi="Arial"/>
          <w:sz w:val="19"/>
          <w:szCs w:val="19"/>
          <w:color w:val="auto"/>
        </w:rPr>
        <w:t>corporation’s capital stock, that is material to any Proponent individually, or to the Proponents in the aggregate) in such business of any Proponent; and (B) the information required by Section 5(b)(iv).</w:t>
      </w:r>
    </w:p>
    <w:p>
      <w:pPr>
        <w:spacing w:after="0" w:line="156" w:lineRule="exact"/>
        <w:rPr>
          <w:sz w:val="20"/>
          <w:szCs w:val="20"/>
          <w:color w:val="auto"/>
        </w:rPr>
      </w:pPr>
    </w:p>
    <w:p>
      <w:pPr>
        <w:jc w:val="both"/>
        <w:ind w:firstLine="1278"/>
        <w:spacing w:after="0" w:line="248" w:lineRule="auto"/>
        <w:tabs>
          <w:tab w:leader="none" w:pos="1908" w:val="left"/>
        </w:tabs>
        <w:numPr>
          <w:ilvl w:val="2"/>
          <w:numId w:val="26"/>
        </w:numPr>
        <w:rPr>
          <w:rFonts w:ascii="Arial" w:cs="Arial" w:eastAsia="Arial" w:hAnsi="Arial"/>
          <w:sz w:val="17"/>
          <w:szCs w:val="17"/>
          <w:b w:val="1"/>
          <w:bCs w:val="1"/>
          <w:color w:val="auto"/>
        </w:rPr>
      </w:pPr>
      <w:r>
        <w:rPr>
          <w:rFonts w:ascii="Arial" w:cs="Arial" w:eastAsia="Arial" w:hAnsi="Arial"/>
          <w:sz w:val="17"/>
          <w:szCs w:val="17"/>
          <w:color w:val="auto"/>
        </w:rPr>
        <w:t>To be timely, the written notice required by Section 5(b)(i) or 5(b)(ii) must be received by the Secretary at the principal executive offices of the corporation not later than the close of business on the 90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nor earlier than the close of business on the 120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prior to the first anniversary of the preceding year’s annual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subject to the last sentence of this Section 5(b)(iii), in the event that the date of the annual meeting is advanced more than 30 days prior to or delayed by more than 30 days after the anniversary of the preceding year’s annual meeting, notice by the stockholder to be timely must be so received (A) not earlier than the close of business on the 120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prior to such annual meeting and (B) not later than the close of business on the later of the 90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prior to such annual meeting or, if later than the 90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prior to such annual meeting, the 10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the day on which public announcement of the date of such meeting is first made. In no event shall an adjournment of an annual meeting for which notice has been given, or the public announcement thereof has been made, commence a new time period for the giving of a stockholder’s notice as described above.</w:t>
      </w:r>
    </w:p>
    <w:p>
      <w:pPr>
        <w:spacing w:after="0" w:line="183" w:lineRule="exact"/>
        <w:rPr>
          <w:rFonts w:ascii="Arial" w:cs="Arial" w:eastAsia="Arial" w:hAnsi="Arial"/>
          <w:sz w:val="17"/>
          <w:szCs w:val="17"/>
          <w:b w:val="1"/>
          <w:bCs w:val="1"/>
          <w:color w:val="auto"/>
        </w:rPr>
      </w:pPr>
    </w:p>
    <w:p>
      <w:pPr>
        <w:jc w:val="both"/>
        <w:ind w:firstLine="1278"/>
        <w:spacing w:after="0" w:line="264" w:lineRule="auto"/>
        <w:tabs>
          <w:tab w:leader="none" w:pos="1897" w:val="left"/>
        </w:tabs>
        <w:numPr>
          <w:ilvl w:val="2"/>
          <w:numId w:val="26"/>
        </w:numPr>
        <w:rPr>
          <w:rFonts w:ascii="Arial" w:cs="Arial" w:eastAsia="Arial" w:hAnsi="Arial"/>
          <w:sz w:val="18"/>
          <w:szCs w:val="18"/>
          <w:b w:val="1"/>
          <w:bCs w:val="1"/>
          <w:color w:val="auto"/>
        </w:rPr>
      </w:pPr>
      <w:r>
        <w:rPr>
          <w:rFonts w:ascii="Arial" w:cs="Arial" w:eastAsia="Arial" w:hAnsi="Arial"/>
          <w:sz w:val="18"/>
          <w:szCs w:val="18"/>
          <w:color w:val="auto"/>
        </w:rPr>
        <w:t>The written notice required by Section 5(b)(i) or 5(b)(ii) shall also set forth, as of the date of the notice and as to the stockholder giving the notice and the beneficial owner, if any, on whose behalf the nomination or proposal is made (each, a “</w:t>
      </w:r>
      <w:r>
        <w:rPr>
          <w:rFonts w:ascii="Arial" w:cs="Arial" w:eastAsia="Arial" w:hAnsi="Arial"/>
          <w:sz w:val="18"/>
          <w:szCs w:val="18"/>
          <w:b w:val="1"/>
          <w:bCs w:val="1"/>
          <w:i w:val="1"/>
          <w:iCs w:val="1"/>
          <w:color w:val="auto"/>
        </w:rPr>
        <w:t>Proponent</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Proponents</w:t>
      </w:r>
      <w:r>
        <w:rPr>
          <w:rFonts w:ascii="Arial" w:cs="Arial" w:eastAsia="Arial" w:hAnsi="Arial"/>
          <w:sz w:val="18"/>
          <w:szCs w:val="18"/>
          <w:color w:val="auto"/>
        </w:rPr>
        <w:t>”): (A) the name and address of each Proponent, as they appear on the corporation’s books; (B) the class or series and number of shares of each class of capital stock of the corporation that are owned of record and beneficially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holders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and (G) a description of all Derivative Transactions (as defined below) by each Proponent during the previous 12-month period, including the date of the transactions and the class, series and number of securities involved in, and the material economic terms of, such Derivative Transactions.</w:t>
      </w:r>
    </w:p>
    <w:p>
      <w:pPr>
        <w:spacing w:after="0" w:line="173" w:lineRule="exact"/>
        <w:rPr>
          <w:rFonts w:ascii="Arial" w:cs="Arial" w:eastAsia="Arial" w:hAnsi="Arial"/>
          <w:sz w:val="18"/>
          <w:szCs w:val="18"/>
          <w:b w:val="1"/>
          <w:bCs w:val="1"/>
          <w:color w:val="auto"/>
        </w:rPr>
      </w:pPr>
    </w:p>
    <w:p>
      <w:pPr>
        <w:jc w:val="both"/>
        <w:ind w:firstLine="801"/>
        <w:spacing w:after="0" w:line="270" w:lineRule="auto"/>
        <w:tabs>
          <w:tab w:leader="none" w:pos="1262" w:val="left"/>
        </w:tabs>
        <w:numPr>
          <w:ilvl w:val="1"/>
          <w:numId w:val="27"/>
        </w:numPr>
        <w:rPr>
          <w:rFonts w:ascii="Arial" w:cs="Arial" w:eastAsia="Arial" w:hAnsi="Arial"/>
          <w:sz w:val="18"/>
          <w:szCs w:val="18"/>
          <w:b w:val="1"/>
          <w:bCs w:val="1"/>
          <w:color w:val="auto"/>
        </w:rPr>
      </w:pPr>
      <w:r>
        <w:rPr>
          <w:rFonts w:ascii="Arial" w:cs="Arial" w:eastAsia="Arial" w:hAnsi="Arial"/>
          <w:sz w:val="18"/>
          <w:szCs w:val="18"/>
          <w:color w:val="auto"/>
        </w:rPr>
        <w:t>A stockholder providing the written notice required by Section 5(b)(i) or 5(b)(ii) shall update and supplement such notice in writing, if necessary, so that the information provided or required to be provided in such notice is true and correct in all material respects as of</w:t>
      </w:r>
    </w:p>
    <w:p>
      <w:pPr>
        <w:jc w:val="both"/>
        <w:ind w:firstLine="6"/>
        <w:spacing w:after="0" w:line="285" w:lineRule="auto"/>
        <w:tabs>
          <w:tab w:leader="none" w:pos="24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record date for the meeting and (ii) the date that is five Business Days (as defined below) prior to the meeting and, in the event of any adjournment thereof, five Business Days prior to such adjourned meeting. In the case of an update and supplement pursuant to clause (i) of this Section 5(c), such update and supplement shall be received by the Secretary at the principal executive offices of the corporation not later than five Business Days after the record date for the meeting. In the case of an update and supplement pursuant to clause (ii) of this Section 5(c), such update and supplement shall be received by the Secretary at the principal executive offices of the corporation not later than two Business Days prior to the date for the meeting, and, in the event of any adjournment thereof, two Business Days prior to such adjourned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95" w:right="339" w:bottom="1440" w:gutter="0" w:footer="0" w:header="0"/>
        </w:sectPr>
      </w:pPr>
    </w:p>
    <w:bookmarkStart w:id="55" w:name="page56"/>
    <w:bookmarkEnd w:id="55"/>
    <w:p>
      <w:pPr>
        <w:jc w:val="both"/>
        <w:ind w:firstLine="801"/>
        <w:spacing w:after="0" w:line="268" w:lineRule="auto"/>
        <w:tabs>
          <w:tab w:leader="none" w:pos="1271"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 person shall not be eligible for election or re-election as a director unless the person is nominated either in accordance with clause (ii) or clause (iii) of Section 5(a). Except as otherwise required by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notwithstanding that proxies in respect of such nomination or such business may have been solicited or received.</w:t>
      </w:r>
    </w:p>
    <w:p>
      <w:pPr>
        <w:spacing w:after="0" w:line="170" w:lineRule="exact"/>
        <w:rPr>
          <w:rFonts w:ascii="Arial" w:cs="Arial" w:eastAsia="Arial" w:hAnsi="Arial"/>
          <w:sz w:val="18"/>
          <w:szCs w:val="18"/>
          <w:b w:val="1"/>
          <w:bCs w:val="1"/>
          <w:color w:val="auto"/>
        </w:rPr>
      </w:pPr>
    </w:p>
    <w:p>
      <w:pPr>
        <w:jc w:val="both"/>
        <w:ind w:firstLine="801"/>
        <w:spacing w:after="0" w:line="253" w:lineRule="auto"/>
        <w:tabs>
          <w:tab w:leader="none" w:pos="1262" w:val="left"/>
        </w:tabs>
        <w:numPr>
          <w:ilvl w:val="0"/>
          <w:numId w:val="29"/>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references in these Bylaws to the 1934 Act or the rules and regulations thereunder are not intended to and shall not limit the requirements applicable to proposals and/or nominations to be considered pursuant to Section 5(a).</w:t>
      </w:r>
    </w:p>
    <w:p>
      <w:pPr>
        <w:spacing w:after="0" w:line="181" w:lineRule="exact"/>
        <w:rPr>
          <w:rFonts w:ascii="Arial" w:cs="Arial" w:eastAsia="Arial" w:hAnsi="Arial"/>
          <w:sz w:val="19"/>
          <w:szCs w:val="19"/>
          <w:b w:val="1"/>
          <w:bCs w:val="1"/>
          <w:color w:val="auto"/>
        </w:rPr>
      </w:pPr>
    </w:p>
    <w:p>
      <w:pPr>
        <w:jc w:val="both"/>
        <w:ind w:firstLine="801"/>
        <w:spacing w:after="0" w:line="252" w:lineRule="auto"/>
        <w:tabs>
          <w:tab w:leader="none" w:pos="1267" w:val="left"/>
        </w:tabs>
        <w:numPr>
          <w:ilvl w:val="0"/>
          <w:numId w:val="29"/>
        </w:numPr>
        <w:rPr>
          <w:rFonts w:ascii="Arial" w:cs="Arial" w:eastAsia="Arial" w:hAnsi="Arial"/>
          <w:sz w:val="19"/>
          <w:szCs w:val="19"/>
          <w:b w:val="1"/>
          <w:bCs w:val="1"/>
          <w:color w:val="auto"/>
        </w:rPr>
      </w:pPr>
      <w:r>
        <w:rPr>
          <w:rFonts w:ascii="Arial" w:cs="Arial" w:eastAsia="Arial" w:hAnsi="Arial"/>
          <w:sz w:val="19"/>
          <w:szCs w:val="19"/>
          <w:color w:val="auto"/>
        </w:rPr>
        <w:t>Notwithstanding anything herein to the contrary, in the event that the number of directors to be elected to the Board of Directors of the corporation at the annual meeting is increased effective after the time period for which nominations would otherwise be due under Section 5(b)(iii) and there is no public announcement by the corporation naming the nominees for the additional directorships at least one hundred (100) days prior to the first anniversary of the preceding year’s annual meeting, a stockholder’s notice required by this Section 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82" w:lineRule="exact"/>
        <w:rPr>
          <w:rFonts w:ascii="Arial" w:cs="Arial" w:eastAsia="Arial" w:hAnsi="Arial"/>
          <w:sz w:val="19"/>
          <w:szCs w:val="19"/>
          <w:b w:val="1"/>
          <w:bCs w:val="1"/>
          <w:color w:val="auto"/>
        </w:rPr>
      </w:pPr>
    </w:p>
    <w:p>
      <w:pPr>
        <w:ind w:left="1260" w:hanging="459"/>
        <w:spacing w:after="0"/>
        <w:tabs>
          <w:tab w:leader="none" w:pos="1260" w:val="left"/>
        </w:tabs>
        <w:numPr>
          <w:ilvl w:val="0"/>
          <w:numId w:val="29"/>
        </w:numPr>
        <w:rPr>
          <w:rFonts w:ascii="Arial" w:cs="Arial" w:eastAsia="Arial" w:hAnsi="Arial"/>
          <w:sz w:val="19"/>
          <w:szCs w:val="19"/>
          <w:b w:val="1"/>
          <w:bCs w:val="1"/>
          <w:color w:val="auto"/>
        </w:rPr>
      </w:pPr>
      <w:r>
        <w:rPr>
          <w:rFonts w:ascii="Arial" w:cs="Arial" w:eastAsia="Arial" w:hAnsi="Arial"/>
          <w:sz w:val="19"/>
          <w:szCs w:val="19"/>
          <w:color w:val="auto"/>
        </w:rPr>
        <w:t>For purposes of Sections 5 and 6,</w:t>
      </w:r>
    </w:p>
    <w:p>
      <w:pPr>
        <w:spacing w:after="0" w:line="218" w:lineRule="exact"/>
        <w:rPr>
          <w:rFonts w:ascii="Arial" w:cs="Arial" w:eastAsia="Arial" w:hAnsi="Arial"/>
          <w:sz w:val="19"/>
          <w:szCs w:val="19"/>
          <w:b w:val="1"/>
          <w:bCs w:val="1"/>
          <w:color w:val="auto"/>
        </w:rPr>
      </w:pPr>
    </w:p>
    <w:p>
      <w:pPr>
        <w:ind w:firstLine="1278"/>
        <w:spacing w:after="0" w:line="278" w:lineRule="auto"/>
        <w:tabs>
          <w:tab w:leader="none" w:pos="1981" w:val="left"/>
        </w:tabs>
        <w:numPr>
          <w:ilvl w:val="1"/>
          <w:numId w:val="29"/>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affiliates</w:t>
      </w:r>
      <w:r>
        <w:rPr>
          <w:rFonts w:ascii="Arial" w:cs="Arial" w:eastAsia="Arial" w:hAnsi="Arial"/>
          <w:sz w:val="19"/>
          <w:szCs w:val="19"/>
          <w:color w:val="auto"/>
        </w:rPr>
        <w:t>” and “</w:t>
      </w:r>
      <w:r>
        <w:rPr>
          <w:rFonts w:ascii="Arial" w:cs="Arial" w:eastAsia="Arial" w:hAnsi="Arial"/>
          <w:sz w:val="19"/>
          <w:szCs w:val="19"/>
          <w:b w:val="1"/>
          <w:bCs w:val="1"/>
          <w:i w:val="1"/>
          <w:iCs w:val="1"/>
          <w:color w:val="auto"/>
        </w:rPr>
        <w:t>associates</w:t>
      </w:r>
      <w:r>
        <w:rPr>
          <w:rFonts w:ascii="Arial" w:cs="Arial" w:eastAsia="Arial" w:hAnsi="Arial"/>
          <w:sz w:val="19"/>
          <w:szCs w:val="19"/>
          <w:color w:val="auto"/>
        </w:rPr>
        <w:t>” shall have the meanings set forth in Rule 405 under the Securities Act of 1933, as amended (the “</w:t>
      </w:r>
      <w:r>
        <w:rPr>
          <w:rFonts w:ascii="Arial" w:cs="Arial" w:eastAsia="Arial" w:hAnsi="Arial"/>
          <w:sz w:val="19"/>
          <w:szCs w:val="19"/>
          <w:b w:val="1"/>
          <w:bCs w:val="1"/>
          <w:i w:val="1"/>
          <w:iCs w:val="1"/>
          <w:color w:val="auto"/>
        </w:rPr>
        <w:t>1933 Act</w:t>
      </w:r>
      <w:r>
        <w:rPr>
          <w:rFonts w:ascii="Arial" w:cs="Arial" w:eastAsia="Arial" w:hAnsi="Arial"/>
          <w:sz w:val="19"/>
          <w:szCs w:val="19"/>
          <w:color w:val="auto"/>
        </w:rPr>
        <w:t>”);</w:t>
      </w:r>
    </w:p>
    <w:p>
      <w:pPr>
        <w:spacing w:after="0" w:line="156" w:lineRule="exact"/>
        <w:rPr>
          <w:rFonts w:ascii="Arial" w:cs="Arial" w:eastAsia="Arial" w:hAnsi="Arial"/>
          <w:sz w:val="19"/>
          <w:szCs w:val="19"/>
          <w:b w:val="1"/>
          <w:bCs w:val="1"/>
          <w:color w:val="auto"/>
        </w:rPr>
      </w:pPr>
    </w:p>
    <w:p>
      <w:pPr>
        <w:ind w:left="1920" w:hanging="642"/>
        <w:spacing w:after="0"/>
        <w:tabs>
          <w:tab w:leader="none" w:pos="1920"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Saturday, Sunday or a day on which banks are closed in New York City,</w:t>
      </w:r>
    </w:p>
    <w:p>
      <w:pPr>
        <w:spacing w:after="0" w:line="3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9"/>
          <w:szCs w:val="19"/>
          <w:color w:val="auto"/>
        </w:rPr>
        <w:t>New York.</w:t>
      </w:r>
    </w:p>
    <w:p>
      <w:pPr>
        <w:spacing w:after="0" w:line="202" w:lineRule="exact"/>
        <w:rPr>
          <w:rFonts w:ascii="Arial" w:cs="Arial" w:eastAsia="Arial" w:hAnsi="Arial"/>
          <w:sz w:val="18"/>
          <w:szCs w:val="18"/>
          <w:b w:val="1"/>
          <w:bCs w:val="1"/>
          <w:color w:val="auto"/>
        </w:rPr>
      </w:pPr>
    </w:p>
    <w:p>
      <w:pPr>
        <w:jc w:val="both"/>
        <w:ind w:firstLine="1278"/>
        <w:spacing w:after="0" w:line="266" w:lineRule="auto"/>
        <w:tabs>
          <w:tab w:leader="none" w:pos="1908"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Derivative Transaction</w:t>
      </w:r>
      <w:r>
        <w:rPr>
          <w:rFonts w:ascii="Arial" w:cs="Arial" w:eastAsia="Arial" w:hAnsi="Arial"/>
          <w:sz w:val="18"/>
          <w:szCs w:val="18"/>
          <w:color w:val="auto"/>
        </w:rPr>
        <w:t>” means any agreement, arrangement, interest or understanding entered into by, or on behalf or for the benefit of, any Proponent or any of its affiliates or associates, whether record or beneficial: (A) the value of which is derived in whole or in part from the value of any class or series of shares or other securities of the corporation; (B) that otherwise provides any direct or indirect opportunity to gain or share in any gain derived from a change in the value of securities of the corporation; (C) the effect or intent of which is to mitigate loss, manage risk or benefit of security value or price changes; or (D) that provides the right to vote or increase or decrease the voting power of, such Proponent, or any of its affiliates or associates, with respect to any securities of the corporation,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395" w:right="339" w:bottom="1440" w:gutter="0" w:footer="0" w:header="0"/>
        </w:sectPr>
      </w:pPr>
    </w:p>
    <w:bookmarkStart w:id="56" w:name="page57"/>
    <w:bookmarkEnd w:id="56"/>
    <w:p>
      <w:pPr>
        <w:spacing w:after="0" w:line="307" w:lineRule="auto"/>
        <w:rPr>
          <w:sz w:val="20"/>
          <w:szCs w:val="20"/>
          <w:color w:val="auto"/>
        </w:rPr>
      </w:pPr>
      <w:r>
        <w:rPr>
          <w:rFonts w:ascii="Arial" w:cs="Arial" w:eastAsia="Arial" w:hAnsi="Arial"/>
          <w:sz w:val="18"/>
          <w:szCs w:val="18"/>
          <w:color w:val="auto"/>
        </w:rPr>
        <w:t>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33" w:lineRule="exact"/>
        <w:rPr>
          <w:sz w:val="20"/>
          <w:szCs w:val="20"/>
          <w:color w:val="auto"/>
        </w:rPr>
      </w:pPr>
    </w:p>
    <w:p>
      <w:pPr>
        <w:jc w:val="both"/>
        <w:ind w:firstLine="1278"/>
        <w:spacing w:after="0" w:line="276" w:lineRule="auto"/>
        <w:tabs>
          <w:tab w:leader="none" w:pos="1897"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shall mean disclosure in a press release reported by the Dow Jones Newswires, Associated 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Section 6.  Special Meetings.</w:t>
      </w:r>
    </w:p>
    <w:p>
      <w:pPr>
        <w:spacing w:after="0" w:line="225" w:lineRule="exact"/>
        <w:rPr>
          <w:sz w:val="20"/>
          <w:szCs w:val="20"/>
          <w:color w:val="auto"/>
        </w:rPr>
      </w:pPr>
    </w:p>
    <w:p>
      <w:pPr>
        <w:jc w:val="both"/>
        <w:ind w:firstLine="801"/>
        <w:spacing w:after="0" w:line="263" w:lineRule="auto"/>
        <w:tabs>
          <w:tab w:leader="none" w:pos="1260"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Special meetings of the stockholders of the corporation may be called, for any purpose as is a proper matter for stockholder action under Delaware law, by (i) the Chairperson of the Board of Directors, (ii) the Chief Executive Officer, or (iii) the Board of Directors pursuant to a resolution adopted by the Board of Directors.</w:t>
      </w:r>
    </w:p>
    <w:p>
      <w:pPr>
        <w:spacing w:after="0" w:line="169" w:lineRule="exact"/>
        <w:rPr>
          <w:rFonts w:ascii="Arial" w:cs="Arial" w:eastAsia="Arial" w:hAnsi="Arial"/>
          <w:sz w:val="19"/>
          <w:szCs w:val="19"/>
          <w:b w:val="1"/>
          <w:bCs w:val="1"/>
          <w:color w:val="auto"/>
        </w:rPr>
      </w:pPr>
    </w:p>
    <w:p>
      <w:pPr>
        <w:jc w:val="both"/>
        <w:ind w:firstLine="801"/>
        <w:spacing w:after="0" w:line="255" w:lineRule="auto"/>
        <w:tabs>
          <w:tab w:leader="none" w:pos="1271"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For a special meeting called pursuant to Section 6(a), the person(s) calling the meeting shall determine the time and place, if any, of the meeting; provided, however, that only the Board of Directors or a duly authorized committee thereof may authorize a meeting solely by means of remote communication. Upon determination of the time and place, if any, of the meeting, the Secretary shall cause a notice of meeting to be given to the stockholders entitled to vote, in accordance with the provisions of Section 7. No business may be transacted at a special meeting otherwise than as specified in the notice of meeting.</w:t>
      </w:r>
    </w:p>
    <w:p>
      <w:pPr>
        <w:spacing w:after="0" w:line="177" w:lineRule="exact"/>
        <w:rPr>
          <w:rFonts w:ascii="Arial" w:cs="Arial" w:eastAsia="Arial" w:hAnsi="Arial"/>
          <w:sz w:val="19"/>
          <w:szCs w:val="19"/>
          <w:b w:val="1"/>
          <w:bCs w:val="1"/>
          <w:color w:val="auto"/>
        </w:rPr>
      </w:pPr>
    </w:p>
    <w:p>
      <w:pPr>
        <w:jc w:val="both"/>
        <w:ind w:firstLine="801"/>
        <w:spacing w:after="0" w:line="274" w:lineRule="auto"/>
        <w:tabs>
          <w:tab w:leader="none" w:pos="1262"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at the time of giving notice provided for in this paragraph, who is entitled to vote at the meeting and who delivers written notice to the Secretary of the corporation setting forth the information required by Section 5(b)(i) and the information required by Section 5(b)(iv).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5(b)(i) and the information required by Section 5(b)(iv) shall be received by the Secretary at the principal executive offices of the corporation not later than the close of business on the later of the 90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prior to such meeting or the 10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the day on which the corporation first makes a public announcement of the date of the special meeting at which directors are to be elected. The stockholder shall also update and supplement such information as required under Section 5(c). In no event shall an adjournment of a special meeting for which notice has been given, or the public announcement thereof has been made, commence a new time period for the giving of a stockholder’s notice as described above.</w:t>
      </w:r>
    </w:p>
    <w:p>
      <w:pPr>
        <w:spacing w:after="0" w:line="171" w:lineRule="exact"/>
        <w:rPr>
          <w:rFonts w:ascii="Arial" w:cs="Arial" w:eastAsia="Arial" w:hAnsi="Arial"/>
          <w:sz w:val="17"/>
          <w:szCs w:val="17"/>
          <w:b w:val="1"/>
          <w:bCs w:val="1"/>
          <w:color w:val="auto"/>
        </w:rPr>
      </w:pPr>
    </w:p>
    <w:p>
      <w:pPr>
        <w:jc w:val="both"/>
        <w:ind w:firstLine="801"/>
        <w:spacing w:after="0" w:line="257" w:lineRule="auto"/>
        <w:tabs>
          <w:tab w:leader="none" w:pos="1271"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A person shall not be eligible for election or re-election as a director unless the person is nominated either in accordance with clause (ii) or clause (iii) of Section 5(a). Except as otherwise required by law, the Chairperson of the meeting shall have the power and duty to determine whether a nomination was made in accordance with the procedures set forth in these Bylaws and, if any nomination or business is not in compliance with these Bylaws, to declare that such nomination shall not be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395" w:right="339" w:bottom="1440" w:gutter="0" w:footer="0" w:header="0"/>
        </w:sectPr>
      </w:pPr>
    </w:p>
    <w:bookmarkStart w:id="57" w:name="page58"/>
    <w:bookmarkEnd w:id="57"/>
    <w:p>
      <w:pPr>
        <w:spacing w:after="0" w:line="278" w:lineRule="auto"/>
        <w:rPr>
          <w:sz w:val="20"/>
          <w:szCs w:val="20"/>
          <w:color w:val="auto"/>
        </w:rPr>
      </w:pPr>
      <w:r>
        <w:rPr>
          <w:rFonts w:ascii="Arial" w:cs="Arial" w:eastAsia="Arial" w:hAnsi="Arial"/>
          <w:sz w:val="19"/>
          <w:szCs w:val="19"/>
          <w:color w:val="auto"/>
        </w:rPr>
        <w:t>for stockholder action at the meeting and shall be disregarded, notwithstanding that proxies in respect of such nomination may have been solicited or received.</w:t>
      </w:r>
    </w:p>
    <w:p>
      <w:pPr>
        <w:spacing w:after="0" w:line="156" w:lineRule="exact"/>
        <w:rPr>
          <w:sz w:val="20"/>
          <w:szCs w:val="20"/>
          <w:color w:val="auto"/>
        </w:rPr>
      </w:pPr>
    </w:p>
    <w:p>
      <w:pPr>
        <w:jc w:val="both"/>
        <w:ind w:firstLine="801"/>
        <w:spacing w:after="0" w:line="253" w:lineRule="auto"/>
        <w:tabs>
          <w:tab w:leader="none" w:pos="1262" w:val="left"/>
        </w:tabs>
        <w:numPr>
          <w:ilvl w:val="0"/>
          <w:numId w:val="32"/>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references in these Bylaws to the 1934 Act or the rules and regulations thereunder are not intended to and shall not limit the requirements applicable to nominations for the election to the Board of Directors or proposals of other businesses to be considered pursuant to Section 6(c).</w:t>
      </w:r>
    </w:p>
    <w:p>
      <w:pPr>
        <w:spacing w:after="0" w:line="176"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b w:val="1"/>
          <w:bCs w:val="1"/>
          <w:color w:val="auto"/>
        </w:rPr>
        <w:t xml:space="preserve">Section 7. Notice of Meetings. </w:t>
      </w:r>
      <w:r>
        <w:rPr>
          <w:rFonts w:ascii="Arial" w:cs="Arial" w:eastAsia="Arial" w:hAnsi="Arial"/>
          <w:sz w:val="17"/>
          <w:szCs w:val="17"/>
          <w:color w:val="auto"/>
        </w:rPr>
        <w:t>Except as otherwise provided by law, notice, given in writing or by electronic transmission,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stockholders shall be given not fewer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given when deposited in the United States mail, postage prepaid, directed to the stockholder at such stockholder’s address as it appears on the records of the corporation. If sent via electronic transmission, notice is given when directed to such stockholder’s electronic mail address.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color w:val="auto"/>
        </w:rPr>
        <w:t xml:space="preserve">Section 8. Quorum. </w:t>
      </w:r>
      <w:r>
        <w:rPr>
          <w:rFonts w:ascii="Arial" w:cs="Arial" w:eastAsia="Arial" w:hAnsi="Arial"/>
          <w:sz w:val="18"/>
          <w:szCs w:val="18"/>
          <w:color w:val="auto"/>
        </w:rPr>
        <w:t>At all meetings of stockholders, except where otherwise provided by statute or by the Certificate of Incorporation,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by these Bylaws, the presence, in person, by remote communication, if applicable, or by proxy duly authorized, of the holders of a majority of the voting power of the outstanding shares of stock entitled to vote at the meeting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by applicable stock exchange rules or by the Certificate of Incorporation or these Bylaws, a majority of the voting power of the outstanding shares of such class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395" w:right="339" w:bottom="1440" w:gutter="0" w:footer="0" w:header="0"/>
        </w:sectPr>
      </w:pPr>
    </w:p>
    <w:bookmarkStart w:id="58" w:name="page59"/>
    <w:bookmarkEnd w:id="58"/>
    <w:p>
      <w:pPr>
        <w:jc w:val="both"/>
        <w:spacing w:after="0" w:line="255" w:lineRule="auto"/>
        <w:rPr>
          <w:sz w:val="20"/>
          <w:szCs w:val="20"/>
          <w:color w:val="auto"/>
        </w:rPr>
      </w:pPr>
      <w:r>
        <w:rPr>
          <w:rFonts w:ascii="Arial" w:cs="Arial" w:eastAsia="Arial" w:hAnsi="Arial"/>
          <w:sz w:val="19"/>
          <w:szCs w:val="19"/>
          <w:color w:val="auto"/>
        </w:rPr>
        <w:t>classes or series, present in person, by remote communication, if applicable, or represented by proxy duly authorized, shall constitute a quorum entitled to take action with respect to that vote on that matter. Except where otherwise provided by statute, by applicable stock exchange rules or by the Certificate of Incorporation or these Bylaws, the affirmative vote of the holders of a majority (plurality, in the case of the election of directors) of voting power of such class or classes or series present in person, by remote communication, if applicable, or represented by proxy at the meeting shall be the act of such class or classes or series.</w:t>
      </w:r>
    </w:p>
    <w:p>
      <w:pPr>
        <w:spacing w:after="0" w:line="17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8"/>
          <w:szCs w:val="18"/>
          <w:b w:val="1"/>
          <w:bCs w:val="1"/>
          <w:color w:val="auto"/>
        </w:rPr>
        <w:t xml:space="preserve">Section 9. Adjournment and Notice of Adjourned Meetings. </w:t>
      </w:r>
      <w:r>
        <w:rPr>
          <w:rFonts w:ascii="Arial" w:cs="Arial" w:eastAsia="Arial" w:hAnsi="Arial"/>
          <w:sz w:val="18"/>
          <w:szCs w:val="18"/>
          <w:color w:val="auto"/>
        </w:rPr>
        <w:t>Any meeting of stockholders, whether annual or special, may be adjourned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either by the person(s) who called the meeting or the Chairperson of the meeting, or by the vote of the holders of a majority of the voting power of the shares present in person, by remote communication, if applicable, or represented by proxy duly authorized at the meeting and entitled to vote thereon. When a meeting is adjourned to another time or place, if any, notice need not be given of the adjourned meeting if the time and place, if any, thereof are announced at the meeting at which the adjournment is taken. 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6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9"/>
          <w:szCs w:val="19"/>
          <w:b w:val="1"/>
          <w:bCs w:val="1"/>
          <w:color w:val="auto"/>
        </w:rPr>
        <w:t xml:space="preserve">Section 10. Voting Rights. </w:t>
      </w:r>
      <w:r>
        <w:rPr>
          <w:rFonts w:ascii="Arial" w:cs="Arial" w:eastAsia="Arial" w:hAnsi="Arial"/>
          <w:sz w:val="19"/>
          <w:szCs w:val="19"/>
          <w:color w:val="auto"/>
        </w:rPr>
        <w:t>For the purpose of determining those stockholders entitled to vote at any meeting of the stockholders,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provided by law, only persons in whose names shares stand on the stock records of the corporation on the record date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years from its date of creation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w:t>
      </w:r>
    </w:p>
    <w:p>
      <w:pPr>
        <w:spacing w:after="0" w:line="175"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7"/>
          <w:szCs w:val="17"/>
          <w:b w:val="1"/>
          <w:bCs w:val="1"/>
          <w:color w:val="auto"/>
        </w:rPr>
        <w:t xml:space="preserve">Section 11. Joint Owners of Stock. </w:t>
      </w:r>
      <w:r>
        <w:rPr>
          <w:rFonts w:ascii="Arial" w:cs="Arial" w:eastAsia="Arial" w:hAnsi="Arial"/>
          <w:sz w:val="17"/>
          <w:szCs w:val="17"/>
          <w:color w:val="auto"/>
        </w:rPr>
        <w:t>If shares or other securities having voting power stand of record in the names of two or more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w:t>
      </w:r>
    </w:p>
    <w:p>
      <w:pPr>
        <w:spacing w:after="0" w:line="4" w:lineRule="exact"/>
        <w:rPr>
          <w:sz w:val="20"/>
          <w:szCs w:val="20"/>
          <w:color w:val="auto"/>
        </w:rPr>
      </w:pPr>
    </w:p>
    <w:p>
      <w:pPr>
        <w:jc w:val="both"/>
        <w:ind w:firstLine="6"/>
        <w:spacing w:after="0" w:line="252" w:lineRule="auto"/>
        <w:tabs>
          <w:tab w:leader="none" w:pos="264" w:val="left"/>
        </w:tabs>
        <w:numPr>
          <w:ilvl w:val="0"/>
          <w:numId w:val="33"/>
        </w:numPr>
        <w:rPr>
          <w:rFonts w:ascii="Arial" w:cs="Arial" w:eastAsia="Arial" w:hAnsi="Arial"/>
          <w:sz w:val="19"/>
          <w:szCs w:val="19"/>
          <w:color w:val="auto"/>
        </w:rPr>
      </w:pPr>
      <w:r>
        <w:rPr>
          <w:rFonts w:ascii="Arial" w:cs="Arial" w:eastAsia="Arial" w:hAnsi="Arial"/>
          <w:sz w:val="19"/>
          <w:szCs w:val="19"/>
          <w:color w:val="auto"/>
        </w:rPr>
        <w:t>if more than one votes, but the vote is evenly split on any particular matter, each faction may vote the securities in question proportionally, or may apply to the Delaware Court of Chancery for relief as provided in DGCL Section 217(b). If the instrument filed with the Secretary shows that any such tenancy is held in unequal interests, a majority or even-split for the purpose of subsection (c) shall be a majority or even-split in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395" w:right="339" w:bottom="1440" w:gutter="0" w:footer="0" w:header="0"/>
        </w:sectPr>
      </w:pPr>
    </w:p>
    <w:bookmarkStart w:id="59" w:name="page60"/>
    <w:bookmarkEnd w:id="59"/>
    <w:p>
      <w:pPr>
        <w:jc w:val="both"/>
        <w:ind w:firstLine="318"/>
        <w:spacing w:after="0" w:line="252" w:lineRule="auto"/>
        <w:rPr>
          <w:sz w:val="20"/>
          <w:szCs w:val="20"/>
          <w:color w:val="auto"/>
        </w:rPr>
      </w:pPr>
      <w:r>
        <w:rPr>
          <w:rFonts w:ascii="Arial" w:cs="Arial" w:eastAsia="Arial" w:hAnsi="Arial"/>
          <w:sz w:val="19"/>
          <w:szCs w:val="19"/>
          <w:b w:val="1"/>
          <w:bCs w:val="1"/>
          <w:color w:val="auto"/>
        </w:rPr>
        <w:t xml:space="preserve">Section 12. List of Stockholders. </w:t>
      </w:r>
      <w:r>
        <w:rPr>
          <w:rFonts w:ascii="Arial" w:cs="Arial" w:eastAsia="Arial" w:hAnsi="Arial"/>
          <w:sz w:val="19"/>
          <w:szCs w:val="19"/>
          <w:color w:val="auto"/>
        </w:rPr>
        <w:t>The corporation shall prepare, at least ten days before every meeting of stockholders, a complete list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stockholders entitled to vote at said meeting, arranged in alphabetical order, showing the address of each stockholder and the number and class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7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9"/>
          <w:szCs w:val="19"/>
          <w:b w:val="1"/>
          <w:bCs w:val="1"/>
          <w:color w:val="auto"/>
        </w:rPr>
        <w:t xml:space="preserve">Section 13. Action without Meeting. </w:t>
      </w:r>
      <w:r>
        <w:rPr>
          <w:rFonts w:ascii="Arial" w:cs="Arial" w:eastAsia="Arial" w:hAnsi="Arial"/>
          <w:sz w:val="19"/>
          <w:szCs w:val="19"/>
          <w:color w:val="auto"/>
        </w:rPr>
        <w:t>Any action required or permitted to be taken at any annual or special meeting of stockholders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may be taken without a meeting, without prior notice and without a vote only to the extent permitted by and in the manner provided in the Certificate of Incorporation and in accordance with applicable law.</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Section 14. Organization.</w:t>
      </w:r>
    </w:p>
    <w:p>
      <w:pPr>
        <w:spacing w:after="0" w:line="225" w:lineRule="exact"/>
        <w:rPr>
          <w:sz w:val="20"/>
          <w:szCs w:val="20"/>
          <w:color w:val="auto"/>
        </w:rPr>
      </w:pPr>
    </w:p>
    <w:p>
      <w:pPr>
        <w:jc w:val="both"/>
        <w:ind w:firstLine="801"/>
        <w:spacing w:after="0" w:line="252" w:lineRule="auto"/>
        <w:tabs>
          <w:tab w:leader="none" w:pos="1260" w:val="left"/>
        </w:tabs>
        <w:numPr>
          <w:ilvl w:val="0"/>
          <w:numId w:val="34"/>
        </w:numPr>
        <w:rPr>
          <w:rFonts w:ascii="Arial" w:cs="Arial" w:eastAsia="Arial" w:hAnsi="Arial"/>
          <w:sz w:val="19"/>
          <w:szCs w:val="19"/>
          <w:b w:val="1"/>
          <w:bCs w:val="1"/>
          <w:color w:val="auto"/>
        </w:rPr>
      </w:pPr>
      <w:r>
        <w:rPr>
          <w:rFonts w:ascii="Arial" w:cs="Arial" w:eastAsia="Arial" w:hAnsi="Arial"/>
          <w:sz w:val="19"/>
          <w:szCs w:val="19"/>
          <w:color w:val="auto"/>
        </w:rPr>
        <w:t>At every meeting of stockholders, the Chairperson of the Board of Directors, or, if a Chairperson has not been appointed, is absent or refuses to act, the Chief Executive Officer, or, if no Chief Executive Officer is then serving, is absent or refuses to act, the President, or, if the President is absent or refuses to act, a Chairperson of the meeting designated by the Board of Directors, or, if the Board of Directors does not designate such Chairperson, a Chairperson chosen by a majority of the voting power of the stockholders entitled to vote, present in person or by proxy duly authorized, shall act as Chairperson. The Chairperson of the Board may appoint the Chief Executive Officer as Chairperson of the meeting. The Secretary, or, in his or her absence, an Assistant Secretary directed to do so by the Chairperson of the meeting, shall act as secretary of the meeting.</w:t>
      </w:r>
    </w:p>
    <w:p>
      <w:pPr>
        <w:spacing w:after="0" w:line="182" w:lineRule="exact"/>
        <w:rPr>
          <w:rFonts w:ascii="Arial" w:cs="Arial" w:eastAsia="Arial" w:hAnsi="Arial"/>
          <w:sz w:val="19"/>
          <w:szCs w:val="19"/>
          <w:b w:val="1"/>
          <w:bCs w:val="1"/>
          <w:color w:val="auto"/>
        </w:rPr>
      </w:pPr>
    </w:p>
    <w:p>
      <w:pPr>
        <w:jc w:val="both"/>
        <w:ind w:firstLine="801"/>
        <w:spacing w:after="0" w:line="265" w:lineRule="auto"/>
        <w:tabs>
          <w:tab w:leader="none" w:pos="1271"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389"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9"/>
          <w:szCs w:val="19"/>
          <w:b w:val="1"/>
          <w:bCs w:val="1"/>
          <w:color w:val="auto"/>
        </w:rPr>
        <w:t>ARTICLE IV</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DIRECTORS</w:t>
      </w:r>
    </w:p>
    <w:p>
      <w:pPr>
        <w:spacing w:after="0" w:line="245"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9"/>
          <w:szCs w:val="19"/>
          <w:b w:val="1"/>
          <w:bCs w:val="1"/>
          <w:color w:val="auto"/>
        </w:rPr>
        <w:t xml:space="preserve">Section 15. Number and Term of Office. </w:t>
      </w:r>
      <w:r>
        <w:rPr>
          <w:rFonts w:ascii="Arial" w:cs="Arial" w:eastAsia="Arial" w:hAnsi="Arial"/>
          <w:sz w:val="19"/>
          <w:szCs w:val="19"/>
          <w:color w:val="auto"/>
        </w:rPr>
        <w:t>The authorized number of directors of the corporation shall be fixed in accordance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 of Incorporation. Directors need not be stockholders.</w:t>
      </w:r>
    </w:p>
    <w:p>
      <w:pPr>
        <w:spacing w:after="0" w:line="144"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9"/>
          <w:szCs w:val="19"/>
          <w:b w:val="1"/>
          <w:bCs w:val="1"/>
          <w:color w:val="auto"/>
        </w:rPr>
        <w:t xml:space="preserve">Section 16. Powers. </w:t>
      </w:r>
      <w:r>
        <w:rPr>
          <w:rFonts w:ascii="Arial" w:cs="Arial" w:eastAsia="Arial" w:hAnsi="Arial"/>
          <w:sz w:val="19"/>
          <w:szCs w:val="19"/>
          <w:color w:val="auto"/>
        </w:rPr>
        <w:t>Except as otherwise provided in the Certificate of Incorporation or the DGCL, the business and affairs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shall be managed by or under the direction of the Board of Directors.</w:t>
      </w:r>
    </w:p>
    <w:p>
      <w:pPr>
        <w:spacing w:after="0" w:line="144"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9"/>
          <w:szCs w:val="19"/>
          <w:b w:val="1"/>
          <w:bCs w:val="1"/>
          <w:color w:val="auto"/>
        </w:rPr>
        <w:t xml:space="preserve">Section 17. Classes of Directors. </w:t>
      </w:r>
      <w:r>
        <w:rPr>
          <w:rFonts w:ascii="Arial" w:cs="Arial" w:eastAsia="Arial" w:hAnsi="Arial"/>
          <w:sz w:val="19"/>
          <w:szCs w:val="19"/>
          <w:color w:val="auto"/>
        </w:rPr>
        <w:t>The directors shall be divided into classes as and to the extent provided in the Certificate of</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Incorporation, except as otherwise required by applicable law.</w:t>
      </w:r>
    </w:p>
    <w:p>
      <w:pPr>
        <w:spacing w:after="0" w:line="144"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9"/>
          <w:szCs w:val="19"/>
          <w:b w:val="1"/>
          <w:bCs w:val="1"/>
          <w:color w:val="auto"/>
        </w:rPr>
        <w:t xml:space="preserve">Section 18. Vacancies. </w:t>
      </w:r>
      <w:r>
        <w:rPr>
          <w:rFonts w:ascii="Arial" w:cs="Arial" w:eastAsia="Arial" w:hAnsi="Arial"/>
          <w:sz w:val="19"/>
          <w:szCs w:val="19"/>
          <w:color w:val="auto"/>
        </w:rPr>
        <w:t>Vacancies on the Board of Directors shall be filled as provided in the Certificate of Incorporation,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required by applicable law.</w:t>
      </w:r>
    </w:p>
    <w:p>
      <w:pPr>
        <w:spacing w:after="0" w:line="144"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9"/>
          <w:szCs w:val="19"/>
          <w:b w:val="1"/>
          <w:bCs w:val="1"/>
          <w:color w:val="auto"/>
        </w:rPr>
        <w:t xml:space="preserve">Section 19. Resignation. </w:t>
      </w:r>
      <w:r>
        <w:rPr>
          <w:rFonts w:ascii="Arial" w:cs="Arial" w:eastAsia="Arial" w:hAnsi="Arial"/>
          <w:sz w:val="19"/>
          <w:szCs w:val="19"/>
          <w:color w:val="auto"/>
        </w:rPr>
        <w:t>Any director may resign at any time by delivering his or her notice in writing or by electronic transmission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Secretary, such resignation to specify whether it will be effective at a particular time. If no such specification is made, the resignation shall be effective at the time of delivery of the resignation to the Secretary.</w:t>
      </w:r>
    </w:p>
    <w:p>
      <w:pPr>
        <w:spacing w:after="0" w:line="161"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9"/>
          <w:szCs w:val="19"/>
          <w:b w:val="1"/>
          <w:bCs w:val="1"/>
          <w:color w:val="auto"/>
        </w:rPr>
        <w:t xml:space="preserve">Section 20. Removal. </w:t>
      </w:r>
      <w:r>
        <w:rPr>
          <w:rFonts w:ascii="Arial" w:cs="Arial" w:eastAsia="Arial" w:hAnsi="Arial"/>
          <w:sz w:val="19"/>
          <w:szCs w:val="19"/>
          <w:color w:val="auto"/>
        </w:rPr>
        <w:t>Subject to the rights of holders of any series of Preferred Stock to elect additional directors under specified</w:t>
      </w:r>
      <w:r>
        <w:rPr>
          <w:rFonts w:ascii="Arial" w:cs="Arial" w:eastAsia="Arial" w:hAnsi="Arial"/>
          <w:sz w:val="19"/>
          <w:szCs w:val="19"/>
          <w:b w:val="1"/>
          <w:bCs w:val="1"/>
          <w:color w:val="auto"/>
        </w:rPr>
        <w:t xml:space="preserve"> </w:t>
      </w:r>
      <w:r>
        <w:rPr>
          <w:rFonts w:ascii="Arial" w:cs="Arial" w:eastAsia="Arial" w:hAnsi="Arial"/>
          <w:sz w:val="19"/>
          <w:szCs w:val="19"/>
          <w:color w:val="auto"/>
        </w:rPr>
        <w:t>circumstances, neither the Board of Directors nor any individual director may be removed except in the manner specified in Section 141 of the DGCL.</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Section 21. Meetings.</w:t>
      </w:r>
    </w:p>
    <w:p>
      <w:pPr>
        <w:spacing w:after="0" w:line="219" w:lineRule="exact"/>
        <w:rPr>
          <w:sz w:val="20"/>
          <w:szCs w:val="20"/>
          <w:color w:val="auto"/>
        </w:rPr>
      </w:pPr>
    </w:p>
    <w:p>
      <w:pPr>
        <w:jc w:val="both"/>
        <w:ind w:firstLine="801"/>
        <w:spacing w:after="0" w:line="256" w:lineRule="auto"/>
        <w:tabs>
          <w:tab w:leader="none" w:pos="1260"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Regular Meetings. </w:t>
      </w:r>
      <w:r>
        <w:rPr>
          <w:rFonts w:ascii="Arial" w:cs="Arial" w:eastAsia="Arial" w:hAnsi="Arial"/>
          <w:sz w:val="19"/>
          <w:szCs w:val="19"/>
          <w:color w:val="auto"/>
        </w:rPr>
        <w:t>Unless otherwise restricted by the Certificate of Incorporation, regular meetings of the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may be 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172" w:lineRule="exact"/>
        <w:rPr>
          <w:rFonts w:ascii="Arial" w:cs="Arial" w:eastAsia="Arial" w:hAnsi="Arial"/>
          <w:sz w:val="19"/>
          <w:szCs w:val="19"/>
          <w:b w:val="1"/>
          <w:bCs w:val="1"/>
          <w:color w:val="auto"/>
        </w:rPr>
      </w:pPr>
    </w:p>
    <w:p>
      <w:pPr>
        <w:jc w:val="both"/>
        <w:ind w:firstLine="801"/>
        <w:spacing w:after="0" w:line="266" w:lineRule="auto"/>
        <w:tabs>
          <w:tab w:leader="none" w:pos="1271"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Special Meetings. </w:t>
      </w:r>
      <w:r>
        <w:rPr>
          <w:rFonts w:ascii="Arial" w:cs="Arial" w:eastAsia="Arial" w:hAnsi="Arial"/>
          <w:sz w:val="19"/>
          <w:szCs w:val="19"/>
          <w:color w:val="auto"/>
        </w:rPr>
        <w:t>Unless otherwise restricted by the Certificate of Incorporation, special meetings of the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may be held at any time and place within or without the State of Delaware whenever called by the Chairperson of the Board, the Chief Executive Officer or the Board of Directors.</w:t>
      </w:r>
    </w:p>
    <w:p>
      <w:pPr>
        <w:spacing w:after="0" w:line="161" w:lineRule="exact"/>
        <w:rPr>
          <w:rFonts w:ascii="Arial" w:cs="Arial" w:eastAsia="Arial" w:hAnsi="Arial"/>
          <w:sz w:val="19"/>
          <w:szCs w:val="19"/>
          <w:b w:val="1"/>
          <w:bCs w:val="1"/>
          <w:color w:val="auto"/>
        </w:rPr>
      </w:pPr>
    </w:p>
    <w:p>
      <w:pPr>
        <w:jc w:val="both"/>
        <w:ind w:firstLine="801"/>
        <w:spacing w:after="0" w:line="311" w:lineRule="auto"/>
        <w:tabs>
          <w:tab w:leader="none" w:pos="1262"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Meetings by Electronic Communications Equipment. </w:t>
      </w:r>
      <w:r>
        <w:rPr>
          <w:rFonts w:ascii="Arial" w:cs="Arial" w:eastAsia="Arial" w:hAnsi="Arial"/>
          <w:sz w:val="17"/>
          <w:szCs w:val="17"/>
          <w:color w:val="auto"/>
        </w:rPr>
        <w:t>Any member of the Board of Directors, or of any committee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may 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27" w:lineRule="exact"/>
        <w:rPr>
          <w:rFonts w:ascii="Arial" w:cs="Arial" w:eastAsia="Arial" w:hAnsi="Arial"/>
          <w:sz w:val="17"/>
          <w:szCs w:val="17"/>
          <w:b w:val="1"/>
          <w:bCs w:val="1"/>
          <w:color w:val="auto"/>
        </w:rPr>
      </w:pPr>
    </w:p>
    <w:p>
      <w:pPr>
        <w:jc w:val="both"/>
        <w:ind w:firstLine="801"/>
        <w:spacing w:after="0" w:line="287" w:lineRule="auto"/>
        <w:tabs>
          <w:tab w:leader="none" w:pos="1271"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Special Meetings. </w:t>
      </w:r>
      <w:r>
        <w:rPr>
          <w:rFonts w:ascii="Arial" w:cs="Arial" w:eastAsia="Arial" w:hAnsi="Arial"/>
          <w:sz w:val="18"/>
          <w:szCs w:val="18"/>
          <w:color w:val="auto"/>
        </w:rPr>
        <w:t>Notice of the time and place of all special meetings of the Board of Directors shall be given orally</w:t>
      </w:r>
      <w:r>
        <w:rPr>
          <w:rFonts w:ascii="Arial" w:cs="Arial" w:eastAsia="Arial" w:hAnsi="Arial"/>
          <w:sz w:val="18"/>
          <w:szCs w:val="18"/>
          <w:b w:val="1"/>
          <w:bCs w:val="1"/>
          <w:color w:val="auto"/>
        </w:rPr>
        <w:t xml:space="preserve"> </w:t>
      </w:r>
      <w:r>
        <w:rPr>
          <w:rFonts w:ascii="Arial" w:cs="Arial" w:eastAsia="Arial" w:hAnsi="Arial"/>
          <w:sz w:val="18"/>
          <w:szCs w:val="18"/>
          <w:color w:val="auto"/>
        </w:rPr>
        <w:t>or in writing, by telephone, including a voice messaging system or other system or technology designed to record and communicate messages, facsimile, telegraph or telex, or by electronic mail or other electronic means, during normal business hours, at least twenty-four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389" w:right="339" w:bottom="1440" w:gutter="0" w:footer="0" w:header="0"/>
        </w:sectPr>
      </w:pPr>
    </w:p>
    <w:bookmarkStart w:id="61" w:name="page62"/>
    <w:bookmarkEnd w:id="61"/>
    <w:p>
      <w:pPr>
        <w:jc w:val="both"/>
        <w:ind w:firstLine="6"/>
        <w:spacing w:after="0" w:line="297" w:lineRule="auto"/>
        <w:tabs>
          <w:tab w:leader="none" w:pos="373" w:val="left"/>
        </w:tabs>
        <w:numPr>
          <w:ilvl w:val="0"/>
          <w:numId w:val="36"/>
        </w:numPr>
        <w:rPr>
          <w:rFonts w:ascii="Arial" w:cs="Arial" w:eastAsia="Arial" w:hAnsi="Arial"/>
          <w:sz w:val="17"/>
          <w:szCs w:val="17"/>
          <w:color w:val="auto"/>
        </w:rPr>
      </w:pPr>
      <w:r>
        <w:rPr>
          <w:rFonts w:ascii="Arial" w:cs="Arial" w:eastAsia="Arial" w:hAnsi="Arial"/>
          <w:sz w:val="17"/>
          <w:szCs w:val="17"/>
          <w:color w:val="auto"/>
        </w:rPr>
        <w:t>hours before the date and time of the meeting. If notice is sent by U.S. mail, it shall be sent by first class mail, postage prepaid at least three days before the date of the meeting. Notice of any special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39" w:lineRule="exact"/>
        <w:rPr>
          <w:rFonts w:ascii="Arial" w:cs="Arial" w:eastAsia="Arial" w:hAnsi="Arial"/>
          <w:sz w:val="17"/>
          <w:szCs w:val="17"/>
          <w:color w:val="auto"/>
        </w:rPr>
      </w:pPr>
    </w:p>
    <w:p>
      <w:pPr>
        <w:jc w:val="both"/>
        <w:ind w:firstLine="801"/>
        <w:spacing w:after="0" w:line="253" w:lineRule="auto"/>
        <w:tabs>
          <w:tab w:leader="none" w:pos="1262" w:val="left"/>
        </w:tabs>
        <w:numPr>
          <w:ilvl w:val="1"/>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Waiver of Notice. </w:t>
      </w:r>
      <w:r>
        <w:rPr>
          <w:rFonts w:ascii="Arial" w:cs="Arial" w:eastAsia="Arial" w:hAnsi="Arial"/>
          <w:sz w:val="19"/>
          <w:szCs w:val="19"/>
          <w:color w:val="auto"/>
        </w:rPr>
        <w:t>The transaction of all business at any meeting of the Board of Directors, or any committee thereof, however</w:t>
      </w:r>
      <w:r>
        <w:rPr>
          <w:rFonts w:ascii="Arial" w:cs="Arial" w:eastAsia="Arial" w:hAnsi="Arial"/>
          <w:sz w:val="19"/>
          <w:szCs w:val="19"/>
          <w:b w:val="1"/>
          <w:bCs w:val="1"/>
          <w:color w:val="auto"/>
        </w:rPr>
        <w:t xml:space="preserve"> </w:t>
      </w:r>
      <w:r>
        <w:rPr>
          <w:rFonts w:ascii="Arial" w:cs="Arial" w:eastAsia="Arial" w:hAnsi="Arial"/>
          <w:sz w:val="19"/>
          <w:szCs w:val="19"/>
          <w:color w:val="auto"/>
        </w:rPr>
        <w:t>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 Notice of any meeting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Section 22. Quorum and Voting.</w:t>
      </w:r>
    </w:p>
    <w:p>
      <w:pPr>
        <w:spacing w:after="0" w:line="225" w:lineRule="exact"/>
        <w:rPr>
          <w:sz w:val="20"/>
          <w:szCs w:val="20"/>
          <w:color w:val="auto"/>
        </w:rPr>
      </w:pPr>
    </w:p>
    <w:p>
      <w:pPr>
        <w:jc w:val="both"/>
        <w:ind w:firstLine="801"/>
        <w:spacing w:after="0" w:line="255" w:lineRule="auto"/>
        <w:tabs>
          <w:tab w:leader="none" w:pos="1260" w:val="left"/>
        </w:tabs>
        <w:numPr>
          <w:ilvl w:val="0"/>
          <w:numId w:val="37"/>
        </w:numPr>
        <w:rPr>
          <w:rFonts w:ascii="Arial" w:cs="Arial" w:eastAsia="Arial" w:hAnsi="Arial"/>
          <w:sz w:val="19"/>
          <w:szCs w:val="19"/>
          <w:b w:val="1"/>
          <w:bCs w:val="1"/>
          <w:color w:val="auto"/>
        </w:rPr>
      </w:pPr>
      <w:r>
        <w:rPr>
          <w:rFonts w:ascii="Arial" w:cs="Arial" w:eastAsia="Arial" w:hAnsi="Arial"/>
          <w:sz w:val="19"/>
          <w:szCs w:val="19"/>
          <w:color w:val="auto"/>
        </w:rPr>
        <w:t xml:space="preserve">Unless the Certificate of Incorporation requires a greater number, a quorum of the Board of Directors shall consist of a majority of the directors currently serving on the Board of Directors in accordance with the Certificate of Incorporation (but in no event less than one third of the total authorized number of directors);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77" w:lineRule="exact"/>
        <w:rPr>
          <w:rFonts w:ascii="Arial" w:cs="Arial" w:eastAsia="Arial" w:hAnsi="Arial"/>
          <w:sz w:val="19"/>
          <w:szCs w:val="19"/>
          <w:b w:val="1"/>
          <w:bCs w:val="1"/>
          <w:color w:val="auto"/>
        </w:rPr>
      </w:pPr>
    </w:p>
    <w:p>
      <w:pPr>
        <w:jc w:val="both"/>
        <w:ind w:firstLine="801"/>
        <w:spacing w:after="0" w:line="263" w:lineRule="auto"/>
        <w:tabs>
          <w:tab w:leader="none" w:pos="1271" w:val="left"/>
        </w:tabs>
        <w:numPr>
          <w:ilvl w:val="0"/>
          <w:numId w:val="37"/>
        </w:numPr>
        <w:rPr>
          <w:rFonts w:ascii="Arial" w:cs="Arial" w:eastAsia="Arial" w:hAnsi="Arial"/>
          <w:sz w:val="19"/>
          <w:szCs w:val="19"/>
          <w:b w:val="1"/>
          <w:bCs w:val="1"/>
          <w:color w:val="auto"/>
        </w:rPr>
      </w:pPr>
      <w:r>
        <w:rPr>
          <w:rFonts w:ascii="Arial" w:cs="Arial" w:eastAsia="Arial" w:hAnsi="Arial"/>
          <w:sz w:val="19"/>
          <w:szCs w:val="19"/>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6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9"/>
          <w:szCs w:val="19"/>
          <w:b w:val="1"/>
          <w:bCs w:val="1"/>
          <w:color w:val="auto"/>
        </w:rPr>
        <w:t xml:space="preserve">Section 23. Action without Meeting. </w:t>
      </w:r>
      <w:r>
        <w:rPr>
          <w:rFonts w:ascii="Arial" w:cs="Arial" w:eastAsia="Arial" w:hAnsi="Arial"/>
          <w:sz w:val="19"/>
          <w:szCs w:val="19"/>
          <w:color w:val="auto"/>
        </w:rPr>
        <w:t>Unless otherwise restricted by the Certificate of Incorporation or these Bylaws, any action required</w:t>
      </w:r>
      <w:r>
        <w:rPr>
          <w:rFonts w:ascii="Arial" w:cs="Arial" w:eastAsia="Arial" w:hAnsi="Arial"/>
          <w:sz w:val="19"/>
          <w:szCs w:val="19"/>
          <w:b w:val="1"/>
          <w:bCs w:val="1"/>
          <w:color w:val="auto"/>
        </w:rPr>
        <w:t xml:space="preserve"> </w:t>
      </w:r>
      <w:r>
        <w:rPr>
          <w:rFonts w:ascii="Arial" w:cs="Arial" w:eastAsia="Arial" w:hAnsi="Arial"/>
          <w:sz w:val="19"/>
          <w:szCs w:val="19"/>
          <w:color w:val="auto"/>
        </w:rPr>
        <w:t>or permitted to be taken at any meeting of the Board of Directors or of any committee thereof may be taken without a meeting, if all members of the Board of Directors or committee, as the case may be, consent thereto in writing or by electronic transmission. The consent or consents shall be filed with the minutes of proceedings of the Board of Directors or committee.</w:t>
      </w:r>
    </w:p>
    <w:p>
      <w:pPr>
        <w:spacing w:after="0" w:line="16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 xml:space="preserve">Section 24. Fees and Compensation. </w:t>
      </w:r>
      <w:r>
        <w:rPr>
          <w:rFonts w:ascii="Arial" w:cs="Arial" w:eastAsia="Arial" w:hAnsi="Arial"/>
          <w:sz w:val="18"/>
          <w:szCs w:val="18"/>
          <w:color w:val="auto"/>
        </w:rPr>
        <w:t>Directors shall be entitled to such compensation for their services as may be approved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or a committee thereof to which the Board of Directors has delegated such responsibility and authority, including, if so approved, by resolution of the Board of Directors or a committee thereof to which the Board of Directors has delegated such responsibility and authority,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Section 25. Committees.</w:t>
      </w:r>
    </w:p>
    <w:p>
      <w:pPr>
        <w:spacing w:after="0" w:line="219" w:lineRule="exact"/>
        <w:rPr>
          <w:sz w:val="20"/>
          <w:szCs w:val="20"/>
          <w:color w:val="auto"/>
        </w:rPr>
      </w:pPr>
    </w:p>
    <w:p>
      <w:pPr>
        <w:jc w:val="both"/>
        <w:ind w:firstLine="801"/>
        <w:spacing w:after="0" w:line="266" w:lineRule="auto"/>
        <w:tabs>
          <w:tab w:leader="none" w:pos="1260"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Executive Committee. </w:t>
      </w:r>
      <w:r>
        <w:rPr>
          <w:rFonts w:ascii="Arial" w:cs="Arial" w:eastAsia="Arial" w:hAnsi="Arial"/>
          <w:sz w:val="19"/>
          <w:szCs w:val="19"/>
          <w:color w:val="auto"/>
        </w:rPr>
        <w:t>The Board of Directors may appoint an Executive Committee to consist of one or more members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of Directors. The Executive Committee, to the extent permitted by law and provided in the resolution of the Board of Directors, shall have and may exercise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395" w:right="33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17"/>
          <w:szCs w:val="17"/>
          <w:color w:val="auto"/>
        </w:rPr>
        <w:t>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spacing w:after="0" w:line="1" w:lineRule="exact"/>
        <w:rPr>
          <w:sz w:val="20"/>
          <w:szCs w:val="20"/>
          <w:color w:val="auto"/>
        </w:rPr>
      </w:pPr>
    </w:p>
    <w:p>
      <w:pPr>
        <w:ind w:firstLine="6"/>
        <w:spacing w:after="0" w:line="320" w:lineRule="auto"/>
        <w:tabs>
          <w:tab w:leader="none" w:pos="237" w:val="left"/>
        </w:tabs>
        <w:numPr>
          <w:ilvl w:val="0"/>
          <w:numId w:val="39"/>
        </w:numPr>
        <w:rPr>
          <w:rFonts w:ascii="Arial" w:cs="Arial" w:eastAsia="Arial" w:hAnsi="Arial"/>
          <w:sz w:val="17"/>
          <w:szCs w:val="17"/>
          <w:color w:val="auto"/>
        </w:rPr>
      </w:pPr>
      <w:r>
        <w:rPr>
          <w:rFonts w:ascii="Arial" w:cs="Arial" w:eastAsia="Arial" w:hAnsi="Arial"/>
          <w:sz w:val="17"/>
          <w:szCs w:val="17"/>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19" w:lineRule="exact"/>
        <w:rPr>
          <w:rFonts w:ascii="Arial" w:cs="Arial" w:eastAsia="Arial" w:hAnsi="Arial"/>
          <w:sz w:val="17"/>
          <w:szCs w:val="17"/>
          <w:color w:val="auto"/>
        </w:rPr>
      </w:pPr>
    </w:p>
    <w:p>
      <w:pPr>
        <w:jc w:val="both"/>
        <w:ind w:firstLine="801"/>
        <w:spacing w:after="0" w:line="260" w:lineRule="auto"/>
        <w:tabs>
          <w:tab w:leader="none" w:pos="1271" w:val="left"/>
        </w:tabs>
        <w:numPr>
          <w:ilvl w:val="1"/>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Committees. </w:t>
      </w:r>
      <w:r>
        <w:rPr>
          <w:rFonts w:ascii="Arial" w:cs="Arial" w:eastAsia="Arial" w:hAnsi="Arial"/>
          <w:sz w:val="19"/>
          <w:szCs w:val="19"/>
          <w:color w:val="auto"/>
        </w:rPr>
        <w:t>The Board of Directors may, from time to time, appoint such other committees as may be permitted by</w:t>
      </w:r>
      <w:r>
        <w:rPr>
          <w:rFonts w:ascii="Arial" w:cs="Arial" w:eastAsia="Arial" w:hAnsi="Arial"/>
          <w:sz w:val="19"/>
          <w:szCs w:val="19"/>
          <w:b w:val="1"/>
          <w:bCs w:val="1"/>
          <w:color w:val="auto"/>
        </w:rPr>
        <w:t xml:space="preserve"> </w:t>
      </w:r>
      <w:r>
        <w:rPr>
          <w:rFonts w:ascii="Arial" w:cs="Arial" w:eastAsia="Arial" w:hAnsi="Arial"/>
          <w:sz w:val="19"/>
          <w:szCs w:val="19"/>
          <w:color w:val="auto"/>
        </w:rPr>
        <w:t>law. 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66" w:lineRule="exact"/>
        <w:rPr>
          <w:rFonts w:ascii="Arial" w:cs="Arial" w:eastAsia="Arial" w:hAnsi="Arial"/>
          <w:sz w:val="19"/>
          <w:szCs w:val="19"/>
          <w:b w:val="1"/>
          <w:bCs w:val="1"/>
          <w:color w:val="auto"/>
        </w:rPr>
      </w:pPr>
    </w:p>
    <w:p>
      <w:pPr>
        <w:jc w:val="both"/>
        <w:ind w:firstLine="801"/>
        <w:spacing w:after="0" w:line="285" w:lineRule="auto"/>
        <w:tabs>
          <w:tab w:leader="none" w:pos="1262" w:val="left"/>
        </w:tabs>
        <w:numPr>
          <w:ilvl w:val="1"/>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50" w:lineRule="exact"/>
        <w:rPr>
          <w:rFonts w:ascii="Arial" w:cs="Arial" w:eastAsia="Arial" w:hAnsi="Arial"/>
          <w:sz w:val="17"/>
          <w:szCs w:val="17"/>
          <w:b w:val="1"/>
          <w:bCs w:val="1"/>
          <w:color w:val="auto"/>
        </w:rPr>
      </w:pPr>
    </w:p>
    <w:p>
      <w:pPr>
        <w:jc w:val="both"/>
        <w:ind w:firstLine="801"/>
        <w:spacing w:after="0" w:line="250" w:lineRule="auto"/>
        <w:tabs>
          <w:tab w:leader="none" w:pos="1271" w:val="left"/>
        </w:tabs>
        <w:numPr>
          <w:ilvl w:val="1"/>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Meetings. </w:t>
      </w:r>
      <w:r>
        <w:rPr>
          <w:rFonts w:ascii="Arial" w:cs="Arial" w:eastAsia="Arial" w:hAnsi="Arial"/>
          <w:sz w:val="19"/>
          <w:szCs w:val="19"/>
          <w:color w:val="auto"/>
        </w:rPr>
        <w:t>Unless the Board of Directors shall otherwise provide, regular meetings of the Executive Committee or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regular or special meeting of any committee may be waived in writing or by electronic transmission at any time before or after the meeting and will be waived by any director by attendance thereat, except when the director attends such regular or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8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9"/>
          <w:szCs w:val="19"/>
          <w:b w:val="1"/>
          <w:bCs w:val="1"/>
          <w:color w:val="auto"/>
        </w:rPr>
        <w:t xml:space="preserve">Section 26. Duties of Chairperson of the Board of Directors. </w:t>
      </w:r>
      <w:r>
        <w:rPr>
          <w:rFonts w:ascii="Arial" w:cs="Arial" w:eastAsia="Arial" w:hAnsi="Arial"/>
          <w:sz w:val="19"/>
          <w:szCs w:val="19"/>
          <w:color w:val="auto"/>
        </w:rPr>
        <w:t>The Chairperson of the Board of Directors, if appointed and when present,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preside at all meetings of the stockholders and the Board of Directors. The Chairperson of the Board of Directors shall perform other duties commonly incident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39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the office and shall also perform such other duties and have such other powers, as the Board of Directors shall designate from time to time.</w:t>
      </w:r>
    </w:p>
    <w:p>
      <w:pPr>
        <w:spacing w:after="0" w:line="22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8"/>
          <w:szCs w:val="18"/>
          <w:b w:val="1"/>
          <w:bCs w:val="1"/>
          <w:color w:val="auto"/>
        </w:rPr>
        <w:t>Section 27. Lead Independent Director</w:t>
      </w:r>
      <w:r>
        <w:rPr>
          <w:rFonts w:ascii="Arial" w:cs="Arial" w:eastAsia="Arial" w:hAnsi="Arial"/>
          <w:sz w:val="18"/>
          <w:szCs w:val="18"/>
          <w:color w:val="auto"/>
        </w:rPr>
        <w:t>. The Chairperson of the Board of Directors, or if the Chairperson is not an independent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one of the independent directors, may be designated by the Board of Directors as lead independent director to serve until replaced by the Board of Directors (“</w:t>
      </w:r>
      <w:r>
        <w:rPr>
          <w:rFonts w:ascii="Arial" w:cs="Arial" w:eastAsia="Arial" w:hAnsi="Arial"/>
          <w:sz w:val="18"/>
          <w:szCs w:val="18"/>
          <w:b w:val="1"/>
          <w:bCs w:val="1"/>
          <w:i w:val="1"/>
          <w:iCs w:val="1"/>
          <w:color w:val="auto"/>
        </w:rPr>
        <w:t>Lead Independent Director</w:t>
      </w:r>
      <w:r>
        <w:rPr>
          <w:rFonts w:ascii="Arial" w:cs="Arial" w:eastAsia="Arial" w:hAnsi="Arial"/>
          <w:sz w:val="18"/>
          <w:szCs w:val="18"/>
          <w:color w:val="auto"/>
        </w:rPr>
        <w:t>”). If appointed, the Lead Independent Director will: with the Chairperson of the Board of Directors, establish the agenda for regular Board meetings and serve as chairperson of Board of Directors meetings in the absence of the Chairperson of the Board of Directors; establish the agenda for meetings of the independent directors; coordinate with the committee chairs regarding meeting agendas and informational requirements; preside over meetings of the independent directors; preside over any portions of meetings of the Board of Directors at which the evaluation or compensation of the Chief Executive Officer is presented or discussed; preside over any portions of meetings of the Board of Directors at which the performance of the Board of Directors is presented or discussed; and perform such other duties as may be established or delegated by the Chairperson of the Board of Directors.</w:t>
      </w:r>
    </w:p>
    <w:p>
      <w:pPr>
        <w:spacing w:after="0" w:line="16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b w:val="1"/>
          <w:bCs w:val="1"/>
          <w:color w:val="auto"/>
        </w:rPr>
        <w:t xml:space="preserve">Section 28. Organization. </w:t>
      </w:r>
      <w:r>
        <w:rPr>
          <w:rFonts w:ascii="Arial" w:cs="Arial" w:eastAsia="Arial" w:hAnsi="Arial"/>
          <w:sz w:val="18"/>
          <w:szCs w:val="18"/>
          <w:color w:val="auto"/>
        </w:rPr>
        <w:t>At every meeting of the directors, the Chairperson of the Board of Directors, or, if a Chairperson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absence, any Assistant Secretary or other officer, director or other person directed to do so by the person presiding over the meeting, shall act as secretary of the meeting.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OFFICERS</w:t>
      </w:r>
    </w:p>
    <w:p>
      <w:pPr>
        <w:spacing w:after="0" w:line="192"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8"/>
          <w:szCs w:val="18"/>
          <w:b w:val="1"/>
          <w:bCs w:val="1"/>
          <w:color w:val="auto"/>
        </w:rPr>
        <w:t xml:space="preserve">Section 29. Officers Designated. </w:t>
      </w:r>
      <w:r>
        <w:rPr>
          <w:rFonts w:ascii="Arial" w:cs="Arial" w:eastAsia="Arial" w:hAnsi="Arial"/>
          <w:sz w:val="18"/>
          <w:szCs w:val="18"/>
          <w:color w:val="auto"/>
        </w:rPr>
        <w:t>The officers of the corporation shall include, if and when designated by the Board of Directors,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 or a committee thereof to which the Board of Directors has delegated such responsibility.</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Section 30. Tenure and Duties of Officers.</w:t>
      </w:r>
    </w:p>
    <w:p>
      <w:pPr>
        <w:spacing w:after="0" w:line="219" w:lineRule="exact"/>
        <w:rPr>
          <w:sz w:val="20"/>
          <w:szCs w:val="20"/>
          <w:color w:val="auto"/>
        </w:rPr>
      </w:pPr>
    </w:p>
    <w:p>
      <w:pPr>
        <w:jc w:val="both"/>
        <w:ind w:firstLine="801"/>
        <w:spacing w:after="0" w:line="266" w:lineRule="auto"/>
        <w:tabs>
          <w:tab w:leader="none" w:pos="1260"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All officers shall hold office at the pleasure of the Board of Directors and until their successors shall have been duly</w:t>
      </w:r>
      <w:r>
        <w:rPr>
          <w:rFonts w:ascii="Arial" w:cs="Arial" w:eastAsia="Arial" w:hAnsi="Arial"/>
          <w:sz w:val="19"/>
          <w:szCs w:val="19"/>
          <w:b w:val="1"/>
          <w:bCs w:val="1"/>
          <w:color w:val="auto"/>
        </w:rPr>
        <w:t xml:space="preserve"> </w:t>
      </w:r>
      <w:r>
        <w:rPr>
          <w:rFonts w:ascii="Arial" w:cs="Arial" w:eastAsia="Arial" w:hAnsi="Arial"/>
          <w:sz w:val="19"/>
          <w:szCs w:val="19"/>
          <w:color w:val="auto"/>
        </w:rPr>
        <w:t>elected and qualified, unless sooner removed. If the office of any officer becomes vacant for any reason, the vacancy may be filled by the Board of Directors.</w:t>
      </w:r>
    </w:p>
    <w:p>
      <w:pPr>
        <w:spacing w:after="0" w:line="161" w:lineRule="exact"/>
        <w:rPr>
          <w:rFonts w:ascii="Arial" w:cs="Arial" w:eastAsia="Arial" w:hAnsi="Arial"/>
          <w:sz w:val="19"/>
          <w:szCs w:val="19"/>
          <w:b w:val="1"/>
          <w:bCs w:val="1"/>
          <w:color w:val="auto"/>
        </w:rPr>
      </w:pPr>
    </w:p>
    <w:p>
      <w:pPr>
        <w:jc w:val="both"/>
        <w:ind w:firstLine="801"/>
        <w:spacing w:after="0" w:line="287" w:lineRule="auto"/>
        <w:tabs>
          <w:tab w:leader="none" w:pos="1271"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Chief Executive Officer. </w:t>
      </w:r>
      <w:r>
        <w:rPr>
          <w:rFonts w:ascii="Arial" w:cs="Arial" w:eastAsia="Arial" w:hAnsi="Arial"/>
          <w:sz w:val="18"/>
          <w:szCs w:val="18"/>
          <w:color w:val="auto"/>
        </w:rPr>
        <w:t>The Chief Executive Officer shall preside at all meetings of the stockholders and at all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Board of Directors (if a director), unless the Chairperson of the Board of Directors has been appointed and is present. Unless an officer has been appointed Chief Executive Officer of the corporation, the President shall be the chief executive officer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395" w:right="339" w:bottom="1440" w:gutter="0" w:footer="0" w:header="0"/>
        </w:sectPr>
      </w:pPr>
    </w:p>
    <w:bookmarkStart w:id="64" w:name="page65"/>
    <w:bookmarkEnd w:id="64"/>
    <w:p>
      <w:pPr>
        <w:jc w:val="both"/>
        <w:spacing w:after="0" w:line="255" w:lineRule="auto"/>
        <w:rPr>
          <w:sz w:val="20"/>
          <w:szCs w:val="20"/>
          <w:color w:val="auto"/>
        </w:rPr>
      </w:pPr>
      <w:r>
        <w:rPr>
          <w:rFonts w:ascii="Arial" w:cs="Arial" w:eastAsia="Arial" w:hAnsi="Arial"/>
          <w:sz w:val="19"/>
          <w:szCs w:val="19"/>
          <w:color w:val="auto"/>
        </w:rPr>
        <w:t>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72" w:lineRule="exact"/>
        <w:rPr>
          <w:sz w:val="20"/>
          <w:szCs w:val="20"/>
          <w:color w:val="auto"/>
        </w:rPr>
      </w:pPr>
    </w:p>
    <w:p>
      <w:pPr>
        <w:jc w:val="both"/>
        <w:ind w:firstLine="801"/>
        <w:spacing w:after="0" w:line="252" w:lineRule="auto"/>
        <w:tabs>
          <w:tab w:leader="none" w:pos="1262"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Duties of President. </w:t>
      </w:r>
      <w:r>
        <w:rPr>
          <w:rFonts w:ascii="Arial" w:cs="Arial" w:eastAsia="Arial" w:hAnsi="Arial"/>
          <w:sz w:val="19"/>
          <w:szCs w:val="19"/>
          <w:color w:val="auto"/>
        </w:rPr>
        <w:t>The President shall preside at all meetings of the stockholders and at all meetings of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(if a director), unless the Chairperson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178" w:lineRule="exact"/>
        <w:rPr>
          <w:rFonts w:ascii="Arial" w:cs="Arial" w:eastAsia="Arial" w:hAnsi="Arial"/>
          <w:sz w:val="19"/>
          <w:szCs w:val="19"/>
          <w:b w:val="1"/>
          <w:bCs w:val="1"/>
          <w:color w:val="auto"/>
        </w:rPr>
      </w:pPr>
    </w:p>
    <w:p>
      <w:pPr>
        <w:jc w:val="both"/>
        <w:ind w:firstLine="801"/>
        <w:spacing w:after="0" w:line="256" w:lineRule="auto"/>
        <w:tabs>
          <w:tab w:leader="none" w:pos="1271"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Duties of Vice Presidents. </w:t>
      </w:r>
      <w:r>
        <w:rPr>
          <w:rFonts w:ascii="Arial" w:cs="Arial" w:eastAsia="Arial" w:hAnsi="Arial"/>
          <w:sz w:val="19"/>
          <w:szCs w:val="19"/>
          <w:color w:val="auto"/>
        </w:rPr>
        <w:t>A Vice President may assume and perform the duties of the President in the absence or disability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President or whenever the office of President is vacant (unless the duties of the President are being filled by the Chief Executive Officer). A Vice President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72" w:lineRule="exact"/>
        <w:rPr>
          <w:rFonts w:ascii="Arial" w:cs="Arial" w:eastAsia="Arial" w:hAnsi="Arial"/>
          <w:sz w:val="19"/>
          <w:szCs w:val="19"/>
          <w:b w:val="1"/>
          <w:bCs w:val="1"/>
          <w:color w:val="auto"/>
        </w:rPr>
      </w:pPr>
    </w:p>
    <w:p>
      <w:pPr>
        <w:jc w:val="both"/>
        <w:ind w:firstLine="801"/>
        <w:spacing w:after="0" w:line="267" w:lineRule="auto"/>
        <w:tabs>
          <w:tab w:leader="none" w:pos="126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Secretary. </w:t>
      </w:r>
      <w:r>
        <w:rPr>
          <w:rFonts w:ascii="Arial" w:cs="Arial" w:eastAsia="Arial" w:hAnsi="Arial"/>
          <w:sz w:val="18"/>
          <w:szCs w:val="18"/>
          <w:color w:val="auto"/>
        </w:rPr>
        <w:t>The Secretary shall attend all meetings of the stockholders and of the Board of Directors and shall record</w:t>
      </w:r>
      <w:r>
        <w:rPr>
          <w:rFonts w:ascii="Arial" w:cs="Arial" w:eastAsia="Arial" w:hAnsi="Arial"/>
          <w:sz w:val="18"/>
          <w:szCs w:val="18"/>
          <w:b w:val="1"/>
          <w:bCs w:val="1"/>
          <w:color w:val="auto"/>
        </w:rPr>
        <w:t xml:space="preserve"> </w:t>
      </w:r>
      <w:r>
        <w:rPr>
          <w:rFonts w:ascii="Arial" w:cs="Arial" w:eastAsia="Arial" w:hAnsi="Arial"/>
          <w:sz w:val="18"/>
          <w:szCs w:val="18"/>
          <w:color w:val="auto"/>
        </w:rPr>
        <w:t>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66" w:lineRule="exact"/>
        <w:rPr>
          <w:rFonts w:ascii="Arial" w:cs="Arial" w:eastAsia="Arial" w:hAnsi="Arial"/>
          <w:sz w:val="18"/>
          <w:szCs w:val="18"/>
          <w:b w:val="1"/>
          <w:bCs w:val="1"/>
          <w:color w:val="auto"/>
        </w:rPr>
      </w:pPr>
    </w:p>
    <w:p>
      <w:pPr>
        <w:jc w:val="both"/>
        <w:ind w:firstLine="801"/>
        <w:spacing w:after="0" w:line="252" w:lineRule="auto"/>
        <w:tabs>
          <w:tab w:leader="none" w:pos="1267"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Duties of Chief Financial Officer. </w:t>
      </w:r>
      <w:r>
        <w:rPr>
          <w:rFonts w:ascii="Arial" w:cs="Arial" w:eastAsia="Arial" w:hAnsi="Arial"/>
          <w:sz w:val="19"/>
          <w:szCs w:val="19"/>
          <w:color w:val="auto"/>
        </w:rPr>
        <w:t>The Chief Financial Officer shall keep or cause to be kept the books of account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in a thorough and proper manner and shall render statements of the financial affairs of the corporation in such form and as often as required by the Board of Directors or the Chief Executive Officer, or if no Chief Executive Officer is then serving,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395" w:right="339" w:bottom="1440" w:gutter="0" w:footer="0" w:header="0"/>
        </w:sectPr>
      </w:pPr>
    </w:p>
    <w:bookmarkStart w:id="65" w:name="page66"/>
    <w:bookmarkEnd w:id="65"/>
    <w:p>
      <w:pPr>
        <w:jc w:val="both"/>
        <w:spacing w:after="0" w:line="276" w:lineRule="auto"/>
        <w:rPr>
          <w:sz w:val="20"/>
          <w:szCs w:val="20"/>
          <w:color w:val="auto"/>
        </w:rPr>
      </w:pPr>
      <w:r>
        <w:rPr>
          <w:rFonts w:ascii="Arial" w:cs="Arial" w:eastAsia="Arial" w:hAnsi="Arial"/>
          <w:sz w:val="18"/>
          <w:szCs w:val="18"/>
          <w:color w:val="auto"/>
        </w:rPr>
        <w:t>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55" w:lineRule="exact"/>
        <w:rPr>
          <w:sz w:val="20"/>
          <w:szCs w:val="20"/>
          <w:color w:val="auto"/>
        </w:rPr>
      </w:pPr>
    </w:p>
    <w:p>
      <w:pPr>
        <w:jc w:val="both"/>
        <w:ind w:firstLine="801"/>
        <w:spacing w:after="0" w:line="288" w:lineRule="auto"/>
        <w:tabs>
          <w:tab w:leader="none" w:pos="126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Treasurer. </w:t>
      </w:r>
      <w:r>
        <w:rPr>
          <w:rFonts w:ascii="Arial" w:cs="Arial" w:eastAsia="Arial" w:hAnsi="Arial"/>
          <w:sz w:val="17"/>
          <w:szCs w:val="17"/>
          <w:color w:val="auto"/>
        </w:rPr>
        <w:t>Unless another officer has been appointed Chief Financial Officer of the corporation, the Treasurer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the 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Chief Executive Officer, or if no Chief Executive Officer is then serving,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Chief Executive Officer, or if no Chief Executive Officer is then serving, the President and Chief Financial Officer (if not Treasurer) shall designate from time to time.</w:t>
      </w:r>
    </w:p>
    <w:p>
      <w:pPr>
        <w:spacing w:after="0" w:line="147"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9"/>
          <w:szCs w:val="19"/>
          <w:b w:val="1"/>
          <w:bCs w:val="1"/>
          <w:color w:val="auto"/>
        </w:rPr>
        <w:t xml:space="preserve">Section 31. Delegation of Authority. </w:t>
      </w:r>
      <w:r>
        <w:rPr>
          <w:rFonts w:ascii="Arial" w:cs="Arial" w:eastAsia="Arial" w:hAnsi="Arial"/>
          <w:sz w:val="19"/>
          <w:szCs w:val="19"/>
          <w:color w:val="auto"/>
        </w:rPr>
        <w:t>The Board of Directors may from time to time delegate the powers or duties of any officer to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officer or agent, notwithstanding any provision hereof.</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9"/>
          <w:szCs w:val="19"/>
          <w:b w:val="1"/>
          <w:bCs w:val="1"/>
          <w:color w:val="auto"/>
        </w:rPr>
        <w:t xml:space="preserve">Section 32. Resignations. </w:t>
      </w:r>
      <w:r>
        <w:rPr>
          <w:rFonts w:ascii="Arial" w:cs="Arial" w:eastAsia="Arial" w:hAnsi="Arial"/>
          <w:sz w:val="19"/>
          <w:szCs w:val="19"/>
          <w:color w:val="auto"/>
        </w:rPr>
        <w:t>Any officer may resign at any time by giving notice in writing or by electronic transmission to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or to the Chief Executive Officer, or if no Chief Executive Officer is then serving,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71"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9"/>
          <w:szCs w:val="19"/>
          <w:b w:val="1"/>
          <w:bCs w:val="1"/>
          <w:color w:val="auto"/>
        </w:rPr>
        <w:t xml:space="preserve">Section 33. Removal. </w:t>
      </w:r>
      <w:r>
        <w:rPr>
          <w:rFonts w:ascii="Arial" w:cs="Arial" w:eastAsia="Arial" w:hAnsi="Arial"/>
          <w:sz w:val="19"/>
          <w:szCs w:val="19"/>
          <w:color w:val="auto"/>
        </w:rPr>
        <w:t>Any officer may be removed from office at any time, either with or without cause, by the Board of Directors, or by</w:t>
      </w:r>
      <w:r>
        <w:rPr>
          <w:rFonts w:ascii="Arial" w:cs="Arial" w:eastAsia="Arial" w:hAnsi="Arial"/>
          <w:sz w:val="19"/>
          <w:szCs w:val="19"/>
          <w:b w:val="1"/>
          <w:bCs w:val="1"/>
          <w:color w:val="auto"/>
        </w:rPr>
        <w:t xml:space="preserve"> </w:t>
      </w:r>
      <w:r>
        <w:rPr>
          <w:rFonts w:ascii="Arial" w:cs="Arial" w:eastAsia="Arial" w:hAnsi="Arial"/>
          <w:sz w:val="19"/>
          <w:szCs w:val="19"/>
          <w:color w:val="auto"/>
        </w:rPr>
        <w:t>any committee or superior officer upon whom such power of removal may have been conferred by the Board of Directors.</w:t>
      </w:r>
    </w:p>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ARTICLE VI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EXECUTION OF CORPORATE INSTRUMENTS AND VOTING</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OF SECURITIES OWNED BY THE CORPORATION</w:t>
      </w:r>
    </w:p>
    <w:p>
      <w:pPr>
        <w:spacing w:after="0" w:line="223"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8"/>
          <w:szCs w:val="18"/>
          <w:b w:val="1"/>
          <w:bCs w:val="1"/>
          <w:color w:val="auto"/>
        </w:rPr>
        <w:t xml:space="preserve">Section 34. Execution of Corporate Instruments. </w:t>
      </w:r>
      <w:r>
        <w:rPr>
          <w:rFonts w:ascii="Arial" w:cs="Arial" w:eastAsia="Arial" w:hAnsi="Arial"/>
          <w:sz w:val="18"/>
          <w:szCs w:val="18"/>
          <w:color w:val="auto"/>
        </w:rPr>
        <w:t>The Board of Directors may, in its discretion, determine the method and designate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applicable law or these Bylaws, and such execution or signature shall be binding upon the corporation. All checks and drafts drawn on banks or other depositaries on funds to the credit of the corporation or in special accounts of the corporation shall be signed by such person or persons as the Board of Directors shall authorize so to do. Unless authorized or ratified by the Board of Directors or within the agency power of an officer, no officer, agent or employee shall have any power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39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authority to bind the corporation by any contract or engagement or to pledge its credit or to render it liable for any purpose or for any amount.</w:t>
      </w:r>
    </w:p>
    <w:p>
      <w:pPr>
        <w:spacing w:after="0" w:line="22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9"/>
          <w:szCs w:val="19"/>
          <w:b w:val="1"/>
          <w:bCs w:val="1"/>
          <w:color w:val="auto"/>
        </w:rPr>
        <w:t xml:space="preserve">Section 35. Voting of Securities Owned by the Corporation. </w:t>
      </w:r>
      <w:r>
        <w:rPr>
          <w:rFonts w:ascii="Arial" w:cs="Arial" w:eastAsia="Arial" w:hAnsi="Arial"/>
          <w:sz w:val="19"/>
          <w:szCs w:val="19"/>
          <w:color w:val="auto"/>
        </w:rPr>
        <w:t>All stock and other securities and interests of other corporations and entities</w:t>
      </w:r>
      <w:r>
        <w:rPr>
          <w:rFonts w:ascii="Arial" w:cs="Arial" w:eastAsia="Arial" w:hAnsi="Arial"/>
          <w:sz w:val="19"/>
          <w:szCs w:val="19"/>
          <w:b w:val="1"/>
          <w:bCs w:val="1"/>
          <w:color w:val="auto"/>
        </w:rPr>
        <w:t xml:space="preserve"> </w:t>
      </w:r>
      <w:r>
        <w:rPr>
          <w:rFonts w:ascii="Arial" w:cs="Arial" w:eastAsia="Arial" w:hAnsi="Arial"/>
          <w:sz w:val="19"/>
          <w:szCs w:val="19"/>
          <w:color w:val="auto"/>
        </w:rPr>
        <w:t>owned 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166"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ARTICLE VII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SHARES OF STOCK</w:t>
      </w:r>
    </w:p>
    <w:p>
      <w:pPr>
        <w:spacing w:after="0" w:line="2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9"/>
          <w:szCs w:val="19"/>
          <w:b w:val="1"/>
          <w:bCs w:val="1"/>
          <w:color w:val="auto"/>
        </w:rPr>
        <w:t xml:space="preserve">Section 36. Form and Execution of Certificates. </w:t>
      </w:r>
      <w:r>
        <w:rPr>
          <w:rFonts w:ascii="Arial" w:cs="Arial" w:eastAsia="Arial" w:hAnsi="Arial"/>
          <w:sz w:val="19"/>
          <w:szCs w:val="19"/>
          <w:color w:val="auto"/>
        </w:rPr>
        <w:t>The shares of the corporation shall be represented by certificates, or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uncertificated if so provided by resolution or resolutions of the Board of Directors. Certificates for the shares of stock, if any, shall be in such form as is consistent with the Certificate of Incorporation and applicable law. Every holder of stock in the corporation represented by certificates shall be entitled to have a certificate signed by, or in the name of, the corporation by any two authorized officers of the corporation, certifying the number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79" w:lineRule="exact"/>
        <w:rPr>
          <w:sz w:val="20"/>
          <w:szCs w:val="20"/>
          <w:color w:val="auto"/>
        </w:rPr>
      </w:pPr>
    </w:p>
    <w:p>
      <w:pPr>
        <w:jc w:val="both"/>
        <w:ind w:firstLine="318"/>
        <w:spacing w:after="0" w:line="290" w:lineRule="auto"/>
        <w:rPr>
          <w:sz w:val="20"/>
          <w:szCs w:val="20"/>
          <w:color w:val="auto"/>
        </w:rPr>
      </w:pPr>
      <w:r>
        <w:rPr>
          <w:rFonts w:ascii="Arial" w:cs="Arial" w:eastAsia="Arial" w:hAnsi="Arial"/>
          <w:sz w:val="17"/>
          <w:szCs w:val="17"/>
          <w:b w:val="1"/>
          <w:bCs w:val="1"/>
          <w:color w:val="auto"/>
        </w:rPr>
        <w:t xml:space="preserve">Section 37. Lost Certificates. </w:t>
      </w:r>
      <w:r>
        <w:rPr>
          <w:rFonts w:ascii="Arial" w:cs="Arial" w:eastAsia="Arial" w:hAnsi="Arial"/>
          <w:sz w:val="17"/>
          <w:szCs w:val="17"/>
          <w:color w:val="auto"/>
        </w:rPr>
        <w:t>A new certificate or certificates shall be issued in place of any certificate or certificates theretofore issued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Section 38. Transfers.</w:t>
      </w:r>
    </w:p>
    <w:p>
      <w:pPr>
        <w:spacing w:after="0" w:line="225" w:lineRule="exact"/>
        <w:rPr>
          <w:sz w:val="20"/>
          <w:szCs w:val="20"/>
          <w:color w:val="auto"/>
        </w:rPr>
      </w:pPr>
    </w:p>
    <w:p>
      <w:pPr>
        <w:jc w:val="both"/>
        <w:ind w:firstLine="801"/>
        <w:spacing w:after="0" w:line="263" w:lineRule="auto"/>
        <w:tabs>
          <w:tab w:leader="none" w:pos="1260" w:val="left"/>
        </w:tabs>
        <w:numPr>
          <w:ilvl w:val="0"/>
          <w:numId w:val="43"/>
        </w:numPr>
        <w:rPr>
          <w:rFonts w:ascii="Arial" w:cs="Arial" w:eastAsia="Arial" w:hAnsi="Arial"/>
          <w:sz w:val="19"/>
          <w:szCs w:val="19"/>
          <w:b w:val="1"/>
          <w:bCs w:val="1"/>
          <w:color w:val="auto"/>
        </w:rPr>
      </w:pPr>
      <w:r>
        <w:rPr>
          <w:rFonts w:ascii="Arial" w:cs="Arial" w:eastAsia="Arial" w:hAnsi="Arial"/>
          <w:sz w:val="19"/>
          <w:szCs w:val="19"/>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69" w:lineRule="exact"/>
        <w:rPr>
          <w:rFonts w:ascii="Arial" w:cs="Arial" w:eastAsia="Arial" w:hAnsi="Arial"/>
          <w:sz w:val="19"/>
          <w:szCs w:val="19"/>
          <w:b w:val="1"/>
          <w:bCs w:val="1"/>
          <w:color w:val="auto"/>
        </w:rPr>
      </w:pPr>
    </w:p>
    <w:p>
      <w:pPr>
        <w:jc w:val="both"/>
        <w:ind w:firstLine="801"/>
        <w:spacing w:after="0" w:line="263" w:lineRule="auto"/>
        <w:tabs>
          <w:tab w:leader="none" w:pos="1271" w:val="left"/>
        </w:tabs>
        <w:numPr>
          <w:ilvl w:val="0"/>
          <w:numId w:val="43"/>
        </w:numPr>
        <w:rPr>
          <w:rFonts w:ascii="Arial" w:cs="Arial" w:eastAsia="Arial" w:hAnsi="Arial"/>
          <w:sz w:val="19"/>
          <w:szCs w:val="19"/>
          <w:b w:val="1"/>
          <w:bCs w:val="1"/>
          <w:color w:val="auto"/>
        </w:rPr>
      </w:pPr>
      <w:r>
        <w:rPr>
          <w:rFonts w:ascii="Arial" w:cs="Arial" w:eastAsia="Arial" w:hAnsi="Arial"/>
          <w:sz w:val="19"/>
          <w:szCs w:val="19"/>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1395" w:right="339" w:bottom="1440" w:gutter="0" w:footer="0" w:header="0"/>
        </w:sectPr>
      </w:pPr>
    </w:p>
    <w:bookmarkStart w:id="67" w:name="page68"/>
    <w:bookmarkEnd w:id="67"/>
    <w:p>
      <w:pPr>
        <w:ind w:left="320"/>
        <w:spacing w:after="0"/>
        <w:rPr>
          <w:sz w:val="20"/>
          <w:szCs w:val="20"/>
          <w:color w:val="auto"/>
        </w:rPr>
      </w:pPr>
      <w:r>
        <w:rPr>
          <w:rFonts w:ascii="Arial" w:cs="Arial" w:eastAsia="Arial" w:hAnsi="Arial"/>
          <w:sz w:val="18"/>
          <w:szCs w:val="18"/>
          <w:b w:val="1"/>
          <w:bCs w:val="1"/>
          <w:color w:val="auto"/>
        </w:rPr>
        <w:t xml:space="preserve">Section 39.  </w:t>
      </w:r>
      <w:r>
        <w:rPr>
          <w:rFonts w:ascii="Arial" w:cs="Arial" w:eastAsia="Arial" w:hAnsi="Arial"/>
          <w:sz w:val="19"/>
          <w:szCs w:val="19"/>
          <w:b w:val="1"/>
          <w:bCs w:val="1"/>
          <w:color w:val="auto"/>
        </w:rPr>
        <w:t>Fixing Record Dates.</w:t>
      </w:r>
    </w:p>
    <w:p>
      <w:pPr>
        <w:spacing w:after="0" w:line="251" w:lineRule="exact"/>
        <w:rPr>
          <w:sz w:val="20"/>
          <w:szCs w:val="20"/>
          <w:color w:val="auto"/>
        </w:rPr>
      </w:pPr>
    </w:p>
    <w:p>
      <w:pPr>
        <w:jc w:val="both"/>
        <w:ind w:firstLine="801"/>
        <w:spacing w:after="0" w:line="265" w:lineRule="auto"/>
        <w:tabs>
          <w:tab w:leader="none" w:pos="12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fewer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of Directors may fix a new record date for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2" w:lineRule="exact"/>
        <w:rPr>
          <w:rFonts w:ascii="Arial" w:cs="Arial" w:eastAsia="Arial" w:hAnsi="Arial"/>
          <w:sz w:val="18"/>
          <w:szCs w:val="18"/>
          <w:b w:val="1"/>
          <w:bCs w:val="1"/>
          <w:color w:val="auto"/>
        </w:rPr>
      </w:pPr>
    </w:p>
    <w:p>
      <w:pPr>
        <w:jc w:val="both"/>
        <w:ind w:firstLine="801"/>
        <w:spacing w:after="0" w:line="253" w:lineRule="auto"/>
        <w:tabs>
          <w:tab w:leader="none" w:pos="1271" w:val="left"/>
        </w:tabs>
        <w:numPr>
          <w:ilvl w:val="0"/>
          <w:numId w:val="44"/>
        </w:numPr>
        <w:rPr>
          <w:rFonts w:ascii="Arial" w:cs="Arial" w:eastAsia="Arial" w:hAnsi="Arial"/>
          <w:sz w:val="19"/>
          <w:szCs w:val="19"/>
          <w:b w:val="1"/>
          <w:bCs w:val="1"/>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7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9"/>
          <w:szCs w:val="19"/>
          <w:b w:val="1"/>
          <w:bCs w:val="1"/>
          <w:color w:val="auto"/>
        </w:rPr>
        <w:t xml:space="preserve">Section 40. Registered Stockholders. </w:t>
      </w:r>
      <w:r>
        <w:rPr>
          <w:rFonts w:ascii="Arial" w:cs="Arial" w:eastAsia="Arial" w:hAnsi="Arial"/>
          <w:sz w:val="19"/>
          <w:szCs w:val="19"/>
          <w:color w:val="auto"/>
        </w:rPr>
        <w:t>The corporation shall be entitled to recognize the exclusive right of a person registered on its books</w:t>
      </w:r>
      <w:r>
        <w:rPr>
          <w:rFonts w:ascii="Arial" w:cs="Arial" w:eastAsia="Arial" w:hAnsi="Arial"/>
          <w:sz w:val="19"/>
          <w:szCs w:val="19"/>
          <w:b w:val="1"/>
          <w:bCs w:val="1"/>
          <w:color w:val="auto"/>
        </w:rPr>
        <w:t xml:space="preserve"> </w:t>
      </w:r>
      <w:r>
        <w:rPr>
          <w:rFonts w:ascii="Arial" w:cs="Arial" w:eastAsia="Arial" w:hAnsi="Arial"/>
          <w:sz w:val="19"/>
          <w:szCs w:val="19"/>
          <w:color w:val="auto"/>
        </w:rPr>
        <w:t>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66"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ARTICLE VIII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OTHER SECURITIES OF THE CORPORATION</w:t>
      </w:r>
    </w:p>
    <w:p>
      <w:pPr>
        <w:spacing w:after="0" w:line="2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9"/>
          <w:szCs w:val="19"/>
          <w:b w:val="1"/>
          <w:bCs w:val="1"/>
          <w:color w:val="auto"/>
        </w:rPr>
        <w:t xml:space="preserve">Section 41. Execution of Other Securities. </w:t>
      </w:r>
      <w:r>
        <w:rPr>
          <w:rFonts w:ascii="Arial" w:cs="Arial" w:eastAsia="Arial" w:hAnsi="Arial"/>
          <w:sz w:val="19"/>
          <w:szCs w:val="19"/>
          <w:color w:val="auto"/>
        </w:rPr>
        <w:t>All bonds, debentures and other corporate securities of the corporation, other than stock</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certificates (covered in Section 36), may be signed by any executive officer (as defined in Article XI) or any other officer or person as may be authorized by the Board of Directors;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an executive officer of the corporation or such other officer or person as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1389" w:right="339" w:bottom="1440" w:gutter="0" w:footer="0" w:header="0"/>
        </w:sectPr>
      </w:pPr>
    </w:p>
    <w:bookmarkStart w:id="68" w:name="page69"/>
    <w:bookmarkEnd w:id="68"/>
    <w:p>
      <w:pPr>
        <w:jc w:val="both"/>
        <w:spacing w:after="0" w:line="292" w:lineRule="auto"/>
        <w:rPr>
          <w:sz w:val="20"/>
          <w:szCs w:val="20"/>
          <w:color w:val="auto"/>
        </w:rPr>
      </w:pPr>
      <w:r>
        <w:rPr>
          <w:rFonts w:ascii="Arial" w:cs="Arial" w:eastAsia="Arial" w:hAnsi="Arial"/>
          <w:sz w:val="17"/>
          <w:szCs w:val="17"/>
          <w:color w:val="auto"/>
        </w:rPr>
        <w:t>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43" w:lineRule="exact"/>
        <w:rPr>
          <w:sz w:val="20"/>
          <w:szCs w:val="20"/>
          <w:color w:val="auto"/>
        </w:rPr>
      </w:pPr>
    </w:p>
    <w:p>
      <w:pPr>
        <w:ind w:left="5220"/>
        <w:spacing w:after="0"/>
        <w:rPr>
          <w:sz w:val="20"/>
          <w:szCs w:val="20"/>
          <w:color w:val="auto"/>
        </w:rPr>
      </w:pPr>
      <w:r>
        <w:rPr>
          <w:rFonts w:ascii="Arial" w:cs="Arial" w:eastAsia="Arial" w:hAnsi="Arial"/>
          <w:sz w:val="19"/>
          <w:szCs w:val="19"/>
          <w:b w:val="1"/>
          <w:bCs w:val="1"/>
          <w:color w:val="auto"/>
        </w:rPr>
        <w:t>ARTICLE IX</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DIVIDENDS</w:t>
      </w:r>
    </w:p>
    <w:p>
      <w:pPr>
        <w:spacing w:after="0" w:line="21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9"/>
          <w:szCs w:val="19"/>
          <w:b w:val="1"/>
          <w:bCs w:val="1"/>
          <w:color w:val="auto"/>
        </w:rPr>
        <w:t xml:space="preserve">Section 42. Declaration of Dividends. </w:t>
      </w:r>
      <w:r>
        <w:rPr>
          <w:rFonts w:ascii="Arial" w:cs="Arial" w:eastAsia="Arial" w:hAnsi="Arial"/>
          <w:sz w:val="19"/>
          <w:szCs w:val="19"/>
          <w:color w:val="auto"/>
        </w:rPr>
        <w:t>Dividends upon the capital stock of the corporation, subject to the provisions of the Certificate of</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Incorporation and applicable law, if any, may be declared by the Board of Directors. Dividends may be paid in cash, in property, or in shares of the corporation’s capital stock, subject to the provisions of the Certificate of Incorporation and applicable law.</w:t>
      </w:r>
    </w:p>
    <w:p>
      <w:pPr>
        <w:spacing w:after="0" w:line="161" w:lineRule="exact"/>
        <w:rPr>
          <w:sz w:val="20"/>
          <w:szCs w:val="20"/>
          <w:color w:val="auto"/>
        </w:rPr>
      </w:pPr>
    </w:p>
    <w:p>
      <w:pPr>
        <w:jc w:val="both"/>
        <w:ind w:firstLine="318"/>
        <w:spacing w:after="0" w:line="256" w:lineRule="auto"/>
        <w:rPr>
          <w:sz w:val="20"/>
          <w:szCs w:val="20"/>
          <w:color w:val="auto"/>
        </w:rPr>
      </w:pPr>
      <w:r>
        <w:rPr>
          <w:rFonts w:ascii="Arial" w:cs="Arial" w:eastAsia="Arial" w:hAnsi="Arial"/>
          <w:sz w:val="19"/>
          <w:szCs w:val="19"/>
          <w:b w:val="1"/>
          <w:bCs w:val="1"/>
          <w:color w:val="auto"/>
        </w:rPr>
        <w:t xml:space="preserve">Section 43. Dividend Reserve. </w:t>
      </w:r>
      <w:r>
        <w:rPr>
          <w:rFonts w:ascii="Arial" w:cs="Arial" w:eastAsia="Arial" w:hAnsi="Arial"/>
          <w:sz w:val="19"/>
          <w:szCs w:val="19"/>
          <w:color w:val="auto"/>
        </w:rPr>
        <w:t>Before payment of any dividend, there may be set aside out of any funds of the corporation available for</w:t>
      </w:r>
      <w:r>
        <w:rPr>
          <w:rFonts w:ascii="Arial" w:cs="Arial" w:eastAsia="Arial" w:hAnsi="Arial"/>
          <w:sz w:val="19"/>
          <w:szCs w:val="19"/>
          <w:b w:val="1"/>
          <w:bCs w:val="1"/>
          <w:color w:val="auto"/>
        </w:rPr>
        <w:t xml:space="preserve"> </w:t>
      </w:r>
      <w:r>
        <w:rPr>
          <w:rFonts w:ascii="Arial" w:cs="Arial" w:eastAsia="Arial" w:hAnsi="Arial"/>
          <w:sz w:val="19"/>
          <w:szCs w:val="19"/>
          <w:color w:val="auto"/>
        </w:rPr>
        <w:t>dividends such sum or sums as the Board of Directors from time to time, in its absolute discretion, thinks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173"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ARTICLE X</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FISCAL YEAR</w:t>
      </w:r>
    </w:p>
    <w:p>
      <w:pPr>
        <w:spacing w:after="0" w:line="219"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9"/>
          <w:szCs w:val="19"/>
          <w:b w:val="1"/>
          <w:bCs w:val="1"/>
          <w:color w:val="auto"/>
        </w:rPr>
        <w:t xml:space="preserve">Section 44. Fiscal Year. </w:t>
      </w:r>
      <w:r>
        <w:rPr>
          <w:rFonts w:ascii="Arial" w:cs="Arial" w:eastAsia="Arial" w:hAnsi="Arial"/>
          <w:sz w:val="19"/>
          <w:szCs w:val="19"/>
          <w:color w:val="auto"/>
        </w:rPr>
        <w:t>The fiscal year of the corporation shall end on December 31 or on such other date as may otherwise be fixed by</w:t>
      </w:r>
      <w:r>
        <w:rPr>
          <w:rFonts w:ascii="Arial" w:cs="Arial" w:eastAsia="Arial" w:hAnsi="Arial"/>
          <w:sz w:val="19"/>
          <w:szCs w:val="19"/>
          <w:b w:val="1"/>
          <w:bCs w:val="1"/>
          <w:color w:val="auto"/>
        </w:rPr>
        <w:t xml:space="preserve"> </w:t>
      </w:r>
      <w:r>
        <w:rPr>
          <w:rFonts w:ascii="Arial" w:cs="Arial" w:eastAsia="Arial" w:hAnsi="Arial"/>
          <w:sz w:val="19"/>
          <w:szCs w:val="19"/>
          <w:color w:val="auto"/>
        </w:rPr>
        <w:t>resolution of the Board of Directors.</w:t>
      </w:r>
    </w:p>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ARTICLE XI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INDEMNIFICATION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Section 45. Indemnification of Directors, Executive Officers, Employees and Other Agents.</w:t>
      </w:r>
    </w:p>
    <w:p>
      <w:pPr>
        <w:spacing w:after="0" w:line="219" w:lineRule="exact"/>
        <w:rPr>
          <w:sz w:val="20"/>
          <w:szCs w:val="20"/>
          <w:color w:val="auto"/>
        </w:rPr>
      </w:pPr>
    </w:p>
    <w:p>
      <w:pPr>
        <w:jc w:val="both"/>
        <w:ind w:firstLine="801"/>
        <w:spacing w:after="0" w:line="267" w:lineRule="auto"/>
        <w:tabs>
          <w:tab w:leader="none" w:pos="12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and Executive Officers. </w:t>
      </w:r>
      <w:r>
        <w:rPr>
          <w:rFonts w:ascii="Arial" w:cs="Arial" w:eastAsia="Arial" w:hAnsi="Arial"/>
          <w:sz w:val="18"/>
          <w:szCs w:val="18"/>
          <w:color w:val="auto"/>
        </w:rPr>
        <w:t>The corporation shall indemnify its directors and executive officers (for the purposes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XI, “</w:t>
      </w:r>
      <w:r>
        <w:rPr>
          <w:rFonts w:ascii="Arial" w:cs="Arial" w:eastAsia="Arial" w:hAnsi="Arial"/>
          <w:sz w:val="18"/>
          <w:szCs w:val="18"/>
          <w:b w:val="1"/>
          <w:bCs w:val="1"/>
          <w:i w:val="1"/>
          <w:iCs w:val="1"/>
          <w:color w:val="auto"/>
        </w:rPr>
        <w:t>executive officers</w:t>
      </w:r>
      <w:r>
        <w:rPr>
          <w:rFonts w:ascii="Arial" w:cs="Arial" w:eastAsia="Arial" w:hAnsi="Arial"/>
          <w:sz w:val="18"/>
          <w:szCs w:val="18"/>
          <w:color w:val="auto"/>
        </w:rPr>
        <w:t xml:space="preserve">” shall have the meaning defined in Rule 3b-7 promulgated under the 1934 Act) to the fullest extent permitted by the DGCL or any other applicable law as it presently exists or may hereafter be amended, who was or is made or is threatened to be made a party or is otherwise involved in proceeding, by reason of the fact that he or she, or a person for whom he or she is the legal representative, is or was a director or officer of the corporation, against all liability and loss suffered and expenses (including attorneys’ fees) reasonably incurred by person;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corporation may modify the extent of such indemnification by individual contracts with its directors and executive officers, in which case such contract shall supersede and replace the provisions hereof;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395" w:right="339" w:bottom="1440" w:gutter="0" w:footer="0" w:header="0"/>
        </w:sectPr>
      </w:pPr>
    </w:p>
    <w:bookmarkStart w:id="69" w:name="page70"/>
    <w:bookmarkEnd w:id="69"/>
    <w:p>
      <w:pPr>
        <w:spacing w:after="0" w:line="278" w:lineRule="auto"/>
        <w:rPr>
          <w:sz w:val="20"/>
          <w:szCs w:val="20"/>
          <w:color w:val="auto"/>
        </w:rPr>
      </w:pPr>
      <w:r>
        <w:rPr>
          <w:rFonts w:ascii="Arial" w:cs="Arial" w:eastAsia="Arial" w:hAnsi="Arial"/>
          <w:sz w:val="19"/>
          <w:szCs w:val="19"/>
          <w:color w:val="auto"/>
        </w:rPr>
        <w:t>corporation, in its sole discretion, pursuant to the powers vested in the corporation under the DGCL or any other applicable law or (iv) such indemnification is required to be made under subsection (d) of this Section 45.</w:t>
      </w:r>
    </w:p>
    <w:p>
      <w:pPr>
        <w:spacing w:after="0" w:line="150" w:lineRule="exact"/>
        <w:rPr>
          <w:sz w:val="20"/>
          <w:szCs w:val="20"/>
          <w:color w:val="auto"/>
        </w:rPr>
      </w:pPr>
    </w:p>
    <w:p>
      <w:pPr>
        <w:jc w:val="both"/>
        <w:ind w:firstLine="801"/>
        <w:spacing w:after="0" w:line="278" w:lineRule="auto"/>
        <w:tabs>
          <w:tab w:leader="none" w:pos="1271"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Officers, Employees and Other Agents. </w:t>
      </w:r>
      <w:r>
        <w:rPr>
          <w:rFonts w:ascii="Arial" w:cs="Arial" w:eastAsia="Arial" w:hAnsi="Arial"/>
          <w:sz w:val="18"/>
          <w:szCs w:val="18"/>
          <w:color w:val="auto"/>
        </w:rPr>
        <w:t>The corporation shall have the power to indemnify (including the power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in a manner consistent with subsection (c) of this Section 45) its other officers, employees and other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153" w:lineRule="exact"/>
        <w:rPr>
          <w:rFonts w:ascii="Arial" w:cs="Arial" w:eastAsia="Arial" w:hAnsi="Arial"/>
          <w:sz w:val="18"/>
          <w:szCs w:val="18"/>
          <w:b w:val="1"/>
          <w:bCs w:val="1"/>
          <w:color w:val="auto"/>
        </w:rPr>
      </w:pPr>
    </w:p>
    <w:p>
      <w:pPr>
        <w:jc w:val="both"/>
        <w:ind w:firstLine="801"/>
        <w:spacing w:after="0" w:line="251" w:lineRule="auto"/>
        <w:tabs>
          <w:tab w:leader="none" w:pos="1262"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Expenses. </w:t>
      </w:r>
      <w:r>
        <w:rPr>
          <w:rFonts w:ascii="Arial" w:cs="Arial" w:eastAsia="Arial" w:hAnsi="Arial"/>
          <w:sz w:val="19"/>
          <w:szCs w:val="19"/>
          <w:color w:val="auto"/>
        </w:rPr>
        <w:t>The corporation shall advance to any person who was or is a party or is threatened to be made a party to any</w:t>
      </w:r>
      <w:r>
        <w:rPr>
          <w:rFonts w:ascii="Arial" w:cs="Arial" w:eastAsia="Arial" w:hAnsi="Arial"/>
          <w:sz w:val="19"/>
          <w:szCs w:val="19"/>
          <w:b w:val="1"/>
          <w:bCs w:val="1"/>
          <w:color w:val="auto"/>
        </w:rPr>
        <w:t xml:space="preserve"> </w:t>
      </w:r>
      <w:r>
        <w:rPr>
          <w:rFonts w:ascii="Arial" w:cs="Arial" w:eastAsia="Arial" w:hAnsi="Arial"/>
          <w:sz w:val="19"/>
          <w:szCs w:val="19"/>
          <w:color w:val="auto"/>
        </w:rPr>
        <w:t>threatened, 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Arial" w:cs="Arial" w:eastAsia="Arial" w:hAnsi="Arial"/>
          <w:sz w:val="19"/>
          <w:szCs w:val="19"/>
          <w:b w:val="1"/>
          <w:bCs w:val="1"/>
          <w:i w:val="1"/>
          <w:iCs w:val="1"/>
          <w:color w:val="auto"/>
        </w:rPr>
        <w:t>undertaking</w:t>
      </w:r>
      <w:r>
        <w:rPr>
          <w:rFonts w:ascii="Arial" w:cs="Arial" w:eastAsia="Arial" w:hAnsi="Arial"/>
          <w:sz w:val="19"/>
          <w:szCs w:val="19"/>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9"/>
          <w:szCs w:val="19"/>
          <w:b w:val="1"/>
          <w:bCs w:val="1"/>
          <w:i w:val="1"/>
          <w:iCs w:val="1"/>
          <w:color w:val="auto"/>
        </w:rPr>
        <w:t>final adjudication</w:t>
      </w:r>
      <w:r>
        <w:rPr>
          <w:rFonts w:ascii="Arial" w:cs="Arial" w:eastAsia="Arial" w:hAnsi="Arial"/>
          <w:sz w:val="19"/>
          <w:szCs w:val="19"/>
          <w:color w:val="auto"/>
        </w:rPr>
        <w:t>”) that such indemnitee is not entitled to be indemnified for such expenses under this section or otherwise.</w:t>
      </w:r>
    </w:p>
    <w:p>
      <w:pPr>
        <w:spacing w:after="0" w:line="182"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8"/>
          <w:szCs w:val="18"/>
          <w:color w:val="auto"/>
        </w:rPr>
        <w:t>Notwithstanding the foregoing, unless otherwise determined pursuant to paragraph (d) of this Section 45,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66" w:lineRule="exact"/>
        <w:rPr>
          <w:sz w:val="20"/>
          <w:szCs w:val="20"/>
          <w:color w:val="auto"/>
        </w:rPr>
      </w:pPr>
    </w:p>
    <w:p>
      <w:pPr>
        <w:jc w:val="both"/>
        <w:ind w:firstLine="801"/>
        <w:spacing w:after="0" w:line="252" w:lineRule="auto"/>
        <w:tabs>
          <w:tab w:leader="none" w:pos="1271"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Enforcement. </w:t>
      </w:r>
      <w:r>
        <w:rPr>
          <w:rFonts w:ascii="Arial" w:cs="Arial" w:eastAsia="Arial" w:hAnsi="Arial"/>
          <w:sz w:val="19"/>
          <w:szCs w:val="19"/>
          <w:color w:val="auto"/>
        </w:rPr>
        <w:t>Without the necessity of entering into an express contract, all rights to indemnification and advances to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and 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extent permitted by law, the claimant in such enforcement action, if successful in whole or in part, shall be entitled to be paid also the expense of prosecuting the claim to the fullest extent permitted by law. In connection with any claim for indemnification, the corporation shall be entitled to raise as a defense to any such action that the claimant has not met the standards of conduct that make it permissible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40"/>
          </w:cols>
          <w:pgMar w:left="320" w:top="1395" w:right="339" w:bottom="1440" w:gutter="0" w:footer="0" w:header="0"/>
        </w:sectPr>
      </w:pPr>
    </w:p>
    <w:bookmarkStart w:id="70" w:name="page71"/>
    <w:bookmarkEnd w:id="70"/>
    <w:p>
      <w:pPr>
        <w:jc w:val="both"/>
        <w:spacing w:after="0" w:line="265" w:lineRule="auto"/>
        <w:rPr>
          <w:sz w:val="20"/>
          <w:szCs w:val="20"/>
          <w:color w:val="auto"/>
        </w:rPr>
      </w:pPr>
      <w:r>
        <w:rPr>
          <w:rFonts w:ascii="Arial" w:cs="Arial" w:eastAsia="Arial" w:hAnsi="Arial"/>
          <w:sz w:val="18"/>
          <w:szCs w:val="18"/>
          <w:color w:val="auto"/>
        </w:rPr>
        <w:t>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w:t>
      </w:r>
    </w:p>
    <w:p>
      <w:pPr>
        <w:spacing w:after="0" w:line="163" w:lineRule="exact"/>
        <w:rPr>
          <w:sz w:val="20"/>
          <w:szCs w:val="20"/>
          <w:color w:val="auto"/>
        </w:rPr>
      </w:pPr>
    </w:p>
    <w:p>
      <w:pPr>
        <w:jc w:val="both"/>
        <w:ind w:firstLine="801"/>
        <w:spacing w:after="0" w:line="294" w:lineRule="auto"/>
        <w:tabs>
          <w:tab w:leader="none" w:pos="1262"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Non-Exclusivity of Rights. </w:t>
      </w:r>
      <w:r>
        <w:rPr>
          <w:rFonts w:ascii="Arial" w:cs="Arial" w:eastAsia="Arial" w:hAnsi="Arial"/>
          <w:sz w:val="17"/>
          <w:szCs w:val="17"/>
          <w:color w:val="auto"/>
        </w:rPr>
        <w:t>The rights conferred on any person by this Bylaw shall not be exclusive of any other right which</w:t>
      </w:r>
      <w:r>
        <w:rPr>
          <w:rFonts w:ascii="Arial" w:cs="Arial" w:eastAsia="Arial" w:hAnsi="Arial"/>
          <w:sz w:val="17"/>
          <w:szCs w:val="17"/>
          <w:b w:val="1"/>
          <w:bCs w:val="1"/>
          <w:color w:val="auto"/>
        </w:rPr>
        <w:t xml:space="preserve"> </w:t>
      </w:r>
      <w:r>
        <w:rPr>
          <w:rFonts w:ascii="Arial" w:cs="Arial" w:eastAsia="Arial" w:hAnsi="Arial"/>
          <w:sz w:val="17"/>
          <w:szCs w:val="17"/>
          <w:color w:val="auto"/>
        </w:rPr>
        <w:t>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40" w:lineRule="exact"/>
        <w:rPr>
          <w:rFonts w:ascii="Arial" w:cs="Arial" w:eastAsia="Arial" w:hAnsi="Arial"/>
          <w:sz w:val="17"/>
          <w:szCs w:val="17"/>
          <w:b w:val="1"/>
          <w:bCs w:val="1"/>
          <w:color w:val="auto"/>
        </w:rPr>
      </w:pPr>
    </w:p>
    <w:p>
      <w:pPr>
        <w:jc w:val="both"/>
        <w:ind w:firstLine="801"/>
        <w:spacing w:after="0" w:line="266" w:lineRule="auto"/>
        <w:tabs>
          <w:tab w:leader="none" w:pos="1267"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Survival of Rights. </w:t>
      </w:r>
      <w:r>
        <w:rPr>
          <w:rFonts w:ascii="Arial" w:cs="Arial" w:eastAsia="Arial" w:hAnsi="Arial"/>
          <w:sz w:val="19"/>
          <w:szCs w:val="19"/>
          <w:color w:val="auto"/>
        </w:rPr>
        <w:t>The rights conferred on any person by this Bylaw shall continue as to a person who has ceased to be a</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 or executive officer or officer, employee or other agent and shall inure to the benefit of the heirs, executors and administrators of such a person.</w:t>
      </w:r>
    </w:p>
    <w:p>
      <w:pPr>
        <w:spacing w:after="0" w:line="161" w:lineRule="exact"/>
        <w:rPr>
          <w:rFonts w:ascii="Arial" w:cs="Arial" w:eastAsia="Arial" w:hAnsi="Arial"/>
          <w:sz w:val="19"/>
          <w:szCs w:val="19"/>
          <w:b w:val="1"/>
          <w:bCs w:val="1"/>
          <w:color w:val="auto"/>
        </w:rPr>
      </w:pPr>
    </w:p>
    <w:p>
      <w:pPr>
        <w:ind w:firstLine="801"/>
        <w:spacing w:after="0" w:line="314" w:lineRule="auto"/>
        <w:tabs>
          <w:tab w:leader="none" w:pos="12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To the fullest extent permitted by the DGCL or any other applicable law, the corporation, upon approval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may purchase insurance on behalf of any person required or permitted to be indemnified pursuant to this section.</w:t>
      </w:r>
    </w:p>
    <w:p>
      <w:pPr>
        <w:spacing w:after="0" w:line="120" w:lineRule="exact"/>
        <w:rPr>
          <w:rFonts w:ascii="Arial" w:cs="Arial" w:eastAsia="Arial" w:hAnsi="Arial"/>
          <w:sz w:val="18"/>
          <w:szCs w:val="18"/>
          <w:b w:val="1"/>
          <w:bCs w:val="1"/>
          <w:color w:val="auto"/>
        </w:rPr>
      </w:pPr>
    </w:p>
    <w:p>
      <w:pPr>
        <w:jc w:val="both"/>
        <w:ind w:firstLine="801"/>
        <w:spacing w:after="0" w:line="266" w:lineRule="auto"/>
        <w:tabs>
          <w:tab w:leader="none" w:pos="1271"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Amendments. </w:t>
      </w:r>
      <w:r>
        <w:rPr>
          <w:rFonts w:ascii="Arial" w:cs="Arial" w:eastAsia="Arial" w:hAnsi="Arial"/>
          <w:sz w:val="19"/>
          <w:szCs w:val="19"/>
          <w:color w:val="auto"/>
        </w:rPr>
        <w:t>Any repeal or modification of this section shall only be prospective and shall not affect the rights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Bylaw in effect at the time of the alleged occurrence of any action or omission to act that is the cause of any proceeding against any agent of the corporation.</w:t>
      </w:r>
    </w:p>
    <w:p>
      <w:pPr>
        <w:spacing w:after="0" w:line="161" w:lineRule="exact"/>
        <w:rPr>
          <w:rFonts w:ascii="Arial" w:cs="Arial" w:eastAsia="Arial" w:hAnsi="Arial"/>
          <w:sz w:val="19"/>
          <w:szCs w:val="19"/>
          <w:b w:val="1"/>
          <w:bCs w:val="1"/>
          <w:color w:val="auto"/>
        </w:rPr>
      </w:pPr>
    </w:p>
    <w:p>
      <w:pPr>
        <w:jc w:val="both"/>
        <w:ind w:firstLine="801"/>
        <w:spacing w:after="0" w:line="256" w:lineRule="auto"/>
        <w:tabs>
          <w:tab w:leader="none" w:pos="1270"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Saving Clause. </w:t>
      </w:r>
      <w:r>
        <w:rPr>
          <w:rFonts w:ascii="Arial" w:cs="Arial" w:eastAsia="Arial" w:hAnsi="Arial"/>
          <w:sz w:val="19"/>
          <w:szCs w:val="19"/>
          <w:color w:val="auto"/>
        </w:rPr>
        <w:t>If this Bylaw or any portion hereof shall be invalidated on any ground by any court of competent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then the 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395" w:right="339" w:bottom="1440" w:gutter="0" w:footer="0" w:header="0"/>
        </w:sectPr>
      </w:pPr>
    </w:p>
    <w:bookmarkStart w:id="71" w:name="page72"/>
    <w:bookmarkEnd w:id="71"/>
    <w:p>
      <w:pPr>
        <w:ind w:left="1260" w:hanging="459"/>
        <w:spacing w:after="0"/>
        <w:tabs>
          <w:tab w:leader="none" w:pos="1260" w:val="left"/>
        </w:tabs>
        <w:numPr>
          <w:ilvl w:val="0"/>
          <w:numId w:val="49"/>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Certain Definitions. </w:t>
      </w:r>
      <w:r>
        <w:rPr>
          <w:rFonts w:ascii="Arial" w:cs="Arial" w:eastAsia="Arial" w:hAnsi="Arial"/>
          <w:sz w:val="19"/>
          <w:szCs w:val="19"/>
          <w:color w:val="auto"/>
        </w:rPr>
        <w:t>For the purposes of this Bylaw, the following definitions shall apply:</w:t>
      </w:r>
    </w:p>
    <w:p>
      <w:pPr>
        <w:spacing w:after="0" w:line="28" w:lineRule="exact"/>
        <w:rPr>
          <w:rFonts w:ascii="Arial" w:cs="Arial" w:eastAsia="Arial" w:hAnsi="Arial"/>
          <w:sz w:val="18"/>
          <w:szCs w:val="18"/>
          <w:b w:val="1"/>
          <w:bCs w:val="1"/>
          <w:color w:val="auto"/>
        </w:rPr>
      </w:pPr>
    </w:p>
    <w:p>
      <w:pPr>
        <w:jc w:val="both"/>
        <w:ind w:firstLine="1278"/>
        <w:spacing w:after="0" w:line="254" w:lineRule="auto"/>
        <w:tabs>
          <w:tab w:leader="none" w:pos="1906" w:val="left"/>
        </w:tabs>
        <w:numPr>
          <w:ilvl w:val="1"/>
          <w:numId w:val="49"/>
        </w:numPr>
        <w:rPr>
          <w:rFonts w:ascii="Arial" w:cs="Arial" w:eastAsia="Arial" w:hAnsi="Arial"/>
          <w:sz w:val="19"/>
          <w:szCs w:val="19"/>
          <w:b w:val="1"/>
          <w:bCs w:val="1"/>
          <w:color w:val="auto"/>
        </w:rPr>
      </w:pPr>
      <w:r>
        <w:rPr>
          <w:rFonts w:ascii="Arial" w:cs="Arial" w:eastAsia="Arial" w:hAnsi="Arial"/>
          <w:sz w:val="19"/>
          <w:szCs w:val="19"/>
          <w:color w:val="auto"/>
        </w:rPr>
        <w:t>The term “</w:t>
      </w:r>
      <w:r>
        <w:rPr>
          <w:rFonts w:ascii="Arial" w:cs="Arial" w:eastAsia="Arial" w:hAnsi="Arial"/>
          <w:sz w:val="19"/>
          <w:szCs w:val="19"/>
          <w:b w:val="1"/>
          <w:bCs w:val="1"/>
          <w:i w:val="1"/>
          <w:iCs w:val="1"/>
          <w:color w:val="auto"/>
        </w:rPr>
        <w:t>proceeding</w:t>
      </w:r>
      <w:r>
        <w:rPr>
          <w:rFonts w:ascii="Arial" w:cs="Arial" w:eastAsia="Arial" w:hAnsi="Arial"/>
          <w:sz w:val="19"/>
          <w:szCs w:val="19"/>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8" w:lineRule="exact"/>
        <w:rPr>
          <w:rFonts w:ascii="Arial" w:cs="Arial" w:eastAsia="Arial" w:hAnsi="Arial"/>
          <w:sz w:val="19"/>
          <w:szCs w:val="19"/>
          <w:b w:val="1"/>
          <w:bCs w:val="1"/>
          <w:color w:val="auto"/>
        </w:rPr>
      </w:pPr>
    </w:p>
    <w:p>
      <w:pPr>
        <w:jc w:val="both"/>
        <w:ind w:firstLine="1278"/>
        <w:spacing w:after="0" w:line="263" w:lineRule="auto"/>
        <w:tabs>
          <w:tab w:leader="none" w:pos="1907" w:val="left"/>
        </w:tabs>
        <w:numPr>
          <w:ilvl w:val="1"/>
          <w:numId w:val="49"/>
        </w:numPr>
        <w:rPr>
          <w:rFonts w:ascii="Arial" w:cs="Arial" w:eastAsia="Arial" w:hAnsi="Arial"/>
          <w:sz w:val="19"/>
          <w:szCs w:val="19"/>
          <w:b w:val="1"/>
          <w:bCs w:val="1"/>
          <w:color w:val="auto"/>
        </w:rPr>
      </w:pPr>
      <w:r>
        <w:rPr>
          <w:rFonts w:ascii="Arial" w:cs="Arial" w:eastAsia="Arial" w:hAnsi="Arial"/>
          <w:sz w:val="19"/>
          <w:szCs w:val="19"/>
          <w:color w:val="auto"/>
        </w:rPr>
        <w:t>The term “</w:t>
      </w:r>
      <w:r>
        <w:rPr>
          <w:rFonts w:ascii="Arial" w:cs="Arial" w:eastAsia="Arial" w:hAnsi="Arial"/>
          <w:sz w:val="19"/>
          <w:szCs w:val="19"/>
          <w:b w:val="1"/>
          <w:bCs w:val="1"/>
          <w:i w:val="1"/>
          <w:iCs w:val="1"/>
          <w:color w:val="auto"/>
        </w:rPr>
        <w:t>expenses</w:t>
      </w:r>
      <w:r>
        <w:rPr>
          <w:rFonts w:ascii="Arial" w:cs="Arial" w:eastAsia="Arial" w:hAnsi="Arial"/>
          <w:sz w:val="19"/>
          <w:szCs w:val="19"/>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69" w:lineRule="exact"/>
        <w:rPr>
          <w:rFonts w:ascii="Arial" w:cs="Arial" w:eastAsia="Arial" w:hAnsi="Arial"/>
          <w:sz w:val="19"/>
          <w:szCs w:val="19"/>
          <w:b w:val="1"/>
          <w:bCs w:val="1"/>
          <w:color w:val="auto"/>
        </w:rPr>
      </w:pPr>
    </w:p>
    <w:p>
      <w:pPr>
        <w:jc w:val="both"/>
        <w:ind w:firstLine="1278"/>
        <w:spacing w:after="0" w:line="252" w:lineRule="auto"/>
        <w:tabs>
          <w:tab w:leader="none" w:pos="1908" w:val="left"/>
        </w:tabs>
        <w:numPr>
          <w:ilvl w:val="1"/>
          <w:numId w:val="49"/>
        </w:numPr>
        <w:rPr>
          <w:rFonts w:ascii="Arial" w:cs="Arial" w:eastAsia="Arial" w:hAnsi="Arial"/>
          <w:sz w:val="19"/>
          <w:szCs w:val="19"/>
          <w:b w:val="1"/>
          <w:bCs w:val="1"/>
          <w:color w:val="auto"/>
        </w:rPr>
      </w:pPr>
      <w:r>
        <w:rPr>
          <w:rFonts w:ascii="Arial" w:cs="Arial" w:eastAsia="Arial" w:hAnsi="Arial"/>
          <w:sz w:val="19"/>
          <w:szCs w:val="19"/>
          <w:color w:val="auto"/>
        </w:rPr>
        <w:t>The term the “</w:t>
      </w:r>
      <w:r>
        <w:rPr>
          <w:rFonts w:ascii="Arial" w:cs="Arial" w:eastAsia="Arial" w:hAnsi="Arial"/>
          <w:sz w:val="19"/>
          <w:szCs w:val="19"/>
          <w:b w:val="1"/>
          <w:bCs w:val="1"/>
          <w:i w:val="1"/>
          <w:iCs w:val="1"/>
          <w:color w:val="auto"/>
        </w:rPr>
        <w:t>corporation</w:t>
      </w:r>
      <w:r>
        <w:rPr>
          <w:rFonts w:ascii="Arial" w:cs="Arial" w:eastAsia="Arial" w:hAnsi="Arial"/>
          <w:sz w:val="19"/>
          <w:szCs w:val="19"/>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82" w:lineRule="exact"/>
        <w:rPr>
          <w:rFonts w:ascii="Arial" w:cs="Arial" w:eastAsia="Arial" w:hAnsi="Arial"/>
          <w:sz w:val="19"/>
          <w:szCs w:val="19"/>
          <w:b w:val="1"/>
          <w:bCs w:val="1"/>
          <w:color w:val="auto"/>
        </w:rPr>
      </w:pPr>
    </w:p>
    <w:p>
      <w:pPr>
        <w:jc w:val="both"/>
        <w:ind w:firstLine="1278"/>
        <w:spacing w:after="0" w:line="263" w:lineRule="auto"/>
        <w:tabs>
          <w:tab w:leader="none" w:pos="1897" w:val="left"/>
        </w:tabs>
        <w:numPr>
          <w:ilvl w:val="1"/>
          <w:numId w:val="49"/>
        </w:numPr>
        <w:rPr>
          <w:rFonts w:ascii="Arial" w:cs="Arial" w:eastAsia="Arial" w:hAnsi="Arial"/>
          <w:sz w:val="19"/>
          <w:szCs w:val="19"/>
          <w:b w:val="1"/>
          <w:bCs w:val="1"/>
          <w:color w:val="auto"/>
        </w:rPr>
      </w:pPr>
      <w:r>
        <w:rPr>
          <w:rFonts w:ascii="Arial" w:cs="Arial" w:eastAsia="Arial" w:hAnsi="Arial"/>
          <w:sz w:val="19"/>
          <w:szCs w:val="19"/>
          <w:color w:val="auto"/>
        </w:rPr>
        <w:t>References to a “</w:t>
      </w:r>
      <w:r>
        <w:rPr>
          <w:rFonts w:ascii="Arial" w:cs="Arial" w:eastAsia="Arial" w:hAnsi="Arial"/>
          <w:sz w:val="19"/>
          <w:szCs w:val="19"/>
          <w:b w:val="1"/>
          <w:bCs w:val="1"/>
          <w:i w:val="1"/>
          <w:iCs w:val="1"/>
          <w:color w:val="auto"/>
        </w:rPr>
        <w:t>director</w:t>
      </w:r>
      <w:r>
        <w:rPr>
          <w:rFonts w:ascii="Arial" w:cs="Arial" w:eastAsia="Arial" w:hAnsi="Arial"/>
          <w:sz w:val="19"/>
          <w:szCs w:val="19"/>
          <w:color w:val="auto"/>
        </w:rPr>
        <w:t>,” “</w:t>
      </w:r>
      <w:r>
        <w:rPr>
          <w:rFonts w:ascii="Arial" w:cs="Arial" w:eastAsia="Arial" w:hAnsi="Arial"/>
          <w:sz w:val="19"/>
          <w:szCs w:val="19"/>
          <w:b w:val="1"/>
          <w:bCs w:val="1"/>
          <w:i w:val="1"/>
          <w:iCs w:val="1"/>
          <w:color w:val="auto"/>
        </w:rPr>
        <w:t>executive officer</w:t>
      </w:r>
      <w:r>
        <w:rPr>
          <w:rFonts w:ascii="Arial" w:cs="Arial" w:eastAsia="Arial" w:hAnsi="Arial"/>
          <w:sz w:val="19"/>
          <w:szCs w:val="19"/>
          <w:color w:val="auto"/>
        </w:rPr>
        <w:t>,” “</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or “</w:t>
      </w:r>
      <w:r>
        <w:rPr>
          <w:rFonts w:ascii="Arial" w:cs="Arial" w:eastAsia="Arial" w:hAnsi="Arial"/>
          <w:sz w:val="19"/>
          <w:szCs w:val="19"/>
          <w:b w:val="1"/>
          <w:bCs w:val="1"/>
          <w:i w:val="1"/>
          <w:iCs w:val="1"/>
          <w:color w:val="auto"/>
        </w:rPr>
        <w:t>agent</w:t>
      </w:r>
      <w:r>
        <w:rPr>
          <w:rFonts w:ascii="Arial" w:cs="Arial" w:eastAsia="Arial" w:hAnsi="Arial"/>
          <w:sz w:val="19"/>
          <w:szCs w:val="19"/>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69" w:lineRule="exact"/>
        <w:rPr>
          <w:rFonts w:ascii="Arial" w:cs="Arial" w:eastAsia="Arial" w:hAnsi="Arial"/>
          <w:sz w:val="19"/>
          <w:szCs w:val="19"/>
          <w:b w:val="1"/>
          <w:bCs w:val="1"/>
          <w:color w:val="auto"/>
        </w:rPr>
      </w:pPr>
    </w:p>
    <w:p>
      <w:pPr>
        <w:jc w:val="both"/>
        <w:ind w:firstLine="1278"/>
        <w:spacing w:after="0" w:line="270" w:lineRule="auto"/>
        <w:tabs>
          <w:tab w:leader="none" w:pos="1896"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other enterprises</w:t>
      </w:r>
      <w:r>
        <w:rPr>
          <w:rFonts w:ascii="Arial" w:cs="Arial" w:eastAsia="Arial" w:hAnsi="Arial"/>
          <w:sz w:val="18"/>
          <w:szCs w:val="18"/>
          <w:color w:val="auto"/>
        </w:rPr>
        <w:t>” shall include employee benefit plans; 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 employee benefit plan; and references to “</w:t>
      </w:r>
      <w:r>
        <w:rPr>
          <w:rFonts w:ascii="Arial" w:cs="Arial" w:eastAsia="Arial" w:hAnsi="Arial"/>
          <w:sz w:val="18"/>
          <w:szCs w:val="18"/>
          <w:b w:val="1"/>
          <w:bCs w:val="1"/>
          <w:i w:val="1"/>
          <w:iCs w:val="1"/>
          <w:color w:val="auto"/>
        </w:rPr>
        <w:t>serving at the request of the corporation</w:t>
      </w:r>
      <w:r>
        <w:rPr>
          <w:rFonts w:ascii="Arial" w:cs="Arial" w:eastAsia="Arial" w:hAnsi="Arial"/>
          <w:sz w:val="18"/>
          <w:szCs w:val="18"/>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8"/>
          <w:szCs w:val="18"/>
          <w:b w:val="1"/>
          <w:bCs w:val="1"/>
          <w:i w:val="1"/>
          <w:iCs w:val="1"/>
          <w:color w:val="auto"/>
        </w:rPr>
        <w:t>not opposed to the best interests of the corporation</w:t>
      </w:r>
      <w:r>
        <w:rPr>
          <w:rFonts w:ascii="Arial" w:cs="Arial" w:eastAsia="Arial" w:hAnsi="Arial"/>
          <w:sz w:val="18"/>
          <w:szCs w:val="18"/>
          <w:color w:val="auto"/>
        </w:rPr>
        <w:t>” as referred to in this section.</w:t>
      </w:r>
    </w:p>
    <w:p>
      <w:pPr>
        <w:spacing w:after="0" w:line="160" w:lineRule="exact"/>
        <w:rPr>
          <w:sz w:val="20"/>
          <w:szCs w:val="20"/>
          <w:color w:val="auto"/>
        </w:rPr>
      </w:pPr>
    </w:p>
    <w:p>
      <w:pPr>
        <w:ind w:left="5180"/>
        <w:spacing w:after="0"/>
        <w:rPr>
          <w:sz w:val="20"/>
          <w:szCs w:val="20"/>
          <w:color w:val="auto"/>
        </w:rPr>
      </w:pPr>
      <w:r>
        <w:rPr>
          <w:rFonts w:ascii="Arial" w:cs="Arial" w:eastAsia="Arial" w:hAnsi="Arial"/>
          <w:sz w:val="19"/>
          <w:szCs w:val="19"/>
          <w:b w:val="1"/>
          <w:bCs w:val="1"/>
          <w:color w:val="auto"/>
        </w:rPr>
        <w:t>ARTICLE XII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NOTICES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Section 46. Notices.</w:t>
      </w:r>
    </w:p>
    <w:p>
      <w:pPr>
        <w:spacing w:after="0" w:line="219" w:lineRule="exact"/>
        <w:rPr>
          <w:sz w:val="20"/>
          <w:szCs w:val="20"/>
          <w:color w:val="auto"/>
        </w:rPr>
      </w:pPr>
    </w:p>
    <w:p>
      <w:pPr>
        <w:jc w:val="both"/>
        <w:ind w:firstLine="801"/>
        <w:spacing w:after="0" w:line="278" w:lineRule="auto"/>
        <w:tabs>
          <w:tab w:leader="none" w:pos="12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Stockholders. </w:t>
      </w:r>
      <w:r>
        <w:rPr>
          <w:rFonts w:ascii="Arial" w:cs="Arial" w:eastAsia="Arial" w:hAnsi="Arial"/>
          <w:sz w:val="18"/>
          <w:szCs w:val="18"/>
          <w:color w:val="auto"/>
        </w:rPr>
        <w:t>Notice to stockholders of stockholder meetings shall be given as provided in Section 7 herein.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153" w:lineRule="exact"/>
        <w:rPr>
          <w:rFonts w:ascii="Arial" w:cs="Arial" w:eastAsia="Arial" w:hAnsi="Arial"/>
          <w:sz w:val="18"/>
          <w:szCs w:val="18"/>
          <w:b w:val="1"/>
          <w:bCs w:val="1"/>
          <w:color w:val="auto"/>
        </w:rPr>
      </w:pPr>
    </w:p>
    <w:p>
      <w:pPr>
        <w:ind w:firstLine="801"/>
        <w:spacing w:after="0" w:line="285" w:lineRule="auto"/>
        <w:tabs>
          <w:tab w:leader="none" w:pos="1271"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to Directors. </w:t>
      </w:r>
      <w:r>
        <w:rPr>
          <w:rFonts w:ascii="Arial" w:cs="Arial" w:eastAsia="Arial" w:hAnsi="Arial"/>
          <w:sz w:val="19"/>
          <w:szCs w:val="19"/>
          <w:color w:val="auto"/>
        </w:rPr>
        <w:t>Any notice required to be given to any director may be given by the method stated in subsection (a) or as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provided in these Bylaws, with notice other than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389" w:right="339" w:bottom="1440" w:gutter="0" w:footer="0" w:header="0"/>
        </w:sectPr>
      </w:pPr>
    </w:p>
    <w:bookmarkStart w:id="72" w:name="page73"/>
    <w:bookmarkEnd w:id="72"/>
    <w:p>
      <w:pPr>
        <w:spacing w:after="0" w:line="278" w:lineRule="auto"/>
        <w:rPr>
          <w:sz w:val="20"/>
          <w:szCs w:val="20"/>
          <w:color w:val="auto"/>
        </w:rPr>
      </w:pPr>
      <w:r>
        <w:rPr>
          <w:rFonts w:ascii="Arial" w:cs="Arial" w:eastAsia="Arial" w:hAnsi="Arial"/>
          <w:sz w:val="19"/>
          <w:szCs w:val="19"/>
          <w:color w:val="auto"/>
        </w:rPr>
        <w:t>which is delivered personally to be sent to such address as such director shall have filed in writing with the Secretary, or, in the absence of such filing, to the last known address of such director.</w:t>
      </w:r>
    </w:p>
    <w:p>
      <w:pPr>
        <w:spacing w:after="0" w:line="150" w:lineRule="exact"/>
        <w:rPr>
          <w:sz w:val="20"/>
          <w:szCs w:val="20"/>
          <w:color w:val="auto"/>
        </w:rPr>
      </w:pPr>
    </w:p>
    <w:p>
      <w:pPr>
        <w:jc w:val="both"/>
        <w:ind w:firstLine="801"/>
        <w:spacing w:after="0" w:line="278" w:lineRule="auto"/>
        <w:tabs>
          <w:tab w:leader="none" w:pos="126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Affidavit of Mailing. </w:t>
      </w:r>
      <w:r>
        <w:rPr>
          <w:rFonts w:ascii="Arial" w:cs="Arial" w:eastAsia="Arial" w:hAnsi="Arial"/>
          <w:sz w:val="18"/>
          <w:szCs w:val="18"/>
          <w:color w:val="auto"/>
        </w:rPr>
        <w:t>An affidavit of mailing, executed by a duly authorized and competent employee of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53" w:lineRule="exact"/>
        <w:rPr>
          <w:rFonts w:ascii="Arial" w:cs="Arial" w:eastAsia="Arial" w:hAnsi="Arial"/>
          <w:sz w:val="18"/>
          <w:szCs w:val="18"/>
          <w:b w:val="1"/>
          <w:bCs w:val="1"/>
          <w:color w:val="auto"/>
        </w:rPr>
      </w:pPr>
    </w:p>
    <w:p>
      <w:pPr>
        <w:jc w:val="both"/>
        <w:ind w:firstLine="801"/>
        <w:spacing w:after="0" w:line="266" w:lineRule="auto"/>
        <w:tabs>
          <w:tab w:leader="none" w:pos="1271"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Methods of Notice. </w:t>
      </w:r>
      <w:r>
        <w:rPr>
          <w:rFonts w:ascii="Arial" w:cs="Arial" w:eastAsia="Arial" w:hAnsi="Arial"/>
          <w:sz w:val="19"/>
          <w:szCs w:val="19"/>
          <w:color w:val="auto"/>
        </w:rPr>
        <w:t>It shall not be necessary that the same method of giving notice be employed in respect of all recipients of</w:t>
      </w:r>
      <w:r>
        <w:rPr>
          <w:rFonts w:ascii="Arial" w:cs="Arial" w:eastAsia="Arial" w:hAnsi="Arial"/>
          <w:sz w:val="19"/>
          <w:szCs w:val="19"/>
          <w:b w:val="1"/>
          <w:bCs w:val="1"/>
          <w:color w:val="auto"/>
        </w:rPr>
        <w:t xml:space="preserve"> </w:t>
      </w:r>
      <w:r>
        <w:rPr>
          <w:rFonts w:ascii="Arial" w:cs="Arial" w:eastAsia="Arial" w:hAnsi="Arial"/>
          <w:sz w:val="19"/>
          <w:szCs w:val="19"/>
          <w:color w:val="auto"/>
        </w:rPr>
        <w:t>notice, but one permissible method may be employed in respect of any one or more, and any other permissible method or methods may be employed in respect of any other or others.</w:t>
      </w:r>
    </w:p>
    <w:p>
      <w:pPr>
        <w:spacing w:after="0" w:line="161" w:lineRule="exact"/>
        <w:rPr>
          <w:rFonts w:ascii="Arial" w:cs="Arial" w:eastAsia="Arial" w:hAnsi="Arial"/>
          <w:sz w:val="19"/>
          <w:szCs w:val="19"/>
          <w:b w:val="1"/>
          <w:bCs w:val="1"/>
          <w:color w:val="auto"/>
        </w:rPr>
      </w:pPr>
    </w:p>
    <w:p>
      <w:pPr>
        <w:jc w:val="both"/>
        <w:ind w:firstLine="801"/>
        <w:spacing w:after="0" w:line="288" w:lineRule="auto"/>
        <w:tabs>
          <w:tab w:leader="none" w:pos="1262"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Person with Whom Communication is Unlawful. </w:t>
      </w:r>
      <w:r>
        <w:rPr>
          <w:rFonts w:ascii="Arial" w:cs="Arial" w:eastAsia="Arial" w:hAnsi="Arial"/>
          <w:sz w:val="17"/>
          <w:szCs w:val="17"/>
          <w:color w:val="auto"/>
        </w:rPr>
        <w:t>Whenever notice is required to be given, under any provision of</w:t>
      </w:r>
      <w:r>
        <w:rPr>
          <w:rFonts w:ascii="Arial" w:cs="Arial" w:eastAsia="Arial" w:hAnsi="Arial"/>
          <w:sz w:val="17"/>
          <w:szCs w:val="17"/>
          <w:b w:val="1"/>
          <w:bCs w:val="1"/>
          <w:color w:val="auto"/>
        </w:rPr>
        <w:t xml:space="preserve"> </w:t>
      </w:r>
      <w:r>
        <w:rPr>
          <w:rFonts w:ascii="Arial" w:cs="Arial" w:eastAsia="Arial" w:hAnsi="Arial"/>
          <w:sz w:val="17"/>
          <w:szCs w:val="17"/>
          <w:color w:val="auto"/>
        </w:rPr>
        <w:t>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46" w:lineRule="exact"/>
        <w:rPr>
          <w:rFonts w:ascii="Arial" w:cs="Arial" w:eastAsia="Arial" w:hAnsi="Arial"/>
          <w:sz w:val="17"/>
          <w:szCs w:val="17"/>
          <w:b w:val="1"/>
          <w:bCs w:val="1"/>
          <w:color w:val="auto"/>
        </w:rPr>
      </w:pPr>
    </w:p>
    <w:p>
      <w:pPr>
        <w:jc w:val="both"/>
        <w:ind w:firstLine="801"/>
        <w:spacing w:after="0" w:line="274" w:lineRule="auto"/>
        <w:tabs>
          <w:tab w:leader="none" w:pos="126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Stockholders Sharing an Address. </w:t>
      </w:r>
      <w:r>
        <w:rPr>
          <w:rFonts w:ascii="Arial" w:cs="Arial" w:eastAsia="Arial" w:hAnsi="Arial"/>
          <w:sz w:val="18"/>
          <w:szCs w:val="18"/>
          <w:color w:val="auto"/>
        </w:rPr>
        <w:t>Except as otherwise prohibited under the DGCL, any notice given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57" w:lineRule="exact"/>
        <w:rPr>
          <w:sz w:val="20"/>
          <w:szCs w:val="20"/>
          <w:color w:val="auto"/>
        </w:rPr>
      </w:pPr>
    </w:p>
    <w:p>
      <w:pPr>
        <w:ind w:left="5140"/>
        <w:spacing w:after="0"/>
        <w:rPr>
          <w:sz w:val="20"/>
          <w:szCs w:val="20"/>
          <w:color w:val="auto"/>
        </w:rPr>
      </w:pPr>
      <w:r>
        <w:rPr>
          <w:rFonts w:ascii="Arial" w:cs="Arial" w:eastAsia="Arial" w:hAnsi="Arial"/>
          <w:sz w:val="19"/>
          <w:szCs w:val="19"/>
          <w:b w:val="1"/>
          <w:bCs w:val="1"/>
          <w:color w:val="auto"/>
        </w:rPr>
        <w:t>ARTICLE XIII</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AMENDMENTS</w:t>
      </w:r>
    </w:p>
    <w:p>
      <w:pPr>
        <w:spacing w:after="0" w:line="21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 xml:space="preserve">Section 47. Amendments. </w:t>
      </w:r>
      <w:r>
        <w:rPr>
          <w:rFonts w:ascii="Arial" w:cs="Arial" w:eastAsia="Arial" w:hAnsi="Arial"/>
          <w:sz w:val="18"/>
          <w:szCs w:val="18"/>
          <w:color w:val="auto"/>
        </w:rPr>
        <w:t>Subject to the limitations set forth in Section 45(h) of these Bylaws or the provisions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Board of Directors is expressly empowered to adopt, amend or repeal the Bylaws of the corporation. The stockholders also shall have power to adopt, amend or repeal the Bylaws of the corporation; provided, however, that, in addition to any vote of the holders of any class or series of stock of the corporation required by law or by the Certificate of Incorporation, such action by stockholders shall require the affirmative vote of the holders of at least 66 2/3% of the voting power of all of the then-outstanding shares of the capital stock of the corporation entitled to vote generally in the election of directors,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395" w:right="339" w:bottom="1440" w:gutter="0" w:footer="0" w:header="0"/>
        </w:sectPr>
      </w:pPr>
    </w:p>
    <w:bookmarkStart w:id="73" w:name="page74"/>
    <w:bookmarkEnd w:id="73"/>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XIV</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LOANS TO OFFICERS</w:t>
      </w:r>
    </w:p>
    <w:p>
      <w:pPr>
        <w:spacing w:after="0" w:line="2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9"/>
          <w:szCs w:val="19"/>
          <w:b w:val="1"/>
          <w:bCs w:val="1"/>
          <w:color w:val="auto"/>
        </w:rPr>
        <w:t xml:space="preserve">Section 48. Loans to Officers. </w:t>
      </w:r>
      <w:r>
        <w:rPr>
          <w:rFonts w:ascii="Arial" w:cs="Arial" w:eastAsia="Arial" w:hAnsi="Arial"/>
          <w:sz w:val="19"/>
          <w:szCs w:val="19"/>
          <w:color w:val="auto"/>
        </w:rPr>
        <w:t>Except as otherwise prohibited by applicable law, the corporation may lend money to, or guarantee any</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May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1440"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Root,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Stock Option Grant Notice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(2020 Equity Incentive Plan)</w:t>
      </w:r>
    </w:p>
    <w:p>
      <w:pPr>
        <w:spacing w:after="0" w:line="200" w:lineRule="exact"/>
        <w:rPr>
          <w:sz w:val="20"/>
          <w:szCs w:val="20"/>
          <w:color w:val="auto"/>
        </w:rPr>
      </w:pPr>
    </w:p>
    <w:p>
      <w:pPr>
        <w:spacing w:after="0" w:line="21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Root,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pursuant to its 2020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has granted to you (“</w:t>
      </w:r>
      <w:r>
        <w:rPr>
          <w:rFonts w:ascii="Arial" w:cs="Arial" w:eastAsia="Arial" w:hAnsi="Arial"/>
          <w:sz w:val="15"/>
          <w:szCs w:val="15"/>
          <w:b w:val="1"/>
          <w:bCs w:val="1"/>
          <w:i w:val="1"/>
          <w:iCs w:val="1"/>
          <w:color w:val="auto"/>
        </w:rPr>
        <w:t>Optionholder”)</w:t>
      </w:r>
      <w:r>
        <w:rPr>
          <w:rFonts w:ascii="Arial" w:cs="Arial" w:eastAsia="Arial" w:hAnsi="Arial"/>
          <w:sz w:val="15"/>
          <w:szCs w:val="15"/>
          <w:color w:val="auto"/>
        </w:rPr>
        <w:t xml:space="preserve"> an option to purchase the number of shares of the Common Stock set forth below (the “</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Your Option is subject to all of the terms and conditions as set forth herein and in the Plan and the Stock Option Agreement,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3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27940</wp:posOffset>
            </wp:positionV>
            <wp:extent cx="16573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spacing w:after="0" w:line="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10795</wp:posOffset>
            </wp:positionV>
            <wp:extent cx="16573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10795</wp:posOffset>
            </wp:positionV>
            <wp:extent cx="16573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10795</wp:posOffset>
            </wp:positionV>
            <wp:extent cx="16573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10795</wp:posOffset>
            </wp:positionV>
            <wp:extent cx="16573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10795</wp:posOffset>
            </wp:positionV>
            <wp:extent cx="16573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10795</wp:posOffset>
            </wp:positionV>
            <wp:extent cx="16573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Type of Grant:</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color w:val="auto"/>
        </w:rPr>
        <w:t>Incentive Stock Option]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OR</w:t>
      </w:r>
      <w:r>
        <w:rPr>
          <w:rFonts w:ascii="Arial" w:cs="Arial" w:eastAsia="Arial" w:hAnsi="Arial"/>
          <w:sz w:val="15"/>
          <w:szCs w:val="15"/>
          <w:b w:val="1"/>
          <w:bCs w:val="1"/>
          <w:color w:val="auto"/>
        </w:rPr>
        <w:t xml:space="preserve"> </w:t>
      </w:r>
      <w:r>
        <w:rPr>
          <w:rFonts w:ascii="Arial" w:cs="Arial" w:eastAsia="Arial" w:hAnsi="Arial"/>
          <w:sz w:val="15"/>
          <w:szCs w:val="15"/>
          <w:color w:val="auto"/>
        </w:rPr>
        <w:t>[Nonstatutory Stock Option]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and</w:t>
      </w:r>
    </w:p>
    <w:p>
      <w:pPr>
        <w:spacing w:after="0" w:line="2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Subject to the Optionholder’s Continuous Service through each applicable vesting date, the Option will vest as follows:</w:t>
      </w:r>
    </w:p>
    <w:p>
      <w:pPr>
        <w:spacing w:after="0" w:line="16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[__________]</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Optionholder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69" w:lineRule="exact"/>
        <w:rPr>
          <w:sz w:val="20"/>
          <w:szCs w:val="20"/>
          <w:color w:val="auto"/>
        </w:rPr>
      </w:pPr>
    </w:p>
    <w:p>
      <w:pPr>
        <w:jc w:val="both"/>
        <w:ind w:left="640" w:hanging="316"/>
        <w:spacing w:after="0" w:line="330" w:lineRule="auto"/>
        <w:tabs>
          <w:tab w:leader="none" w:pos="635"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Option is governed by this Stock Option Grant Notice, and the provisions of the Plan and the Stock Option Agreement, all of which are made a part of this document. Unless otherwise provided in the Plan, this Grant Notice and the Stock Option Agreement (together, the “</w:t>
      </w:r>
      <w:r>
        <w:rPr>
          <w:rFonts w:ascii="Arial" w:cs="Arial" w:eastAsia="Arial" w:hAnsi="Arial"/>
          <w:sz w:val="15"/>
          <w:szCs w:val="15"/>
          <w:b w:val="1"/>
          <w:bCs w:val="1"/>
          <w:i w:val="1"/>
          <w:iCs w:val="1"/>
          <w:color w:val="auto"/>
        </w:rPr>
        <w:t>Option Agreement</w:t>
      </w:r>
      <w:r>
        <w:rPr>
          <w:rFonts w:ascii="Arial" w:cs="Arial" w:eastAsia="Arial" w:hAnsi="Arial"/>
          <w:sz w:val="15"/>
          <w:szCs w:val="15"/>
          <w:color w:val="auto"/>
        </w:rPr>
        <w:t>”) may not be modified, amended or revised except in a writing signed by you and a duly authorized officer of the Company.</w:t>
      </w:r>
    </w:p>
    <w:p>
      <w:pPr>
        <w:spacing w:after="0" w:line="30" w:lineRule="exact"/>
        <w:rPr>
          <w:rFonts w:ascii="Arial" w:cs="Arial" w:eastAsia="Arial" w:hAnsi="Arial"/>
          <w:sz w:val="15"/>
          <w:szCs w:val="15"/>
          <w:color w:val="auto"/>
        </w:rPr>
      </w:pPr>
    </w:p>
    <w:p>
      <w:pPr>
        <w:ind w:left="640" w:hanging="316"/>
        <w:spacing w:after="0" w:line="294" w:lineRule="auto"/>
        <w:tabs>
          <w:tab w:leader="none" w:pos="6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If the Option is an Incentive Stock Option, it (plus other outstanding Incentive Stock Options granted to you) cannot be first </w:t>
      </w:r>
      <w:r>
        <w:rPr>
          <w:rFonts w:ascii="Arial" w:cs="Arial" w:eastAsia="Arial" w:hAnsi="Arial"/>
          <w:sz w:val="17"/>
          <w:szCs w:val="17"/>
          <w:i w:val="1"/>
          <w:iCs w:val="1"/>
          <w:color w:val="auto"/>
        </w:rPr>
        <w:t>exercisable</w:t>
      </w:r>
      <w:r>
        <w:rPr>
          <w:rFonts w:ascii="Arial" w:cs="Arial" w:eastAsia="Arial" w:hAnsi="Arial"/>
          <w:sz w:val="17"/>
          <w:szCs w:val="17"/>
          <w:color w:val="auto"/>
        </w:rPr>
        <w:t xml:space="preserve"> for more than $100,000 in value (measured by exercise price) in any calendar year. Any excess over $100,000 is a Nonstatutory Stock Option.</w:t>
      </w:r>
    </w:p>
    <w:p>
      <w:pPr>
        <w:spacing w:after="0" w:line="51"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82"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52"/>
        </w:numPr>
        <w:rPr>
          <w:rFonts w:ascii="Arial" w:cs="Arial" w:eastAsia="Arial" w:hAnsi="Arial"/>
          <w:sz w:val="15"/>
          <w:szCs w:val="15"/>
          <w:color w:val="auto"/>
        </w:rPr>
      </w:pPr>
      <w:r>
        <w:rPr>
          <w:rFonts w:ascii="Arial" w:cs="Arial" w:eastAsia="Arial" w:hAnsi="Arial"/>
          <w:sz w:val="15"/>
          <w:szCs w:val="15"/>
          <w:color w:val="auto"/>
        </w:rPr>
        <w:t>You have read and are familiar with the provisions of the Plan, the Stock Option Agreement, and the Prospectus. In the event of any conflict between the provisions in this Grant Notice, the Option Agreement, or the Prospectus and the terms of the Plan, the terms of the Plan shall control.</w:t>
      </w:r>
    </w:p>
    <w:p>
      <w:pPr>
        <w:spacing w:after="0" w:line="5"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Option Agreement sets forth the entire understanding between you and the Company regarding the acquisition of Common Stock and supersedes all prior oral and written agreements, promises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360"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82" w:lineRule="exact"/>
        <w:rPr>
          <w:sz w:val="20"/>
          <w:szCs w:val="20"/>
          <w:color w:val="auto"/>
        </w:rPr>
      </w:pPr>
    </w:p>
    <w:p>
      <w:pPr>
        <w:jc w:val="both"/>
        <w:ind w:left="640" w:hanging="316"/>
        <w:spacing w:after="0" w:line="255"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380"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4340" w:type="dxa"/>
            <w:vAlign w:val="bottom"/>
            <w:gridSpan w:val="6"/>
          </w:tcPr>
          <w:p>
            <w:pPr>
              <w:spacing w:after="0"/>
              <w:rPr>
                <w:sz w:val="20"/>
                <w:szCs w:val="20"/>
                <w:color w:val="auto"/>
              </w:rPr>
            </w:pPr>
            <w:r>
              <w:rPr>
                <w:rFonts w:ascii="Arial" w:cs="Arial" w:eastAsia="Arial" w:hAnsi="Arial"/>
                <w:sz w:val="18"/>
                <w:szCs w:val="18"/>
                <w:b w:val="1"/>
                <w:bCs w:val="1"/>
                <w:color w:val="auto"/>
              </w:rPr>
              <w:t>Root, Inc.</w:t>
            </w:r>
          </w:p>
        </w:tc>
        <w:tc>
          <w:tcPr>
            <w:tcW w:w="4360" w:type="dxa"/>
            <w:vAlign w:val="bottom"/>
            <w:gridSpan w:val="5"/>
          </w:tcPr>
          <w:p>
            <w:pPr>
              <w:ind w:left="1280"/>
              <w:spacing w:after="0"/>
              <w:rPr>
                <w:sz w:val="20"/>
                <w:szCs w:val="20"/>
                <w:color w:val="auto"/>
              </w:rPr>
            </w:pPr>
            <w:r>
              <w:rPr>
                <w:rFonts w:ascii="Arial" w:cs="Arial" w:eastAsia="Arial" w:hAnsi="Arial"/>
                <w:sz w:val="18"/>
                <w:szCs w:val="18"/>
                <w:b w:val="1"/>
                <w:bCs w:val="1"/>
                <w:color w:val="auto"/>
              </w:rPr>
              <w:t>Optionholder:</w:t>
            </w:r>
          </w:p>
        </w:tc>
      </w:tr>
      <w:tr>
        <w:trPr>
          <w:trHeight w:val="385"/>
        </w:trPr>
        <w:tc>
          <w:tcPr>
            <w:tcW w:w="4340" w:type="dxa"/>
            <w:vAlign w:val="bottom"/>
            <w:gridSpan w:val="6"/>
          </w:tcPr>
          <w:p>
            <w:pPr>
              <w:spacing w:after="0"/>
              <w:rPr>
                <w:sz w:val="20"/>
                <w:szCs w:val="20"/>
                <w:color w:val="auto"/>
              </w:rPr>
            </w:pPr>
            <w:r>
              <w:rPr>
                <w:rFonts w:ascii="Arial" w:cs="Arial" w:eastAsia="Arial" w:hAnsi="Arial"/>
                <w:sz w:val="18"/>
                <w:szCs w:val="18"/>
                <w:color w:val="auto"/>
              </w:rPr>
              <w:t>By:</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31"/>
        </w:trPr>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80" w:type="dxa"/>
            <w:vAlign w:val="bottom"/>
          </w:tcPr>
          <w:p>
            <w:pPr>
              <w:ind w:left="1840"/>
              <w:spacing w:after="0"/>
              <w:rPr>
                <w:sz w:val="20"/>
                <w:szCs w:val="20"/>
                <w:color w:val="auto"/>
              </w:rPr>
            </w:pPr>
            <w:r>
              <w:rPr>
                <w:rFonts w:ascii="Arial" w:cs="Arial" w:eastAsia="Arial" w:hAnsi="Arial"/>
                <w:sz w:val="18"/>
                <w:szCs w:val="18"/>
                <w:color w:val="auto"/>
              </w:rPr>
              <w:t>Signature</w:t>
            </w:r>
          </w:p>
        </w:tc>
        <w:tc>
          <w:tcPr>
            <w:tcW w:w="1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tcPr>
          <w:p>
            <w:pPr>
              <w:ind w:left="1860"/>
              <w:spacing w:after="0"/>
              <w:rPr>
                <w:sz w:val="20"/>
                <w:szCs w:val="20"/>
                <w:color w:val="auto"/>
              </w:rPr>
            </w:pPr>
            <w:r>
              <w:rPr>
                <w:rFonts w:ascii="Arial" w:cs="Arial" w:eastAsia="Arial" w:hAnsi="Arial"/>
                <w:sz w:val="18"/>
                <w:szCs w:val="18"/>
                <w:color w:val="auto"/>
                <w:w w:val="85"/>
              </w:rPr>
              <w:t>Signature</w:t>
            </w:r>
          </w:p>
        </w:tc>
      </w:tr>
      <w:tr>
        <w:trPr>
          <w:trHeight w:val="279"/>
        </w:trPr>
        <w:tc>
          <w:tcPr>
            <w:tcW w:w="4340" w:type="dxa"/>
            <w:vAlign w:val="bottom"/>
            <w:gridSpan w:val="6"/>
          </w:tcPr>
          <w:p>
            <w:pPr>
              <w:spacing w:after="0"/>
              <w:rPr>
                <w:sz w:val="20"/>
                <w:szCs w:val="20"/>
                <w:color w:val="auto"/>
              </w:rPr>
            </w:pPr>
            <w:r>
              <w:rPr>
                <w:rFonts w:ascii="Arial" w:cs="Arial" w:eastAsia="Arial" w:hAnsi="Arial"/>
                <w:sz w:val="18"/>
                <w:szCs w:val="18"/>
                <w:color w:val="auto"/>
              </w:rPr>
              <w:t>Title:</w:t>
            </w:r>
          </w:p>
        </w:tc>
        <w:tc>
          <w:tcPr>
            <w:tcW w:w="4360" w:type="dxa"/>
            <w:vAlign w:val="bottom"/>
            <w:gridSpan w:val="5"/>
          </w:tcPr>
          <w:p>
            <w:pPr>
              <w:ind w:left="1280"/>
              <w:spacing w:after="0"/>
              <w:rPr>
                <w:sz w:val="20"/>
                <w:szCs w:val="20"/>
                <w:color w:val="auto"/>
              </w:rPr>
            </w:pPr>
            <w:r>
              <w:rPr>
                <w:rFonts w:ascii="Arial" w:cs="Arial" w:eastAsia="Arial" w:hAnsi="Arial"/>
                <w:sz w:val="18"/>
                <w:szCs w:val="18"/>
                <w:color w:val="auto"/>
              </w:rPr>
              <w:t>Date:</w:t>
            </w:r>
          </w:p>
        </w:tc>
      </w:tr>
      <w:tr>
        <w:trPr>
          <w:trHeight w:val="20"/>
        </w:trPr>
        <w:tc>
          <w:tcPr>
            <w:tcW w:w="380" w:type="dxa"/>
            <w:vAlign w:val="bottom"/>
            <w:tcBorders>
              <w:right w:val="single" w:sz="8" w:color="auto"/>
            </w:tcBorders>
            <w:gridSpan w:val="2"/>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8"/>
        </w:trPr>
        <w:tc>
          <w:tcPr>
            <w:tcW w:w="380" w:type="dxa"/>
            <w:vAlign w:val="bottom"/>
            <w:gridSpan w:val="2"/>
          </w:tcPr>
          <w:p>
            <w:pPr>
              <w:spacing w:after="0"/>
              <w:rPr>
                <w:sz w:val="20"/>
                <w:szCs w:val="20"/>
                <w:color w:val="auto"/>
              </w:rPr>
            </w:pPr>
            <w:r>
              <w:rPr>
                <w:rFonts w:ascii="Arial" w:cs="Arial" w:eastAsia="Arial" w:hAnsi="Arial"/>
                <w:sz w:val="18"/>
                <w:szCs w:val="18"/>
                <w:color w:val="auto"/>
                <w:w w:val="78"/>
              </w:rPr>
              <w:t>Date:</w:t>
            </w:r>
          </w:p>
        </w:tc>
        <w:tc>
          <w:tcPr>
            <w:tcW w:w="180" w:type="dxa"/>
            <w:vAlign w:val="bottom"/>
            <w:tcBorders>
              <w:bottom w:val="single" w:sz="8" w:color="auto"/>
            </w:tcBorders>
            <w:gridSpan w:val="3"/>
          </w:tcPr>
          <w:p>
            <w:pPr>
              <w:spacing w:after="0"/>
              <w:rPr>
                <w:sz w:val="24"/>
                <w:szCs w:val="24"/>
                <w:color w:val="auto"/>
              </w:rPr>
            </w:pPr>
          </w:p>
        </w:tc>
        <w:tc>
          <w:tcPr>
            <w:tcW w:w="3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360"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5"/>
          <w:szCs w:val="25"/>
          <w:b w:val="1"/>
          <w:bCs w:val="1"/>
          <w:color w:val="auto"/>
        </w:rPr>
        <w:t>Root,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2020 Equity Incentive Plan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Stock Option Agreement</w:t>
      </w:r>
    </w:p>
    <w:p>
      <w:pPr>
        <w:spacing w:after="0" w:line="200" w:lineRule="exact"/>
        <w:rPr>
          <w:sz w:val="20"/>
          <w:szCs w:val="20"/>
          <w:color w:val="auto"/>
        </w:rPr>
      </w:pPr>
    </w:p>
    <w:p>
      <w:pPr>
        <w:spacing w:after="0" w:line="243"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As reflected by your Stock Option Grant Notice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Root,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granted you an option under its 2020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to purchase a number of shares of Common Stock at the exercise price indicated in your Grant Notice (the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general terms and conditions applicable to your Option are as follows:</w:t>
      </w:r>
    </w:p>
    <w:p>
      <w:pPr>
        <w:spacing w:after="0" w:line="216" w:lineRule="exact"/>
        <w:rPr>
          <w:sz w:val="20"/>
          <w:szCs w:val="20"/>
          <w:color w:val="auto"/>
        </w:rPr>
      </w:pPr>
    </w:p>
    <w:p>
      <w:pPr>
        <w:jc w:val="both"/>
        <w:ind w:firstLine="642"/>
        <w:spacing w:after="0" w:line="261" w:lineRule="auto"/>
        <w:tabs>
          <w:tab w:leader="none" w:pos="1272"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Governing Plan Document. </w:t>
      </w:r>
      <w:r>
        <w:rPr>
          <w:rFonts w:ascii="Arial" w:cs="Arial" w:eastAsia="Arial" w:hAnsi="Arial"/>
          <w:sz w:val="21"/>
          <w:szCs w:val="21"/>
          <w:color w:val="auto"/>
        </w:rPr>
        <w:t>Your Option is subject to all the provisions of the Plan. Your Option is further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68" w:lineRule="exact"/>
        <w:rPr>
          <w:rFonts w:ascii="Arial" w:cs="Arial" w:eastAsia="Arial" w:hAnsi="Arial"/>
          <w:sz w:val="21"/>
          <w:szCs w:val="21"/>
          <w:b w:val="1"/>
          <w:bCs w:val="1"/>
          <w:color w:val="auto"/>
        </w:rPr>
      </w:pPr>
    </w:p>
    <w:p>
      <w:pPr>
        <w:ind w:left="1280" w:hanging="638"/>
        <w:spacing w:after="0"/>
        <w:tabs>
          <w:tab w:leader="none" w:pos="1280"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color w:val="auto"/>
        </w:rPr>
        <w:t>Exercise.</w:t>
      </w:r>
    </w:p>
    <w:p>
      <w:pPr>
        <w:spacing w:after="0" w:line="228" w:lineRule="exact"/>
        <w:rPr>
          <w:rFonts w:ascii="Arial" w:cs="Arial" w:eastAsia="Arial" w:hAnsi="Arial"/>
          <w:sz w:val="21"/>
          <w:szCs w:val="21"/>
          <w:b w:val="1"/>
          <w:bCs w:val="1"/>
          <w:color w:val="auto"/>
        </w:rPr>
      </w:pPr>
    </w:p>
    <w:p>
      <w:pPr>
        <w:jc w:val="both"/>
        <w:ind w:firstLine="1278"/>
        <w:spacing w:after="0" w:line="257" w:lineRule="auto"/>
        <w:tabs>
          <w:tab w:leader="none" w:pos="1903" w:val="left"/>
        </w:tabs>
        <w:numPr>
          <w:ilvl w:val="1"/>
          <w:numId w:val="54"/>
        </w:numPr>
        <w:rPr>
          <w:rFonts w:ascii="Arial" w:cs="Arial" w:eastAsia="Arial" w:hAnsi="Arial"/>
          <w:sz w:val="21"/>
          <w:szCs w:val="21"/>
          <w:b w:val="1"/>
          <w:bCs w:val="1"/>
          <w:color w:val="auto"/>
        </w:rPr>
      </w:pPr>
      <w:r>
        <w:rPr>
          <w:rFonts w:ascii="Arial" w:cs="Arial" w:eastAsia="Arial" w:hAnsi="Arial"/>
          <w:sz w:val="21"/>
          <w:szCs w:val="21"/>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the Plan, which may restrict or prohibit your ability to exercise your Option during certain periods.</w:t>
      </w:r>
    </w:p>
    <w:p>
      <w:pPr>
        <w:spacing w:after="0" w:line="177" w:lineRule="exact"/>
        <w:rPr>
          <w:rFonts w:ascii="Arial" w:cs="Arial" w:eastAsia="Arial" w:hAnsi="Arial"/>
          <w:sz w:val="21"/>
          <w:szCs w:val="21"/>
          <w:b w:val="1"/>
          <w:bCs w:val="1"/>
          <w:color w:val="auto"/>
        </w:rPr>
      </w:pPr>
    </w:p>
    <w:p>
      <w:pPr>
        <w:ind w:left="1900" w:hanging="622"/>
        <w:spacing w:after="0"/>
        <w:tabs>
          <w:tab w:leader="none" w:pos="1900" w:val="left"/>
        </w:tabs>
        <w:numPr>
          <w:ilvl w:val="1"/>
          <w:numId w:val="54"/>
        </w:numPr>
        <w:rPr>
          <w:rFonts w:ascii="Arial" w:cs="Arial" w:eastAsia="Arial" w:hAnsi="Arial"/>
          <w:sz w:val="21"/>
          <w:szCs w:val="21"/>
          <w:b w:val="1"/>
          <w:bCs w:val="1"/>
          <w:color w:val="auto"/>
        </w:rPr>
      </w:pPr>
      <w:r>
        <w:rPr>
          <w:rFonts w:ascii="Arial" w:cs="Arial" w:eastAsia="Arial" w:hAnsi="Arial"/>
          <w:sz w:val="21"/>
          <w:szCs w:val="21"/>
          <w:color w:val="auto"/>
        </w:rPr>
        <w:t>To the extent permitted by Applicable Law, you may pay your Option exercise price as follows:</w:t>
      </w:r>
    </w:p>
    <w:p>
      <w:pPr>
        <w:spacing w:after="0" w:line="222" w:lineRule="exact"/>
        <w:rPr>
          <w:rFonts w:ascii="Arial" w:cs="Arial" w:eastAsia="Arial" w:hAnsi="Arial"/>
          <w:sz w:val="21"/>
          <w:szCs w:val="21"/>
          <w:b w:val="1"/>
          <w:bCs w:val="1"/>
          <w:color w:val="auto"/>
        </w:rPr>
      </w:pPr>
    </w:p>
    <w:p>
      <w:pPr>
        <w:ind w:left="2540" w:hanging="626"/>
        <w:spacing w:after="0"/>
        <w:tabs>
          <w:tab w:leader="none" w:pos="2540" w:val="left"/>
        </w:tabs>
        <w:numPr>
          <w:ilvl w:val="2"/>
          <w:numId w:val="54"/>
        </w:numPr>
        <w:rPr>
          <w:rFonts w:ascii="Arial" w:cs="Arial" w:eastAsia="Arial" w:hAnsi="Arial"/>
          <w:sz w:val="21"/>
          <w:szCs w:val="21"/>
          <w:b w:val="1"/>
          <w:bCs w:val="1"/>
          <w:color w:val="auto"/>
        </w:rPr>
      </w:pPr>
      <w:r>
        <w:rPr>
          <w:rFonts w:ascii="Arial" w:cs="Arial" w:eastAsia="Arial" w:hAnsi="Arial"/>
          <w:sz w:val="21"/>
          <w:szCs w:val="21"/>
          <w:color w:val="auto"/>
        </w:rPr>
        <w:t>cash, check, bank draft or money order;</w:t>
      </w:r>
    </w:p>
    <w:p>
      <w:pPr>
        <w:spacing w:after="0" w:line="222" w:lineRule="exact"/>
        <w:rPr>
          <w:rFonts w:ascii="Arial" w:cs="Arial" w:eastAsia="Arial" w:hAnsi="Arial"/>
          <w:sz w:val="21"/>
          <w:szCs w:val="21"/>
          <w:b w:val="1"/>
          <w:bCs w:val="1"/>
          <w:color w:val="auto"/>
        </w:rPr>
      </w:pPr>
    </w:p>
    <w:p>
      <w:pPr>
        <w:ind w:firstLine="1914"/>
        <w:spacing w:after="0" w:line="305" w:lineRule="auto"/>
        <w:tabs>
          <w:tab w:leader="none" w:pos="2538" w:val="left"/>
        </w:tabs>
        <w:numPr>
          <w:ilvl w:val="2"/>
          <w:numId w:val="54"/>
        </w:numPr>
        <w:rPr>
          <w:rFonts w:ascii="Arial" w:cs="Arial" w:eastAsia="Arial" w:hAnsi="Arial"/>
          <w:sz w:val="20"/>
          <w:szCs w:val="20"/>
          <w:b w:val="1"/>
          <w:bCs w:val="1"/>
          <w:color w:val="auto"/>
        </w:rPr>
      </w:pPr>
      <w:r>
        <w:rPr>
          <w:rFonts w:ascii="Arial" w:cs="Arial" w:eastAsia="Arial" w:hAnsi="Arial"/>
          <w:sz w:val="20"/>
          <w:szCs w:val="20"/>
          <w:color w:val="auto"/>
        </w:rPr>
        <w:t>subject to Company and/or Committee consent at the time of exercise, pursuant to a “cashless exercise” program as further described in the Plan if at the time of exercise the Common Stock is publicly traded;</w:t>
      </w:r>
    </w:p>
    <w:p>
      <w:pPr>
        <w:spacing w:after="0" w:line="130" w:lineRule="exact"/>
        <w:rPr>
          <w:rFonts w:ascii="Arial" w:cs="Arial" w:eastAsia="Arial" w:hAnsi="Arial"/>
          <w:sz w:val="20"/>
          <w:szCs w:val="20"/>
          <w:b w:val="1"/>
          <w:bCs w:val="1"/>
          <w:color w:val="auto"/>
        </w:rPr>
      </w:pPr>
    </w:p>
    <w:p>
      <w:pPr>
        <w:ind w:firstLine="1914"/>
        <w:spacing w:after="0" w:line="279" w:lineRule="auto"/>
        <w:tabs>
          <w:tab w:leader="none" w:pos="2544" w:val="left"/>
        </w:tabs>
        <w:numPr>
          <w:ilvl w:val="2"/>
          <w:numId w:val="54"/>
        </w:numPr>
        <w:rPr>
          <w:rFonts w:ascii="Arial" w:cs="Arial" w:eastAsia="Arial" w:hAnsi="Arial"/>
          <w:sz w:val="21"/>
          <w:szCs w:val="21"/>
          <w:b w:val="1"/>
          <w:bCs w:val="1"/>
          <w:color w:val="auto"/>
        </w:rPr>
      </w:pPr>
      <w:r>
        <w:rPr>
          <w:rFonts w:ascii="Arial" w:cs="Arial" w:eastAsia="Arial" w:hAnsi="Arial"/>
          <w:sz w:val="21"/>
          <w:szCs w:val="21"/>
          <w:color w:val="auto"/>
        </w:rPr>
        <w:t>subject to Company and/or Committee consent at the time of exercise, by delivery of previously owned shares of Common Stock as further described in the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88" w:right="339" w:bottom="1440" w:gutter="0" w:footer="0" w:header="0"/>
        </w:sectPr>
      </w:pPr>
    </w:p>
    <w:bookmarkStart w:id="77" w:name="page78"/>
    <w:bookmarkEnd w:id="77"/>
    <w:p>
      <w:pPr>
        <w:ind w:firstLine="1914"/>
        <w:spacing w:after="0" w:line="279" w:lineRule="auto"/>
        <w:tabs>
          <w:tab w:leader="none" w:pos="2532" w:val="left"/>
        </w:tabs>
        <w:numPr>
          <w:ilvl w:val="2"/>
          <w:numId w:val="55"/>
        </w:numPr>
        <w:rPr>
          <w:rFonts w:ascii="Arial" w:cs="Arial" w:eastAsia="Arial" w:hAnsi="Arial"/>
          <w:sz w:val="21"/>
          <w:szCs w:val="21"/>
          <w:b w:val="1"/>
          <w:bCs w:val="1"/>
          <w:color w:val="auto"/>
        </w:rPr>
      </w:pPr>
      <w:r>
        <w:rPr>
          <w:rFonts w:ascii="Arial" w:cs="Arial" w:eastAsia="Arial" w:hAnsi="Arial"/>
          <w:sz w:val="21"/>
          <w:szCs w:val="21"/>
          <w:color w:val="auto"/>
        </w:rPr>
        <w:t>subject to Company and/or Committee consent at the time of exercise, if the Option is a Nonstatutory Stock Option, by a “net exercise” arrangement as further described in the Plan.</w:t>
      </w:r>
    </w:p>
    <w:p>
      <w:pPr>
        <w:spacing w:after="0" w:line="148" w:lineRule="exact"/>
        <w:rPr>
          <w:rFonts w:ascii="Arial" w:cs="Arial" w:eastAsia="Arial" w:hAnsi="Arial"/>
          <w:sz w:val="21"/>
          <w:szCs w:val="21"/>
          <w:b w:val="1"/>
          <w:bCs w:val="1"/>
          <w:color w:val="auto"/>
        </w:rPr>
      </w:pPr>
    </w:p>
    <w:p>
      <w:pPr>
        <w:ind w:firstLine="642"/>
        <w:spacing w:after="0" w:line="285" w:lineRule="auto"/>
        <w:tabs>
          <w:tab w:leader="none" w:pos="1272" w:val="left"/>
        </w:tabs>
        <w:numPr>
          <w:ilvl w:val="0"/>
          <w:numId w:val="5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Term. </w:t>
      </w:r>
      <w:r>
        <w:rPr>
          <w:rFonts w:ascii="Arial" w:cs="Arial" w:eastAsia="Arial" w:hAnsi="Arial"/>
          <w:sz w:val="21"/>
          <w:szCs w:val="21"/>
          <w:color w:val="auto"/>
        </w:rPr>
        <w:t>You may not exercise your Option before the commencement of its term or after its term expires. The term of</w:t>
      </w:r>
      <w:r>
        <w:rPr>
          <w:rFonts w:ascii="Arial" w:cs="Arial" w:eastAsia="Arial" w:hAnsi="Arial"/>
          <w:sz w:val="21"/>
          <w:szCs w:val="21"/>
          <w:b w:val="1"/>
          <w:bCs w:val="1"/>
          <w:color w:val="auto"/>
        </w:rPr>
        <w:t xml:space="preserve"> </w:t>
      </w:r>
      <w:r>
        <w:rPr>
          <w:rFonts w:ascii="Arial" w:cs="Arial" w:eastAsia="Arial" w:hAnsi="Arial"/>
          <w:sz w:val="21"/>
          <w:szCs w:val="21"/>
          <w:color w:val="auto"/>
        </w:rPr>
        <w:t>your option commences on the Date of Grant and expires upon the earliest of the following:</w:t>
      </w:r>
    </w:p>
    <w:p>
      <w:pPr>
        <w:spacing w:after="0" w:line="147" w:lineRule="exact"/>
        <w:rPr>
          <w:rFonts w:ascii="Arial" w:cs="Arial" w:eastAsia="Arial" w:hAnsi="Arial"/>
          <w:sz w:val="21"/>
          <w:szCs w:val="21"/>
          <w:b w:val="1"/>
          <w:bCs w:val="1"/>
          <w:color w:val="auto"/>
        </w:rPr>
      </w:pPr>
    </w:p>
    <w:p>
      <w:pPr>
        <w:ind w:left="1960" w:hanging="682"/>
        <w:spacing w:after="0"/>
        <w:tabs>
          <w:tab w:leader="none" w:pos="1960" w:val="left"/>
        </w:tabs>
        <w:numPr>
          <w:ilvl w:val="1"/>
          <w:numId w:val="56"/>
        </w:numPr>
        <w:rPr>
          <w:rFonts w:ascii="Arial" w:cs="Arial" w:eastAsia="Arial" w:hAnsi="Arial"/>
          <w:sz w:val="21"/>
          <w:szCs w:val="21"/>
          <w:b w:val="1"/>
          <w:bCs w:val="1"/>
          <w:color w:val="auto"/>
        </w:rPr>
      </w:pPr>
      <w:r>
        <w:rPr>
          <w:rFonts w:ascii="Arial" w:cs="Arial" w:eastAsia="Arial" w:hAnsi="Arial"/>
          <w:sz w:val="21"/>
          <w:szCs w:val="21"/>
          <w:color w:val="auto"/>
        </w:rPr>
        <w:t>immediately upon the termination of your Continuous Service for Cause;</w:t>
      </w:r>
    </w:p>
    <w:p>
      <w:pPr>
        <w:spacing w:after="0" w:line="222" w:lineRule="exact"/>
        <w:rPr>
          <w:rFonts w:ascii="Arial" w:cs="Arial" w:eastAsia="Arial" w:hAnsi="Arial"/>
          <w:sz w:val="21"/>
          <w:szCs w:val="21"/>
          <w:b w:val="1"/>
          <w:bCs w:val="1"/>
          <w:color w:val="auto"/>
        </w:rPr>
      </w:pPr>
    </w:p>
    <w:p>
      <w:pPr>
        <w:ind w:left="1900" w:hanging="622"/>
        <w:spacing w:after="0"/>
        <w:tabs>
          <w:tab w:leader="none" w:pos="1900" w:val="left"/>
        </w:tabs>
        <w:numPr>
          <w:ilvl w:val="1"/>
          <w:numId w:val="56"/>
        </w:numPr>
        <w:rPr>
          <w:rFonts w:ascii="Arial" w:cs="Arial" w:eastAsia="Arial" w:hAnsi="Arial"/>
          <w:sz w:val="19"/>
          <w:szCs w:val="19"/>
          <w:b w:val="1"/>
          <w:bCs w:val="1"/>
          <w:color w:val="auto"/>
        </w:rPr>
      </w:pPr>
      <w:r>
        <w:rPr>
          <w:rFonts w:ascii="Arial" w:cs="Arial" w:eastAsia="Arial" w:hAnsi="Arial"/>
          <w:sz w:val="19"/>
          <w:szCs w:val="19"/>
          <w:color w:val="auto"/>
        </w:rPr>
        <w:t>three months after the termination of your Continuous Service for any reason other than Cause, Disability or</w:t>
      </w:r>
    </w:p>
    <w:p>
      <w:pPr>
        <w:spacing w:after="0" w:line="5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death;</w:t>
      </w:r>
    </w:p>
    <w:p>
      <w:pPr>
        <w:spacing w:after="0" w:line="204" w:lineRule="exact"/>
        <w:rPr>
          <w:rFonts w:ascii="Arial" w:cs="Arial" w:eastAsia="Arial" w:hAnsi="Arial"/>
          <w:sz w:val="19"/>
          <w:szCs w:val="19"/>
          <w:b w:val="1"/>
          <w:bCs w:val="1"/>
          <w:color w:val="auto"/>
        </w:rPr>
      </w:pPr>
    </w:p>
    <w:p>
      <w:pPr>
        <w:ind w:left="1920" w:hanging="642"/>
        <w:spacing w:after="0"/>
        <w:tabs>
          <w:tab w:leader="none" w:pos="1920" w:val="left"/>
        </w:tabs>
        <w:numPr>
          <w:ilvl w:val="1"/>
          <w:numId w:val="56"/>
        </w:numPr>
        <w:rPr>
          <w:rFonts w:ascii="Arial" w:cs="Arial" w:eastAsia="Arial" w:hAnsi="Arial"/>
          <w:sz w:val="21"/>
          <w:szCs w:val="21"/>
          <w:b w:val="1"/>
          <w:bCs w:val="1"/>
          <w:color w:val="auto"/>
        </w:rPr>
      </w:pPr>
      <w:r>
        <w:rPr>
          <w:rFonts w:ascii="Arial" w:cs="Arial" w:eastAsia="Arial" w:hAnsi="Arial"/>
          <w:sz w:val="21"/>
          <w:szCs w:val="21"/>
          <w:color w:val="auto"/>
        </w:rPr>
        <w:t>12 months after the termination of your Continuous Service due to your Disability;</w:t>
      </w:r>
    </w:p>
    <w:p>
      <w:pPr>
        <w:spacing w:after="0" w:line="222" w:lineRule="exact"/>
        <w:rPr>
          <w:rFonts w:ascii="Arial" w:cs="Arial" w:eastAsia="Arial" w:hAnsi="Arial"/>
          <w:sz w:val="21"/>
          <w:szCs w:val="21"/>
          <w:b w:val="1"/>
          <w:bCs w:val="1"/>
          <w:color w:val="auto"/>
        </w:rPr>
      </w:pPr>
    </w:p>
    <w:p>
      <w:pPr>
        <w:ind w:left="1900" w:hanging="622"/>
        <w:spacing w:after="0"/>
        <w:tabs>
          <w:tab w:leader="none" w:pos="1900" w:val="left"/>
        </w:tabs>
        <w:numPr>
          <w:ilvl w:val="1"/>
          <w:numId w:val="56"/>
        </w:numPr>
        <w:rPr>
          <w:rFonts w:ascii="Arial" w:cs="Arial" w:eastAsia="Arial" w:hAnsi="Arial"/>
          <w:sz w:val="21"/>
          <w:szCs w:val="21"/>
          <w:b w:val="1"/>
          <w:bCs w:val="1"/>
          <w:color w:val="auto"/>
        </w:rPr>
      </w:pPr>
      <w:r>
        <w:rPr>
          <w:rFonts w:ascii="Arial" w:cs="Arial" w:eastAsia="Arial" w:hAnsi="Arial"/>
          <w:sz w:val="21"/>
          <w:szCs w:val="21"/>
          <w:color w:val="auto"/>
        </w:rPr>
        <w:t>18 months after your death if you die during your Continuous Service;</w:t>
      </w:r>
    </w:p>
    <w:p>
      <w:pPr>
        <w:spacing w:after="0" w:line="222" w:lineRule="exact"/>
        <w:rPr>
          <w:rFonts w:ascii="Arial" w:cs="Arial" w:eastAsia="Arial" w:hAnsi="Arial"/>
          <w:sz w:val="21"/>
          <w:szCs w:val="21"/>
          <w:b w:val="1"/>
          <w:bCs w:val="1"/>
          <w:color w:val="auto"/>
        </w:rPr>
      </w:pPr>
    </w:p>
    <w:p>
      <w:pPr>
        <w:ind w:firstLine="1278"/>
        <w:spacing w:after="0" w:line="279" w:lineRule="auto"/>
        <w:tabs>
          <w:tab w:leader="none" w:pos="1905" w:val="left"/>
        </w:tabs>
        <w:numPr>
          <w:ilvl w:val="1"/>
          <w:numId w:val="56"/>
        </w:numPr>
        <w:rPr>
          <w:rFonts w:ascii="Arial" w:cs="Arial" w:eastAsia="Arial" w:hAnsi="Arial"/>
          <w:sz w:val="21"/>
          <w:szCs w:val="21"/>
          <w:b w:val="1"/>
          <w:bCs w:val="1"/>
          <w:color w:val="auto"/>
        </w:rPr>
      </w:pPr>
      <w:r>
        <w:rPr>
          <w:rFonts w:ascii="Arial" w:cs="Arial" w:eastAsia="Arial" w:hAnsi="Arial"/>
          <w:sz w:val="21"/>
          <w:szCs w:val="21"/>
          <w:color w:val="auto"/>
        </w:rPr>
        <w:t>immediately upon a Corporate Transaction if the Board has determined that the Option will terminate in connection with a Corporate Transaction,</w:t>
      </w:r>
    </w:p>
    <w:p>
      <w:pPr>
        <w:spacing w:after="0" w:line="154" w:lineRule="exact"/>
        <w:rPr>
          <w:rFonts w:ascii="Arial" w:cs="Arial" w:eastAsia="Arial" w:hAnsi="Arial"/>
          <w:sz w:val="21"/>
          <w:szCs w:val="21"/>
          <w:b w:val="1"/>
          <w:bCs w:val="1"/>
          <w:color w:val="auto"/>
        </w:rPr>
      </w:pPr>
    </w:p>
    <w:p>
      <w:pPr>
        <w:ind w:left="1920" w:hanging="642"/>
        <w:spacing w:after="0"/>
        <w:tabs>
          <w:tab w:leader="none" w:pos="1920" w:val="left"/>
        </w:tabs>
        <w:numPr>
          <w:ilvl w:val="1"/>
          <w:numId w:val="56"/>
        </w:numPr>
        <w:rPr>
          <w:rFonts w:ascii="Arial" w:cs="Arial" w:eastAsia="Arial" w:hAnsi="Arial"/>
          <w:sz w:val="21"/>
          <w:szCs w:val="21"/>
          <w:b w:val="1"/>
          <w:bCs w:val="1"/>
          <w:color w:val="auto"/>
        </w:rPr>
      </w:pPr>
      <w:r>
        <w:rPr>
          <w:rFonts w:ascii="Arial" w:cs="Arial" w:eastAsia="Arial" w:hAnsi="Arial"/>
          <w:sz w:val="21"/>
          <w:szCs w:val="21"/>
          <w:color w:val="auto"/>
        </w:rPr>
        <w:t>the Expiration Date indicated in your Grant Notice; or</w:t>
      </w:r>
    </w:p>
    <w:p>
      <w:pPr>
        <w:spacing w:after="0" w:line="222" w:lineRule="exact"/>
        <w:rPr>
          <w:rFonts w:ascii="Arial" w:cs="Arial" w:eastAsia="Arial" w:hAnsi="Arial"/>
          <w:sz w:val="21"/>
          <w:szCs w:val="21"/>
          <w:b w:val="1"/>
          <w:bCs w:val="1"/>
          <w:color w:val="auto"/>
        </w:rPr>
      </w:pPr>
    </w:p>
    <w:p>
      <w:pPr>
        <w:ind w:left="1900" w:hanging="622"/>
        <w:spacing w:after="0"/>
        <w:tabs>
          <w:tab w:leader="none" w:pos="1900" w:val="left"/>
        </w:tabs>
        <w:numPr>
          <w:ilvl w:val="1"/>
          <w:numId w:val="56"/>
        </w:numPr>
        <w:rPr>
          <w:rFonts w:ascii="Arial" w:cs="Arial" w:eastAsia="Arial" w:hAnsi="Arial"/>
          <w:sz w:val="21"/>
          <w:szCs w:val="21"/>
          <w:b w:val="1"/>
          <w:bCs w:val="1"/>
          <w:color w:val="auto"/>
        </w:rPr>
      </w:pPr>
      <w:r>
        <w:rPr>
          <w:rFonts w:ascii="Arial" w:cs="Arial" w:eastAsia="Arial" w:hAnsi="Arial"/>
          <w:sz w:val="21"/>
          <w:szCs w:val="21"/>
          <w:color w:val="auto"/>
        </w:rPr>
        <w:t>the day before the 10th anniversary of the Date of Grant.</w:t>
      </w:r>
    </w:p>
    <w:p>
      <w:pPr>
        <w:spacing w:after="0" w:line="222"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auto"/>
        </w:rPr>
        <w:t>Notwithstanding the foregoing, if you die during the period provided in Section 3(b) or 3(c) above, the term of your Option shall not expire until the earlier of (i) eighteen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the Plan.</w:t>
      </w:r>
    </w:p>
    <w:p>
      <w:pPr>
        <w:spacing w:after="0" w:line="145"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9"/>
          <w:szCs w:val="19"/>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145" w:lineRule="exact"/>
        <w:rPr>
          <w:sz w:val="20"/>
          <w:szCs w:val="20"/>
          <w:color w:val="auto"/>
        </w:rPr>
      </w:pPr>
    </w:p>
    <w:p>
      <w:pPr>
        <w:ind w:left="1280" w:hanging="638"/>
        <w:spacing w:after="0"/>
        <w:tabs>
          <w:tab w:leader="none" w:pos="1280" w:val="left"/>
        </w:tabs>
        <w:numPr>
          <w:ilvl w:val="0"/>
          <w:numId w:val="57"/>
        </w:numPr>
        <w:rPr>
          <w:rFonts w:ascii="Arial" w:cs="Arial" w:eastAsia="Arial" w:hAnsi="Arial"/>
          <w:sz w:val="21"/>
          <w:szCs w:val="21"/>
          <w:b w:val="1"/>
          <w:bCs w:val="1"/>
          <w:color w:val="auto"/>
        </w:rPr>
      </w:pPr>
      <w:r>
        <w:rPr>
          <w:rFonts w:ascii="Arial" w:cs="Arial" w:eastAsia="Arial" w:hAnsi="Arial"/>
          <w:sz w:val="21"/>
          <w:szCs w:val="21"/>
          <w:b w:val="1"/>
          <w:bCs w:val="1"/>
          <w:color w:val="auto"/>
        </w:rPr>
        <w:t>Withholding Obligations.</w:t>
      </w:r>
    </w:p>
    <w:p>
      <w:pPr>
        <w:spacing w:after="0" w:line="228" w:lineRule="exact"/>
        <w:rPr>
          <w:rFonts w:ascii="Arial" w:cs="Arial" w:eastAsia="Arial" w:hAnsi="Arial"/>
          <w:sz w:val="21"/>
          <w:szCs w:val="21"/>
          <w:b w:val="1"/>
          <w:bCs w:val="1"/>
          <w:color w:val="auto"/>
        </w:rPr>
      </w:pPr>
    </w:p>
    <w:p>
      <w:pPr>
        <w:jc w:val="both"/>
        <w:ind w:firstLine="1278"/>
        <w:spacing w:after="0" w:line="259" w:lineRule="auto"/>
        <w:tabs>
          <w:tab w:leader="none" w:pos="1903" w:val="left"/>
        </w:tabs>
        <w:numPr>
          <w:ilvl w:val="1"/>
          <w:numId w:val="57"/>
        </w:numPr>
        <w:rPr>
          <w:rFonts w:ascii="Arial" w:cs="Arial" w:eastAsia="Arial" w:hAnsi="Arial"/>
          <w:sz w:val="21"/>
          <w:szCs w:val="21"/>
          <w:b w:val="1"/>
          <w:bCs w:val="1"/>
          <w:color w:val="auto"/>
        </w:rPr>
      </w:pPr>
      <w:r>
        <w:rPr>
          <w:rFonts w:ascii="Arial" w:cs="Arial" w:eastAsia="Arial" w:hAnsi="Arial"/>
          <w:sz w:val="21"/>
          <w:szCs w:val="21"/>
          <w:color w:val="auto"/>
        </w:rPr>
        <w:t>Regardless of any action taken by the Company or, if different, the Affiliate to which you provide Continuous Service (the “</w:t>
      </w:r>
      <w:r>
        <w:rPr>
          <w:rFonts w:ascii="Arial" w:cs="Arial" w:eastAsia="Arial" w:hAnsi="Arial"/>
          <w:sz w:val="21"/>
          <w:szCs w:val="21"/>
          <w:b w:val="1"/>
          <w:bCs w:val="1"/>
          <w:i w:val="1"/>
          <w:iCs w:val="1"/>
          <w:color w:val="auto"/>
        </w:rPr>
        <w:t>Service Recipient</w:t>
      </w:r>
      <w:r>
        <w:rPr>
          <w:rFonts w:ascii="Arial" w:cs="Arial" w:eastAsia="Arial" w:hAnsi="Arial"/>
          <w:sz w:val="21"/>
          <w:szCs w:val="21"/>
          <w:color w:val="auto"/>
        </w:rPr>
        <w:t>”) with respect to any income tax, social insurance, payroll tax, fringe benefits tax, payment on account, or other taxrelated items associated with the grant, vesting or exercise of the Option or sale of the underlying Common Stock or other tax-related items related to your participation in the Plan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03" w:right="339" w:bottom="1440" w:gutter="0" w:footer="0" w:header="0"/>
        </w:sectPr>
      </w:pPr>
    </w:p>
    <w:bookmarkStart w:id="78" w:name="page79"/>
    <w:bookmarkEnd w:id="78"/>
    <w:p>
      <w:pPr>
        <w:jc w:val="both"/>
        <w:spacing w:after="0" w:line="268" w:lineRule="auto"/>
        <w:rPr>
          <w:sz w:val="20"/>
          <w:szCs w:val="20"/>
          <w:color w:val="auto"/>
        </w:rPr>
      </w:pPr>
      <w:r>
        <w:rPr>
          <w:rFonts w:ascii="Arial" w:cs="Arial" w:eastAsia="Arial" w:hAnsi="Arial"/>
          <w:sz w:val="20"/>
          <w:szCs w:val="20"/>
          <w:color w:val="auto"/>
        </w:rPr>
        <w:t>legally applicable to you (the “</w:t>
      </w:r>
      <w:r>
        <w:rPr>
          <w:rFonts w:ascii="Arial" w:cs="Arial" w:eastAsia="Arial" w:hAnsi="Arial"/>
          <w:sz w:val="20"/>
          <w:szCs w:val="20"/>
          <w:b w:val="1"/>
          <w:bCs w:val="1"/>
          <w:i w:val="1"/>
          <w:iCs w:val="1"/>
          <w:color w:val="auto"/>
        </w:rPr>
        <w:t>Tax Liability</w:t>
      </w:r>
      <w:r>
        <w:rPr>
          <w:rFonts w:ascii="Arial" w:cs="Arial" w:eastAsia="Arial" w:hAnsi="Arial"/>
          <w:sz w:val="20"/>
          <w:szCs w:val="20"/>
          <w:color w:val="auto"/>
        </w:rPr>
        <w:t>”), you hereby acknowledge and agree that the Tax Liability 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Option, including, but not limited to, the grant, vesting or exercise of the Option, the issuance of Common Stock pursuant to such exercise, the subsequent sale of shares of Common Stock, and the payment of any dividends on the shares; and (ii) do not commit to and are under no obligation to structure the terms of the grant or any aspect of the Option to reduce or eliminate your Tax Liability or achieve a particular tax result. Further, if you are subject to Tax Liability in more than one jurisdiction, you acknowledge that the Company and/or the Service Recipient (or former service recipient, as applicable) may be required to withhold or account for Tax Liability in more than one jurisdiction.</w:t>
      </w:r>
    </w:p>
    <w:p>
      <w:pPr>
        <w:spacing w:after="0" w:line="166" w:lineRule="exact"/>
        <w:rPr>
          <w:sz w:val="20"/>
          <w:szCs w:val="20"/>
          <w:color w:val="auto"/>
        </w:rPr>
      </w:pPr>
    </w:p>
    <w:p>
      <w:pPr>
        <w:jc w:val="both"/>
        <w:ind w:firstLine="1278"/>
        <w:spacing w:after="0" w:line="279" w:lineRule="auto"/>
        <w:tabs>
          <w:tab w:leader="none" w:pos="1902"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Prior to any relevant taxable or tax withholding event, as applicable, you agree to make adequate arrangements satisfactory to the Company and/or the Service Recipient to satisfy all Tax Liability. As further provided in Section 8 of the Plan, you hereby authorize the Company and any applicable Service Recipient to satisfy any applicable withholding obligations with regard to the Tax Liability by one or a combination of the following methods: (i) causing you to pay any portion of the Tax Liability in cash or cash equivalent in a form acceptable to the Company; (ii) withholding from any compensation otherwise payable to you by the Company or the Service Recipient; (iii) withholding from the proceeds of the sale of shares of Common Stock issued upon exercise of the Option (including by means of a “cashless exercise” pursuant to a program developed under Regulation T as promulgated by the Federal Reserve Board to the extent permitted by the Company, or by means of the Company acting as your agent to sell sufficient shares of Common Stock for the proceeds to settle such withholding requirements, on your behalf pursuant to this authorization without further consent); (iv) withholding shares of Common Stock otherwise issuable to you upon the exercise of the Option, provided that to the extent necessary to qualify for an exemption from application of Section 16(b) of the Exchange Act, if applicable, such share withholding procedure will be subject to the express prior approval of the Board or the Company’s Compensation Committee; and/or (v) any other method determined by the Company to be in compliance with Applicable Law. Furthermore, you agree to pay the Company or the Service Recipient any amount the Company or the Service Recipient may be required to withhold, collect or pay as a result of your participation in the Plan or that cannot be satisfied by the means previously described. In the event it is determined that the amount of the Tax Liability was greater than the amount withheld by the Company or the Service Recipient, you agree to indemnify and hold the Company and/or the Service Recipient (as applicable) harmless from any failure by the Company or the applicable Service Recipient to withhold the proper amount.</w:t>
      </w:r>
    </w:p>
    <w:p>
      <w:pPr>
        <w:spacing w:after="0" w:line="171" w:lineRule="exact"/>
        <w:rPr>
          <w:rFonts w:ascii="Arial" w:cs="Arial" w:eastAsia="Arial" w:hAnsi="Arial"/>
          <w:sz w:val="19"/>
          <w:szCs w:val="19"/>
          <w:b w:val="1"/>
          <w:bCs w:val="1"/>
          <w:color w:val="auto"/>
        </w:rPr>
      </w:pPr>
    </w:p>
    <w:p>
      <w:pPr>
        <w:jc w:val="both"/>
        <w:ind w:firstLine="1278"/>
        <w:spacing w:after="0" w:line="257" w:lineRule="auto"/>
        <w:tabs>
          <w:tab w:leader="none" w:pos="1905" w:val="left"/>
        </w:tabs>
        <w:numPr>
          <w:ilvl w:val="0"/>
          <w:numId w:val="58"/>
        </w:numPr>
        <w:rPr>
          <w:rFonts w:ascii="Arial" w:cs="Arial" w:eastAsia="Arial" w:hAnsi="Arial"/>
          <w:sz w:val="21"/>
          <w:szCs w:val="21"/>
          <w:b w:val="1"/>
          <w:bCs w:val="1"/>
          <w:color w:val="auto"/>
        </w:rPr>
      </w:pPr>
      <w:r>
        <w:rPr>
          <w:rFonts w:ascii="Arial" w:cs="Arial" w:eastAsia="Arial" w:hAnsi="Arial"/>
          <w:sz w:val="21"/>
          <w:szCs w:val="21"/>
          <w:color w:val="auto"/>
        </w:rPr>
        <w:t>The Company may withhold or account for your Tax Liability by considering statutory withholding amounts or other withholding rates applicable in your jurisdiction(s), including (i) maximum applicable rates in your jurisdiction(s), in which case you may receive a refund of any over-withheld amount in cash (whether from applicable tax authorities or the Company) and you will have no entitlement to the equivalent amount in Common Stock or (ii) minimum or such other applicable rates in your jurisdiction(s),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03" w:right="339" w:bottom="1440" w:gutter="0" w:footer="0" w:header="0"/>
        </w:sectPr>
      </w:pPr>
    </w:p>
    <w:bookmarkStart w:id="79" w:name="page80"/>
    <w:bookmarkEnd w:id="79"/>
    <w:p>
      <w:pPr>
        <w:jc w:val="both"/>
        <w:spacing w:after="0" w:line="257" w:lineRule="auto"/>
        <w:rPr>
          <w:sz w:val="20"/>
          <w:szCs w:val="20"/>
          <w:color w:val="auto"/>
        </w:rPr>
      </w:pPr>
      <w:r>
        <w:rPr>
          <w:rFonts w:ascii="Arial" w:cs="Arial" w:eastAsia="Arial" w:hAnsi="Arial"/>
          <w:sz w:val="21"/>
          <w:szCs w:val="21"/>
          <w:color w:val="auto"/>
        </w:rPr>
        <w:t>case you may be solely responsible for paying any additional Tax Liability to the applicable tax authorities or to the Company and/or the Service Recipient. If the Tax Liability withholding obligation is satisfied by withholding shares of Common Stock, for tax purposes, you are deemed to have been issued the full number of shares of Common Stock subject to the exercised portion of the Option, notwithstanding that a number of the shares of Common Stock is held back solely for the purpose of paying such Tax Liability.</w:t>
      </w:r>
    </w:p>
    <w:p>
      <w:pPr>
        <w:spacing w:after="0" w:line="178" w:lineRule="exact"/>
        <w:rPr>
          <w:sz w:val="20"/>
          <w:szCs w:val="20"/>
          <w:color w:val="auto"/>
        </w:rPr>
      </w:pPr>
    </w:p>
    <w:p>
      <w:pPr>
        <w:jc w:val="both"/>
        <w:ind w:firstLine="1278"/>
        <w:spacing w:after="0" w:line="276" w:lineRule="auto"/>
        <w:tabs>
          <w:tab w:leader="none" w:pos="1902" w:val="left"/>
        </w:tabs>
        <w:numPr>
          <w:ilvl w:val="1"/>
          <w:numId w:val="59"/>
        </w:numPr>
        <w:rPr>
          <w:rFonts w:ascii="Arial" w:cs="Arial" w:eastAsia="Arial" w:hAnsi="Arial"/>
          <w:sz w:val="20"/>
          <w:szCs w:val="20"/>
          <w:b w:val="1"/>
          <w:bCs w:val="1"/>
          <w:color w:val="auto"/>
        </w:rPr>
      </w:pPr>
      <w:r>
        <w:rPr>
          <w:rFonts w:ascii="Arial" w:cs="Arial" w:eastAsia="Arial" w:hAnsi="Arial"/>
          <w:sz w:val="20"/>
          <w:szCs w:val="20"/>
          <w:color w:val="auto"/>
        </w:rPr>
        <w:t>You acknowledge that you may not be able to exercise your Option even though the Option is vested, and that the Company shall have no obligation to issue shares of Common Stock, in each case, unless and until you have fully satisfied any applicable Tax Liability, as determined by the Company. Unless any withholding obligation for the Tax Liability is satisfied, the Company shall have no obligation to deliver to you any Common Stock in respect of the Option.</w:t>
      </w:r>
    </w:p>
    <w:p>
      <w:pPr>
        <w:spacing w:after="0" w:line="155" w:lineRule="exact"/>
        <w:rPr>
          <w:rFonts w:ascii="Arial" w:cs="Arial" w:eastAsia="Arial" w:hAnsi="Arial"/>
          <w:sz w:val="20"/>
          <w:szCs w:val="20"/>
          <w:b w:val="1"/>
          <w:bCs w:val="1"/>
          <w:color w:val="auto"/>
        </w:rPr>
      </w:pPr>
    </w:p>
    <w:p>
      <w:pPr>
        <w:jc w:val="both"/>
        <w:ind w:firstLine="642"/>
        <w:spacing w:after="0" w:line="261" w:lineRule="auto"/>
        <w:tabs>
          <w:tab w:leader="none" w:pos="1272"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Incentive Stock Option Disposition Requirement. </w:t>
      </w:r>
      <w:r>
        <w:rPr>
          <w:rFonts w:ascii="Arial" w:cs="Arial" w:eastAsia="Arial" w:hAnsi="Arial"/>
          <w:sz w:val="21"/>
          <w:szCs w:val="21"/>
          <w:color w:val="auto"/>
        </w:rPr>
        <w:t>If your option is an Incentive Stock Option, you must notify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in 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168" w:lineRule="exact"/>
        <w:rPr>
          <w:rFonts w:ascii="Arial" w:cs="Arial" w:eastAsia="Arial" w:hAnsi="Arial"/>
          <w:sz w:val="21"/>
          <w:szCs w:val="21"/>
          <w:b w:val="1"/>
          <w:bCs w:val="1"/>
          <w:color w:val="auto"/>
        </w:rPr>
      </w:pPr>
    </w:p>
    <w:p>
      <w:pPr>
        <w:ind w:firstLine="642"/>
        <w:spacing w:after="0" w:line="285" w:lineRule="auto"/>
        <w:tabs>
          <w:tab w:leader="none" w:pos="1272"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Transferability. </w:t>
      </w:r>
      <w:r>
        <w:rPr>
          <w:rFonts w:ascii="Arial" w:cs="Arial" w:eastAsia="Arial" w:hAnsi="Arial"/>
          <w:sz w:val="21"/>
          <w:szCs w:val="21"/>
          <w:color w:val="auto"/>
        </w:rPr>
        <w:t>Except as otherwise provided in the Plan, your Option is not transferable, except by will or by the</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laws of descent and distribution, and is exercisable during your life only by you.</w:t>
      </w:r>
    </w:p>
    <w:p>
      <w:pPr>
        <w:spacing w:after="0" w:line="141" w:lineRule="exact"/>
        <w:rPr>
          <w:rFonts w:ascii="Arial" w:cs="Arial" w:eastAsia="Arial" w:hAnsi="Arial"/>
          <w:sz w:val="21"/>
          <w:szCs w:val="21"/>
          <w:b w:val="1"/>
          <w:bCs w:val="1"/>
          <w:color w:val="auto"/>
        </w:rPr>
      </w:pPr>
    </w:p>
    <w:p>
      <w:pPr>
        <w:jc w:val="both"/>
        <w:ind w:firstLine="642"/>
        <w:spacing w:after="0" w:line="308" w:lineRule="auto"/>
        <w:tabs>
          <w:tab w:leader="none" w:pos="1272" w:val="left"/>
        </w:tabs>
        <w:numPr>
          <w:ilvl w:val="0"/>
          <w:numId w:val="6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Corporate Transaction. </w:t>
      </w:r>
      <w:r>
        <w:rPr>
          <w:rFonts w:ascii="Arial" w:cs="Arial" w:eastAsia="Arial" w:hAnsi="Arial"/>
          <w:sz w:val="19"/>
          <w:szCs w:val="19"/>
          <w:color w:val="auto"/>
        </w:rPr>
        <w:t>Your Option is subject to the terms of any agreement governing a Corporate Transaction</w:t>
      </w:r>
      <w:r>
        <w:rPr>
          <w:rFonts w:ascii="Arial" w:cs="Arial" w:eastAsia="Arial" w:hAnsi="Arial"/>
          <w:sz w:val="19"/>
          <w:szCs w:val="19"/>
          <w:b w:val="1"/>
          <w:bCs w:val="1"/>
          <w:color w:val="auto"/>
        </w:rPr>
        <w:t xml:space="preserve"> </w:t>
      </w:r>
      <w:r>
        <w:rPr>
          <w:rFonts w:ascii="Arial" w:cs="Arial" w:eastAsia="Arial" w:hAnsi="Arial"/>
          <w:sz w:val="19"/>
          <w:szCs w:val="19"/>
          <w:color w:val="auto"/>
        </w:rPr>
        <w:t>involving the Company, including, without limitation, a provision for the appointment of a stockholder representative that is authorized to act on your behalf with respect to any escrow, indemnities and any contingent consideration.</w:t>
      </w:r>
    </w:p>
    <w:p>
      <w:pPr>
        <w:spacing w:after="0" w:line="126" w:lineRule="exact"/>
        <w:rPr>
          <w:rFonts w:ascii="Arial" w:cs="Arial" w:eastAsia="Arial" w:hAnsi="Arial"/>
          <w:sz w:val="19"/>
          <w:szCs w:val="19"/>
          <w:b w:val="1"/>
          <w:bCs w:val="1"/>
          <w:color w:val="auto"/>
        </w:rPr>
      </w:pPr>
    </w:p>
    <w:p>
      <w:pPr>
        <w:jc w:val="both"/>
        <w:ind w:firstLine="642"/>
        <w:spacing w:after="0" w:line="268" w:lineRule="auto"/>
        <w:tabs>
          <w:tab w:leader="none" w:pos="1272"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No Liability for Taxes</w:t>
      </w:r>
      <w:r>
        <w:rPr>
          <w:rFonts w:ascii="Arial" w:cs="Arial" w:eastAsia="Arial" w:hAnsi="Arial"/>
          <w:sz w:val="20"/>
          <w:szCs w:val="20"/>
          <w:color w:val="auto"/>
        </w:rPr>
        <w:t>. As a condition to accepting the Option, you hereby (a) agree to not make any claim against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61" w:lineRule="exact"/>
        <w:rPr>
          <w:rFonts w:ascii="Arial" w:cs="Arial" w:eastAsia="Arial" w:hAnsi="Arial"/>
          <w:sz w:val="20"/>
          <w:szCs w:val="20"/>
          <w:b w:val="1"/>
          <w:bCs w:val="1"/>
          <w:color w:val="auto"/>
        </w:rPr>
      </w:pPr>
    </w:p>
    <w:p>
      <w:pPr>
        <w:jc w:val="both"/>
        <w:ind w:firstLine="642"/>
        <w:spacing w:after="0" w:line="267" w:lineRule="auto"/>
        <w:tabs>
          <w:tab w:leader="none" w:pos="1272"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Obligations; Recoupment. </w:t>
      </w:r>
      <w:r>
        <w:rPr>
          <w:rFonts w:ascii="Arial" w:cs="Arial" w:eastAsia="Arial" w:hAnsi="Arial"/>
          <w:sz w:val="21"/>
          <w:szCs w:val="21"/>
          <w:color w:val="auto"/>
        </w:rPr>
        <w:t>You hereby acknowledge that the grant of your Option is additional consideration for</w:t>
      </w:r>
      <w:r>
        <w:rPr>
          <w:rFonts w:ascii="Arial" w:cs="Arial" w:eastAsia="Arial" w:hAnsi="Arial"/>
          <w:sz w:val="21"/>
          <w:szCs w:val="21"/>
          <w:b w:val="1"/>
          <w:bCs w:val="1"/>
          <w:color w:val="auto"/>
        </w:rPr>
        <w:t xml:space="preserve"> </w:t>
      </w:r>
      <w:r>
        <w:rPr>
          <w:rFonts w:ascii="Arial" w:cs="Arial" w:eastAsia="Arial" w:hAnsi="Arial"/>
          <w:sz w:val="21"/>
          <w:szCs w:val="21"/>
          <w:color w:val="auto"/>
        </w:rPr>
        <w:t>any obligations (whether during or after employment) that you have to the Company not to compete, not to solicit its customers, clients or employees,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03" w:right="339" w:bottom="1440" w:gutter="0" w:footer="0" w:header="0"/>
        </w:sectPr>
      </w:pPr>
    </w:p>
    <w:bookmarkStart w:id="80" w:name="page81"/>
    <w:bookmarkEnd w:id="80"/>
    <w:p>
      <w:pPr>
        <w:jc w:val="both"/>
        <w:spacing w:after="0" w:line="256" w:lineRule="auto"/>
        <w:rPr>
          <w:sz w:val="20"/>
          <w:szCs w:val="20"/>
          <w:color w:val="auto"/>
        </w:rPr>
      </w:pPr>
      <w:r>
        <w:rPr>
          <w:rFonts w:ascii="Arial" w:cs="Arial" w:eastAsia="Arial" w:hAnsi="Arial"/>
          <w:sz w:val="21"/>
          <w:szCs w:val="21"/>
          <w:color w:val="auto"/>
        </w:rPr>
        <w:t>to disclose or misuse confidential information or similar obligations. Accordingly, if the Company reasonably determines that you breached such obligations, in addition to any other available remedy, the Company may, to the extent permitted by Applicable Law, recoup any income realized by you with respect to the exercise of your Option within two years of such breach. In addition, to the extent permitted by Applicable Law, this right to recoupment by the Company applies in the event that your employment is terminated for Cause or if the Company reasonably determines that circumstances existed that it could have terminated your employment for Cause.</w:t>
      </w:r>
    </w:p>
    <w:p>
      <w:pPr>
        <w:spacing w:after="0" w:line="171" w:lineRule="exact"/>
        <w:rPr>
          <w:sz w:val="20"/>
          <w:szCs w:val="20"/>
          <w:color w:val="auto"/>
        </w:rPr>
      </w:pPr>
    </w:p>
    <w:p>
      <w:pPr>
        <w:jc w:val="both"/>
        <w:ind w:firstLine="642"/>
        <w:spacing w:after="0" w:line="259" w:lineRule="auto"/>
        <w:tabs>
          <w:tab w:leader="none" w:pos="1272"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color w:val="auto"/>
        </w:rPr>
        <w:t>Severability</w:t>
      </w:r>
      <w:r>
        <w:rPr>
          <w:rFonts w:ascii="Arial" w:cs="Arial" w:eastAsia="Arial" w:hAnsi="Arial"/>
          <w:sz w:val="21"/>
          <w:szCs w:val="21"/>
          <w:color w:val="auto"/>
        </w:rPr>
        <w:t>. If any part of this Option Agreement or the Plan is declared by any court or governmental authority to</w:t>
      </w:r>
      <w:r>
        <w:rPr>
          <w:rFonts w:ascii="Arial" w:cs="Arial" w:eastAsia="Arial" w:hAnsi="Arial"/>
          <w:sz w:val="21"/>
          <w:szCs w:val="21"/>
          <w:b w:val="1"/>
          <w:bCs w:val="1"/>
          <w:color w:val="auto"/>
        </w:rPr>
        <w:t xml:space="preserve"> </w:t>
      </w:r>
      <w:r>
        <w:rPr>
          <w:rFonts w:ascii="Arial" w:cs="Arial" w:eastAsia="Arial" w:hAnsi="Arial"/>
          <w:sz w:val="21"/>
          <w:szCs w:val="21"/>
          <w:color w:val="auto"/>
        </w:rPr>
        <w:t>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67" w:lineRule="exact"/>
        <w:rPr>
          <w:rFonts w:ascii="Arial" w:cs="Arial" w:eastAsia="Arial" w:hAnsi="Arial"/>
          <w:sz w:val="21"/>
          <w:szCs w:val="21"/>
          <w:b w:val="1"/>
          <w:bCs w:val="1"/>
          <w:color w:val="auto"/>
        </w:rPr>
      </w:pPr>
    </w:p>
    <w:p>
      <w:pPr>
        <w:jc w:val="both"/>
        <w:ind w:firstLine="642"/>
        <w:spacing w:after="0" w:line="259" w:lineRule="auto"/>
        <w:tabs>
          <w:tab w:leader="none" w:pos="1260"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color w:val="auto"/>
        </w:rPr>
        <w:t>Indebtedness to the company</w:t>
      </w:r>
      <w:r>
        <w:rPr>
          <w:rFonts w:ascii="Arial" w:cs="Arial" w:eastAsia="Arial" w:hAnsi="Arial"/>
          <w:sz w:val="21"/>
          <w:szCs w:val="21"/>
          <w:color w:val="auto"/>
        </w:rPr>
        <w:t>. In the event that you have any loans, draws, advances or any other indebtedness</w:t>
      </w:r>
      <w:r>
        <w:rPr>
          <w:rFonts w:ascii="Arial" w:cs="Arial" w:eastAsia="Arial" w:hAnsi="Arial"/>
          <w:sz w:val="21"/>
          <w:szCs w:val="21"/>
          <w:b w:val="1"/>
          <w:bCs w:val="1"/>
          <w:color w:val="auto"/>
        </w:rPr>
        <w:t xml:space="preserve"> </w:t>
      </w:r>
      <w:r>
        <w:rPr>
          <w:rFonts w:ascii="Arial" w:cs="Arial" w:eastAsia="Arial" w:hAnsi="Arial"/>
          <w:sz w:val="21"/>
          <w:szCs w:val="21"/>
          <w:color w:val="auto"/>
        </w:rPr>
        <w:t>owing to the Company at the time of exercise of all or a portion of the Option, the Company may deduct and not deliver that number of shares of Common Stock with a Fair Market Value subject to the Option equal to such indebtedness to satisfy all or a portion of such indebtedness, to the extent permitted by law and in a manner consistent with Section 409A of the Code, if applicable.</w:t>
      </w:r>
    </w:p>
    <w:p>
      <w:pPr>
        <w:spacing w:after="0" w:line="167" w:lineRule="exact"/>
        <w:rPr>
          <w:rFonts w:ascii="Arial" w:cs="Arial" w:eastAsia="Arial" w:hAnsi="Arial"/>
          <w:sz w:val="21"/>
          <w:szCs w:val="21"/>
          <w:b w:val="1"/>
          <w:bCs w:val="1"/>
          <w:color w:val="auto"/>
        </w:rPr>
      </w:pPr>
    </w:p>
    <w:p>
      <w:pPr>
        <w:jc w:val="both"/>
        <w:ind w:firstLine="642"/>
        <w:spacing w:after="0" w:line="267" w:lineRule="auto"/>
        <w:tabs>
          <w:tab w:leader="none" w:pos="1272"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Documents. </w:t>
      </w:r>
      <w:r>
        <w:rPr>
          <w:rFonts w:ascii="Arial" w:cs="Arial" w:eastAsia="Arial" w:hAnsi="Arial"/>
          <w:sz w:val="21"/>
          <w:szCs w:val="21"/>
          <w:color w:val="auto"/>
        </w:rPr>
        <w:t>You hereby acknowledge receipt of or the right to receive a document providing the information</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by Rule 428(b)(1) promulgated under the Securities Act, which includes the Prospectus. In addition, you acknowledge receipt of the Company’s Trading Policy.</w:t>
      </w:r>
    </w:p>
    <w:p>
      <w:pPr>
        <w:spacing w:after="0" w:line="161" w:lineRule="exact"/>
        <w:rPr>
          <w:rFonts w:ascii="Arial" w:cs="Arial" w:eastAsia="Arial" w:hAnsi="Arial"/>
          <w:sz w:val="21"/>
          <w:szCs w:val="21"/>
          <w:b w:val="1"/>
          <w:bCs w:val="1"/>
          <w:color w:val="auto"/>
        </w:rPr>
      </w:pPr>
    </w:p>
    <w:p>
      <w:pPr>
        <w:ind w:firstLine="642"/>
        <w:spacing w:after="0" w:line="285" w:lineRule="auto"/>
        <w:tabs>
          <w:tab w:leader="none" w:pos="1272"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Questions. </w:t>
      </w:r>
      <w:r>
        <w:rPr>
          <w:rFonts w:ascii="Arial" w:cs="Arial" w:eastAsia="Arial" w:hAnsi="Arial"/>
          <w:sz w:val="21"/>
          <w:szCs w:val="21"/>
          <w:color w:val="auto"/>
        </w:rPr>
        <w:t>If you have questions regarding these or any other terms and conditions applicable to your Option,</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a summary of the applicable federal income tax consequences please see the Prospectus.</w:t>
      </w:r>
    </w:p>
    <w:p>
      <w:pPr>
        <w:spacing w:after="0" w:line="141" w:lineRule="exact"/>
        <w:rPr>
          <w:rFonts w:ascii="Arial" w:cs="Arial" w:eastAsia="Arial" w:hAnsi="Arial"/>
          <w:sz w:val="21"/>
          <w:szCs w:val="21"/>
          <w:b w:val="1"/>
          <w:bCs w:val="1"/>
          <w:color w:val="auto"/>
        </w:rPr>
      </w:pPr>
    </w:p>
    <w:p>
      <w:pPr>
        <w:ind w:left="534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03" w:right="339" w:bottom="1440" w:gutter="0" w:footer="0" w:header="0"/>
        </w:sectPr>
      </w:pPr>
    </w:p>
    <w:bookmarkStart w:id="81" w:name="page82"/>
    <w:bookmarkEnd w:id="81"/>
    <w:p>
      <w:pPr>
        <w:ind w:left="10320"/>
        <w:spacing w:after="0"/>
        <w:rPr>
          <w:sz w:val="20"/>
          <w:szCs w:val="20"/>
          <w:color w:val="auto"/>
        </w:rPr>
      </w:pPr>
      <w:r>
        <w:rPr>
          <w:rFonts w:ascii="Arial" w:cs="Arial" w:eastAsia="Arial" w:hAnsi="Arial"/>
          <w:sz w:val="15"/>
          <w:szCs w:val="15"/>
          <w:b w:val="1"/>
          <w:bCs w:val="1"/>
          <w:color w:val="auto"/>
        </w:rPr>
        <w:t>Exhibit 10.2</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EMPLOYMENT AGREEMENT</w:t>
      </w:r>
    </w:p>
    <w:p>
      <w:pPr>
        <w:spacing w:after="0" w:line="34" w:lineRule="exact"/>
        <w:rPr>
          <w:sz w:val="20"/>
          <w:szCs w:val="20"/>
          <w:color w:val="auto"/>
        </w:rPr>
      </w:pPr>
    </w:p>
    <w:p>
      <w:pPr>
        <w:jc w:val="both"/>
        <w:ind w:firstLine="1272"/>
        <w:spacing w:after="0" w:line="253" w:lineRule="auto"/>
        <w:rPr>
          <w:sz w:val="20"/>
          <w:szCs w:val="20"/>
          <w:color w:val="auto"/>
        </w:rPr>
      </w:pPr>
      <w:r>
        <w:rPr>
          <w:rFonts w:ascii="Arial" w:cs="Arial" w:eastAsia="Arial" w:hAnsi="Arial"/>
          <w:sz w:val="21"/>
          <w:szCs w:val="21"/>
          <w:color w:val="auto"/>
        </w:rPr>
        <w:t>THIS EXECUTIVE EMPLOYMENT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is made as of June 21, 2021 (the “</w:t>
      </w:r>
      <w:r>
        <w:rPr>
          <w:rFonts w:ascii="Arial" w:cs="Arial" w:eastAsia="Arial" w:hAnsi="Arial"/>
          <w:sz w:val="21"/>
          <w:szCs w:val="21"/>
          <w:b w:val="1"/>
          <w:bCs w:val="1"/>
          <w:color w:val="auto"/>
        </w:rPr>
        <w:t>Effective Date</w:t>
      </w:r>
      <w:r>
        <w:rPr>
          <w:rFonts w:ascii="Arial" w:cs="Arial" w:eastAsia="Arial" w:hAnsi="Arial"/>
          <w:sz w:val="21"/>
          <w:szCs w:val="21"/>
          <w:color w:val="auto"/>
        </w:rPr>
        <w:t>”), between Caret Holdings, Inc, a Delaware corporation (and collectively with its parents, subsidiaries, and other corporate affiliates, and its or their successors or assigns (the “</w:t>
      </w:r>
      <w:r>
        <w:rPr>
          <w:rFonts w:ascii="Arial" w:cs="Arial" w:eastAsia="Arial" w:hAnsi="Arial"/>
          <w:sz w:val="21"/>
          <w:szCs w:val="21"/>
          <w:b w:val="1"/>
          <w:bCs w:val="1"/>
          <w:color w:val="auto"/>
        </w:rPr>
        <w:t>Company</w:t>
      </w:r>
      <w:r>
        <w:rPr>
          <w:rFonts w:ascii="Arial" w:cs="Arial" w:eastAsia="Arial" w:hAnsi="Arial"/>
          <w:sz w:val="21"/>
          <w:szCs w:val="21"/>
          <w:color w:val="auto"/>
        </w:rPr>
        <w:t>”), and Anirban Kundu (“</w:t>
      </w:r>
      <w:r>
        <w:rPr>
          <w:rFonts w:ascii="Arial" w:cs="Arial" w:eastAsia="Arial" w:hAnsi="Arial"/>
          <w:sz w:val="21"/>
          <w:szCs w:val="21"/>
          <w:b w:val="1"/>
          <w:bCs w:val="1"/>
          <w:color w:val="auto"/>
        </w:rPr>
        <w:t>Executive</w:t>
      </w:r>
      <w:r>
        <w:rPr>
          <w:rFonts w:ascii="Arial" w:cs="Arial" w:eastAsia="Arial" w:hAnsi="Arial"/>
          <w:sz w:val="21"/>
          <w:szCs w:val="21"/>
          <w:color w:val="auto"/>
        </w:rPr>
        <w:t>”). The Company and Executive are each referred to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83"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WHEREAS, the Company wishes to offer contract employment to the Executive, and the Executive wishes to accept such offer, on the terms and conditions set forth below;</w:t>
      </w:r>
    </w:p>
    <w:p>
      <w:pPr>
        <w:spacing w:after="0" w:line="154" w:lineRule="exact"/>
        <w:rPr>
          <w:sz w:val="20"/>
          <w:szCs w:val="20"/>
          <w:color w:val="auto"/>
        </w:rPr>
      </w:pPr>
    </w:p>
    <w:p>
      <w:pPr>
        <w:jc w:val="both"/>
        <w:ind w:firstLine="1272"/>
        <w:spacing w:after="0" w:line="305" w:lineRule="auto"/>
        <w:rPr>
          <w:sz w:val="20"/>
          <w:szCs w:val="20"/>
          <w:color w:val="auto"/>
        </w:rPr>
      </w:pPr>
      <w:r>
        <w:rPr>
          <w:rFonts w:ascii="Arial" w:cs="Arial" w:eastAsia="Arial" w:hAnsi="Arial"/>
          <w:sz w:val="20"/>
          <w:szCs w:val="20"/>
          <w:color w:val="auto"/>
        </w:rPr>
        <w:t>NOW, THEREFORE, in consideration of the mutual covenants contained herein and other good and valuable consideration, the receipt and sufficiency of which are hereby acknowledged, the parties hereto agree as follows:</w:t>
      </w:r>
    </w:p>
    <w:p>
      <w:pPr>
        <w:spacing w:after="0" w:line="125" w:lineRule="exact"/>
        <w:rPr>
          <w:sz w:val="20"/>
          <w:szCs w:val="20"/>
          <w:color w:val="auto"/>
        </w:rPr>
      </w:pPr>
    </w:p>
    <w:p>
      <w:pPr>
        <w:jc w:val="both"/>
        <w:ind w:firstLine="1278"/>
        <w:spacing w:after="0" w:line="261" w:lineRule="auto"/>
        <w:tabs>
          <w:tab w:leader="none" w:pos="1908"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shall employ Executive, and Executive hereby accepts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with the Company, upon the terms and conditions set forth in this Agreement for the period commencing as of the Effective Date, and continuing on each anniversary of the Effective Date, unless terminated earlier in accordance with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hereof (the “</w:t>
      </w:r>
      <w:r>
        <w:rPr>
          <w:rFonts w:ascii="Arial" w:cs="Arial" w:eastAsia="Arial" w:hAnsi="Arial"/>
          <w:sz w:val="21"/>
          <w:szCs w:val="21"/>
          <w:b w:val="1"/>
          <w:bCs w:val="1"/>
          <w:color w:val="auto"/>
        </w:rPr>
        <w:t>Employment Period</w:t>
      </w:r>
      <w:r>
        <w:rPr>
          <w:rFonts w:ascii="Arial" w:cs="Arial" w:eastAsia="Arial" w:hAnsi="Arial"/>
          <w:sz w:val="21"/>
          <w:szCs w:val="21"/>
          <w:color w:val="auto"/>
        </w:rPr>
        <w:t>”).</w:t>
      </w:r>
    </w:p>
    <w:p>
      <w:pPr>
        <w:spacing w:after="0" w:line="168" w:lineRule="exact"/>
        <w:rPr>
          <w:rFonts w:ascii="Arial" w:cs="Arial" w:eastAsia="Arial" w:hAnsi="Arial"/>
          <w:sz w:val="21"/>
          <w:szCs w:val="21"/>
          <w:b w:val="1"/>
          <w:bCs w:val="1"/>
          <w:color w:val="auto"/>
        </w:rPr>
      </w:pPr>
    </w:p>
    <w:p>
      <w:pPr>
        <w:ind w:left="1920" w:hanging="642"/>
        <w:spacing w:after="0"/>
        <w:tabs>
          <w:tab w:leader="none" w:pos="1920"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Position and Duties</w:t>
      </w:r>
      <w:r>
        <w:rPr>
          <w:rFonts w:ascii="Arial" w:cs="Arial" w:eastAsia="Arial" w:hAnsi="Arial"/>
          <w:sz w:val="21"/>
          <w:szCs w:val="21"/>
          <w:color w:val="auto"/>
        </w:rPr>
        <w:t>.</w:t>
      </w:r>
    </w:p>
    <w:p>
      <w:pPr>
        <w:spacing w:after="0" w:line="228" w:lineRule="exact"/>
        <w:rPr>
          <w:sz w:val="20"/>
          <w:szCs w:val="20"/>
          <w:color w:val="auto"/>
        </w:rPr>
      </w:pPr>
    </w:p>
    <w:p>
      <w:pPr>
        <w:ind w:left="1920" w:hanging="642"/>
        <w:spacing w:after="0"/>
        <w:tabs>
          <w:tab w:leader="none" w:pos="1920"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Position</w:t>
      </w:r>
      <w:r>
        <w:rPr>
          <w:rFonts w:ascii="Arial" w:cs="Arial" w:eastAsia="Arial" w:hAnsi="Arial"/>
          <w:sz w:val="21"/>
          <w:szCs w:val="21"/>
          <w:color w:val="auto"/>
        </w:rPr>
        <w:t>. During the Employment Period, the Executive shall serve as the Chief Technology Officer.</w:t>
      </w:r>
    </w:p>
    <w:p>
      <w:pPr>
        <w:spacing w:after="0" w:line="222" w:lineRule="exact"/>
        <w:rPr>
          <w:rFonts w:ascii="Arial" w:cs="Arial" w:eastAsia="Arial" w:hAnsi="Arial"/>
          <w:sz w:val="21"/>
          <w:szCs w:val="21"/>
          <w:color w:val="auto"/>
        </w:rPr>
      </w:pPr>
    </w:p>
    <w:p>
      <w:pPr>
        <w:jc w:val="both"/>
        <w:ind w:firstLine="1278"/>
        <w:spacing w:after="0" w:line="266" w:lineRule="auto"/>
        <w:tabs>
          <w:tab w:leader="none" w:pos="1903"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Duties</w:t>
      </w:r>
      <w:r>
        <w:rPr>
          <w:rFonts w:ascii="Arial" w:cs="Arial" w:eastAsia="Arial" w:hAnsi="Arial"/>
          <w:sz w:val="20"/>
          <w:szCs w:val="20"/>
          <w:color w:val="auto"/>
        </w:rPr>
        <w:t>. Executive shall have the normal duties, responsibilities, functions and authority customarily associated with such position and such other duties and responsibilities as may be assigned from time to time to Executive by the Chief Executive Officer of the Company or such other person as the Chief Executive Officer may designate from time to time (the “</w:t>
      </w:r>
      <w:r>
        <w:rPr>
          <w:rFonts w:ascii="Arial" w:cs="Arial" w:eastAsia="Arial" w:hAnsi="Arial"/>
          <w:sz w:val="20"/>
          <w:szCs w:val="20"/>
          <w:b w:val="1"/>
          <w:bCs w:val="1"/>
          <w:color w:val="auto"/>
        </w:rPr>
        <w:t>Supervisor</w:t>
      </w:r>
      <w:r>
        <w:rPr>
          <w:rFonts w:ascii="Arial" w:cs="Arial" w:eastAsia="Arial" w:hAnsi="Arial"/>
          <w:sz w:val="20"/>
          <w:szCs w:val="20"/>
          <w:color w:val="auto"/>
        </w:rPr>
        <w:t>”). Executive shall report to the Supervisor, and Executive shall devote Executive’s full-time energies and attention to the business and affairs of the Company. Executive shall perform Executive’s duties, responsibilities and functions to the Company hereunder in a diligent, trustworthy, professional, ethical and efficient manner and shall comply with the policies and procedures of the Company and its Affiliates and will cooperate fully with the Board of Directors of the Company (the “</w:t>
      </w:r>
      <w:r>
        <w:rPr>
          <w:rFonts w:ascii="Arial" w:cs="Arial" w:eastAsia="Arial" w:hAnsi="Arial"/>
          <w:sz w:val="20"/>
          <w:szCs w:val="20"/>
          <w:b w:val="1"/>
          <w:bCs w:val="1"/>
          <w:color w:val="auto"/>
        </w:rPr>
        <w:t>Board</w:t>
      </w:r>
      <w:r>
        <w:rPr>
          <w:rFonts w:ascii="Arial" w:cs="Arial" w:eastAsia="Arial" w:hAnsi="Arial"/>
          <w:sz w:val="20"/>
          <w:szCs w:val="20"/>
          <w:color w:val="auto"/>
        </w:rPr>
        <w:t>”) in the advancement of the best interests of the Company. Notwithstanding, Executive may engage in charitable, civic, fraternal and trade association activities that do not interfere materially with Executive’s obligations to the Company. Employees may serve on the boards of directors of other organizations so long as those other companies are not in direct competition with the Company and so long as the employees’ service does not otherwise present a real or perceived conflict of interest. A real or perceived conflict of interest may arise if employees serve on the boards of more than one public company or if they serve on more than two boards in total.</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93" w:right="339" w:bottom="1440" w:gutter="0" w:footer="0" w:header="0"/>
        </w:sectPr>
      </w:pPr>
    </w:p>
    <w:bookmarkStart w:id="82" w:name="page83"/>
    <w:bookmarkEnd w:id="82"/>
    <w:p>
      <w:pPr>
        <w:ind w:left="1920" w:hanging="642"/>
        <w:spacing w:after="0"/>
        <w:tabs>
          <w:tab w:leader="none" w:pos="1920"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Compensation and Benefits</w:t>
      </w:r>
      <w:r>
        <w:rPr>
          <w:rFonts w:ascii="Arial" w:cs="Arial" w:eastAsia="Arial" w:hAnsi="Arial"/>
          <w:sz w:val="21"/>
          <w:szCs w:val="21"/>
          <w:color w:val="auto"/>
        </w:rPr>
        <w:t>.</w:t>
      </w:r>
    </w:p>
    <w:p>
      <w:pPr>
        <w:spacing w:after="0" w:line="22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In exchange for services rendered by the Executive hereunder, the Company shall provide the following:</w:t>
      </w:r>
    </w:p>
    <w:p>
      <w:pPr>
        <w:spacing w:after="0" w:line="222" w:lineRule="exact"/>
        <w:rPr>
          <w:sz w:val="20"/>
          <w:szCs w:val="20"/>
          <w:color w:val="auto"/>
        </w:rPr>
      </w:pPr>
    </w:p>
    <w:p>
      <w:pPr>
        <w:jc w:val="both"/>
        <w:ind w:firstLine="1278"/>
        <w:spacing w:after="0" w:line="259" w:lineRule="auto"/>
        <w:tabs>
          <w:tab w:leader="none" w:pos="1905"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During the Employment Period, Executive’s base salary shall be $500,000 per annum, or such higher amount as determined by the Company in its discretion, as adjusted from time to time (the “Base Salary”), which salary shall be payable by the Company in regular installments in accordance with the Company’s general payroll practices (in effect from time to time).</w:t>
      </w:r>
    </w:p>
    <w:p>
      <w:pPr>
        <w:spacing w:after="0" w:line="176" w:lineRule="exact"/>
        <w:rPr>
          <w:rFonts w:ascii="Arial" w:cs="Arial" w:eastAsia="Arial" w:hAnsi="Arial"/>
          <w:sz w:val="21"/>
          <w:szCs w:val="21"/>
          <w:color w:val="auto"/>
        </w:rPr>
      </w:pPr>
    </w:p>
    <w:p>
      <w:pPr>
        <w:jc w:val="both"/>
        <w:ind w:firstLine="1278"/>
        <w:spacing w:after="0" w:line="255" w:lineRule="auto"/>
        <w:tabs>
          <w:tab w:leader="none" w:pos="1903"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RSU Grants</w:t>
      </w:r>
      <w:r>
        <w:rPr>
          <w:rFonts w:ascii="Arial" w:cs="Arial" w:eastAsia="Arial" w:hAnsi="Arial"/>
          <w:sz w:val="21"/>
          <w:szCs w:val="21"/>
          <w:color w:val="auto"/>
        </w:rPr>
        <w:t>. Executive will be granted, subject to the approval of the Compensation Committee of Root, Inc. (the “</w:t>
      </w:r>
      <w:r>
        <w:rPr>
          <w:rFonts w:ascii="Arial" w:cs="Arial" w:eastAsia="Arial" w:hAnsi="Arial"/>
          <w:sz w:val="21"/>
          <w:szCs w:val="21"/>
          <w:b w:val="1"/>
          <w:bCs w:val="1"/>
          <w:color w:val="auto"/>
        </w:rPr>
        <w:t>Compensation Committee</w:t>
      </w:r>
      <w:r>
        <w:rPr>
          <w:rFonts w:ascii="Arial" w:cs="Arial" w:eastAsia="Arial" w:hAnsi="Arial"/>
          <w:sz w:val="21"/>
          <w:szCs w:val="21"/>
          <w:color w:val="auto"/>
        </w:rPr>
        <w:t>”), an initial on-hire RSU grant of $16,000,000 (the “</w:t>
      </w:r>
      <w:r>
        <w:rPr>
          <w:rFonts w:ascii="Arial" w:cs="Arial" w:eastAsia="Arial" w:hAnsi="Arial"/>
          <w:sz w:val="21"/>
          <w:szCs w:val="21"/>
          <w:b w:val="1"/>
          <w:bCs w:val="1"/>
          <w:color w:val="auto"/>
        </w:rPr>
        <w:t>On-Hire Grant</w:t>
      </w:r>
      <w:r>
        <w:rPr>
          <w:rFonts w:ascii="Arial" w:cs="Arial" w:eastAsia="Arial" w:hAnsi="Arial"/>
          <w:sz w:val="21"/>
          <w:szCs w:val="21"/>
          <w:color w:val="auto"/>
        </w:rPr>
        <w:t>”) and an annual RSU grant of $8,000,000 (the “</w:t>
      </w:r>
      <w:r>
        <w:rPr>
          <w:rFonts w:ascii="Arial" w:cs="Arial" w:eastAsia="Arial" w:hAnsi="Arial"/>
          <w:sz w:val="21"/>
          <w:szCs w:val="21"/>
          <w:b w:val="1"/>
          <w:bCs w:val="1"/>
          <w:color w:val="auto"/>
        </w:rPr>
        <w:t>Annual Grant</w:t>
      </w:r>
      <w:r>
        <w:rPr>
          <w:rFonts w:ascii="Arial" w:cs="Arial" w:eastAsia="Arial" w:hAnsi="Arial"/>
          <w:sz w:val="21"/>
          <w:szCs w:val="21"/>
          <w:color w:val="auto"/>
        </w:rPr>
        <w:t>”). Any such grants shall be governed by the Root, Inc. 2020 Equity Incentive Plan (the “</w:t>
      </w:r>
      <w:r>
        <w:rPr>
          <w:rFonts w:ascii="Arial" w:cs="Arial" w:eastAsia="Arial" w:hAnsi="Arial"/>
          <w:sz w:val="21"/>
          <w:szCs w:val="21"/>
          <w:b w:val="1"/>
          <w:bCs w:val="1"/>
          <w:color w:val="auto"/>
        </w:rPr>
        <w:t>Plan</w:t>
      </w:r>
      <w:r>
        <w:rPr>
          <w:rFonts w:ascii="Arial" w:cs="Arial" w:eastAsia="Arial" w:hAnsi="Arial"/>
          <w:sz w:val="21"/>
          <w:szCs w:val="21"/>
          <w:color w:val="auto"/>
        </w:rPr>
        <w:t>”) and form of RSU Award Grant Notice and Award Agreement, each as may be duly amended from time-to-time by the Root, Inc Board of Directors. Subject to the foregoing, including Executive’s Continuous Service (as defined in the Plan) as of each such date, the On-Hire Grant and the Annual Grant will vest on the following schedule: one-quarter on the first anniversary of the grant date and the remainder quarterly thereafter.</w:t>
      </w:r>
    </w:p>
    <w:p>
      <w:pPr>
        <w:spacing w:after="0" w:line="178"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auto"/>
        </w:rPr>
        <w:t>Executive will be eligible to receive an additional one-time grant in the discretion of the Compensation Committee with a grant date value of $4,800,000 in the form of a performance grant consistent with those awarded to the Chief Executive Officer and other executives in 2021. Executive will also be eligible to receive additional performance grants of $8,000,000 annually in RSUs, in the discretion of the Compensation Committee and subject to Executive meeting performance expectations for Executive’s role.</w:t>
      </w:r>
    </w:p>
    <w:p>
      <w:pPr>
        <w:spacing w:after="0" w:line="14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Each of the On-Hire Grant and Annual Grant will be calculated by dividing the grant value by the unweighted average closing price of a share of Root, Inc. Class A common stock over the thirty consecutive trading day period immediately preceding the date of the grant with a grant date within 30 days of Executive’s first day of employment.</w:t>
      </w:r>
    </w:p>
    <w:p>
      <w:pPr>
        <w:spacing w:after="0" w:line="170" w:lineRule="exact"/>
        <w:rPr>
          <w:sz w:val="20"/>
          <w:szCs w:val="20"/>
          <w:color w:val="auto"/>
        </w:rPr>
      </w:pPr>
    </w:p>
    <w:p>
      <w:pPr>
        <w:jc w:val="both"/>
        <w:ind w:firstLine="1278"/>
        <w:spacing w:after="0" w:line="275" w:lineRule="auto"/>
        <w:tabs>
          <w:tab w:leader="none" w:pos="1905"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Annual Performance Bonus</w:t>
      </w:r>
      <w:r>
        <w:rPr>
          <w:rFonts w:ascii="Arial" w:cs="Arial" w:eastAsia="Arial" w:hAnsi="Arial"/>
          <w:sz w:val="19"/>
          <w:szCs w:val="19"/>
          <w:color w:val="auto"/>
        </w:rPr>
        <w:t>. In addition to the Base Salary, Executive shall be eligible to receive an annual performance bonus of up to 60% of the Base Salary (the “</w:t>
      </w:r>
      <w:r>
        <w:rPr>
          <w:rFonts w:ascii="Arial" w:cs="Arial" w:eastAsia="Arial" w:hAnsi="Arial"/>
          <w:sz w:val="19"/>
          <w:szCs w:val="19"/>
          <w:b w:val="1"/>
          <w:bCs w:val="1"/>
          <w:color w:val="auto"/>
        </w:rPr>
        <w:t>Annual Bonus</w:t>
      </w:r>
      <w:r>
        <w:rPr>
          <w:rFonts w:ascii="Arial" w:cs="Arial" w:eastAsia="Arial" w:hAnsi="Arial"/>
          <w:sz w:val="19"/>
          <w:szCs w:val="19"/>
          <w:color w:val="auto"/>
        </w:rPr>
        <w:t>”). The actual amount of Annual Bonus, if any, shall be determined by the Company in its sole discretion, and shall be based, in part, on Executive’s performance and the performance of the Company during the calendar year, as well as any other criteria the Company deems relevant. Any Annual Bonus earned by Executive shall be paid in accordance with the Company’s policies and practices, as in effect from time to time, but in any event, no later than March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the following calendar year. Executive must be employed on the day that the Annual Bonus, if any, is paid in order to be eligible for and earn the bonus, unless a pro rata bonus is earned in accordance with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below.</w:t>
      </w:r>
    </w:p>
    <w:p>
      <w:pPr>
        <w:spacing w:after="0" w:line="155" w:lineRule="exact"/>
        <w:rPr>
          <w:rFonts w:ascii="Arial" w:cs="Arial" w:eastAsia="Arial" w:hAnsi="Arial"/>
          <w:sz w:val="19"/>
          <w:szCs w:val="19"/>
          <w:color w:val="auto"/>
        </w:rPr>
      </w:pPr>
    </w:p>
    <w:p>
      <w:pPr>
        <w:ind w:firstLine="1278"/>
        <w:spacing w:after="0" w:line="279" w:lineRule="auto"/>
        <w:tabs>
          <w:tab w:leader="none" w:pos="1903"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Double Trigger Change in Control</w:t>
      </w:r>
      <w:r>
        <w:rPr>
          <w:rFonts w:ascii="Arial" w:cs="Arial" w:eastAsia="Arial" w:hAnsi="Arial"/>
          <w:sz w:val="21"/>
          <w:szCs w:val="21"/>
          <w:color w:val="auto"/>
        </w:rPr>
        <w:t>. In the event that Executive’s employment with Company is terminated by Company or its successor or assigns without Cause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97" w:right="339" w:bottom="1440" w:gutter="0" w:footer="0" w:header="0"/>
        </w:sectPr>
      </w:pPr>
    </w:p>
    <w:bookmarkStart w:id="83" w:name="page84"/>
    <w:bookmarkEnd w:id="83"/>
    <w:p>
      <w:pPr>
        <w:jc w:val="both"/>
        <w:spacing w:after="0" w:line="264" w:lineRule="auto"/>
        <w:rPr>
          <w:sz w:val="20"/>
          <w:szCs w:val="20"/>
          <w:color w:val="auto"/>
        </w:rPr>
      </w:pPr>
      <w:r>
        <w:rPr>
          <w:rFonts w:ascii="Arial" w:cs="Arial" w:eastAsia="Arial" w:hAnsi="Arial"/>
          <w:sz w:val="21"/>
          <w:szCs w:val="21"/>
          <w:color w:val="auto"/>
        </w:rPr>
        <w:t>(as defined below) on account of or within one year from the date of the closing of a Change in Control (as defined below) (such period, the “</w:t>
      </w:r>
      <w:r>
        <w:rPr>
          <w:rFonts w:ascii="Arial" w:cs="Arial" w:eastAsia="Arial" w:hAnsi="Arial"/>
          <w:sz w:val="21"/>
          <w:szCs w:val="21"/>
          <w:b w:val="1"/>
          <w:bCs w:val="1"/>
          <w:color w:val="auto"/>
        </w:rPr>
        <w:t>Double Trigger Period</w:t>
      </w:r>
      <w:r>
        <w:rPr>
          <w:rFonts w:ascii="Arial" w:cs="Arial" w:eastAsia="Arial" w:hAnsi="Arial"/>
          <w:sz w:val="21"/>
          <w:szCs w:val="21"/>
          <w:color w:val="auto"/>
        </w:rPr>
        <w:t>”), the vesting and exercisability of each of the Executive’s outstanding equity awards granted pursuant to the Equity Plan shall be automatically vested in full.</w:t>
      </w:r>
    </w:p>
    <w:p>
      <w:pPr>
        <w:spacing w:after="0" w:line="170" w:lineRule="exact"/>
        <w:rPr>
          <w:sz w:val="20"/>
          <w:szCs w:val="20"/>
          <w:color w:val="auto"/>
        </w:rPr>
      </w:pPr>
    </w:p>
    <w:p>
      <w:pPr>
        <w:jc w:val="both"/>
        <w:ind w:firstLine="1278"/>
        <w:spacing w:after="0" w:line="257" w:lineRule="auto"/>
        <w:tabs>
          <w:tab w:leader="none" w:pos="1905"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Benefits</w:t>
      </w:r>
      <w:r>
        <w:rPr>
          <w:rFonts w:ascii="Arial" w:cs="Arial" w:eastAsia="Arial" w:hAnsi="Arial"/>
          <w:sz w:val="21"/>
          <w:szCs w:val="21"/>
          <w:color w:val="auto"/>
        </w:rPr>
        <w:t>. The Executive shall be permitted during employment to participate in any group life, hospitalization or disability insurance plans, health programs, retirement plans, fringe benefit programs and similar benefits that may be available to other employees of the Company generally, on the same terms as such other employees, in each case to the extent that the Executive is eligible under the terms of such plans or programs, as may be changed from time to time by the Company or the relevant insurer or administrator.</w:t>
      </w:r>
    </w:p>
    <w:p>
      <w:pPr>
        <w:spacing w:after="0" w:line="177" w:lineRule="exact"/>
        <w:rPr>
          <w:rFonts w:ascii="Arial" w:cs="Arial" w:eastAsia="Arial" w:hAnsi="Arial"/>
          <w:sz w:val="21"/>
          <w:szCs w:val="21"/>
          <w:color w:val="auto"/>
        </w:rPr>
      </w:pPr>
    </w:p>
    <w:p>
      <w:pPr>
        <w:jc w:val="both"/>
        <w:ind w:firstLine="1278"/>
        <w:spacing w:after="0" w:line="264" w:lineRule="auto"/>
        <w:tabs>
          <w:tab w:leader="none" w:pos="1908"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Paid Time Off</w:t>
      </w:r>
      <w:r>
        <w:rPr>
          <w:rFonts w:ascii="Arial" w:cs="Arial" w:eastAsia="Arial" w:hAnsi="Arial"/>
          <w:sz w:val="21"/>
          <w:szCs w:val="21"/>
          <w:color w:val="auto"/>
        </w:rPr>
        <w:t>. Executive shall be eligible for paid time off each year in accordance with the policies of the Company in effect, subject to the conditions as they may be established or changed from time to time by the Company’s sole discretion.</w:t>
      </w:r>
    </w:p>
    <w:p>
      <w:pPr>
        <w:spacing w:after="0" w:line="170" w:lineRule="exact"/>
        <w:rPr>
          <w:rFonts w:ascii="Arial" w:cs="Arial" w:eastAsia="Arial" w:hAnsi="Arial"/>
          <w:sz w:val="21"/>
          <w:szCs w:val="21"/>
          <w:color w:val="auto"/>
        </w:rPr>
      </w:pPr>
    </w:p>
    <w:p>
      <w:pPr>
        <w:jc w:val="both"/>
        <w:ind w:firstLine="1278"/>
        <w:spacing w:after="0" w:line="295" w:lineRule="auto"/>
        <w:tabs>
          <w:tab w:leader="none" w:pos="1903"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Business Expenses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18(d)</w:t>
      </w:r>
      <w:r>
        <w:rPr>
          <w:rFonts w:ascii="Arial" w:cs="Arial" w:eastAsia="Arial" w:hAnsi="Arial"/>
          <w:sz w:val="19"/>
          <w:szCs w:val="19"/>
          <w:color w:val="auto"/>
        </w:rPr>
        <w:t>, the Company shall reimburse Executive for all reasonable business expenses incurred by Executive in the course of performing Executive’s duties and responsibilities under this Agreement, which business expenses are consistent with the Company’s policies in effect from time to time with respect to travel, entertainment and other business expenses, subject to the Company’s requirements with respect to reporting and documentation of such expenses.</w:t>
      </w:r>
    </w:p>
    <w:p>
      <w:pPr>
        <w:spacing w:after="0" w:line="139" w:lineRule="exact"/>
        <w:rPr>
          <w:sz w:val="20"/>
          <w:szCs w:val="20"/>
          <w:color w:val="auto"/>
        </w:rPr>
      </w:pPr>
    </w:p>
    <w:p>
      <w:pPr>
        <w:ind w:left="1920" w:hanging="642"/>
        <w:spacing w:after="0"/>
        <w:tabs>
          <w:tab w:leader="none" w:pos="1920"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At-Will Employment During the Employment Period</w:t>
      </w:r>
      <w:r>
        <w:rPr>
          <w:rFonts w:ascii="Arial" w:cs="Arial" w:eastAsia="Arial" w:hAnsi="Arial"/>
          <w:sz w:val="21"/>
          <w:szCs w:val="21"/>
          <w:color w:val="auto"/>
        </w:rPr>
        <w:t>.</w:t>
      </w:r>
    </w:p>
    <w:p>
      <w:pPr>
        <w:spacing w:after="0" w:line="228" w:lineRule="exact"/>
        <w:rPr>
          <w:sz w:val="20"/>
          <w:szCs w:val="20"/>
          <w:color w:val="auto"/>
        </w:rPr>
      </w:pPr>
    </w:p>
    <w:p>
      <w:pPr>
        <w:ind w:firstLine="1278"/>
        <w:spacing w:after="0" w:line="279" w:lineRule="auto"/>
        <w:tabs>
          <w:tab w:leader="none" w:pos="1905"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During the Employment Period, this Agreement and the employment of Executive by the Company and any Affiliate may be terminated at any time as follows:</w:t>
      </w:r>
    </w:p>
    <w:p>
      <w:pPr>
        <w:spacing w:after="0" w:line="154" w:lineRule="exact"/>
        <w:rPr>
          <w:rFonts w:ascii="Arial" w:cs="Arial" w:eastAsia="Arial" w:hAnsi="Arial"/>
          <w:sz w:val="21"/>
          <w:szCs w:val="21"/>
          <w:color w:val="auto"/>
        </w:rPr>
      </w:pPr>
    </w:p>
    <w:p>
      <w:pPr>
        <w:ind w:left="2540" w:hanging="626"/>
        <w:spacing w:after="0"/>
        <w:tabs>
          <w:tab w:leader="none" w:pos="2540" w:val="left"/>
        </w:tabs>
        <w:numPr>
          <w:ilvl w:val="1"/>
          <w:numId w:val="69"/>
        </w:numPr>
        <w:rPr>
          <w:rFonts w:ascii="Arial" w:cs="Arial" w:eastAsia="Arial" w:hAnsi="Arial"/>
          <w:sz w:val="21"/>
          <w:szCs w:val="21"/>
          <w:color w:val="auto"/>
        </w:rPr>
      </w:pPr>
      <w:r>
        <w:rPr>
          <w:rFonts w:ascii="Arial" w:cs="Arial" w:eastAsia="Arial" w:hAnsi="Arial"/>
          <w:sz w:val="21"/>
          <w:szCs w:val="21"/>
          <w:color w:val="auto"/>
        </w:rPr>
        <w:t>By mutual agreement of the Parties;</w:t>
      </w:r>
    </w:p>
    <w:p>
      <w:pPr>
        <w:spacing w:after="0" w:line="222" w:lineRule="exact"/>
        <w:rPr>
          <w:rFonts w:ascii="Arial" w:cs="Arial" w:eastAsia="Arial" w:hAnsi="Arial"/>
          <w:sz w:val="21"/>
          <w:szCs w:val="21"/>
          <w:color w:val="auto"/>
        </w:rPr>
      </w:pPr>
    </w:p>
    <w:p>
      <w:pPr>
        <w:ind w:left="2540" w:hanging="626"/>
        <w:spacing w:after="0"/>
        <w:tabs>
          <w:tab w:leader="none" w:pos="2540" w:val="left"/>
        </w:tabs>
        <w:numPr>
          <w:ilvl w:val="1"/>
          <w:numId w:val="69"/>
        </w:numPr>
        <w:rPr>
          <w:rFonts w:ascii="Arial" w:cs="Arial" w:eastAsia="Arial" w:hAnsi="Arial"/>
          <w:sz w:val="21"/>
          <w:szCs w:val="21"/>
          <w:color w:val="auto"/>
        </w:rPr>
      </w:pPr>
      <w:r>
        <w:rPr>
          <w:rFonts w:ascii="Arial" w:cs="Arial" w:eastAsia="Arial" w:hAnsi="Arial"/>
          <w:sz w:val="21"/>
          <w:szCs w:val="21"/>
          <w:color w:val="auto"/>
        </w:rPr>
        <w:t>By the Company if Executive dies or becomes Disabled;</w:t>
      </w:r>
    </w:p>
    <w:p>
      <w:pPr>
        <w:spacing w:after="0" w:line="222" w:lineRule="exact"/>
        <w:rPr>
          <w:rFonts w:ascii="Arial" w:cs="Arial" w:eastAsia="Arial" w:hAnsi="Arial"/>
          <w:sz w:val="21"/>
          <w:szCs w:val="21"/>
          <w:color w:val="auto"/>
        </w:rPr>
      </w:pPr>
    </w:p>
    <w:p>
      <w:pPr>
        <w:ind w:left="2540" w:hanging="626"/>
        <w:spacing w:after="0"/>
        <w:tabs>
          <w:tab w:leader="none" w:pos="2540" w:val="left"/>
        </w:tabs>
        <w:numPr>
          <w:ilvl w:val="1"/>
          <w:numId w:val="69"/>
        </w:numPr>
        <w:rPr>
          <w:rFonts w:ascii="Arial" w:cs="Arial" w:eastAsia="Arial" w:hAnsi="Arial"/>
          <w:sz w:val="21"/>
          <w:szCs w:val="21"/>
          <w:color w:val="auto"/>
        </w:rPr>
      </w:pPr>
      <w:r>
        <w:rPr>
          <w:rFonts w:ascii="Arial" w:cs="Arial" w:eastAsia="Arial" w:hAnsi="Arial"/>
          <w:sz w:val="21"/>
          <w:szCs w:val="21"/>
          <w:color w:val="auto"/>
        </w:rPr>
        <w:t>By the Company for Cause immediately upon notice;</w:t>
      </w:r>
    </w:p>
    <w:p>
      <w:pPr>
        <w:spacing w:after="0" w:line="222" w:lineRule="exact"/>
        <w:rPr>
          <w:rFonts w:ascii="Arial" w:cs="Arial" w:eastAsia="Arial" w:hAnsi="Arial"/>
          <w:sz w:val="21"/>
          <w:szCs w:val="21"/>
          <w:color w:val="auto"/>
        </w:rPr>
      </w:pPr>
    </w:p>
    <w:p>
      <w:pPr>
        <w:ind w:left="2540" w:hanging="626"/>
        <w:spacing w:after="0"/>
        <w:tabs>
          <w:tab w:leader="none" w:pos="2540" w:val="left"/>
        </w:tabs>
        <w:numPr>
          <w:ilvl w:val="1"/>
          <w:numId w:val="69"/>
        </w:numPr>
        <w:rPr>
          <w:rFonts w:ascii="Arial" w:cs="Arial" w:eastAsia="Arial" w:hAnsi="Arial"/>
          <w:sz w:val="21"/>
          <w:szCs w:val="21"/>
          <w:color w:val="auto"/>
        </w:rPr>
      </w:pPr>
      <w:r>
        <w:rPr>
          <w:rFonts w:ascii="Arial" w:cs="Arial" w:eastAsia="Arial" w:hAnsi="Arial"/>
          <w:sz w:val="21"/>
          <w:szCs w:val="21"/>
          <w:color w:val="auto"/>
        </w:rPr>
        <w:t>By the Company without Cause upon thirty (30) days’ written notice; or</w:t>
      </w:r>
    </w:p>
    <w:p>
      <w:pPr>
        <w:spacing w:after="0" w:line="222" w:lineRule="exact"/>
        <w:rPr>
          <w:rFonts w:ascii="Arial" w:cs="Arial" w:eastAsia="Arial" w:hAnsi="Arial"/>
          <w:sz w:val="21"/>
          <w:szCs w:val="21"/>
          <w:color w:val="auto"/>
        </w:rPr>
      </w:pPr>
    </w:p>
    <w:p>
      <w:pPr>
        <w:ind w:left="1280" w:firstLine="634"/>
        <w:spacing w:after="0" w:line="334" w:lineRule="auto"/>
        <w:tabs>
          <w:tab w:leader="none" w:pos="2547" w:val="left"/>
        </w:tabs>
        <w:numPr>
          <w:ilvl w:val="1"/>
          <w:numId w:val="69"/>
        </w:numPr>
        <w:rPr>
          <w:rFonts w:ascii="Arial" w:cs="Arial" w:eastAsia="Arial" w:hAnsi="Arial"/>
          <w:sz w:val="19"/>
          <w:szCs w:val="19"/>
          <w:color w:val="auto"/>
        </w:rPr>
      </w:pPr>
      <w:r>
        <w:rPr>
          <w:rFonts w:ascii="Arial" w:cs="Arial" w:eastAsia="Arial" w:hAnsi="Arial"/>
          <w:sz w:val="19"/>
          <w:szCs w:val="19"/>
          <w:color w:val="auto"/>
        </w:rPr>
        <w:t>By Executive, voluntarily, at any time; provided that Executive agrees to give the Company not less than sixty (60) days written notice of Executive’s resignation unless such notice period is waived by the Company.</w:t>
      </w:r>
    </w:p>
    <w:p>
      <w:pPr>
        <w:spacing w:after="0" w:line="107" w:lineRule="exact"/>
        <w:rPr>
          <w:rFonts w:ascii="Arial" w:cs="Arial" w:eastAsia="Arial" w:hAnsi="Arial"/>
          <w:sz w:val="19"/>
          <w:szCs w:val="19"/>
          <w:color w:val="auto"/>
        </w:rPr>
      </w:pPr>
    </w:p>
    <w:p>
      <w:pPr>
        <w:ind w:left="1900" w:hanging="622"/>
        <w:spacing w:after="0"/>
        <w:tabs>
          <w:tab w:leader="none" w:pos="1900"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Termination Payments</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ind w:left="1280" w:firstLine="634"/>
        <w:spacing w:after="0" w:line="279" w:lineRule="auto"/>
        <w:tabs>
          <w:tab w:leader="none" w:pos="2540" w:val="left"/>
        </w:tabs>
        <w:numPr>
          <w:ilvl w:val="1"/>
          <w:numId w:val="69"/>
        </w:numPr>
        <w:rPr>
          <w:rFonts w:ascii="Arial" w:cs="Arial" w:eastAsia="Arial" w:hAnsi="Arial"/>
          <w:sz w:val="21"/>
          <w:szCs w:val="21"/>
          <w:color w:val="auto"/>
        </w:rPr>
      </w:pPr>
      <w:r>
        <w:rPr>
          <w:rFonts w:ascii="Arial" w:cs="Arial" w:eastAsia="Arial" w:hAnsi="Arial"/>
          <w:sz w:val="21"/>
          <w:szCs w:val="21"/>
          <w:u w:val="single" w:color="auto"/>
          <w:color w:val="auto"/>
        </w:rPr>
        <w:t>Termination for Cause and upon Executive’s Resignation</w:t>
      </w:r>
      <w:r>
        <w:rPr>
          <w:rFonts w:ascii="Arial" w:cs="Arial" w:eastAsia="Arial" w:hAnsi="Arial"/>
          <w:sz w:val="21"/>
          <w:szCs w:val="21"/>
          <w:color w:val="auto"/>
        </w:rPr>
        <w:t>. If Executive’s employment hereunder and the Employment are terminated during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03" w:right="339" w:bottom="1440" w:gutter="0" w:footer="0" w:header="0"/>
        </w:sectPr>
      </w:pPr>
    </w:p>
    <w:bookmarkStart w:id="84" w:name="page85"/>
    <w:bookmarkEnd w:id="84"/>
    <w:p>
      <w:pPr>
        <w:jc w:val="center"/>
        <w:ind w:right="20"/>
        <w:spacing w:after="0"/>
        <w:rPr>
          <w:sz w:val="20"/>
          <w:szCs w:val="20"/>
          <w:color w:val="auto"/>
        </w:rPr>
      </w:pPr>
      <w:r>
        <w:rPr>
          <w:rFonts w:ascii="Arial" w:cs="Arial" w:eastAsia="Arial" w:hAnsi="Arial"/>
          <w:sz w:val="21"/>
          <w:szCs w:val="21"/>
          <w:color w:val="auto"/>
        </w:rPr>
        <w:t xml:space="preserve">the Employment Period pursuant to </w:t>
      </w:r>
      <w:r>
        <w:rPr>
          <w:rFonts w:ascii="Arial" w:cs="Arial" w:eastAsia="Arial" w:hAnsi="Arial"/>
          <w:sz w:val="21"/>
          <w:szCs w:val="21"/>
          <w:u w:val="single" w:color="auto"/>
          <w:color w:val="auto"/>
        </w:rPr>
        <w:t>Sections 4(a)(iii) or (v)</w:t>
      </w:r>
      <w:r>
        <w:rPr>
          <w:rFonts w:ascii="Arial" w:cs="Arial" w:eastAsia="Arial" w:hAnsi="Arial"/>
          <w:sz w:val="21"/>
          <w:szCs w:val="21"/>
          <w:color w:val="auto"/>
        </w:rPr>
        <w:t>, Executive shall be entitled to payment of:</w:t>
      </w:r>
    </w:p>
    <w:p>
      <w:pPr>
        <w:spacing w:after="0" w:line="222" w:lineRule="exact"/>
        <w:rPr>
          <w:sz w:val="20"/>
          <w:szCs w:val="20"/>
          <w:color w:val="auto"/>
        </w:rPr>
      </w:pPr>
    </w:p>
    <w:p>
      <w:pPr>
        <w:ind w:left="2540" w:hanging="626"/>
        <w:spacing w:after="0"/>
        <w:tabs>
          <w:tab w:leader="none" w:pos="2540" w:val="left"/>
        </w:tabs>
        <w:numPr>
          <w:ilvl w:val="0"/>
          <w:numId w:val="70"/>
        </w:numPr>
        <w:rPr>
          <w:rFonts w:ascii="Arial" w:cs="Arial" w:eastAsia="Arial" w:hAnsi="Arial"/>
          <w:sz w:val="21"/>
          <w:szCs w:val="21"/>
          <w:color w:val="auto"/>
        </w:rPr>
      </w:pPr>
      <w:r>
        <w:rPr>
          <w:rFonts w:ascii="Arial" w:cs="Arial" w:eastAsia="Arial" w:hAnsi="Arial"/>
          <w:sz w:val="21"/>
          <w:szCs w:val="21"/>
          <w:color w:val="auto"/>
        </w:rPr>
        <w:t>Executive’s accrued but unpaid Base Salary through the date of termination; and</w:t>
      </w:r>
    </w:p>
    <w:p>
      <w:pPr>
        <w:spacing w:after="0" w:line="222" w:lineRule="exact"/>
        <w:rPr>
          <w:rFonts w:ascii="Arial" w:cs="Arial" w:eastAsia="Arial" w:hAnsi="Arial"/>
          <w:sz w:val="21"/>
          <w:szCs w:val="21"/>
          <w:color w:val="auto"/>
        </w:rPr>
      </w:pPr>
    </w:p>
    <w:p>
      <w:pPr>
        <w:ind w:left="2560" w:hanging="646"/>
        <w:spacing w:after="0" w:line="279" w:lineRule="auto"/>
        <w:tabs>
          <w:tab w:leader="none" w:pos="2551"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any properly documented reimbursable expenses owed to Executive (clauses (A) and (B) of this </w:t>
      </w:r>
      <w:r>
        <w:rPr>
          <w:rFonts w:ascii="Arial" w:cs="Arial" w:eastAsia="Arial" w:hAnsi="Arial"/>
          <w:sz w:val="21"/>
          <w:szCs w:val="21"/>
          <w:u w:val="single" w:color="auto"/>
          <w:color w:val="auto"/>
        </w:rPr>
        <w:t>Section 4(b)(i)</w:t>
      </w:r>
      <w:r>
        <w:rPr>
          <w:rFonts w:ascii="Arial" w:cs="Arial" w:eastAsia="Arial" w:hAnsi="Arial"/>
          <w:sz w:val="21"/>
          <w:szCs w:val="21"/>
          <w:color w:val="auto"/>
        </w:rPr>
        <w:t>, collectively, the “</w:t>
      </w:r>
      <w:r>
        <w:rPr>
          <w:rFonts w:ascii="Arial" w:cs="Arial" w:eastAsia="Arial" w:hAnsi="Arial"/>
          <w:sz w:val="21"/>
          <w:szCs w:val="21"/>
          <w:b w:val="1"/>
          <w:bCs w:val="1"/>
          <w:color w:val="auto"/>
        </w:rPr>
        <w:t>Accrued Obligations</w:t>
      </w:r>
      <w:r>
        <w:rPr>
          <w:rFonts w:ascii="Arial" w:cs="Arial" w:eastAsia="Arial" w:hAnsi="Arial"/>
          <w:sz w:val="21"/>
          <w:szCs w:val="21"/>
          <w:color w:val="auto"/>
        </w:rPr>
        <w:t>”).</w:t>
      </w:r>
    </w:p>
    <w:p>
      <w:pPr>
        <w:spacing w:after="0" w:line="154" w:lineRule="exact"/>
        <w:rPr>
          <w:sz w:val="20"/>
          <w:szCs w:val="20"/>
          <w:color w:val="auto"/>
        </w:rPr>
      </w:pPr>
    </w:p>
    <w:p>
      <w:pPr>
        <w:jc w:val="both"/>
        <w:ind w:left="1280" w:firstLine="634"/>
        <w:spacing w:after="0" w:line="264" w:lineRule="auto"/>
        <w:tabs>
          <w:tab w:leader="none" w:pos="2546"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Termination upon Death or Disability</w:t>
      </w:r>
      <w:r>
        <w:rPr>
          <w:rFonts w:ascii="Arial" w:cs="Arial" w:eastAsia="Arial" w:hAnsi="Arial"/>
          <w:sz w:val="21"/>
          <w:szCs w:val="21"/>
          <w:color w:val="auto"/>
        </w:rPr>
        <w:t xml:space="preserve">. If Executive’s employment hereunder and the Employment are terminated during the Employment Period pursuant to </w:t>
      </w:r>
      <w:r>
        <w:rPr>
          <w:rFonts w:ascii="Arial" w:cs="Arial" w:eastAsia="Arial" w:hAnsi="Arial"/>
          <w:sz w:val="21"/>
          <w:szCs w:val="21"/>
          <w:u w:val="single" w:color="auto"/>
          <w:color w:val="auto"/>
        </w:rPr>
        <w:t>Section 4(a)(ii)</w:t>
      </w:r>
      <w:r>
        <w:rPr>
          <w:rFonts w:ascii="Arial" w:cs="Arial" w:eastAsia="Arial" w:hAnsi="Arial"/>
          <w:sz w:val="21"/>
          <w:szCs w:val="21"/>
          <w:color w:val="auto"/>
        </w:rPr>
        <w:t>, Executive, or his estate if applicable, shall be entitled to payment of:</w:t>
      </w:r>
    </w:p>
    <w:p>
      <w:pPr>
        <w:spacing w:after="0" w:line="170" w:lineRule="exact"/>
        <w:rPr>
          <w:sz w:val="20"/>
          <w:szCs w:val="20"/>
          <w:color w:val="auto"/>
        </w:rPr>
      </w:pPr>
    </w:p>
    <w:p>
      <w:pPr>
        <w:ind w:left="2540" w:hanging="626"/>
        <w:spacing w:after="0"/>
        <w:tabs>
          <w:tab w:leader="none" w:pos="2540" w:val="left"/>
        </w:tabs>
        <w:numPr>
          <w:ilvl w:val="0"/>
          <w:numId w:val="72"/>
        </w:numPr>
        <w:rPr>
          <w:rFonts w:ascii="Arial" w:cs="Arial" w:eastAsia="Arial" w:hAnsi="Arial"/>
          <w:sz w:val="21"/>
          <w:szCs w:val="21"/>
          <w:color w:val="auto"/>
        </w:rPr>
      </w:pPr>
      <w:r>
        <w:rPr>
          <w:rFonts w:ascii="Arial" w:cs="Arial" w:eastAsia="Arial" w:hAnsi="Arial"/>
          <w:sz w:val="21"/>
          <w:szCs w:val="21"/>
          <w:color w:val="auto"/>
        </w:rPr>
        <w:t>Accrued Obligations;</w:t>
      </w:r>
    </w:p>
    <w:p>
      <w:pPr>
        <w:spacing w:after="0" w:line="222" w:lineRule="exact"/>
        <w:rPr>
          <w:rFonts w:ascii="Arial" w:cs="Arial" w:eastAsia="Arial" w:hAnsi="Arial"/>
          <w:sz w:val="21"/>
          <w:szCs w:val="21"/>
          <w:color w:val="auto"/>
        </w:rPr>
      </w:pPr>
    </w:p>
    <w:p>
      <w:pPr>
        <w:jc w:val="both"/>
        <w:ind w:left="2560" w:hanging="646"/>
        <w:spacing w:after="0" w:line="259" w:lineRule="auto"/>
        <w:tabs>
          <w:tab w:leader="none" w:pos="2551"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an amount equal to the portion of the Annual Bonus, if any, that has been earned by Executive pursuant to </w:t>
      </w:r>
      <w:r>
        <w:rPr>
          <w:rFonts w:ascii="Arial" w:cs="Arial" w:eastAsia="Arial" w:hAnsi="Arial"/>
          <w:sz w:val="21"/>
          <w:szCs w:val="21"/>
          <w:u w:val="single" w:color="auto"/>
          <w:color w:val="auto"/>
        </w:rPr>
        <w:t>Section 3(c)</w:t>
      </w:r>
      <w:r>
        <w:rPr>
          <w:rFonts w:ascii="Arial" w:cs="Arial" w:eastAsia="Arial" w:hAnsi="Arial"/>
          <w:sz w:val="21"/>
          <w:szCs w:val="21"/>
          <w:color w:val="auto"/>
        </w:rPr>
        <w:t xml:space="preserve"> from the period beginning on January 1st of the year in which Executive’s employment with the Company is terminated, through the date of such termination on a pro rata basis; and</w:t>
      </w:r>
    </w:p>
    <w:p>
      <w:pPr>
        <w:spacing w:after="0" w:line="176" w:lineRule="exact"/>
        <w:rPr>
          <w:rFonts w:ascii="Arial" w:cs="Arial" w:eastAsia="Arial" w:hAnsi="Arial"/>
          <w:sz w:val="21"/>
          <w:szCs w:val="21"/>
          <w:color w:val="auto"/>
        </w:rPr>
      </w:pPr>
    </w:p>
    <w:p>
      <w:pPr>
        <w:ind w:left="2540" w:hanging="626"/>
        <w:spacing w:after="0"/>
        <w:tabs>
          <w:tab w:leader="none" w:pos="2540" w:val="left"/>
        </w:tabs>
        <w:numPr>
          <w:ilvl w:val="0"/>
          <w:numId w:val="72"/>
        </w:numPr>
        <w:rPr>
          <w:rFonts w:ascii="Arial" w:cs="Arial" w:eastAsia="Arial" w:hAnsi="Arial"/>
          <w:sz w:val="21"/>
          <w:szCs w:val="21"/>
          <w:color w:val="auto"/>
        </w:rPr>
      </w:pPr>
      <w:r>
        <w:rPr>
          <w:rFonts w:ascii="Arial" w:cs="Arial" w:eastAsia="Arial" w:hAnsi="Arial"/>
          <w:sz w:val="21"/>
          <w:szCs w:val="21"/>
          <w:color w:val="auto"/>
        </w:rPr>
        <w:t>Executive’s accrued but unused paid time off.</w:t>
      </w:r>
    </w:p>
    <w:p>
      <w:pPr>
        <w:spacing w:after="0" w:line="222" w:lineRule="exact"/>
        <w:rPr>
          <w:sz w:val="20"/>
          <w:szCs w:val="20"/>
          <w:color w:val="auto"/>
        </w:rPr>
      </w:pPr>
    </w:p>
    <w:p>
      <w:pPr>
        <w:jc w:val="both"/>
        <w:ind w:left="1280" w:firstLine="634"/>
        <w:spacing w:after="0" w:line="264" w:lineRule="auto"/>
        <w:tabs>
          <w:tab w:leader="none" w:pos="2552"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Termination by Mutual Agreement or by the Company without Cause</w:t>
      </w:r>
      <w:r>
        <w:rPr>
          <w:rFonts w:ascii="Arial" w:cs="Arial" w:eastAsia="Arial" w:hAnsi="Arial"/>
          <w:sz w:val="21"/>
          <w:szCs w:val="21"/>
          <w:color w:val="auto"/>
        </w:rPr>
        <w:t xml:space="preserve">. If Executive’s employment hereunder and the Employment Period are terminated during the Employment Period pursuant to </w:t>
      </w:r>
      <w:r>
        <w:rPr>
          <w:rFonts w:ascii="Arial" w:cs="Arial" w:eastAsia="Arial" w:hAnsi="Arial"/>
          <w:sz w:val="21"/>
          <w:szCs w:val="21"/>
          <w:u w:val="single" w:color="auto"/>
          <w:color w:val="auto"/>
        </w:rPr>
        <w:t>Sections 4(a)(i) or</w:t>
      </w:r>
      <w:r>
        <w:rPr>
          <w:rFonts w:ascii="Arial" w:cs="Arial" w:eastAsia="Arial" w:hAnsi="Arial"/>
          <w:sz w:val="21"/>
          <w:szCs w:val="21"/>
          <w:color w:val="auto"/>
        </w:rPr>
        <w:t xml:space="preserve"> </w:t>
      </w:r>
      <w:r>
        <w:rPr>
          <w:rFonts w:ascii="Arial" w:cs="Arial" w:eastAsia="Arial" w:hAnsi="Arial"/>
          <w:sz w:val="21"/>
          <w:szCs w:val="21"/>
          <w:u w:val="single" w:color="auto"/>
          <w:color w:val="auto"/>
        </w:rPr>
        <w:t>(iv)</w:t>
      </w:r>
      <w:r>
        <w:rPr>
          <w:rFonts w:ascii="Arial" w:cs="Arial" w:eastAsia="Arial" w:hAnsi="Arial"/>
          <w:sz w:val="21"/>
          <w:szCs w:val="21"/>
          <w:color w:val="auto"/>
        </w:rPr>
        <w:t>, Executive shall be entitled to the following:</w:t>
      </w:r>
    </w:p>
    <w:p>
      <w:pPr>
        <w:spacing w:after="0" w:line="170" w:lineRule="exact"/>
        <w:rPr>
          <w:sz w:val="20"/>
          <w:szCs w:val="20"/>
          <w:color w:val="auto"/>
        </w:rPr>
      </w:pPr>
    </w:p>
    <w:p>
      <w:pPr>
        <w:ind w:left="2540" w:hanging="626"/>
        <w:spacing w:after="0"/>
        <w:tabs>
          <w:tab w:leader="none" w:pos="2540" w:val="left"/>
        </w:tabs>
        <w:numPr>
          <w:ilvl w:val="0"/>
          <w:numId w:val="74"/>
        </w:numPr>
        <w:rPr>
          <w:rFonts w:ascii="Arial" w:cs="Arial" w:eastAsia="Arial" w:hAnsi="Arial"/>
          <w:sz w:val="21"/>
          <w:szCs w:val="21"/>
          <w:color w:val="auto"/>
        </w:rPr>
      </w:pPr>
      <w:r>
        <w:rPr>
          <w:rFonts w:ascii="Arial" w:cs="Arial" w:eastAsia="Arial" w:hAnsi="Arial"/>
          <w:sz w:val="21"/>
          <w:szCs w:val="21"/>
          <w:color w:val="auto"/>
        </w:rPr>
        <w:t>payment of Accrued Obligations;</w:t>
      </w:r>
    </w:p>
    <w:p>
      <w:pPr>
        <w:spacing w:after="0" w:line="222" w:lineRule="exact"/>
        <w:rPr>
          <w:rFonts w:ascii="Arial" w:cs="Arial" w:eastAsia="Arial" w:hAnsi="Arial"/>
          <w:sz w:val="21"/>
          <w:szCs w:val="21"/>
          <w:color w:val="auto"/>
        </w:rPr>
      </w:pPr>
    </w:p>
    <w:p>
      <w:pPr>
        <w:ind w:left="2540" w:hanging="626"/>
        <w:spacing w:after="0"/>
        <w:tabs>
          <w:tab w:leader="none" w:pos="2540" w:val="left"/>
        </w:tabs>
        <w:numPr>
          <w:ilvl w:val="0"/>
          <w:numId w:val="74"/>
        </w:numPr>
        <w:rPr>
          <w:rFonts w:ascii="Arial" w:cs="Arial" w:eastAsia="Arial" w:hAnsi="Arial"/>
          <w:sz w:val="21"/>
          <w:szCs w:val="21"/>
          <w:color w:val="auto"/>
        </w:rPr>
      </w:pPr>
      <w:r>
        <w:rPr>
          <w:rFonts w:ascii="Arial" w:cs="Arial" w:eastAsia="Arial" w:hAnsi="Arial"/>
          <w:sz w:val="21"/>
          <w:szCs w:val="21"/>
          <w:color w:val="auto"/>
        </w:rPr>
        <w:t>Executive’s accrued but unused paid time off;</w:t>
      </w:r>
    </w:p>
    <w:p>
      <w:pPr>
        <w:spacing w:after="0" w:line="222" w:lineRule="exact"/>
        <w:rPr>
          <w:rFonts w:ascii="Arial" w:cs="Arial" w:eastAsia="Arial" w:hAnsi="Arial"/>
          <w:sz w:val="21"/>
          <w:szCs w:val="21"/>
          <w:color w:val="auto"/>
        </w:rPr>
      </w:pPr>
    </w:p>
    <w:p>
      <w:pPr>
        <w:ind w:left="2560" w:right="20" w:hanging="646"/>
        <w:spacing w:after="0" w:line="279" w:lineRule="auto"/>
        <w:tabs>
          <w:tab w:leader="none" w:pos="2551" w:val="left"/>
        </w:tabs>
        <w:numPr>
          <w:ilvl w:val="0"/>
          <w:numId w:val="74"/>
        </w:numPr>
        <w:rPr>
          <w:rFonts w:ascii="Arial" w:cs="Arial" w:eastAsia="Arial" w:hAnsi="Arial"/>
          <w:sz w:val="21"/>
          <w:szCs w:val="21"/>
          <w:color w:val="auto"/>
        </w:rPr>
      </w:pPr>
      <w:r>
        <w:rPr>
          <w:rFonts w:ascii="Arial" w:cs="Arial" w:eastAsia="Arial" w:hAnsi="Arial"/>
          <w:sz w:val="21"/>
          <w:szCs w:val="21"/>
          <w:color w:val="auto"/>
        </w:rPr>
        <w:t>an amount equal to twelve (12) months of Executive’s per annum Base Salary as of the date of termination (the “</w:t>
      </w:r>
      <w:r>
        <w:rPr>
          <w:rFonts w:ascii="Arial" w:cs="Arial" w:eastAsia="Arial" w:hAnsi="Arial"/>
          <w:sz w:val="21"/>
          <w:szCs w:val="21"/>
          <w:b w:val="1"/>
          <w:bCs w:val="1"/>
          <w:color w:val="auto"/>
        </w:rPr>
        <w:t>Severance</w:t>
      </w:r>
      <w:r>
        <w:rPr>
          <w:rFonts w:ascii="Arial" w:cs="Arial" w:eastAsia="Arial" w:hAnsi="Arial"/>
          <w:sz w:val="21"/>
          <w:szCs w:val="21"/>
          <w:color w:val="auto"/>
        </w:rPr>
        <w:t>”); and</w:t>
      </w:r>
    </w:p>
    <w:p>
      <w:pPr>
        <w:spacing w:after="0" w:line="154" w:lineRule="exact"/>
        <w:rPr>
          <w:rFonts w:ascii="Arial" w:cs="Arial" w:eastAsia="Arial" w:hAnsi="Arial"/>
          <w:sz w:val="21"/>
          <w:szCs w:val="21"/>
          <w:color w:val="auto"/>
        </w:rPr>
      </w:pPr>
    </w:p>
    <w:p>
      <w:pPr>
        <w:jc w:val="both"/>
        <w:ind w:left="2560" w:hanging="646"/>
        <w:spacing w:after="0" w:line="305" w:lineRule="auto"/>
        <w:tabs>
          <w:tab w:leader="none" w:pos="2549"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an amount equal to the portion of the Annual Bonus, if any, that has been earned by Executive pursuant to </w:t>
      </w:r>
      <w:r>
        <w:rPr>
          <w:rFonts w:ascii="Arial" w:cs="Arial" w:eastAsia="Arial" w:hAnsi="Arial"/>
          <w:sz w:val="19"/>
          <w:szCs w:val="19"/>
          <w:u w:val="single" w:color="auto"/>
          <w:color w:val="auto"/>
        </w:rPr>
        <w:t>Section 3(c)</w:t>
      </w:r>
      <w:r>
        <w:rPr>
          <w:rFonts w:ascii="Arial" w:cs="Arial" w:eastAsia="Arial" w:hAnsi="Arial"/>
          <w:sz w:val="19"/>
          <w:szCs w:val="19"/>
          <w:color w:val="auto"/>
        </w:rPr>
        <w:t xml:space="preserve"> from the period beginning on January 1st of the year in which Executive’s employment with the Company is terminated, through the date of such termination on a pro rata basis.</w:t>
      </w:r>
    </w:p>
    <w:p>
      <w:pPr>
        <w:spacing w:after="0" w:line="134"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 xml:space="preserve">The amounts described in clauses (B), (C) and (D) of this </w:t>
      </w:r>
      <w:r>
        <w:rPr>
          <w:rFonts w:ascii="Arial" w:cs="Arial" w:eastAsia="Arial" w:hAnsi="Arial"/>
          <w:sz w:val="19"/>
          <w:szCs w:val="19"/>
          <w:u w:val="single" w:color="auto"/>
          <w:color w:val="auto"/>
        </w:rPr>
        <w:t>Section 4(b)(iii)</w:t>
      </w:r>
      <w:r>
        <w:rPr>
          <w:rFonts w:ascii="Arial" w:cs="Arial" w:eastAsia="Arial" w:hAnsi="Arial"/>
          <w:sz w:val="19"/>
          <w:szCs w:val="19"/>
          <w:color w:val="auto"/>
        </w:rPr>
        <w:t xml:space="preserve"> will be paid in a lump sum within sixty (60) days following the date of termination, provided that Executive (or, in the event of Executive’s death, Executive’s estate) has executed and delivered to the Company not later than forty-five (45) days following the date of termination an irrevocable general waiver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03" w:right="339" w:bottom="1440" w:gutter="0" w:footer="0" w:header="0"/>
        </w:sectPr>
      </w:pPr>
    </w:p>
    <w:bookmarkStart w:id="85" w:name="page86"/>
    <w:bookmarkEnd w:id="85"/>
    <w:p>
      <w:pPr>
        <w:jc w:val="both"/>
        <w:spacing w:after="0" w:line="279" w:lineRule="auto"/>
        <w:rPr>
          <w:sz w:val="20"/>
          <w:szCs w:val="20"/>
          <w:color w:val="auto"/>
        </w:rPr>
      </w:pPr>
      <w:r>
        <w:rPr>
          <w:rFonts w:ascii="Arial" w:cs="Arial" w:eastAsia="Arial" w:hAnsi="Arial"/>
          <w:sz w:val="19"/>
          <w:szCs w:val="19"/>
          <w:color w:val="auto"/>
        </w:rPr>
        <w:t>and release of claims in the form provided by the Company to Executive (or, in the event of Executive’s death, Executive’s estate) after Executive’s termination (the “</w:t>
      </w:r>
      <w:r>
        <w:rPr>
          <w:rFonts w:ascii="Arial" w:cs="Arial" w:eastAsia="Arial" w:hAnsi="Arial"/>
          <w:sz w:val="19"/>
          <w:szCs w:val="19"/>
          <w:u w:val="single" w:color="auto"/>
          <w:color w:val="auto"/>
        </w:rPr>
        <w:t>General Release</w:t>
      </w:r>
      <w:r>
        <w:rPr>
          <w:rFonts w:ascii="Arial" w:cs="Arial" w:eastAsia="Arial" w:hAnsi="Arial"/>
          <w:sz w:val="19"/>
          <w:szCs w:val="19"/>
          <w:color w:val="auto"/>
        </w:rPr>
        <w:t xml:space="preserve">”) and the latest date on which the General Release is subject to revocation has expired. The Accrued Obligations shall be paid no later than as required by law or within thirty (30) days following the date of termination, whichever occurs earlier. As to any amount described in clause (B) or (C) of this </w:t>
      </w:r>
      <w:r>
        <w:rPr>
          <w:rFonts w:ascii="Arial" w:cs="Arial" w:eastAsia="Arial" w:hAnsi="Arial"/>
          <w:sz w:val="19"/>
          <w:szCs w:val="19"/>
          <w:u w:val="single" w:color="auto"/>
          <w:color w:val="auto"/>
        </w:rPr>
        <w:t>Section 4(b)(iii)</w:t>
      </w:r>
      <w:r>
        <w:rPr>
          <w:rFonts w:ascii="Arial" w:cs="Arial" w:eastAsia="Arial" w:hAnsi="Arial"/>
          <w:sz w:val="19"/>
          <w:szCs w:val="19"/>
          <w:color w:val="auto"/>
        </w:rPr>
        <w:t xml:space="preserve"> that constitutes “nonqualified deferred compensation” within the meaning of Code Section 409A and the regulations and guidance promulgated thereunder (collectively, “</w:t>
      </w:r>
      <w:r>
        <w:rPr>
          <w:rFonts w:ascii="Arial" w:cs="Arial" w:eastAsia="Arial" w:hAnsi="Arial"/>
          <w:sz w:val="19"/>
          <w:szCs w:val="19"/>
          <w:b w:val="1"/>
          <w:bCs w:val="1"/>
          <w:color w:val="auto"/>
        </w:rPr>
        <w:t>Section 409A</w:t>
      </w:r>
      <w:r>
        <w:rPr>
          <w:rFonts w:ascii="Arial" w:cs="Arial" w:eastAsia="Arial" w:hAnsi="Arial"/>
          <w:sz w:val="19"/>
          <w:szCs w:val="19"/>
          <w:color w:val="auto"/>
        </w:rPr>
        <w:t>”), if the sixty (60) day period begins in one calendar year and ends in a second (2nd) calendar year, payment shall always be paid in the second (2nd) calendar year. All payments of amounts described in clauses (B),</w:t>
      </w:r>
    </w:p>
    <w:p>
      <w:pPr>
        <w:spacing w:after="0" w:line="2" w:lineRule="exact"/>
        <w:rPr>
          <w:sz w:val="20"/>
          <w:szCs w:val="20"/>
          <w:color w:val="auto"/>
        </w:rPr>
      </w:pPr>
    </w:p>
    <w:p>
      <w:pPr>
        <w:jc w:val="both"/>
        <w:ind w:firstLine="6"/>
        <w:spacing w:after="0" w:line="274" w:lineRule="auto"/>
        <w:tabs>
          <w:tab w:leader="none" w:pos="336"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and (D) of this </w:t>
      </w:r>
      <w:r>
        <w:rPr>
          <w:rFonts w:ascii="Arial" w:cs="Arial" w:eastAsia="Arial" w:hAnsi="Arial"/>
          <w:sz w:val="20"/>
          <w:szCs w:val="20"/>
          <w:u w:val="single" w:color="auto"/>
          <w:color w:val="auto"/>
        </w:rPr>
        <w:t>Section 4(b)(iii)</w:t>
      </w:r>
      <w:r>
        <w:rPr>
          <w:rFonts w:ascii="Arial" w:cs="Arial" w:eastAsia="Arial" w:hAnsi="Arial"/>
          <w:sz w:val="20"/>
          <w:szCs w:val="20"/>
          <w:color w:val="auto"/>
        </w:rPr>
        <w:t xml:space="preserve"> are subject to clawback by the Company in the event of any knowing breach by Executive of the provisions of </w:t>
      </w:r>
      <w:r>
        <w:rPr>
          <w:rFonts w:ascii="Arial" w:cs="Arial" w:eastAsia="Arial" w:hAnsi="Arial"/>
          <w:sz w:val="20"/>
          <w:szCs w:val="20"/>
          <w:u w:val="single" w:color="auto"/>
          <w:color w:val="auto"/>
        </w:rPr>
        <w:t>Sections 5, 6, 7, 8, 20 or 21</w:t>
      </w:r>
      <w:r>
        <w:rPr>
          <w:rFonts w:ascii="Arial" w:cs="Arial" w:eastAsia="Arial" w:hAnsi="Arial"/>
          <w:sz w:val="20"/>
          <w:szCs w:val="20"/>
          <w:color w:val="auto"/>
        </w:rPr>
        <w:t xml:space="preserve"> hereof. Such clawback shall apply to payments that would have been made to Executive after the date of a proven breach had payments been made monthly rather than in a lump sum.</w:t>
      </w:r>
    </w:p>
    <w:p>
      <w:pPr>
        <w:spacing w:after="0" w:line="161" w:lineRule="exact"/>
        <w:rPr>
          <w:rFonts w:ascii="Arial" w:cs="Arial" w:eastAsia="Arial" w:hAnsi="Arial"/>
          <w:sz w:val="20"/>
          <w:szCs w:val="20"/>
          <w:color w:val="auto"/>
        </w:rPr>
      </w:pPr>
    </w:p>
    <w:p>
      <w:pPr>
        <w:jc w:val="both"/>
        <w:ind w:firstLine="1278"/>
        <w:spacing w:after="0" w:line="254" w:lineRule="auto"/>
        <w:tabs>
          <w:tab w:leader="none" w:pos="1905" w:val="left"/>
        </w:tabs>
        <w:numPr>
          <w:ilvl w:val="1"/>
          <w:numId w:val="75"/>
        </w:numPr>
        <w:rPr>
          <w:rFonts w:ascii="Arial" w:cs="Arial" w:eastAsia="Arial" w:hAnsi="Arial"/>
          <w:sz w:val="21"/>
          <w:szCs w:val="21"/>
          <w:color w:val="auto"/>
        </w:rPr>
      </w:pPr>
      <w:r>
        <w:rPr>
          <w:rFonts w:ascii="Arial" w:cs="Arial" w:eastAsia="Arial" w:hAnsi="Arial"/>
          <w:sz w:val="21"/>
          <w:szCs w:val="21"/>
          <w:u w:val="single" w:color="auto"/>
          <w:color w:val="auto"/>
        </w:rPr>
        <w:t>Limitation on Payments Hereunder</w:t>
      </w:r>
      <w:r>
        <w:rPr>
          <w:rFonts w:ascii="Arial" w:cs="Arial" w:eastAsia="Arial" w:hAnsi="Arial"/>
          <w:sz w:val="21"/>
          <w:szCs w:val="21"/>
          <w:color w:val="auto"/>
        </w:rPr>
        <w:t>. Except as otherwise expressly provided herein, Executive shall not be entitled to any other salary, bonuses, employee benefits, or compensation from the Company, its Affiliates, or Subsidiaries after the termination of the Employment Period, and all of Executive’s rights to salary, bonuses, employee benefits, and other compensation hereunder which would have accrued or become payable after the termination of the Employment Period (other than vested retirement benefits accrued on or prior to the termination of the Employment Period or other amounts owing hereunder as of the date of such termination that have not yet been paid) shall cease upon such termination, other than those expressly required under applicable law (including the those under Title I, Part VI, of the Employee Retirement Income Security Act of 1974, as amended, and Section 4980B of the Code).</w:t>
      </w:r>
    </w:p>
    <w:p>
      <w:pPr>
        <w:spacing w:after="0" w:line="181" w:lineRule="exact"/>
        <w:rPr>
          <w:rFonts w:ascii="Arial" w:cs="Arial" w:eastAsia="Arial" w:hAnsi="Arial"/>
          <w:sz w:val="21"/>
          <w:szCs w:val="21"/>
          <w:color w:val="auto"/>
        </w:rPr>
      </w:pPr>
    </w:p>
    <w:p>
      <w:pPr>
        <w:ind w:firstLine="1278"/>
        <w:spacing w:after="0" w:line="279" w:lineRule="auto"/>
        <w:tabs>
          <w:tab w:leader="none" w:pos="1903" w:val="left"/>
        </w:tabs>
        <w:numPr>
          <w:ilvl w:val="1"/>
          <w:numId w:val="75"/>
        </w:numPr>
        <w:rPr>
          <w:rFonts w:ascii="Arial" w:cs="Arial" w:eastAsia="Arial" w:hAnsi="Arial"/>
          <w:sz w:val="21"/>
          <w:szCs w:val="21"/>
          <w:color w:val="auto"/>
        </w:rPr>
      </w:pPr>
      <w:r>
        <w:rPr>
          <w:rFonts w:ascii="Arial" w:cs="Arial" w:eastAsia="Arial" w:hAnsi="Arial"/>
          <w:sz w:val="21"/>
          <w:szCs w:val="21"/>
          <w:u w:val="single" w:color="auto"/>
          <w:color w:val="auto"/>
        </w:rPr>
        <w:t>Offsets</w:t>
      </w:r>
      <w:r>
        <w:rPr>
          <w:rFonts w:ascii="Arial" w:cs="Arial" w:eastAsia="Arial" w:hAnsi="Arial"/>
          <w:sz w:val="21"/>
          <w:szCs w:val="21"/>
          <w:color w:val="auto"/>
        </w:rPr>
        <w:t>. The Company may offset any amounts Executive owes to Company or any of its Affiliates or Subsidiaries against any amounts the Company owes Executive hereunder, to the extent permitted by Section 409A.</w:t>
      </w:r>
    </w:p>
    <w:p>
      <w:pPr>
        <w:spacing w:after="0" w:line="154" w:lineRule="exact"/>
        <w:rPr>
          <w:rFonts w:ascii="Arial" w:cs="Arial" w:eastAsia="Arial" w:hAnsi="Arial"/>
          <w:sz w:val="21"/>
          <w:szCs w:val="21"/>
          <w:color w:val="auto"/>
        </w:rPr>
      </w:pPr>
    </w:p>
    <w:p>
      <w:pPr>
        <w:jc w:val="both"/>
        <w:ind w:firstLine="1278"/>
        <w:spacing w:after="0" w:line="271" w:lineRule="auto"/>
        <w:tabs>
          <w:tab w:leader="none" w:pos="1905"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Notice Period</w:t>
      </w:r>
      <w:r>
        <w:rPr>
          <w:rFonts w:ascii="Arial" w:cs="Arial" w:eastAsia="Arial" w:hAnsi="Arial"/>
          <w:sz w:val="20"/>
          <w:szCs w:val="20"/>
          <w:color w:val="auto"/>
        </w:rPr>
        <w:t xml:space="preserve">. During the period following delivery of notice of the Executive’s termination, whether voluntarily by the Executive or by the Company without Cause pursuant to </w:t>
      </w:r>
      <w:r>
        <w:rPr>
          <w:rFonts w:ascii="Arial" w:cs="Arial" w:eastAsia="Arial" w:hAnsi="Arial"/>
          <w:sz w:val="20"/>
          <w:szCs w:val="20"/>
          <w:u w:val="single" w:color="auto"/>
          <w:color w:val="auto"/>
        </w:rPr>
        <w:t>Section 4(a)</w:t>
      </w:r>
      <w:r>
        <w:rPr>
          <w:rFonts w:ascii="Arial" w:cs="Arial" w:eastAsia="Arial" w:hAnsi="Arial"/>
          <w:sz w:val="20"/>
          <w:szCs w:val="20"/>
          <w:color w:val="auto"/>
        </w:rPr>
        <w:t>, and prior to the effective date of the Executive’s termination, the Company may, in its sole discretion: (i) require the Executive to perform only such duties as it may allocate to the Executive; (ii) require the Executive not to perform any of the Executive’s duties; (iii) to the extent practical given the Company’s requirements under subsection (i) above, require the Executive not to have any contact with employees, clients or vendors of the Company as the Company shall determine; and (iv) exclude the Executive from the Company premises.</w:t>
      </w:r>
    </w:p>
    <w:p>
      <w:pPr>
        <w:spacing w:after="0" w:line="164" w:lineRule="exact"/>
        <w:rPr>
          <w:rFonts w:ascii="Arial" w:cs="Arial" w:eastAsia="Arial" w:hAnsi="Arial"/>
          <w:sz w:val="20"/>
          <w:szCs w:val="20"/>
          <w:color w:val="auto"/>
        </w:rPr>
      </w:pPr>
    </w:p>
    <w:p>
      <w:pPr>
        <w:jc w:val="both"/>
        <w:ind w:firstLine="1278"/>
        <w:spacing w:after="0" w:line="305" w:lineRule="auto"/>
        <w:tabs>
          <w:tab w:leader="none" w:pos="1908"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Payment in Lieu of Notice</w:t>
      </w:r>
      <w:r>
        <w:rPr>
          <w:rFonts w:ascii="Arial" w:cs="Arial" w:eastAsia="Arial" w:hAnsi="Arial"/>
          <w:sz w:val="19"/>
          <w:szCs w:val="19"/>
          <w:color w:val="auto"/>
        </w:rPr>
        <w:t xml:space="preserve">. The Company may, at its absolute discretion, when terminating the Executive’s employment without Cause pursuant to </w:t>
      </w:r>
      <w:r>
        <w:rPr>
          <w:rFonts w:ascii="Arial" w:cs="Arial" w:eastAsia="Arial" w:hAnsi="Arial"/>
          <w:sz w:val="19"/>
          <w:szCs w:val="19"/>
          <w:u w:val="single" w:color="auto"/>
          <w:color w:val="auto"/>
        </w:rPr>
        <w:t>Sections 4(a)(iv)</w:t>
      </w:r>
      <w:r>
        <w:rPr>
          <w:rFonts w:ascii="Arial" w:cs="Arial" w:eastAsia="Arial" w:hAnsi="Arial"/>
          <w:sz w:val="19"/>
          <w:szCs w:val="19"/>
          <w:color w:val="auto"/>
        </w:rPr>
        <w:t>, elect to notify the Executive in writing that it is exercising its right to dismiss the Executive with immediate effect and that it will be making a payment to the Executive in lieu of notice. The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03" w:right="339" w:bottom="1440" w:gutter="0" w:footer="0" w:header="0"/>
        </w:sectPr>
      </w:pPr>
    </w:p>
    <w:bookmarkStart w:id="86" w:name="page87"/>
    <w:bookmarkEnd w:id="86"/>
    <w:p>
      <w:pPr>
        <w:ind w:right="20"/>
        <w:spacing w:after="0" w:line="279" w:lineRule="auto"/>
        <w:rPr>
          <w:sz w:val="20"/>
          <w:szCs w:val="20"/>
          <w:color w:val="auto"/>
        </w:rPr>
      </w:pPr>
      <w:r>
        <w:rPr>
          <w:rFonts w:ascii="Arial" w:cs="Arial" w:eastAsia="Arial" w:hAnsi="Arial"/>
          <w:sz w:val="21"/>
          <w:szCs w:val="21"/>
          <w:color w:val="auto"/>
        </w:rPr>
        <w:t>Company’s payment in lieu of notice shall be equivalent to the Base Salary which would have been payable or have accrued during the Executive’s notice period.</w:t>
      </w:r>
    </w:p>
    <w:p>
      <w:pPr>
        <w:spacing w:after="0" w:line="154" w:lineRule="exact"/>
        <w:rPr>
          <w:sz w:val="20"/>
          <w:szCs w:val="20"/>
          <w:color w:val="auto"/>
        </w:rPr>
      </w:pPr>
    </w:p>
    <w:p>
      <w:pPr>
        <w:jc w:val="both"/>
        <w:ind w:firstLine="1278"/>
        <w:spacing w:after="0" w:line="259" w:lineRule="auto"/>
        <w:tabs>
          <w:tab w:leader="none" w:pos="1903"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Resignation Upon Termination</w:t>
      </w:r>
      <w:r>
        <w:rPr>
          <w:rFonts w:ascii="Arial" w:cs="Arial" w:eastAsia="Arial" w:hAnsi="Arial"/>
          <w:sz w:val="21"/>
          <w:szCs w:val="21"/>
          <w:color w:val="auto"/>
        </w:rPr>
        <w:t>. Upon termination of the Executive’s employment for any reason, the Executive agrees and covenants that the Executive shall immediately tender a resignation to the Company for any position held by the Executive as an officer of Root, Inc. or any of its Subsidiaries or Affiliates or as a member of the board of directors or any committee thereof of Root, Inc. or any of its Subsidiaries or Affiliates.</w:t>
      </w:r>
    </w:p>
    <w:p>
      <w:pPr>
        <w:spacing w:after="0" w:line="171" w:lineRule="exact"/>
        <w:rPr>
          <w:sz w:val="20"/>
          <w:szCs w:val="20"/>
          <w:color w:val="auto"/>
        </w:rPr>
      </w:pPr>
    </w:p>
    <w:p>
      <w:pPr>
        <w:ind w:left="1920" w:hanging="642"/>
        <w:spacing w:after="0"/>
        <w:tabs>
          <w:tab w:leader="none" w:pos="1920" w:val="left"/>
        </w:tabs>
        <w:numPr>
          <w:ilvl w:val="0"/>
          <w:numId w:val="7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Proprietary Information and Trade Secrets</w:t>
      </w:r>
      <w:r>
        <w:rPr>
          <w:rFonts w:ascii="Arial" w:cs="Arial" w:eastAsia="Arial" w:hAnsi="Arial"/>
          <w:sz w:val="21"/>
          <w:szCs w:val="21"/>
          <w:color w:val="auto"/>
        </w:rPr>
        <w:t>.</w:t>
      </w:r>
    </w:p>
    <w:p>
      <w:pPr>
        <w:spacing w:after="0" w:line="228" w:lineRule="exact"/>
        <w:rPr>
          <w:sz w:val="20"/>
          <w:szCs w:val="20"/>
          <w:color w:val="auto"/>
        </w:rPr>
      </w:pPr>
    </w:p>
    <w:p>
      <w:pPr>
        <w:jc w:val="both"/>
        <w:ind w:firstLine="1278"/>
        <w:spacing w:after="0" w:line="257" w:lineRule="auto"/>
        <w:tabs>
          <w:tab w:leader="none" w:pos="1905"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“Proprietary Information and Invention Agreement”</w:t>
      </w:r>
      <w:r>
        <w:rPr>
          <w:rFonts w:ascii="Arial" w:cs="Arial" w:eastAsia="Arial" w:hAnsi="Arial"/>
          <w:sz w:val="21"/>
          <w:szCs w:val="21"/>
          <w:color w:val="auto"/>
        </w:rPr>
        <w:t>. Executive understands and acknowledges that during the course of employment by the Company, the Executive will have access to and learn about Proprietary Information and trade secrets (“Proprietary Information”) as outlined and defined in Executive’s Proprietary Information and Invention Agreement (“PII Agreement”, incorporated throughout this Agreement). Executive agrees that upon termination of employment, Executive must return all such Proprietary Information as outlined in the PII Agreement.</w:t>
      </w:r>
    </w:p>
    <w:p>
      <w:pPr>
        <w:spacing w:after="0" w:line="177" w:lineRule="exact"/>
        <w:rPr>
          <w:rFonts w:ascii="Arial" w:cs="Arial" w:eastAsia="Arial" w:hAnsi="Arial"/>
          <w:sz w:val="21"/>
          <w:szCs w:val="21"/>
          <w:color w:val="auto"/>
        </w:rPr>
      </w:pPr>
    </w:p>
    <w:p>
      <w:pPr>
        <w:jc w:val="both"/>
        <w:ind w:firstLine="1278"/>
        <w:spacing w:after="0" w:line="256" w:lineRule="auto"/>
        <w:tabs>
          <w:tab w:leader="none" w:pos="1903"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Non-Use and Non-Disclosure</w:t>
      </w:r>
      <w:r>
        <w:rPr>
          <w:rFonts w:ascii="Arial" w:cs="Arial" w:eastAsia="Arial" w:hAnsi="Arial"/>
          <w:sz w:val="21"/>
          <w:szCs w:val="21"/>
          <w:color w:val="auto"/>
        </w:rPr>
        <w:t>. Executive agrees that during employment with the Company, Executive will not improperly use, disclose, or induce the Company to use, any proprietary information or trade secrets of any former or concurrent employer or other person or entity. Executive further agrees that Executive will not bring onto the premises of the Company or transfer onto the Company’s technology systems any unpublished document, proprietary information or trade secrets belonging to any such employer, person or entity unless consented to in writing by both the Company and such employer, person or entity.</w:t>
      </w:r>
    </w:p>
    <w:p>
      <w:pPr>
        <w:spacing w:after="0" w:line="177" w:lineRule="exact"/>
        <w:rPr>
          <w:rFonts w:ascii="Arial" w:cs="Arial" w:eastAsia="Arial" w:hAnsi="Arial"/>
          <w:sz w:val="21"/>
          <w:szCs w:val="21"/>
          <w:color w:val="auto"/>
        </w:rPr>
      </w:pPr>
    </w:p>
    <w:p>
      <w:pPr>
        <w:jc w:val="both"/>
        <w:ind w:firstLine="1278"/>
        <w:spacing w:after="0" w:line="281" w:lineRule="auto"/>
        <w:tabs>
          <w:tab w:leader="none" w:pos="1905"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Permitted Governmental Disclosures</w:t>
      </w:r>
      <w:r>
        <w:rPr>
          <w:rFonts w:ascii="Arial" w:cs="Arial" w:eastAsia="Arial" w:hAnsi="Arial"/>
          <w:sz w:val="19"/>
          <w:szCs w:val="19"/>
          <w:color w:val="auto"/>
        </w:rPr>
        <w:t>. The federal Defend Trade Secrets Act of 2016 immunizes employees against criminal and civil liability under federal or state trade secret laws – under certain circumstances – if Executive discloses a trade secret for the purpose of reporting a suspected violation of law. Pursuant to such Act, immunity is available if Executive discloses a trade secret in either of these two circumstances: (1) Executive discloses the trade secret (a) in confidence, (b) directly or indirectly to a government official (federal, state or local) or to a lawyer, (c) solely for the purpose of reporting or investigating a suspected violation of law; or (2) in a legal proceeding, Executive discloses the trade secret in the complaint or other documents filed in the case, so long as the document is filed “under seal” (meaning that it is not accessible to the public). Further, nothing in this Employment Agreement prohibits Executive from reporting possible violations of federal law or regulation to any governmental agency or entity, including but not limited to the Department of Justice, the Securities and Exchange Commission, Congress, and any federal Inspector General, or from making other disclosures that are protected under the whistleblower provisions of federal law or regulation. Executive does not need prior authorization to make any such reports or disclosures and is not required to notify the Company or the Board that he has made such reports or disclosures.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03" w:right="339" w:bottom="1440" w:gutter="0" w:footer="0" w:header="0"/>
        </w:sectPr>
      </w:pPr>
    </w:p>
    <w:bookmarkStart w:id="87" w:name="page88"/>
    <w:bookmarkEnd w:id="87"/>
    <w:p>
      <w:pPr>
        <w:jc w:val="both"/>
        <w:ind w:firstLine="1278"/>
        <w:spacing w:after="0" w:line="286" w:lineRule="auto"/>
        <w:tabs>
          <w:tab w:leader="none" w:pos="1903"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Third Party Information</w:t>
      </w:r>
      <w:r>
        <w:rPr>
          <w:rFonts w:ascii="Arial" w:cs="Arial" w:eastAsia="Arial" w:hAnsi="Arial"/>
          <w:sz w:val="19"/>
          <w:szCs w:val="19"/>
          <w:color w:val="auto"/>
        </w:rPr>
        <w:t>. Executive understands that the Company will receive from third parties confidential or proprietary information (“</w:t>
      </w:r>
      <w:r>
        <w:rPr>
          <w:rFonts w:ascii="Arial" w:cs="Arial" w:eastAsia="Arial" w:hAnsi="Arial"/>
          <w:sz w:val="19"/>
          <w:szCs w:val="19"/>
          <w:b w:val="1"/>
          <w:bCs w:val="1"/>
          <w:color w:val="auto"/>
        </w:rPr>
        <w:t>Third Party Information</w:t>
      </w:r>
      <w:r>
        <w:rPr>
          <w:rFonts w:ascii="Arial" w:cs="Arial" w:eastAsia="Arial" w:hAnsi="Arial"/>
          <w:sz w:val="19"/>
          <w:szCs w:val="19"/>
          <w:color w:val="auto"/>
        </w:rPr>
        <w:t xml:space="preserve">”) subject to a duty on the Company’s part to maintain the confidentiality of such information and to use it only for certain limited purposes. During the Employment Period and thereafter, and without in any way limiting the provisions of </w:t>
      </w:r>
      <w:r>
        <w:rPr>
          <w:rFonts w:ascii="Arial" w:cs="Arial" w:eastAsia="Arial" w:hAnsi="Arial"/>
          <w:sz w:val="19"/>
          <w:szCs w:val="19"/>
          <w:u w:val="single" w:color="auto"/>
          <w:color w:val="auto"/>
        </w:rPr>
        <w:t>Section 5(a)</w:t>
      </w:r>
      <w:r>
        <w:rPr>
          <w:rFonts w:ascii="Arial" w:cs="Arial" w:eastAsia="Arial" w:hAnsi="Arial"/>
          <w:sz w:val="19"/>
          <w:szCs w:val="19"/>
          <w:color w:val="auto"/>
        </w:rPr>
        <w:t xml:space="preserve"> above, Executive shall hold Third Party Information in the strictest confidence and will not disclose to anyone (other than personnel of the Company or its Subsidiaries and Affiliates who need to know such information in connection with their work for the Company or such Subsidiaries and Affiliates) or use, except in connection with Executive’s work for the Company, Third Party Information unless expressly authorized by a member of the Board in writing.</w:t>
      </w:r>
    </w:p>
    <w:p>
      <w:pPr>
        <w:spacing w:after="0" w:line="384" w:lineRule="exact"/>
        <w:rPr>
          <w:sz w:val="20"/>
          <w:szCs w:val="20"/>
          <w:color w:val="auto"/>
        </w:rPr>
      </w:pPr>
    </w:p>
    <w:p>
      <w:pPr>
        <w:ind w:left="1920" w:hanging="642"/>
        <w:spacing w:after="0"/>
        <w:tabs>
          <w:tab w:leader="none" w:pos="1920"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Non-Compete; Non-Solicitation</w:t>
      </w:r>
      <w:r>
        <w:rPr>
          <w:rFonts w:ascii="Arial" w:cs="Arial" w:eastAsia="Arial" w:hAnsi="Arial"/>
          <w:sz w:val="21"/>
          <w:szCs w:val="21"/>
          <w:color w:val="auto"/>
        </w:rPr>
        <w:t>.</w:t>
      </w:r>
    </w:p>
    <w:p>
      <w:pPr>
        <w:spacing w:after="0" w:line="255" w:lineRule="exact"/>
        <w:rPr>
          <w:sz w:val="20"/>
          <w:szCs w:val="20"/>
          <w:color w:val="auto"/>
        </w:rPr>
      </w:pPr>
    </w:p>
    <w:p>
      <w:pPr>
        <w:jc w:val="both"/>
        <w:ind w:firstLine="1278"/>
        <w:spacing w:after="0" w:line="268" w:lineRule="auto"/>
        <w:tabs>
          <w:tab w:leader="none" w:pos="1905"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 In further consideration of the compensation to be paid to Executive hereunder, Executive acknowledges that during the course of Executive’s employment with the Company and Affiliates he has and shall become familiar with the Company’s and its Affiliates’ corporate strategy, pricing, processes, and other market and financial information, know-how, trade secrets, and valuable customer, supplier, and employee relationships, and with other Proprietary Information and trade secrets contained herein and in Executive’s PII Agreement concerning the Company and its Affiliates, and that Executive’s services have been and shall be of special, unique, and extraordinary value to the Company and its Subsidiaries and Affiliates. Accordingly, Executive agrees not to engage in the Restricted Activities during Executive’s employment with the Company and for 12 months after the termination of Executive’s employment for any reason.</w:t>
      </w:r>
    </w:p>
    <w:p>
      <w:pPr>
        <w:spacing w:after="0" w:line="172" w:lineRule="exact"/>
        <w:rPr>
          <w:sz w:val="20"/>
          <w:szCs w:val="20"/>
          <w:color w:val="auto"/>
        </w:rPr>
      </w:pPr>
    </w:p>
    <w:p>
      <w:pPr>
        <w:jc w:val="both"/>
        <w:ind w:left="1280"/>
        <w:spacing w:after="0" w:line="257" w:lineRule="auto"/>
        <w:rPr>
          <w:sz w:val="20"/>
          <w:szCs w:val="20"/>
          <w:color w:val="auto"/>
        </w:rPr>
      </w:pPr>
      <w:r>
        <w:rPr>
          <w:rFonts w:ascii="Arial" w:cs="Arial" w:eastAsia="Arial" w:hAnsi="Arial"/>
          <w:sz w:val="21"/>
          <w:szCs w:val="21"/>
          <w:color w:val="auto"/>
        </w:rPr>
        <w:t>Notwithstanding anything to the contrary in this Agreement, Executive may, directly or indirectly, own, solely as an investment, securities of any person or entity engaged in the business of the Company which are publicly traded on a national or regional stock exchange or on the over-the-counter market if I (i) am not a controlling person of, or a member of a group which controls, such person or entity and (ii) do not, directly or indirectly, own 5% or more of any class of securities of such person or entity.</w:t>
      </w:r>
    </w:p>
    <w:p>
      <w:pPr>
        <w:spacing w:after="0" w:line="178" w:lineRule="exact"/>
        <w:rPr>
          <w:sz w:val="20"/>
          <w:szCs w:val="20"/>
          <w:color w:val="auto"/>
        </w:rPr>
      </w:pPr>
    </w:p>
    <w:p>
      <w:pPr>
        <w:jc w:val="both"/>
        <w:ind w:left="1280"/>
        <w:spacing w:after="0" w:line="259" w:lineRule="auto"/>
        <w:rPr>
          <w:sz w:val="20"/>
          <w:szCs w:val="20"/>
          <w:color w:val="auto"/>
        </w:rPr>
      </w:pPr>
      <w:r>
        <w:rPr>
          <w:rFonts w:ascii="Arial" w:cs="Arial" w:eastAsia="Arial" w:hAnsi="Arial"/>
          <w:sz w:val="21"/>
          <w:szCs w:val="21"/>
          <w:color w:val="auto"/>
        </w:rPr>
        <w:t>This Section does not, in any way, restrict or impede the Executive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w:t>
      </w:r>
    </w:p>
    <w:p>
      <w:pPr>
        <w:spacing w:after="0" w:line="177" w:lineRule="exact"/>
        <w:rPr>
          <w:sz w:val="20"/>
          <w:szCs w:val="20"/>
          <w:color w:val="auto"/>
        </w:rPr>
      </w:pPr>
    </w:p>
    <w:p>
      <w:pPr>
        <w:jc w:val="both"/>
        <w:ind w:firstLine="1278"/>
        <w:spacing w:after="0" w:line="305" w:lineRule="auto"/>
        <w:tabs>
          <w:tab w:leader="none" w:pos="1903"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The Executive agrees and covenants not to directly or indirectly through another person (i) induce or attempt to induce any employee of the Company to leave the employ of the Company or in any way interfere with the relationship between the Company and any employee, contractor or consultant thereof, or (ii) knowingly hire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03" w:right="339" w:bottom="1440" w:gutter="0" w:footer="0" w:header="0"/>
        </w:sectPr>
      </w:pPr>
    </w:p>
    <w:bookmarkStart w:id="88" w:name="page89"/>
    <w:bookmarkEnd w:id="88"/>
    <w:p>
      <w:pPr>
        <w:jc w:val="both"/>
        <w:spacing w:after="0" w:line="264" w:lineRule="auto"/>
        <w:rPr>
          <w:sz w:val="20"/>
          <w:szCs w:val="20"/>
          <w:color w:val="auto"/>
        </w:rPr>
      </w:pPr>
      <w:r>
        <w:rPr>
          <w:rFonts w:ascii="Arial" w:cs="Arial" w:eastAsia="Arial" w:hAnsi="Arial"/>
          <w:sz w:val="21"/>
          <w:szCs w:val="21"/>
          <w:color w:val="auto"/>
        </w:rPr>
        <w:t>any person who was an employee of the Company at any time during the twelve (12) months prior to the termination of employment. This obligation, however, shall not affect any responsibility Executive may have as an employee of the Company with respect to the bona fide hiring and firing of Company personnel.</w:t>
      </w:r>
    </w:p>
    <w:p>
      <w:pPr>
        <w:spacing w:after="0" w:line="170" w:lineRule="exact"/>
        <w:rPr>
          <w:sz w:val="20"/>
          <w:szCs w:val="20"/>
          <w:color w:val="auto"/>
        </w:rPr>
      </w:pPr>
    </w:p>
    <w:p>
      <w:pPr>
        <w:jc w:val="both"/>
        <w:ind w:firstLine="1278"/>
        <w:spacing w:after="0" w:line="256" w:lineRule="auto"/>
        <w:tabs>
          <w:tab w:leader="none" w:pos="1905"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Non-solicitation of Current and/or Prospective Customers</w:t>
      </w:r>
      <w:r>
        <w:rPr>
          <w:rFonts w:ascii="Arial" w:cs="Arial" w:eastAsia="Arial" w:hAnsi="Arial"/>
          <w:sz w:val="21"/>
          <w:szCs w:val="21"/>
          <w:color w:val="auto"/>
        </w:rPr>
        <w:t>. The Executive agrees and covenants not to directly or indirectly through another person (i) induce or encourage any vendor, supplier, customer, or Prospective Customer of the Company to cease doing business with or reduce its business with the Company or in any way interfere with the relationship between the Company and such vendor, supplier, customer or Prospective Customer (including by making disparaging remarks about the Company) or (ii) provide to such customers or Prospective Customers products and/or services similar to or competitive with those offered by the Company.</w:t>
      </w:r>
    </w:p>
    <w:p>
      <w:pPr>
        <w:spacing w:after="0" w:line="177" w:lineRule="exact"/>
        <w:rPr>
          <w:rFonts w:ascii="Arial" w:cs="Arial" w:eastAsia="Arial" w:hAnsi="Arial"/>
          <w:sz w:val="21"/>
          <w:szCs w:val="21"/>
          <w:color w:val="auto"/>
        </w:rPr>
      </w:pPr>
    </w:p>
    <w:p>
      <w:pPr>
        <w:jc w:val="both"/>
        <w:ind w:firstLine="1278"/>
        <w:spacing w:after="0" w:line="295" w:lineRule="auto"/>
        <w:tabs>
          <w:tab w:leader="none" w:pos="1903"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Reformation</w:t>
      </w:r>
      <w:r>
        <w:rPr>
          <w:rFonts w:ascii="Arial" w:cs="Arial" w:eastAsia="Arial" w:hAnsi="Arial"/>
          <w:sz w:val="19"/>
          <w:szCs w:val="19"/>
          <w:color w:val="auto"/>
        </w:rPr>
        <w:t xml:space="preserve">. If, at the time of enforcement of this </w:t>
      </w:r>
      <w:r>
        <w:rPr>
          <w:rFonts w:ascii="Arial" w:cs="Arial" w:eastAsia="Arial" w:hAnsi="Arial"/>
          <w:sz w:val="19"/>
          <w:szCs w:val="19"/>
          <w:u w:val="single" w:color="auto"/>
          <w:color w:val="auto"/>
        </w:rPr>
        <w:t>Section 6</w:t>
      </w:r>
      <w:r>
        <w:rPr>
          <w:rFonts w:ascii="Arial" w:cs="Arial" w:eastAsia="Arial" w:hAnsi="Arial"/>
          <w:sz w:val="19"/>
          <w:szCs w:val="19"/>
          <w:color w:val="auto"/>
        </w:rPr>
        <w:t>,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w:t>
      </w:r>
    </w:p>
    <w:p>
      <w:pPr>
        <w:spacing w:after="0" w:line="144" w:lineRule="exact"/>
        <w:rPr>
          <w:rFonts w:ascii="Arial" w:cs="Arial" w:eastAsia="Arial" w:hAnsi="Arial"/>
          <w:sz w:val="19"/>
          <w:szCs w:val="19"/>
          <w:color w:val="auto"/>
        </w:rPr>
      </w:pPr>
    </w:p>
    <w:p>
      <w:pPr>
        <w:jc w:val="both"/>
        <w:ind w:firstLine="1278"/>
        <w:spacing w:after="0" w:line="283" w:lineRule="auto"/>
        <w:tabs>
          <w:tab w:leader="none" w:pos="1905"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Executive’s Acknowledgements</w:t>
      </w:r>
      <w:r>
        <w:rPr>
          <w:rFonts w:ascii="Arial" w:cs="Arial" w:eastAsia="Arial" w:hAnsi="Arial"/>
          <w:sz w:val="19"/>
          <w:szCs w:val="19"/>
          <w:color w:val="auto"/>
        </w:rPr>
        <w:t xml:space="preserve">. Executive acknowledges that Executive has carefully read this Agreement and has given careful consideration to the restraints imposed upon Executive by this Agreement, and is in full accord as to the necessity of such restraints for the reasonable and proper protection of the Proprietary Information, business strategies, employee and customer relationships, and goodwill of the Company and its Subsidiaries and Affiliates now existing or to be developed in the future. Executive expressly acknowledges and agrees that each and every restraint imposed by this Agreement is reasonable with respect to subject matter, time period, and geographical area. Executive further acknowledges that although Executive’s compliance with the covenants contained in </w:t>
      </w:r>
      <w:r>
        <w:rPr>
          <w:rFonts w:ascii="Arial" w:cs="Arial" w:eastAsia="Arial" w:hAnsi="Arial"/>
          <w:sz w:val="19"/>
          <w:szCs w:val="19"/>
          <w:u w:val="single" w:color="auto"/>
          <w:color w:val="auto"/>
        </w:rPr>
        <w:t>Sections 5, 6 or 7</w:t>
      </w:r>
      <w:r>
        <w:rPr>
          <w:rFonts w:ascii="Arial" w:cs="Arial" w:eastAsia="Arial" w:hAnsi="Arial"/>
          <w:sz w:val="19"/>
          <w:szCs w:val="19"/>
          <w:color w:val="auto"/>
        </w:rPr>
        <w:t xml:space="preserve"> may prevent Executive from earning a livelihood in a business similar to the business of the Company, Executive’s experience and capabilities are such that Executive has other opportunities to earn a livelihood and adequate means of support for Executive and Executive’s dependents.</w:t>
      </w:r>
    </w:p>
    <w:p>
      <w:pPr>
        <w:spacing w:after="0" w:line="153" w:lineRule="exact"/>
        <w:rPr>
          <w:sz w:val="20"/>
          <w:szCs w:val="20"/>
          <w:color w:val="auto"/>
        </w:rPr>
      </w:pPr>
    </w:p>
    <w:p>
      <w:pPr>
        <w:jc w:val="both"/>
        <w:ind w:firstLine="1278"/>
        <w:spacing w:after="0" w:line="285" w:lineRule="auto"/>
        <w:tabs>
          <w:tab w:leader="none" w:pos="1908"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Enforcement</w:t>
      </w:r>
      <w:r>
        <w:rPr>
          <w:rFonts w:ascii="Arial" w:cs="Arial" w:eastAsia="Arial" w:hAnsi="Arial"/>
          <w:sz w:val="19"/>
          <w:szCs w:val="19"/>
          <w:b w:val="1"/>
          <w:bCs w:val="1"/>
          <w:color w:val="auto"/>
        </w:rPr>
        <w:t xml:space="preserve">. </w:t>
      </w:r>
      <w:r>
        <w:rPr>
          <w:rFonts w:ascii="Arial" w:cs="Arial" w:eastAsia="Arial" w:hAnsi="Arial"/>
          <w:sz w:val="19"/>
          <w:szCs w:val="19"/>
          <w:color w:val="auto"/>
        </w:rPr>
        <w:t>Because Executive’s services are unique and because Executive has access to Proprietary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Information and Work Product, the parties agree that the Company and its Subsidiaries and Affiliates will suffer irreparable harm from a breach or threatened breach of </w:t>
      </w:r>
      <w:r>
        <w:rPr>
          <w:rFonts w:ascii="Arial" w:cs="Arial" w:eastAsia="Arial" w:hAnsi="Arial"/>
          <w:sz w:val="19"/>
          <w:szCs w:val="19"/>
          <w:u w:val="single" w:color="auto"/>
          <w:color w:val="auto"/>
        </w:rPr>
        <w:t>Sections 4, 5, 6, 8, 20 or 21</w:t>
      </w:r>
      <w:r>
        <w:rPr>
          <w:rFonts w:ascii="Arial" w:cs="Arial" w:eastAsia="Arial" w:hAnsi="Arial"/>
          <w:sz w:val="19"/>
          <w:szCs w:val="19"/>
          <w:color w:val="auto"/>
        </w:rPr>
        <w:t xml:space="preserve"> by Executive and that money damages would not be an adequate remedy for any such breach or threatened breach of this Agreement. In the event of any breach or threatened breach of this Agreement, the Company and its Subsidiaries and Affiliates, in addition to other rights and remedies existing in their favor, shall be entitled to specific performance and/or injunctive or other equitable relief from a court of competent jurisdiction in order to enforce, or prevent any violations of, the provisions hereof (without posting a bond or other security). In addition, in the event of an alleged breach of violation by Executive of </w:t>
      </w:r>
      <w:r>
        <w:rPr>
          <w:rFonts w:ascii="Arial" w:cs="Arial" w:eastAsia="Arial" w:hAnsi="Arial"/>
          <w:sz w:val="19"/>
          <w:szCs w:val="19"/>
          <w:u w:val="single" w:color="auto"/>
          <w:color w:val="auto"/>
        </w:rPr>
        <w:t>Section 6</w:t>
      </w:r>
      <w:r>
        <w:rPr>
          <w:rFonts w:ascii="Arial" w:cs="Arial" w:eastAsia="Arial" w:hAnsi="Arial"/>
          <w:sz w:val="19"/>
          <w:szCs w:val="19"/>
          <w:color w:val="auto"/>
        </w:rPr>
        <w:t>, the Non-Compete Period and the Non-Solicit Period shall be extended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03" w:right="339" w:bottom="1440" w:gutter="0" w:footer="0" w:header="0"/>
        </w:sectPr>
      </w:pPr>
    </w:p>
    <w:bookmarkStart w:id="89" w:name="page90"/>
    <w:bookmarkEnd w:id="89"/>
    <w:p>
      <w:pPr>
        <w:spacing w:after="0" w:line="279" w:lineRule="auto"/>
        <w:rPr>
          <w:sz w:val="20"/>
          <w:szCs w:val="20"/>
          <w:color w:val="auto"/>
        </w:rPr>
      </w:pPr>
      <w:r>
        <w:rPr>
          <w:rFonts w:ascii="Arial" w:cs="Arial" w:eastAsia="Arial" w:hAnsi="Arial"/>
          <w:sz w:val="21"/>
          <w:szCs w:val="21"/>
          <w:color w:val="auto"/>
        </w:rPr>
        <w:t>automatically by the amount of time between the initial occurrence of the breach or violation and when such breach or violation has been duly cured.</w:t>
      </w:r>
    </w:p>
    <w:p>
      <w:pPr>
        <w:spacing w:after="0" w:line="148" w:lineRule="exact"/>
        <w:rPr>
          <w:sz w:val="20"/>
          <w:szCs w:val="20"/>
          <w:color w:val="auto"/>
        </w:rPr>
      </w:pPr>
    </w:p>
    <w:p>
      <w:pPr>
        <w:jc w:val="both"/>
        <w:ind w:firstLine="1278"/>
        <w:spacing w:after="0" w:line="282" w:lineRule="auto"/>
        <w:tabs>
          <w:tab w:leader="none" w:pos="1908"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Executive’s Representations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hereby represents and warrants to the Company that (a)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execution, delivery, and performance of this Agreement by Executive do not and shall not conflict with, breach, violate, or cause a default under any contract, agreement, instrument, order, judgment, or decree to which Executive is a party or by which Executive is bound; (b) Executive is not a party to or bound by any employment agreement, noncompete agreement, or confidentiality agreement with any other Person that would prohibit Executive’s employment with the Company or restrict Executive’s ability to fully perform Executive’s duties for the Company; (c) upon the execution and delivery of this Agreement by the Company, this Agreement shall be the valid and binding obligation of Executive, enforceable in accordance with its terms; and (d) Executive is not subject to any pending, or to his knowledge any threatened, lawsuit, action, investigation, or proceeding involving Executive’s prior employment or consulting work or the use of any information or techniques of any former employer or contracting party. Executive hereby acknowledges and represents that he has consulted with independent legal counsel regarding Executive’s rights and obligations under this Agreement and that Executive fully understands the terms and conditions contained herein.</w:t>
      </w:r>
    </w:p>
    <w:p>
      <w:pPr>
        <w:spacing w:after="0" w:line="157" w:lineRule="exact"/>
        <w:rPr>
          <w:rFonts w:ascii="Arial" w:cs="Arial" w:eastAsia="Arial" w:hAnsi="Arial"/>
          <w:sz w:val="19"/>
          <w:szCs w:val="19"/>
          <w:b w:val="1"/>
          <w:bCs w:val="1"/>
          <w:color w:val="auto"/>
        </w:rPr>
      </w:pPr>
    </w:p>
    <w:p>
      <w:pPr>
        <w:ind w:firstLine="1278"/>
        <w:spacing w:after="0" w:line="285" w:lineRule="auto"/>
        <w:tabs>
          <w:tab w:leader="none" w:pos="1908" w:val="left"/>
        </w:tabs>
        <w:numPr>
          <w:ilvl w:val="0"/>
          <w:numId w:val="8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Survival</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Sections 5 through 22</w:t>
      </w:r>
      <w:r>
        <w:rPr>
          <w:rFonts w:ascii="Arial" w:cs="Arial" w:eastAsia="Arial" w:hAnsi="Arial"/>
          <w:sz w:val="21"/>
          <w:szCs w:val="21"/>
          <w:b w:val="1"/>
          <w:bCs w:val="1"/>
          <w:color w:val="auto"/>
        </w:rPr>
        <w:t xml:space="preserve"> </w:t>
      </w:r>
      <w:r>
        <w:rPr>
          <w:rFonts w:ascii="Arial" w:cs="Arial" w:eastAsia="Arial" w:hAnsi="Arial"/>
          <w:sz w:val="21"/>
          <w:szCs w:val="21"/>
          <w:color w:val="auto"/>
        </w:rPr>
        <w:t>shall survive and continue in full force in accordance with their terms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the termination of the Employment Period and this Agreement.</w:t>
      </w:r>
    </w:p>
    <w:p>
      <w:pPr>
        <w:spacing w:after="0" w:line="141" w:lineRule="exact"/>
        <w:rPr>
          <w:rFonts w:ascii="Arial" w:cs="Arial" w:eastAsia="Arial" w:hAnsi="Arial"/>
          <w:sz w:val="21"/>
          <w:szCs w:val="21"/>
          <w:b w:val="1"/>
          <w:bCs w:val="1"/>
          <w:color w:val="auto"/>
        </w:rPr>
      </w:pPr>
    </w:p>
    <w:p>
      <w:pPr>
        <w:jc w:val="both"/>
        <w:ind w:right="20" w:firstLine="1278"/>
        <w:spacing w:after="0" w:line="267" w:lineRule="auto"/>
        <w:tabs>
          <w:tab w:leader="none" w:pos="1908" w:val="left"/>
        </w:tabs>
        <w:numPr>
          <w:ilvl w:val="0"/>
          <w:numId w:val="8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Any notice provided for in this Agreement shall be in writing and shall be either personally</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sent by reputable overnight courier service, or mailed by first class mail, return receipt requested, to the recipient at the address below indicated:</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21"/>
          <w:szCs w:val="21"/>
          <w:u w:val="single" w:color="auto"/>
          <w:color w:val="auto"/>
        </w:rPr>
        <w:t>Notices to Executive</w:t>
      </w:r>
      <w:r>
        <w:rPr>
          <w:rFonts w:ascii="Arial" w:cs="Arial" w:eastAsia="Arial" w:hAnsi="Arial"/>
          <w:sz w:val="21"/>
          <w:szCs w:val="21"/>
          <w:color w:val="auto"/>
        </w:rPr>
        <w:t>:</w:t>
      </w:r>
    </w:p>
    <w:p>
      <w:pPr>
        <w:spacing w:after="0" w:line="22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Anirban Kundu</w:t>
      </w:r>
    </w:p>
    <w:p>
      <w:pPr>
        <w:spacing w:after="0" w:line="28"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[On File with the Company]</w:t>
      </w:r>
    </w:p>
    <w:p>
      <w:pPr>
        <w:spacing w:after="0" w:line="204" w:lineRule="exact"/>
        <w:rPr>
          <w:sz w:val="20"/>
          <w:szCs w:val="20"/>
          <w:color w:val="auto"/>
        </w:rPr>
      </w:pPr>
    </w:p>
    <w:p>
      <w:pPr>
        <w:jc w:val="center"/>
        <w:ind w:right="6580"/>
        <w:spacing w:after="0"/>
        <w:rPr>
          <w:sz w:val="20"/>
          <w:szCs w:val="20"/>
          <w:color w:val="auto"/>
        </w:rPr>
      </w:pPr>
      <w:r>
        <w:rPr>
          <w:rFonts w:ascii="Arial" w:cs="Arial" w:eastAsia="Arial" w:hAnsi="Arial"/>
          <w:sz w:val="21"/>
          <w:szCs w:val="21"/>
          <w:u w:val="single" w:color="auto"/>
          <w:color w:val="auto"/>
        </w:rPr>
        <w:t>Notices to the Company</w:t>
      </w:r>
      <w:r>
        <w:rPr>
          <w:rFonts w:ascii="Arial" w:cs="Arial" w:eastAsia="Arial" w:hAnsi="Arial"/>
          <w:sz w:val="21"/>
          <w:szCs w:val="21"/>
          <w:color w:val="auto"/>
        </w:rPr>
        <w:t>:</w:t>
      </w:r>
    </w:p>
    <w:p>
      <w:pPr>
        <w:spacing w:after="0" w:line="22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Root, Inc.</w:t>
      </w:r>
    </w:p>
    <w:p>
      <w:pPr>
        <w:spacing w:after="0" w:line="28"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80 E Rich St Suite 500</w:t>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Columbus, Ohio 43215</w:t>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Attention: Jon Allison, General Counsel</w:t>
      </w:r>
    </w:p>
    <w:p>
      <w:pPr>
        <w:spacing w:after="0" w:line="10"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Email: jon@joinroot.com</w:t>
      </w:r>
    </w:p>
    <w:p>
      <w:pPr>
        <w:spacing w:after="0" w:line="204" w:lineRule="exact"/>
        <w:rPr>
          <w:sz w:val="20"/>
          <w:szCs w:val="20"/>
          <w:color w:val="auto"/>
        </w:rPr>
      </w:pPr>
    </w:p>
    <w:p>
      <w:pPr>
        <w:spacing w:after="0" w:line="305" w:lineRule="auto"/>
        <w:rPr>
          <w:sz w:val="20"/>
          <w:szCs w:val="20"/>
          <w:color w:val="auto"/>
        </w:rPr>
      </w:pPr>
      <w:r>
        <w:rPr>
          <w:rFonts w:ascii="Arial" w:cs="Arial" w:eastAsia="Arial" w:hAnsi="Arial"/>
          <w:sz w:val="20"/>
          <w:szCs w:val="20"/>
          <w:color w:val="auto"/>
        </w:rPr>
        <w:t>or such other address or to the attention of such other Person as the recipient party shall have specified by prior written notice to the sending party. Any notice under this Agreement shall be deemed to have been given when so delivered, sent, or mailed.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03" w:right="339" w:bottom="1440" w:gutter="0" w:footer="0" w:header="0"/>
        </w:sectPr>
      </w:pPr>
    </w:p>
    <w:bookmarkStart w:id="90" w:name="page91"/>
    <w:bookmarkEnd w:id="90"/>
    <w:p>
      <w:pPr>
        <w:jc w:val="both"/>
        <w:ind w:firstLine="1278"/>
        <w:spacing w:after="0" w:line="292" w:lineRule="auto"/>
        <w:tabs>
          <w:tab w:leader="none" w:pos="1896"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Whenever possible, each provision of this Agreement shall be interpreted in such manner as to</w:t>
      </w:r>
      <w:r>
        <w:rPr>
          <w:rFonts w:ascii="Arial" w:cs="Arial" w:eastAsia="Arial" w:hAnsi="Arial"/>
          <w:sz w:val="19"/>
          <w:szCs w:val="19"/>
          <w:b w:val="1"/>
          <w:bCs w:val="1"/>
          <w:color w:val="auto"/>
        </w:rPr>
        <w:t xml:space="preserve"> </w:t>
      </w:r>
      <w:r>
        <w:rPr>
          <w:rFonts w:ascii="Arial" w:cs="Arial" w:eastAsia="Arial" w:hAnsi="Arial"/>
          <w:sz w:val="19"/>
          <w:szCs w:val="19"/>
          <w:color w:val="auto"/>
        </w:rPr>
        <w:t>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as if such invalid, illegal, or unenforceable provision had never been contained herein.</w:t>
      </w:r>
    </w:p>
    <w:p>
      <w:pPr>
        <w:spacing w:after="0" w:line="141" w:lineRule="exact"/>
        <w:rPr>
          <w:rFonts w:ascii="Arial" w:cs="Arial" w:eastAsia="Arial" w:hAnsi="Arial"/>
          <w:sz w:val="19"/>
          <w:szCs w:val="19"/>
          <w:b w:val="1"/>
          <w:bCs w:val="1"/>
          <w:color w:val="auto"/>
        </w:rPr>
      </w:pPr>
    </w:p>
    <w:p>
      <w:pPr>
        <w:jc w:val="both"/>
        <w:ind w:firstLine="1278"/>
        <w:spacing w:after="0" w:line="287" w:lineRule="auto"/>
        <w:tabs>
          <w:tab w:leader="none" w:pos="1908"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Complete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together with the Proprietary Information and Invention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signed by Executive, sets forth the entire agreement and understanding between the Company and Executive relating to the subject matter of this Agreement and supersedes all prior discussions or representations. This Agreement does not alter or modify any Company policies, procedures, or employment handbooks signed on or before the effective date of this Agreement. No modification of or amendment to this Agreement, nor any waiver of any rights under this Agreement, will be effective unless in writing signed by the General Counsel or Chief Executive Officer of the Company and Executive. Any subsequent change or changes in Executive’s duties, salary, or compensation will not affect the validity or scope of this Agreement.</w:t>
      </w:r>
    </w:p>
    <w:p>
      <w:pPr>
        <w:spacing w:after="0" w:line="145" w:lineRule="exact"/>
        <w:rPr>
          <w:rFonts w:ascii="Arial" w:cs="Arial" w:eastAsia="Arial" w:hAnsi="Arial"/>
          <w:sz w:val="19"/>
          <w:szCs w:val="19"/>
          <w:b w:val="1"/>
          <w:bCs w:val="1"/>
          <w:color w:val="auto"/>
        </w:rPr>
      </w:pPr>
    </w:p>
    <w:p>
      <w:pPr>
        <w:ind w:firstLine="1278"/>
        <w:spacing w:after="0" w:line="311" w:lineRule="auto"/>
        <w:tabs>
          <w:tab w:leader="none" w:pos="1908"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Strict Construction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language used in this Agreement shall be deemed to be the language chosen by</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hereto to express their mutual intent, and no rule of strict construction shall be applied against any party.</w:t>
      </w:r>
    </w:p>
    <w:p>
      <w:pPr>
        <w:spacing w:after="0" w:line="119" w:lineRule="exact"/>
        <w:rPr>
          <w:rFonts w:ascii="Arial" w:cs="Arial" w:eastAsia="Arial" w:hAnsi="Arial"/>
          <w:sz w:val="20"/>
          <w:szCs w:val="20"/>
          <w:b w:val="1"/>
          <w:bCs w:val="1"/>
          <w:color w:val="auto"/>
        </w:rPr>
      </w:pPr>
    </w:p>
    <w:p>
      <w:pPr>
        <w:ind w:firstLine="1278"/>
        <w:spacing w:after="0" w:line="340" w:lineRule="auto"/>
        <w:tabs>
          <w:tab w:leader="none" w:pos="1908"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executed in separate counterparts (including by means of pdf</w:t>
      </w:r>
      <w:r>
        <w:rPr>
          <w:rFonts w:ascii="Arial" w:cs="Arial" w:eastAsia="Arial" w:hAnsi="Arial"/>
          <w:sz w:val="19"/>
          <w:szCs w:val="19"/>
          <w:b w:val="1"/>
          <w:bCs w:val="1"/>
          <w:color w:val="auto"/>
        </w:rPr>
        <w:t xml:space="preserve"> </w:t>
      </w:r>
      <w:r>
        <w:rPr>
          <w:rFonts w:ascii="Arial" w:cs="Arial" w:eastAsia="Arial" w:hAnsi="Arial"/>
          <w:sz w:val="19"/>
          <w:szCs w:val="19"/>
          <w:color w:val="auto"/>
        </w:rPr>
        <w:t>signature page), each of which is deemed to be an original, and all of which taken together constitute one and the same agreement.</w:t>
      </w:r>
    </w:p>
    <w:p>
      <w:pPr>
        <w:spacing w:after="0" w:line="96" w:lineRule="exact"/>
        <w:rPr>
          <w:rFonts w:ascii="Arial" w:cs="Arial" w:eastAsia="Arial" w:hAnsi="Arial"/>
          <w:sz w:val="19"/>
          <w:szCs w:val="19"/>
          <w:b w:val="1"/>
          <w:bCs w:val="1"/>
          <w:color w:val="auto"/>
        </w:rPr>
      </w:pPr>
    </w:p>
    <w:p>
      <w:pPr>
        <w:jc w:val="both"/>
        <w:ind w:firstLine="1278"/>
        <w:spacing w:after="0" w:line="284" w:lineRule="auto"/>
        <w:tabs>
          <w:tab w:leader="none" w:pos="1908"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including the covenants in paragraph 4 above, will be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upon and inure to the benefit of (i) the Company and its successors and assigns, by merger or otherwise, and (ii) the Executive and the Executive’s heirs and personal representatives. This Agreement is not assignable by the Executive. The Company may unilaterally assign its rights and obligations under this Agreement to any successor to Company’s rights and obligations hereunder as a result of any change in control, merger, consolidation, restructuring or reorganization or to any other successor to all or substantially all of the securities, business and/or assets of the Company or any of its Affiliates, and Executive shall continue to be bound by the terms and conditions of this Agreement. In connection with any such assignment by Company, following such assignment, references to “Company” in this Agreement, shall mean the successor to all or substantially all of the securities, business and/or assets of Company or any of its Affiliates to whom this Agreement is assigned.</w:t>
      </w:r>
    </w:p>
    <w:p>
      <w:pPr>
        <w:spacing w:after="0" w:line="150" w:lineRule="exact"/>
        <w:rPr>
          <w:rFonts w:ascii="Arial" w:cs="Arial" w:eastAsia="Arial" w:hAnsi="Arial"/>
          <w:sz w:val="19"/>
          <w:szCs w:val="19"/>
          <w:b w:val="1"/>
          <w:bCs w:val="1"/>
          <w:color w:val="auto"/>
        </w:rPr>
      </w:pPr>
    </w:p>
    <w:p>
      <w:pPr>
        <w:jc w:val="both"/>
        <w:ind w:firstLine="1278"/>
        <w:spacing w:after="0" w:line="259" w:lineRule="auto"/>
        <w:tabs>
          <w:tab w:leader="none" w:pos="1908"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Choice of Law and Choice of Forum</w:t>
      </w:r>
      <w:r>
        <w:rPr>
          <w:rFonts w:ascii="Arial" w:cs="Arial" w:eastAsia="Arial" w:hAnsi="Arial"/>
          <w:sz w:val="21"/>
          <w:szCs w:val="21"/>
          <w:b w:val="1"/>
          <w:bCs w:val="1"/>
          <w:color w:val="auto"/>
        </w:rPr>
        <w:t xml:space="preserve">. </w:t>
      </w:r>
      <w:r>
        <w:rPr>
          <w:rFonts w:ascii="Arial" w:cs="Arial" w:eastAsia="Arial" w:hAnsi="Arial"/>
          <w:sz w:val="21"/>
          <w:szCs w:val="21"/>
          <w:color w:val="auto"/>
        </w:rPr>
        <w:t>All issues and questions concerning the construction, validity,</w:t>
      </w:r>
      <w:r>
        <w:rPr>
          <w:rFonts w:ascii="Arial" w:cs="Arial" w:eastAsia="Arial" w:hAnsi="Arial"/>
          <w:sz w:val="21"/>
          <w:szCs w:val="21"/>
          <w:b w:val="1"/>
          <w:bCs w:val="1"/>
          <w:color w:val="auto"/>
        </w:rPr>
        <w:t xml:space="preserve"> </w:t>
      </w:r>
      <w:r>
        <w:rPr>
          <w:rFonts w:ascii="Arial" w:cs="Arial" w:eastAsia="Arial" w:hAnsi="Arial"/>
          <w:sz w:val="21"/>
          <w:szCs w:val="21"/>
          <w:color w:val="auto"/>
        </w:rPr>
        <w:t>enforcement, and interpretation of this Agreement and the exhibits and schedules hereto shall be governed by, and construed in accordance with, the laws of the State of Ohio, without giving effect to any choice of law or conflict of law rules or provisions (whether of the State of Ohio or any other jurisdiction) that would cause the application of the laws of any jurisdiction other than the State of Ohio. Jurisdiction and venue of</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97" w:right="339" w:bottom="1440" w:gutter="0" w:footer="0" w:header="0"/>
        </w:sectPr>
      </w:pPr>
    </w:p>
    <w:bookmarkStart w:id="91" w:name="page92"/>
    <w:bookmarkEnd w:id="91"/>
    <w:p>
      <w:pPr>
        <w:jc w:val="both"/>
        <w:spacing w:after="0" w:line="264" w:lineRule="auto"/>
        <w:rPr>
          <w:sz w:val="20"/>
          <w:szCs w:val="20"/>
          <w:color w:val="auto"/>
        </w:rPr>
      </w:pPr>
      <w:r>
        <w:rPr>
          <w:rFonts w:ascii="Arial" w:cs="Arial" w:eastAsia="Arial" w:hAnsi="Arial"/>
          <w:sz w:val="21"/>
          <w:szCs w:val="21"/>
          <w:color w:val="auto"/>
        </w:rPr>
        <w:t>any dispute, action or proceeding relating to this Agreement, the employment of Executive, the termination of Executive’s employment, or the validity, interpretation, performance, breach or termination of the Agreement shall be exclusively in the state or federal court located in Franklin County, Ohio.</w:t>
      </w:r>
    </w:p>
    <w:p>
      <w:pPr>
        <w:spacing w:after="0" w:line="164" w:lineRule="exact"/>
        <w:rPr>
          <w:sz w:val="20"/>
          <w:szCs w:val="20"/>
          <w:color w:val="auto"/>
        </w:rPr>
      </w:pPr>
    </w:p>
    <w:p>
      <w:pPr>
        <w:jc w:val="both"/>
        <w:ind w:firstLine="1278"/>
        <w:spacing w:after="0" w:line="274" w:lineRule="auto"/>
        <w:tabs>
          <w:tab w:leader="none" w:pos="1908"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 and Waiver</w:t>
      </w:r>
      <w:r>
        <w:rPr>
          <w:rFonts w:ascii="Arial" w:cs="Arial" w:eastAsia="Arial" w:hAnsi="Arial"/>
          <w:sz w:val="20"/>
          <w:szCs w:val="20"/>
          <w:b w:val="1"/>
          <w:bCs w:val="1"/>
          <w:color w:val="auto"/>
        </w:rPr>
        <w:t xml:space="preserve">. </w:t>
      </w:r>
      <w:r>
        <w:rPr>
          <w:rFonts w:ascii="Arial" w:cs="Arial" w:eastAsia="Arial" w:hAnsi="Arial"/>
          <w:sz w:val="20"/>
          <w:szCs w:val="20"/>
          <w:color w:val="auto"/>
        </w:rPr>
        <w:t>The provisions of this Agreement may be amended or waived only with the prior</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consent of the Company (as approved by the Board) and Executive, and no course of conduct or course of dealing or failure or delay by any party hereto in enforcing or exercising any of the provisions of this Agreement (including, without limitation, the Company’s right to terminate the Employment Period with or without Cause) shall affect the validity, binding effect, or enforceability of this Agreement or be deemed to be an implied waiver of any provision of this Agreement.</w:t>
      </w:r>
    </w:p>
    <w:p>
      <w:pPr>
        <w:spacing w:after="0" w:line="157" w:lineRule="exact"/>
        <w:rPr>
          <w:rFonts w:ascii="Arial" w:cs="Arial" w:eastAsia="Arial" w:hAnsi="Arial"/>
          <w:sz w:val="20"/>
          <w:szCs w:val="20"/>
          <w:b w:val="1"/>
          <w:bCs w:val="1"/>
          <w:color w:val="auto"/>
        </w:rPr>
      </w:pPr>
    </w:p>
    <w:p>
      <w:pPr>
        <w:ind w:left="1920" w:hanging="642"/>
        <w:spacing w:after="0"/>
        <w:tabs>
          <w:tab w:leader="none" w:pos="1920"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 Matters; Code Section 409A</w:t>
      </w:r>
      <w:r>
        <w:rPr>
          <w:rFonts w:ascii="Arial" w:cs="Arial" w:eastAsia="Arial" w:hAnsi="Arial"/>
          <w:sz w:val="21"/>
          <w:szCs w:val="21"/>
          <w:color w:val="auto"/>
        </w:rPr>
        <w:t>.</w:t>
      </w:r>
    </w:p>
    <w:p>
      <w:pPr>
        <w:spacing w:after="0" w:line="228" w:lineRule="exact"/>
        <w:rPr>
          <w:sz w:val="20"/>
          <w:szCs w:val="20"/>
          <w:color w:val="auto"/>
        </w:rPr>
      </w:pPr>
    </w:p>
    <w:p>
      <w:pPr>
        <w:jc w:val="both"/>
        <w:ind w:firstLine="1278"/>
        <w:spacing w:after="0" w:line="254" w:lineRule="auto"/>
        <w:tabs>
          <w:tab w:leader="none" w:pos="1905" w:val="left"/>
        </w:tabs>
        <w:numPr>
          <w:ilvl w:val="1"/>
          <w:numId w:val="88"/>
        </w:numPr>
        <w:rPr>
          <w:rFonts w:ascii="Arial" w:cs="Arial" w:eastAsia="Arial" w:hAnsi="Arial"/>
          <w:sz w:val="21"/>
          <w:szCs w:val="21"/>
          <w:color w:val="auto"/>
        </w:rPr>
      </w:pPr>
      <w:r>
        <w:rPr>
          <w:rFonts w:ascii="Arial" w:cs="Arial" w:eastAsia="Arial" w:hAnsi="Arial"/>
          <w:sz w:val="21"/>
          <w:szCs w:val="21"/>
          <w:color w:val="auto"/>
        </w:rPr>
        <w:t>The Company and its respective Subsidiaries and Affiliates shall be entitled to report such income and deduct or withhold from any amounts owing from the Company or any of its Subsidiaries or Affiliates to Executive any federal, state, local, or foreign withholding taxes, excise tax, or employment taxes (“Taxes”) imposed with respect to Executive’s compensation or other payments and benefits from the Company or any of its Subsidiaries or Affiliates (including, without limitation, wages and bonuses). In the event the Company or any of its Subsidiaries or Affiliates does not make such deductions or withholdings, Executive shall indemnify the Company and its Subsidiaries and Affiliates for any amounts paid with respect to any such Taxes, together (if such failure to withhold was at the written direction of Executive) with any interest, penalties, and related expenses thereto.</w:t>
      </w:r>
    </w:p>
    <w:p>
      <w:pPr>
        <w:spacing w:after="0" w:line="181" w:lineRule="exact"/>
        <w:rPr>
          <w:rFonts w:ascii="Arial" w:cs="Arial" w:eastAsia="Arial" w:hAnsi="Arial"/>
          <w:sz w:val="21"/>
          <w:szCs w:val="21"/>
          <w:color w:val="auto"/>
        </w:rPr>
      </w:pPr>
    </w:p>
    <w:p>
      <w:pPr>
        <w:jc w:val="both"/>
        <w:ind w:firstLine="1278"/>
        <w:spacing w:after="0" w:line="257" w:lineRule="auto"/>
        <w:tabs>
          <w:tab w:leader="none" w:pos="1903" w:val="left"/>
        </w:tabs>
        <w:numPr>
          <w:ilvl w:val="1"/>
          <w:numId w:val="88"/>
        </w:numPr>
        <w:rPr>
          <w:rFonts w:ascii="Arial" w:cs="Arial" w:eastAsia="Arial" w:hAnsi="Arial"/>
          <w:sz w:val="21"/>
          <w:szCs w:val="21"/>
          <w:color w:val="auto"/>
        </w:rPr>
      </w:pPr>
      <w:r>
        <w:rPr>
          <w:rFonts w:ascii="Arial" w:cs="Arial" w:eastAsia="Arial" w:hAnsi="Arial"/>
          <w:sz w:val="21"/>
          <w:szCs w:val="21"/>
          <w:color w:val="auto"/>
        </w:rPr>
        <w:t>The intent of the parties is that payments and benefits under this Agreement comply with Section 409A; and, accordingly, to the maximum extent permitted, this Agreement shall be interpreted to be in compliance therewith. In no event whatsoever shall the Company or any of its Subsidiaries or Affiliates be liable for any additional tax, interest, or penalty that may be imposed on the Executive by Section 409A or damages for failing to comply with Section 409A with respect to this Agreement or otherwise.</w:t>
      </w:r>
    </w:p>
    <w:p>
      <w:pPr>
        <w:spacing w:after="0" w:line="177" w:lineRule="exact"/>
        <w:rPr>
          <w:rFonts w:ascii="Arial" w:cs="Arial" w:eastAsia="Arial" w:hAnsi="Arial"/>
          <w:sz w:val="21"/>
          <w:szCs w:val="21"/>
          <w:color w:val="auto"/>
        </w:rPr>
      </w:pPr>
    </w:p>
    <w:p>
      <w:pPr>
        <w:jc w:val="both"/>
        <w:ind w:firstLine="1278"/>
        <w:spacing w:after="0" w:line="279" w:lineRule="auto"/>
        <w:tabs>
          <w:tab w:leader="none" w:pos="1905" w:val="left"/>
        </w:tabs>
        <w:numPr>
          <w:ilvl w:val="1"/>
          <w:numId w:val="88"/>
        </w:numPr>
        <w:rPr>
          <w:rFonts w:ascii="Arial" w:cs="Arial" w:eastAsia="Arial" w:hAnsi="Arial"/>
          <w:sz w:val="19"/>
          <w:szCs w:val="19"/>
          <w:color w:val="auto"/>
        </w:rPr>
      </w:pPr>
      <w:r>
        <w:rPr>
          <w:rFonts w:ascii="Arial" w:cs="Arial" w:eastAsia="Arial" w:hAnsi="Arial"/>
          <w:sz w:val="19"/>
          <w:szCs w:val="19"/>
          <w:color w:val="auto"/>
        </w:rPr>
        <w:t>Notwithstanding the foregoing,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Notwithstanding anything to the contrary in this Agreement, if Executive is deemed on the date of termination to be a “specified employee” within the meaning of that term under Section 409A(a)(2)(B), then with regard to any payment or the provision of any benefit that is considered “nonqualified deferred compensation” under Section 409A payable on account of a “separation from service,” such payment or benefit shall not be made or provided until the date which is the earlier of</w:t>
      </w:r>
    </w:p>
    <w:p>
      <w:pPr>
        <w:ind w:firstLine="6"/>
        <w:spacing w:after="0" w:line="261" w:lineRule="auto"/>
        <w:tabs>
          <w:tab w:leader="none" w:pos="361"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expiration of the six (6)month period measured from the date of such “separation from service” of Executive, and (B) the date of Executive’s death, to the extent required under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03" w:right="339" w:bottom="1440" w:gutter="0" w:footer="0" w:header="0"/>
        </w:sectPr>
      </w:pPr>
    </w:p>
    <w:bookmarkStart w:id="92" w:name="page93"/>
    <w:bookmarkEnd w:id="92"/>
    <w:p>
      <w:pPr>
        <w:jc w:val="both"/>
        <w:spacing w:after="0" w:line="276" w:lineRule="auto"/>
        <w:rPr>
          <w:sz w:val="20"/>
          <w:szCs w:val="20"/>
          <w:color w:val="auto"/>
        </w:rPr>
      </w:pPr>
      <w:r>
        <w:rPr>
          <w:rFonts w:ascii="Arial" w:cs="Arial" w:eastAsia="Arial" w:hAnsi="Arial"/>
          <w:sz w:val="20"/>
          <w:szCs w:val="20"/>
          <w:color w:val="auto"/>
        </w:rPr>
        <w:t xml:space="preserve">Section 409A. Upon the expiration of the foregoing delay period, all payments and benefits delayed pursuant to this </w:t>
      </w:r>
      <w:r>
        <w:rPr>
          <w:rFonts w:ascii="Arial" w:cs="Arial" w:eastAsia="Arial" w:hAnsi="Arial"/>
          <w:sz w:val="20"/>
          <w:szCs w:val="20"/>
          <w:u w:val="single" w:color="auto"/>
          <w:color w:val="auto"/>
        </w:rPr>
        <w:t>Section 19(c</w:t>
      </w:r>
      <w:r>
        <w:rPr>
          <w:rFonts w:ascii="Arial" w:cs="Arial" w:eastAsia="Arial" w:hAnsi="Arial"/>
          <w:sz w:val="20"/>
          <w:szCs w:val="20"/>
          <w:color w:val="auto"/>
        </w:rPr>
        <w:t>) (whether they would have otherwise been payable in a single sum or in installments in the absence of such delay) shall be paid or reimbursed to Executive in a lump sum, without interest, and any remaining payments and benefits due under this Agreement shall be paid or provided in accordance with the normal payment dates specified for them herein.</w:t>
      </w:r>
    </w:p>
    <w:p>
      <w:pPr>
        <w:spacing w:after="0" w:line="161" w:lineRule="exact"/>
        <w:rPr>
          <w:sz w:val="20"/>
          <w:szCs w:val="20"/>
          <w:color w:val="auto"/>
        </w:rPr>
      </w:pPr>
    </w:p>
    <w:p>
      <w:pPr>
        <w:jc w:val="both"/>
        <w:ind w:firstLine="1278"/>
        <w:spacing w:after="0" w:line="271" w:lineRule="auto"/>
        <w:tabs>
          <w:tab w:leader="none" w:pos="1903" w:val="left"/>
        </w:tabs>
        <w:numPr>
          <w:ilvl w:val="0"/>
          <w:numId w:val="90"/>
        </w:numPr>
        <w:rPr>
          <w:rFonts w:ascii="Arial" w:cs="Arial" w:eastAsia="Arial" w:hAnsi="Arial"/>
          <w:sz w:val="20"/>
          <w:szCs w:val="20"/>
          <w:color w:val="auto"/>
        </w:rPr>
      </w:pPr>
      <w:r>
        <w:rPr>
          <w:rFonts w:ascii="Arial" w:cs="Arial" w:eastAsia="Arial" w:hAnsi="Arial"/>
          <w:sz w:val="20"/>
          <w:szCs w:val="20"/>
          <w:color w:val="auto"/>
        </w:rPr>
        <w:t>To the extent that reimbursements or other in-kind benefits under this Agreement constitute “nonqualified deferred compensation” for purposes of Section 409A, (A) all such expenses or other reimbursements hereunder shall be made on or prior to the last day of the taxable year following the taxable year in which such expenses were incurred by Executive; (B) any right to such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64" w:lineRule="exact"/>
        <w:rPr>
          <w:rFonts w:ascii="Arial" w:cs="Arial" w:eastAsia="Arial" w:hAnsi="Arial"/>
          <w:sz w:val="20"/>
          <w:szCs w:val="20"/>
          <w:color w:val="auto"/>
        </w:rPr>
      </w:pPr>
    </w:p>
    <w:p>
      <w:pPr>
        <w:jc w:val="both"/>
        <w:ind w:firstLine="1278"/>
        <w:spacing w:after="0" w:line="259" w:lineRule="auto"/>
        <w:tabs>
          <w:tab w:leader="none" w:pos="1905" w:val="left"/>
        </w:tabs>
        <w:numPr>
          <w:ilvl w:val="0"/>
          <w:numId w:val="90"/>
        </w:numPr>
        <w:rPr>
          <w:rFonts w:ascii="Arial" w:cs="Arial" w:eastAsia="Arial" w:hAnsi="Arial"/>
          <w:sz w:val="21"/>
          <w:szCs w:val="21"/>
          <w:color w:val="auto"/>
        </w:rPr>
      </w:pPr>
      <w:r>
        <w:rPr>
          <w:rFonts w:ascii="Arial" w:cs="Arial" w:eastAsia="Arial" w:hAnsi="Arial"/>
          <w:sz w:val="21"/>
          <w:szCs w:val="21"/>
          <w:color w:val="auto"/>
        </w:rPr>
        <w:t>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to the extent permitted under Section 409A.</w:t>
      </w:r>
    </w:p>
    <w:p>
      <w:pPr>
        <w:spacing w:after="0" w:line="176" w:lineRule="exact"/>
        <w:rPr>
          <w:rFonts w:ascii="Arial" w:cs="Arial" w:eastAsia="Arial" w:hAnsi="Arial"/>
          <w:sz w:val="21"/>
          <w:szCs w:val="21"/>
          <w:color w:val="auto"/>
        </w:rPr>
      </w:pPr>
    </w:p>
    <w:p>
      <w:pPr>
        <w:jc w:val="both"/>
        <w:ind w:firstLine="1278"/>
        <w:spacing w:after="0" w:line="264" w:lineRule="auto"/>
        <w:tabs>
          <w:tab w:leader="none" w:pos="1908" w:val="left"/>
        </w:tabs>
        <w:numPr>
          <w:ilvl w:val="0"/>
          <w:numId w:val="90"/>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to the contrary, in no event shall any payment under this Agreement that constitutes “nonqualified deferred compensation” for purposes of Section 409A be subject to offset by any other amount unless otherwise permitted by Section 409A.</w:t>
      </w:r>
    </w:p>
    <w:p>
      <w:pPr>
        <w:spacing w:after="0" w:line="164" w:lineRule="exact"/>
        <w:rPr>
          <w:sz w:val="20"/>
          <w:szCs w:val="20"/>
          <w:color w:val="auto"/>
        </w:rPr>
      </w:pPr>
    </w:p>
    <w:p>
      <w:pPr>
        <w:jc w:val="both"/>
        <w:ind w:firstLine="1278"/>
        <w:spacing w:after="0" w:line="259" w:lineRule="auto"/>
        <w:tabs>
          <w:tab w:leader="none" w:pos="1908"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Waiver of Jury Trial</w:t>
      </w:r>
      <w:r>
        <w:rPr>
          <w:rFonts w:ascii="Arial" w:cs="Arial" w:eastAsia="Arial" w:hAnsi="Arial"/>
          <w:sz w:val="21"/>
          <w:szCs w:val="21"/>
          <w:b w:val="1"/>
          <w:bCs w:val="1"/>
          <w:color w:val="auto"/>
        </w:rPr>
        <w:t xml:space="preserve">. </w:t>
      </w:r>
      <w:r>
        <w:rPr>
          <w:rFonts w:ascii="Arial" w:cs="Arial" w:eastAsia="Arial" w:hAnsi="Arial"/>
          <w:sz w:val="21"/>
          <w:szCs w:val="21"/>
          <w:color w:val="auto"/>
        </w:rPr>
        <w:t>AS A SPECIFICALLY BARGAINED FOR INDUCEMENT FOR EACH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67" w:lineRule="exact"/>
        <w:rPr>
          <w:rFonts w:ascii="Arial" w:cs="Arial" w:eastAsia="Arial" w:hAnsi="Arial"/>
          <w:sz w:val="21"/>
          <w:szCs w:val="21"/>
          <w:b w:val="1"/>
          <w:bCs w:val="1"/>
          <w:color w:val="auto"/>
        </w:rPr>
      </w:pPr>
    </w:p>
    <w:p>
      <w:pPr>
        <w:jc w:val="both"/>
        <w:ind w:firstLine="1278"/>
        <w:spacing w:after="0" w:line="257" w:lineRule="auto"/>
        <w:tabs>
          <w:tab w:leader="none" w:pos="1908"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Corporate Opportunity</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shall submit to the Company all material business, commercial, and</w:t>
      </w:r>
      <w:r>
        <w:rPr>
          <w:rFonts w:ascii="Arial" w:cs="Arial" w:eastAsia="Arial" w:hAnsi="Arial"/>
          <w:sz w:val="21"/>
          <w:szCs w:val="21"/>
          <w:b w:val="1"/>
          <w:bCs w:val="1"/>
          <w:color w:val="auto"/>
        </w:rPr>
        <w:t xml:space="preserve"> </w:t>
      </w:r>
      <w:r>
        <w:rPr>
          <w:rFonts w:ascii="Arial" w:cs="Arial" w:eastAsia="Arial" w:hAnsi="Arial"/>
          <w:sz w:val="21"/>
          <w:szCs w:val="21"/>
          <w:color w:val="auto"/>
        </w:rPr>
        <w:t>investment opportunities or offers presented to Executive, or of which Executive becomes aware, at any time during the Employment Period or any period of at-will employment, which opportunities relate to the Company’s business (“</w:t>
      </w:r>
      <w:r>
        <w:rPr>
          <w:rFonts w:ascii="Arial" w:cs="Arial" w:eastAsia="Arial" w:hAnsi="Arial"/>
          <w:sz w:val="21"/>
          <w:szCs w:val="21"/>
          <w:b w:val="1"/>
          <w:bCs w:val="1"/>
          <w:color w:val="auto"/>
        </w:rPr>
        <w:t>Corporate</w:t>
      </w:r>
      <w:r>
        <w:rPr>
          <w:rFonts w:ascii="Arial" w:cs="Arial" w:eastAsia="Arial" w:hAnsi="Arial"/>
          <w:sz w:val="21"/>
          <w:szCs w:val="21"/>
          <w:color w:val="auto"/>
        </w:rPr>
        <w:t xml:space="preserve"> </w:t>
      </w:r>
      <w:r>
        <w:rPr>
          <w:rFonts w:ascii="Arial" w:cs="Arial" w:eastAsia="Arial" w:hAnsi="Arial"/>
          <w:sz w:val="21"/>
          <w:szCs w:val="21"/>
          <w:b w:val="1"/>
          <w:bCs w:val="1"/>
          <w:color w:val="auto"/>
        </w:rPr>
        <w:t>Opportunities</w:t>
      </w:r>
      <w:r>
        <w:rPr>
          <w:rFonts w:ascii="Arial" w:cs="Arial" w:eastAsia="Arial" w:hAnsi="Arial"/>
          <w:sz w:val="21"/>
          <w:szCs w:val="21"/>
          <w:color w:val="auto"/>
        </w:rPr>
        <w:t>”). Unless approved by the Board, during the Employment Period or any period of at-will employment,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shall not accept or pursue, directly or indirectly, any Corporate Opportunities on Executive’s own behalf or for Executive’s personal benefit or for the benefit of any Person other than the Company.</w:t>
      </w:r>
    </w:p>
    <w:p>
      <w:pPr>
        <w:spacing w:after="0" w:line="170" w:lineRule="exact"/>
        <w:rPr>
          <w:rFonts w:ascii="Arial" w:cs="Arial" w:eastAsia="Arial" w:hAnsi="Arial"/>
          <w:sz w:val="21"/>
          <w:szCs w:val="21"/>
          <w:b w:val="1"/>
          <w:bCs w:val="1"/>
          <w:color w:val="auto"/>
        </w:rPr>
      </w:pPr>
    </w:p>
    <w:p>
      <w:pPr>
        <w:ind w:firstLine="1278"/>
        <w:spacing w:after="0" w:line="285" w:lineRule="auto"/>
        <w:tabs>
          <w:tab w:leader="none" w:pos="1908"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Executive’s Cooperation</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Employment Period and thereafter, Executive shall reasonably</w:t>
      </w:r>
      <w:r>
        <w:rPr>
          <w:rFonts w:ascii="Arial" w:cs="Arial" w:eastAsia="Arial" w:hAnsi="Arial"/>
          <w:sz w:val="21"/>
          <w:szCs w:val="21"/>
          <w:b w:val="1"/>
          <w:bCs w:val="1"/>
          <w:color w:val="auto"/>
        </w:rPr>
        <w:t xml:space="preserve"> </w:t>
      </w:r>
      <w:r>
        <w:rPr>
          <w:rFonts w:ascii="Arial" w:cs="Arial" w:eastAsia="Arial" w:hAnsi="Arial"/>
          <w:sz w:val="21"/>
          <w:szCs w:val="21"/>
          <w:color w:val="auto"/>
        </w:rPr>
        <w:t>cooperate with the Company and its Subsidiaries and Affiliates in any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03" w:right="339" w:bottom="1440" w:gutter="0" w:footer="0" w:header="0"/>
        </w:sectPr>
      </w:pPr>
    </w:p>
    <w:bookmarkStart w:id="93" w:name="page94"/>
    <w:bookmarkEnd w:id="93"/>
    <w:p>
      <w:pPr>
        <w:jc w:val="both"/>
        <w:spacing w:after="0" w:line="267" w:lineRule="auto"/>
        <w:rPr>
          <w:sz w:val="20"/>
          <w:szCs w:val="20"/>
          <w:color w:val="auto"/>
        </w:rPr>
      </w:pPr>
      <w:r>
        <w:rPr>
          <w:rFonts w:ascii="Arial" w:cs="Arial" w:eastAsia="Arial" w:hAnsi="Arial"/>
          <w:sz w:val="20"/>
          <w:szCs w:val="20"/>
          <w:color w:val="auto"/>
        </w:rPr>
        <w:t>internal investigation or administrative, regulatory, or judicial proceeding as reasonably requested by the Company or any Subsidiary or Affiliate (including, without limitation, Executive’s being available to the Company and its Subsidiaries and Affiliates upon reasonable notice for interviews and factual investigations, appearing at the Company’s or any Subsidiary’s or Affiliate’s request to give truthful and accurate testimony without requiring service of a subpoena or other legal process, volunteering to the Company and its Subsidiaries and Affiliates all pertinent information and turning over to the Company and its Subsidiaries and Affiliates all relevant documents which are or may come into Executive’s possession, all at times and on schedules that are reasonably consistent with Executive’s other permitted activities and commitments). In the event the Company or any Subsidiary or Affiliate requires Executive’s cooperation in accordance with this section, the Company shall pay Executive a per diem reasonably determined by the Board and reimburse Executive for reasonable expenses incurred in connection therewith (including reasonable transportation, lodging and meals, upon submission of receipts).</w:t>
      </w:r>
    </w:p>
    <w:p>
      <w:pPr>
        <w:spacing w:after="0" w:line="165" w:lineRule="exact"/>
        <w:rPr>
          <w:sz w:val="20"/>
          <w:szCs w:val="20"/>
          <w:color w:val="auto"/>
        </w:rPr>
      </w:pPr>
    </w:p>
    <w:p>
      <w:pPr>
        <w:jc w:val="both"/>
        <w:ind w:firstLine="1278"/>
        <w:spacing w:after="0" w:line="267" w:lineRule="auto"/>
        <w:tabs>
          <w:tab w:leader="none" w:pos="1908"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Legal Advice.</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acknowledges that he is entering into this Agreement of Executive’s own</w:t>
      </w:r>
      <w:r>
        <w:rPr>
          <w:rFonts w:ascii="Arial" w:cs="Arial" w:eastAsia="Arial" w:hAnsi="Arial"/>
          <w:sz w:val="21"/>
          <w:szCs w:val="21"/>
          <w:b w:val="1"/>
          <w:bCs w:val="1"/>
          <w:color w:val="auto"/>
        </w:rPr>
        <w:t xml:space="preserve"> </w:t>
      </w:r>
      <w:r>
        <w:rPr>
          <w:rFonts w:ascii="Arial" w:cs="Arial" w:eastAsia="Arial" w:hAnsi="Arial"/>
          <w:sz w:val="21"/>
          <w:szCs w:val="21"/>
          <w:color w:val="auto"/>
        </w:rPr>
        <w:t>accord and without coercion or pressure of any kind from the other party or from any third person and that he or she has been given the opportunity to obtain independent legal advice in connection with this Agreement.</w:t>
      </w:r>
    </w:p>
    <w:p>
      <w:pPr>
        <w:spacing w:after="0" w:line="161" w:lineRule="exact"/>
        <w:rPr>
          <w:rFonts w:ascii="Arial" w:cs="Arial" w:eastAsia="Arial" w:hAnsi="Arial"/>
          <w:sz w:val="21"/>
          <w:szCs w:val="21"/>
          <w:b w:val="1"/>
          <w:bCs w:val="1"/>
          <w:color w:val="auto"/>
        </w:rPr>
      </w:pPr>
    </w:p>
    <w:p>
      <w:pPr>
        <w:ind w:left="1920" w:hanging="642"/>
        <w:spacing w:after="0"/>
        <w:tabs>
          <w:tab w:leader="none" w:pos="1920"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Definitions</w:t>
      </w:r>
      <w:r>
        <w:rPr>
          <w:rFonts w:ascii="Arial" w:cs="Arial" w:eastAsia="Arial" w:hAnsi="Arial"/>
          <w:sz w:val="21"/>
          <w:szCs w:val="21"/>
          <w:color w:val="auto"/>
        </w:rPr>
        <w:t>.</w:t>
      </w:r>
    </w:p>
    <w:p>
      <w:pPr>
        <w:spacing w:after="0" w:line="228" w:lineRule="exact"/>
        <w:rPr>
          <w:sz w:val="20"/>
          <w:szCs w:val="20"/>
          <w:color w:val="auto"/>
        </w:rPr>
      </w:pPr>
    </w:p>
    <w:p>
      <w:pPr>
        <w:ind w:left="1920" w:hanging="642"/>
        <w:spacing w:after="0"/>
        <w:tabs>
          <w:tab w:leader="none" w:pos="1920"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Certain Definitions</w:t>
      </w:r>
      <w:r>
        <w:rPr>
          <w:rFonts w:ascii="Arial" w:cs="Arial" w:eastAsia="Arial" w:hAnsi="Arial"/>
          <w:sz w:val="21"/>
          <w:szCs w:val="21"/>
          <w:color w:val="auto"/>
        </w:rPr>
        <w:t>. For purposes of this Agreement, the following definitions shall apply:</w:t>
      </w:r>
    </w:p>
    <w:p>
      <w:pPr>
        <w:spacing w:after="0" w:line="216" w:lineRule="exact"/>
        <w:rPr>
          <w:rFonts w:ascii="Arial" w:cs="Arial" w:eastAsia="Arial" w:hAnsi="Arial"/>
          <w:sz w:val="21"/>
          <w:szCs w:val="21"/>
          <w:color w:val="auto"/>
        </w:rPr>
      </w:pPr>
    </w:p>
    <w:p>
      <w:pPr>
        <w:jc w:val="both"/>
        <w:ind w:left="1280" w:firstLine="634"/>
        <w:spacing w:after="0" w:line="254" w:lineRule="auto"/>
        <w:tabs>
          <w:tab w:leader="none" w:pos="2540" w:val="left"/>
        </w:tabs>
        <w:numPr>
          <w:ilvl w:val="1"/>
          <w:numId w:val="9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shall mean, any employer with which the Company would be considered a single employer under Section 414(b) or 414(c) of the Code (as defined below), applied using fifty percent (50%) as the percentage of ownership required under such Code sections, including (i) any Person (as defined below), any other Person directly or indirectly controlling, controlled by or under direct or indirect common control with, such specified Person and (ii) any Person that is a natural Person, the spouse, ancestors, or lineal descendants of such Person, any limited partnership or limited liability company controlled by such Person or such Person’s spouse, ancestors, or lineal descendants or in which such Person or such Person’s spouse, ancestors, or lineal descendants hold a majority interest, any trust established for the benefit of any of them and such Person’s estate or legal representative.</w:t>
      </w:r>
    </w:p>
    <w:p>
      <w:pPr>
        <w:spacing w:after="0" w:line="177" w:lineRule="exact"/>
        <w:rPr>
          <w:rFonts w:ascii="Arial" w:cs="Arial" w:eastAsia="Arial" w:hAnsi="Arial"/>
          <w:sz w:val="21"/>
          <w:szCs w:val="21"/>
          <w:color w:val="auto"/>
        </w:rPr>
      </w:pPr>
    </w:p>
    <w:p>
      <w:pPr>
        <w:jc w:val="both"/>
        <w:ind w:left="1280" w:firstLine="634"/>
        <w:spacing w:after="0" w:line="257" w:lineRule="auto"/>
        <w:tabs>
          <w:tab w:leader="none" w:pos="2546" w:val="left"/>
        </w:tabs>
        <w:numPr>
          <w:ilvl w:val="1"/>
          <w:numId w:val="93"/>
        </w:numPr>
        <w:rPr>
          <w:rFonts w:ascii="Arial" w:cs="Arial" w:eastAsia="Arial" w:hAnsi="Arial"/>
          <w:sz w:val="21"/>
          <w:szCs w:val="21"/>
          <w:color w:val="auto"/>
        </w:rPr>
      </w:pPr>
      <w:r>
        <w:rPr>
          <w:rFonts w:ascii="Arial" w:cs="Arial" w:eastAsia="Arial" w:hAnsi="Arial"/>
          <w:sz w:val="21"/>
          <w:szCs w:val="21"/>
          <w:b w:val="1"/>
          <w:bCs w:val="1"/>
          <w:color w:val="auto"/>
        </w:rPr>
        <w:t xml:space="preserve">“Cause” </w:t>
      </w:r>
      <w:r>
        <w:rPr>
          <w:rFonts w:ascii="Arial" w:cs="Arial" w:eastAsia="Arial" w:hAnsi="Arial"/>
          <w:sz w:val="21"/>
          <w:szCs w:val="21"/>
          <w:color w:val="auto"/>
        </w:rPr>
        <w:t>shall mean, with respect to Executive, one or more of the following: (i) commission of, or</w:t>
      </w:r>
      <w:r>
        <w:rPr>
          <w:rFonts w:ascii="Arial" w:cs="Arial" w:eastAsia="Arial" w:hAnsi="Arial"/>
          <w:sz w:val="21"/>
          <w:szCs w:val="21"/>
          <w:b w:val="1"/>
          <w:bCs w:val="1"/>
          <w:color w:val="auto"/>
        </w:rPr>
        <w:t xml:space="preserve"> </w:t>
      </w:r>
      <w:r>
        <w:rPr>
          <w:rFonts w:ascii="Arial" w:cs="Arial" w:eastAsia="Arial" w:hAnsi="Arial"/>
          <w:sz w:val="21"/>
          <w:szCs w:val="21"/>
          <w:color w:val="auto"/>
        </w:rPr>
        <w:t>conviction of, a felony or a crime involving moral turpitude; (ii) commission of an act or omission to act with respect to the Company or any of its Affiliates or Subsidiaries or any of their customers or suppliers involving dishonesty, disloyalty, or fraud; (iii) conduct that brings or is reasonably likely to bring the Company or its Affiliates or Subsidiaries into public disgrace or disrepute; (iv) repeated failure to perform duties as reasonably directed by the Board; (v) gross negligence or willful misconduct with respect 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03" w:right="339" w:bottom="1440" w:gutter="0" w:footer="0" w:header="0"/>
        </w:sectPr>
      </w:pPr>
    </w:p>
    <w:bookmarkStart w:id="94" w:name="page95"/>
    <w:bookmarkEnd w:id="94"/>
    <w:p>
      <w:pPr>
        <w:jc w:val="both"/>
        <w:ind w:left="160"/>
        <w:spacing w:after="0" w:line="255" w:lineRule="auto"/>
        <w:rPr>
          <w:sz w:val="20"/>
          <w:szCs w:val="20"/>
          <w:color w:val="auto"/>
        </w:rPr>
      </w:pPr>
      <w:r>
        <w:rPr>
          <w:rFonts w:ascii="Arial" w:cs="Arial" w:eastAsia="Arial" w:hAnsi="Arial"/>
          <w:sz w:val="21"/>
          <w:szCs w:val="21"/>
          <w:color w:val="auto"/>
        </w:rPr>
        <w:t xml:space="preserve">the Company or any of its Affiliates or Subsidiaries; (vi) material breach of the Company’s Code of Conduct as amended from time to time; (vii) any material breach by Executive of </w:t>
      </w:r>
      <w:r>
        <w:rPr>
          <w:rFonts w:ascii="Arial" w:cs="Arial" w:eastAsia="Arial" w:hAnsi="Arial"/>
          <w:sz w:val="21"/>
          <w:szCs w:val="21"/>
          <w:u w:val="single" w:color="auto"/>
          <w:color w:val="auto"/>
        </w:rPr>
        <w:t>Section 4, 5, 6, 8, 20 or 21</w:t>
      </w:r>
      <w:r>
        <w:rPr>
          <w:rFonts w:ascii="Arial" w:cs="Arial" w:eastAsia="Arial" w:hAnsi="Arial"/>
          <w:sz w:val="21"/>
          <w:szCs w:val="21"/>
          <w:color w:val="auto"/>
        </w:rPr>
        <w:t xml:space="preserve"> of this Agreement; or (viii) the Executive relocates from the Company’s principal office by more than fifty (50) miles without written Company approval. With respect to subsection (iv) herein, “Cause” shall only exist if Executive fails to cure the alleged infraction within thirty (30) days of receiving written notice from the Company; and if Executive remedies the condition within such thirty (30) day cure period, then no Cause shall be deemed to exist with respect to such condition.</w:t>
      </w:r>
    </w:p>
    <w:p>
      <w:pPr>
        <w:spacing w:after="0" w:line="172" w:lineRule="exact"/>
        <w:rPr>
          <w:sz w:val="20"/>
          <w:szCs w:val="20"/>
          <w:color w:val="auto"/>
        </w:rPr>
      </w:pPr>
    </w:p>
    <w:p>
      <w:pPr>
        <w:jc w:val="both"/>
        <w:ind w:left="160" w:firstLine="634"/>
        <w:spacing w:after="0" w:line="267" w:lineRule="auto"/>
        <w:tabs>
          <w:tab w:leader="none" w:pos="1432" w:val="left"/>
        </w:tabs>
        <w:numPr>
          <w:ilvl w:val="0"/>
          <w:numId w:val="94"/>
        </w:numPr>
        <w:rPr>
          <w:rFonts w:ascii="Arial" w:cs="Arial" w:eastAsia="Arial" w:hAnsi="Arial"/>
          <w:sz w:val="21"/>
          <w:szCs w:val="21"/>
          <w:color w:val="auto"/>
        </w:rPr>
      </w:pPr>
      <w:r>
        <w:rPr>
          <w:rFonts w:ascii="Arial" w:cs="Arial" w:eastAsia="Arial" w:hAnsi="Arial"/>
          <w:sz w:val="21"/>
          <w:szCs w:val="21"/>
          <w:b w:val="1"/>
          <w:bCs w:val="1"/>
          <w:color w:val="auto"/>
        </w:rPr>
        <w:t xml:space="preserve">“Change in Control” </w:t>
      </w:r>
      <w:r>
        <w:rPr>
          <w:rFonts w:ascii="Arial" w:cs="Arial" w:eastAsia="Arial" w:hAnsi="Arial"/>
          <w:sz w:val="21"/>
          <w:szCs w:val="21"/>
          <w:color w:val="auto"/>
        </w:rPr>
        <w:t>shall have the meaning ascribed in the Root, Inc. 2020 Equity Incentive Plan.</w:t>
      </w:r>
      <w:r>
        <w:rPr>
          <w:rFonts w:ascii="Arial" w:cs="Arial" w:eastAsia="Arial" w:hAnsi="Arial"/>
          <w:sz w:val="21"/>
          <w:szCs w:val="21"/>
          <w:b w:val="1"/>
          <w:bCs w:val="1"/>
          <w:color w:val="auto"/>
        </w:rPr>
        <w:t xml:space="preserve"> </w:t>
      </w:r>
      <w:r>
        <w:rPr>
          <w:rFonts w:ascii="Arial" w:cs="Arial" w:eastAsia="Arial" w:hAnsi="Arial"/>
          <w:sz w:val="21"/>
          <w:szCs w:val="21"/>
          <w:color w:val="auto"/>
        </w:rPr>
        <w:t>For the avoidance of doubt, Caret Holdings, Inc. shall not be substituted for Root, Inc. in the definition of “Company” in such context.</w:t>
      </w:r>
    </w:p>
    <w:p>
      <w:pPr>
        <w:spacing w:after="0" w:line="161" w:lineRule="exact"/>
        <w:rPr>
          <w:rFonts w:ascii="Arial" w:cs="Arial" w:eastAsia="Arial" w:hAnsi="Arial"/>
          <w:sz w:val="21"/>
          <w:szCs w:val="21"/>
          <w:color w:val="auto"/>
        </w:rPr>
      </w:pPr>
    </w:p>
    <w:p>
      <w:pPr>
        <w:ind w:left="1420" w:hanging="626"/>
        <w:spacing w:after="0"/>
        <w:tabs>
          <w:tab w:leader="none" w:pos="1420" w:val="left"/>
        </w:tabs>
        <w:numPr>
          <w:ilvl w:val="0"/>
          <w:numId w:val="94"/>
        </w:numPr>
        <w:rPr>
          <w:rFonts w:ascii="Arial" w:cs="Arial" w:eastAsia="Arial" w:hAnsi="Arial"/>
          <w:sz w:val="21"/>
          <w:szCs w:val="21"/>
          <w:color w:val="auto"/>
        </w:rPr>
      </w:pPr>
      <w:r>
        <w:rPr>
          <w:rFonts w:ascii="Arial" w:cs="Arial" w:eastAsia="Arial" w:hAnsi="Arial"/>
          <w:sz w:val="21"/>
          <w:szCs w:val="21"/>
          <w:b w:val="1"/>
          <w:bCs w:val="1"/>
          <w:color w:val="auto"/>
        </w:rPr>
        <w:t xml:space="preserve">“Code” </w:t>
      </w:r>
      <w:r>
        <w:rPr>
          <w:rFonts w:ascii="Arial" w:cs="Arial" w:eastAsia="Arial" w:hAnsi="Arial"/>
          <w:sz w:val="21"/>
          <w:szCs w:val="21"/>
          <w:color w:val="auto"/>
        </w:rPr>
        <w:t>shall mean the Internal Revenue Code of 1986, as amended.</w:t>
      </w:r>
    </w:p>
    <w:p>
      <w:pPr>
        <w:spacing w:after="0" w:line="222" w:lineRule="exact"/>
        <w:rPr>
          <w:rFonts w:ascii="Arial" w:cs="Arial" w:eastAsia="Arial" w:hAnsi="Arial"/>
          <w:sz w:val="21"/>
          <w:szCs w:val="21"/>
          <w:color w:val="auto"/>
        </w:rPr>
      </w:pPr>
    </w:p>
    <w:p>
      <w:pPr>
        <w:ind w:left="160" w:firstLine="634"/>
        <w:spacing w:after="0" w:line="285" w:lineRule="auto"/>
        <w:tabs>
          <w:tab w:leader="none" w:pos="1427" w:val="left"/>
        </w:tabs>
        <w:numPr>
          <w:ilvl w:val="0"/>
          <w:numId w:val="9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Disabled”</w:t>
      </w:r>
      <w:r>
        <w:rPr>
          <w:rFonts w:ascii="Arial" w:cs="Arial" w:eastAsia="Arial" w:hAnsi="Arial"/>
          <w:sz w:val="21"/>
          <w:szCs w:val="21"/>
          <w:color w:val="auto"/>
        </w:rPr>
        <w:t xml:space="preserve"> shall mean Executive’s incapacity due to physical or mental illness or Executive is considered disabled under the Company’s long-term disability insurance plans.</w:t>
      </w:r>
    </w:p>
    <w:p>
      <w:pPr>
        <w:spacing w:after="0" w:line="141" w:lineRule="exact"/>
        <w:rPr>
          <w:rFonts w:ascii="Arial" w:cs="Arial" w:eastAsia="Arial" w:hAnsi="Arial"/>
          <w:sz w:val="21"/>
          <w:szCs w:val="21"/>
          <w:color w:val="auto"/>
        </w:rPr>
      </w:pPr>
    </w:p>
    <w:p>
      <w:pPr>
        <w:jc w:val="both"/>
        <w:ind w:left="160" w:firstLine="634"/>
        <w:spacing w:after="0" w:line="267" w:lineRule="auto"/>
        <w:tabs>
          <w:tab w:leader="none" w:pos="1420" w:val="left"/>
        </w:tabs>
        <w:numPr>
          <w:ilvl w:val="0"/>
          <w:numId w:val="94"/>
        </w:numPr>
        <w:rPr>
          <w:rFonts w:ascii="Arial" w:cs="Arial" w:eastAsia="Arial" w:hAnsi="Arial"/>
          <w:sz w:val="21"/>
          <w:szCs w:val="21"/>
          <w:color w:val="auto"/>
        </w:rPr>
      </w:pPr>
      <w:r>
        <w:rPr>
          <w:rFonts w:ascii="Arial" w:cs="Arial" w:eastAsia="Arial" w:hAnsi="Arial"/>
          <w:sz w:val="21"/>
          <w:szCs w:val="21"/>
          <w:b w:val="1"/>
          <w:bCs w:val="1"/>
          <w:color w:val="auto"/>
        </w:rPr>
        <w:t xml:space="preserve">“Person” </w:t>
      </w:r>
      <w:r>
        <w:rPr>
          <w:rFonts w:ascii="Arial" w:cs="Arial" w:eastAsia="Arial" w:hAnsi="Arial"/>
          <w:sz w:val="21"/>
          <w:szCs w:val="21"/>
          <w:color w:val="auto"/>
        </w:rPr>
        <w:t>shall mean any natural person, corporation, partnership (whether general or limited),</w:t>
      </w:r>
      <w:r>
        <w:rPr>
          <w:rFonts w:ascii="Arial" w:cs="Arial" w:eastAsia="Arial" w:hAnsi="Arial"/>
          <w:sz w:val="21"/>
          <w:szCs w:val="21"/>
          <w:b w:val="1"/>
          <w:bCs w:val="1"/>
          <w:color w:val="auto"/>
        </w:rPr>
        <w:t xml:space="preserve"> </w:t>
      </w:r>
      <w:r>
        <w:rPr>
          <w:rFonts w:ascii="Arial" w:cs="Arial" w:eastAsia="Arial" w:hAnsi="Arial"/>
          <w:sz w:val="21"/>
          <w:szCs w:val="21"/>
          <w:color w:val="auto"/>
        </w:rPr>
        <w:t>limited liability company, association, custodian, nominee, trust, estate, joint venture, governmental authority, or other individual or entity.</w:t>
      </w:r>
    </w:p>
    <w:p>
      <w:pPr>
        <w:spacing w:after="0" w:line="161" w:lineRule="exact"/>
        <w:rPr>
          <w:rFonts w:ascii="Arial" w:cs="Arial" w:eastAsia="Arial" w:hAnsi="Arial"/>
          <w:sz w:val="21"/>
          <w:szCs w:val="21"/>
          <w:color w:val="auto"/>
        </w:rPr>
      </w:pPr>
    </w:p>
    <w:p>
      <w:pPr>
        <w:jc w:val="both"/>
        <w:ind w:left="160" w:firstLine="634"/>
        <w:spacing w:after="0" w:line="267" w:lineRule="auto"/>
        <w:tabs>
          <w:tab w:leader="none" w:pos="1426" w:val="left"/>
        </w:tabs>
        <w:numPr>
          <w:ilvl w:val="0"/>
          <w:numId w:val="94"/>
        </w:numPr>
        <w:rPr>
          <w:rFonts w:ascii="Arial" w:cs="Arial" w:eastAsia="Arial" w:hAnsi="Arial"/>
          <w:sz w:val="21"/>
          <w:szCs w:val="21"/>
          <w:color w:val="auto"/>
        </w:rPr>
      </w:pPr>
      <w:r>
        <w:rPr>
          <w:rFonts w:ascii="Arial" w:cs="Arial" w:eastAsia="Arial" w:hAnsi="Arial"/>
          <w:sz w:val="21"/>
          <w:szCs w:val="21"/>
          <w:b w:val="1"/>
          <w:bCs w:val="1"/>
          <w:color w:val="auto"/>
        </w:rPr>
        <w:t xml:space="preserve">“Prospective Customer” </w:t>
      </w:r>
      <w:r>
        <w:rPr>
          <w:rFonts w:ascii="Arial" w:cs="Arial" w:eastAsia="Arial" w:hAnsi="Arial"/>
          <w:sz w:val="21"/>
          <w:szCs w:val="21"/>
          <w:color w:val="auto"/>
        </w:rPr>
        <w:t>shall mean any prospect with whom Executive or a representative of</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for which Executive was aware has engaged in discussions to do business with the Company within the last twelve (12) months of Executive’s employment.</w:t>
      </w:r>
    </w:p>
    <w:p>
      <w:pPr>
        <w:spacing w:after="0" w:line="161" w:lineRule="exact"/>
        <w:rPr>
          <w:rFonts w:ascii="Arial" w:cs="Arial" w:eastAsia="Arial" w:hAnsi="Arial"/>
          <w:sz w:val="21"/>
          <w:szCs w:val="21"/>
          <w:color w:val="auto"/>
        </w:rPr>
      </w:pPr>
    </w:p>
    <w:p>
      <w:pPr>
        <w:jc w:val="both"/>
        <w:ind w:left="160" w:firstLine="634"/>
        <w:spacing w:after="0" w:line="268" w:lineRule="auto"/>
        <w:tabs>
          <w:tab w:leader="none" w:pos="1432" w:val="left"/>
        </w:tabs>
        <w:numPr>
          <w:ilvl w:val="0"/>
          <w:numId w:val="94"/>
        </w:numPr>
        <w:rPr>
          <w:rFonts w:ascii="Arial" w:cs="Arial" w:eastAsia="Arial" w:hAnsi="Arial"/>
          <w:sz w:val="20"/>
          <w:szCs w:val="20"/>
          <w:color w:val="auto"/>
        </w:rPr>
      </w:pPr>
      <w:r>
        <w:rPr>
          <w:rFonts w:ascii="Arial" w:cs="Arial" w:eastAsia="Arial" w:hAnsi="Arial"/>
          <w:sz w:val="20"/>
          <w:szCs w:val="20"/>
          <w:b w:val="1"/>
          <w:bCs w:val="1"/>
          <w:color w:val="auto"/>
        </w:rPr>
        <w:t xml:space="preserve">“Restricted Activities” </w:t>
      </w:r>
      <w:r>
        <w:rPr>
          <w:rFonts w:ascii="Arial" w:cs="Arial" w:eastAsia="Arial" w:hAnsi="Arial"/>
          <w:sz w:val="20"/>
          <w:szCs w:val="20"/>
          <w:color w:val="auto"/>
        </w:rPr>
        <w:t>shall mean activity in which the Executive contributes the Executive’s</w:t>
      </w:r>
      <w:r>
        <w:rPr>
          <w:rFonts w:ascii="Arial" w:cs="Arial" w:eastAsia="Arial" w:hAnsi="Arial"/>
          <w:sz w:val="20"/>
          <w:szCs w:val="20"/>
          <w:b w:val="1"/>
          <w:bCs w:val="1"/>
          <w:color w:val="auto"/>
        </w:rPr>
        <w:t xml:space="preserve"> </w:t>
      </w:r>
      <w:r>
        <w:rPr>
          <w:rFonts w:ascii="Arial" w:cs="Arial" w:eastAsia="Arial" w:hAnsi="Arial"/>
          <w:sz w:val="20"/>
          <w:szCs w:val="20"/>
          <w:color w:val="auto"/>
        </w:rPr>
        <w:t>knowledge, directly or indirectly, in whole or in part, as an employee, employer, owner, operator, manager, advisor, consultant, contractor, agent, partner, director, stockholder, officer, volunteer, intern, or any other similar capacity to an entity, within the Restricted Territory, that is a property and casualty insurance company offering products that are the same or similar to the Company or an entity doing or intending to do business with a property and casualty insurance company and is engaged in the activity of implementing the framework for and/or processing telematics sensor data for the construction of predictive and/or explanatory signals related to behavior of an individual and/or motion of a vehicle while driving for use in insurance underwriting, rating or claims handling. Restricted Activity also includes activity that may require or inevitably require disclosure of trade secrets or Proprietary Information as defined in this Agreement or in the PII Agreement.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0120"/>
          </w:cols>
          <w:pgMar w:left="1440" w:top="1403" w:right="339" w:bottom="1440" w:gutter="0" w:footer="0" w:header="0"/>
        </w:sectPr>
      </w:pPr>
    </w:p>
    <w:bookmarkStart w:id="95" w:name="page96"/>
    <w:bookmarkEnd w:id="95"/>
    <w:p>
      <w:pPr>
        <w:ind w:left="1280" w:firstLine="634"/>
        <w:spacing w:after="0" w:line="285" w:lineRule="auto"/>
        <w:tabs>
          <w:tab w:leader="none" w:pos="2540" w:val="left"/>
        </w:tabs>
        <w:numPr>
          <w:ilvl w:val="0"/>
          <w:numId w:val="95"/>
        </w:numPr>
        <w:rPr>
          <w:rFonts w:ascii="Arial" w:cs="Arial" w:eastAsia="Arial" w:hAnsi="Arial"/>
          <w:sz w:val="21"/>
          <w:szCs w:val="21"/>
          <w:color w:val="auto"/>
        </w:rPr>
      </w:pPr>
      <w:r>
        <w:rPr>
          <w:rFonts w:ascii="Arial" w:cs="Arial" w:eastAsia="Arial" w:hAnsi="Arial"/>
          <w:sz w:val="21"/>
          <w:szCs w:val="21"/>
          <w:b w:val="1"/>
          <w:bCs w:val="1"/>
          <w:color w:val="auto"/>
        </w:rPr>
        <w:t xml:space="preserve">“Restricted Territory” </w:t>
      </w:r>
      <w:r>
        <w:rPr>
          <w:rFonts w:ascii="Arial" w:cs="Arial" w:eastAsia="Arial" w:hAnsi="Arial"/>
          <w:sz w:val="21"/>
          <w:szCs w:val="21"/>
          <w:color w:val="auto"/>
        </w:rPr>
        <w:t>shall mean the world because the type of work Executive is engaged can be</w:t>
      </w:r>
      <w:r>
        <w:rPr>
          <w:rFonts w:ascii="Arial" w:cs="Arial" w:eastAsia="Arial" w:hAnsi="Arial"/>
          <w:sz w:val="21"/>
          <w:szCs w:val="21"/>
          <w:b w:val="1"/>
          <w:bCs w:val="1"/>
          <w:color w:val="auto"/>
        </w:rPr>
        <w:t xml:space="preserve"> </w:t>
      </w:r>
      <w:r>
        <w:rPr>
          <w:rFonts w:ascii="Arial" w:cs="Arial" w:eastAsia="Arial" w:hAnsi="Arial"/>
          <w:sz w:val="21"/>
          <w:szCs w:val="21"/>
          <w:color w:val="auto"/>
        </w:rPr>
        <w:t>performed, shared, utilized, developed, bought, sold, or accessed from anywhere to anywhere.</w:t>
      </w:r>
    </w:p>
    <w:p>
      <w:pPr>
        <w:spacing w:after="0" w:line="141" w:lineRule="exact"/>
        <w:rPr>
          <w:rFonts w:ascii="Arial" w:cs="Arial" w:eastAsia="Arial" w:hAnsi="Arial"/>
          <w:sz w:val="21"/>
          <w:szCs w:val="21"/>
          <w:color w:val="auto"/>
        </w:rPr>
      </w:pPr>
    </w:p>
    <w:p>
      <w:pPr>
        <w:jc w:val="both"/>
        <w:ind w:left="1280" w:firstLine="634"/>
        <w:spacing w:after="0" w:line="269" w:lineRule="auto"/>
        <w:tabs>
          <w:tab w:leader="none" w:pos="2547" w:val="left"/>
        </w:tabs>
        <w:numPr>
          <w:ilvl w:val="0"/>
          <w:numId w:val="95"/>
        </w:numPr>
        <w:rPr>
          <w:rFonts w:ascii="Arial" w:cs="Arial" w:eastAsia="Arial" w:hAnsi="Arial"/>
          <w:sz w:val="20"/>
          <w:szCs w:val="20"/>
          <w:color w:val="auto"/>
        </w:rPr>
      </w:pPr>
      <w:r>
        <w:rPr>
          <w:rFonts w:ascii="Arial" w:cs="Arial" w:eastAsia="Arial" w:hAnsi="Arial"/>
          <w:sz w:val="20"/>
          <w:szCs w:val="20"/>
          <w:b w:val="1"/>
          <w:bCs w:val="1"/>
          <w:color w:val="auto"/>
        </w:rPr>
        <w:t xml:space="preserve">“Subsidiary” </w:t>
      </w:r>
      <w:r>
        <w:rPr>
          <w:rFonts w:ascii="Arial" w:cs="Arial" w:eastAsia="Arial" w:hAnsi="Arial"/>
          <w:sz w:val="20"/>
          <w:szCs w:val="20"/>
          <w:color w:val="auto"/>
        </w:rPr>
        <w:t>shall mean, with respect to any Person, any corporation, partnership, limited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association, joint venture, or other business entity of which more than fifty percent (50%) of the total voting power of shares of stock or other ownership interests entitled (without regard to the occurrence of any contingency) to vote in the election of the Person (or, in the case of a partnership, limited liability company, or other similar entity, control of the general partnership, managing member, or similar interests)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169" w:lineRule="exact"/>
        <w:rPr>
          <w:rFonts w:ascii="Arial" w:cs="Arial" w:eastAsia="Arial" w:hAnsi="Arial"/>
          <w:sz w:val="20"/>
          <w:szCs w:val="20"/>
          <w:color w:val="auto"/>
        </w:rPr>
      </w:pPr>
    </w:p>
    <w:p>
      <w:pPr>
        <w:ind w:left="5420"/>
        <w:spacing w:after="0"/>
        <w:rPr>
          <w:rFonts w:ascii="Arial" w:cs="Arial" w:eastAsia="Arial" w:hAnsi="Arial"/>
          <w:sz w:val="20"/>
          <w:szCs w:val="20"/>
          <w:color w:val="auto"/>
        </w:rPr>
      </w:pPr>
      <w:r>
        <w:rPr>
          <w:rFonts w:ascii="Arial" w:cs="Arial" w:eastAsia="Arial" w:hAnsi="Arial"/>
          <w:sz w:val="21"/>
          <w:szCs w:val="2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1272"/>
        <w:spacing w:after="0" w:line="279" w:lineRule="auto"/>
        <w:rPr>
          <w:sz w:val="20"/>
          <w:szCs w:val="20"/>
          <w:color w:val="auto"/>
        </w:rPr>
      </w:pPr>
      <w:r>
        <w:rPr>
          <w:rFonts w:ascii="Arial" w:cs="Arial" w:eastAsia="Arial" w:hAnsi="Arial"/>
          <w:sz w:val="21"/>
          <w:szCs w:val="21"/>
          <w:color w:val="auto"/>
        </w:rPr>
        <w:t>IN WITNESS WHEREOF, the parties hereto have executed this Employment Agreement effective as of the date first written above but signed on the date(s) indicated below.</w:t>
      </w:r>
    </w:p>
    <w:p>
      <w:pPr>
        <w:spacing w:after="0" w:line="154"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CARET HOLDINGS, INC.</w:t>
      </w:r>
    </w:p>
    <w:p>
      <w:pPr>
        <w:spacing w:after="0" w:line="249" w:lineRule="exact"/>
        <w:rPr>
          <w:sz w:val="20"/>
          <w:szCs w:val="20"/>
          <w:color w:val="auto"/>
        </w:rPr>
      </w:pPr>
    </w:p>
    <w:p>
      <w:pPr>
        <w:ind w:left="3820"/>
        <w:spacing w:after="0"/>
        <w:tabs>
          <w:tab w:leader="none" w:pos="43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2621280</wp:posOffset>
            </wp:positionH>
            <wp:positionV relativeFrom="paragraph">
              <wp:posOffset>-12700</wp:posOffset>
            </wp:positionV>
            <wp:extent cx="17526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752600" cy="8255"/>
                    </a:xfrm>
                    <a:prstGeom prst="rect">
                      <a:avLst/>
                    </a:prstGeom>
                    <a:noFill/>
                  </pic:spPr>
                </pic:pic>
              </a:graphicData>
            </a:graphic>
          </wp:anchor>
        </w:drawing>
      </w:r>
    </w:p>
    <w:p>
      <w:pPr>
        <w:spacing w:after="0" w:line="229"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Name: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-12700</wp:posOffset>
            </wp:positionV>
            <wp:extent cx="14909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229" w:lineRule="exact"/>
        <w:rPr>
          <w:sz w:val="20"/>
          <w:szCs w:val="20"/>
          <w:color w:val="auto"/>
        </w:rPr>
      </w:pPr>
    </w:p>
    <w:p>
      <w:pPr>
        <w:ind w:left="3820"/>
        <w:spacing w:after="0"/>
        <w:tabs>
          <w:tab w:leader="none" w:pos="446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-12700</wp:posOffset>
            </wp:positionV>
            <wp:extent cx="16948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69481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Anirban Kundu</w:t>
      </w:r>
    </w:p>
    <w:p>
      <w:pPr>
        <w:spacing w:after="0" w:line="249"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/s/ Anirban Kundu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-12700</wp:posOffset>
            </wp:positionV>
            <wp:extent cx="16751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397"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Alexander Timm, certify that:</w:t>
      </w:r>
    </w:p>
    <w:p>
      <w:pPr>
        <w:spacing w:after="0" w:line="45" w:lineRule="exact"/>
        <w:rPr>
          <w:sz w:val="20"/>
          <w:szCs w:val="20"/>
          <w:color w:val="auto"/>
        </w:rPr>
      </w:pPr>
    </w:p>
    <w:p>
      <w:pPr>
        <w:ind w:left="520" w:hanging="498"/>
        <w:spacing w:after="0"/>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Root, Inc.;</w:t>
      </w:r>
    </w:p>
    <w:p>
      <w:pPr>
        <w:spacing w:after="0" w:line="44" w:lineRule="exact"/>
        <w:rPr>
          <w:rFonts w:ascii="Arial" w:cs="Arial" w:eastAsia="Arial" w:hAnsi="Arial"/>
          <w:sz w:val="18"/>
          <w:szCs w:val="18"/>
          <w:color w:val="auto"/>
        </w:rPr>
      </w:pPr>
    </w:p>
    <w:p>
      <w:pPr>
        <w:jc w:val="both"/>
        <w:ind w:left="200" w:right="20" w:hanging="178"/>
        <w:spacing w:after="0" w:line="239" w:lineRule="auto"/>
        <w:tabs>
          <w:tab w:leader="none" w:pos="5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Arial" w:cs="Arial" w:eastAsia="Arial" w:hAnsi="Arial"/>
          <w:sz w:val="18"/>
          <w:szCs w:val="18"/>
          <w:color w:val="auto"/>
        </w:rPr>
      </w:pPr>
    </w:p>
    <w:p>
      <w:pPr>
        <w:ind w:left="200" w:right="20" w:hanging="178"/>
        <w:spacing w:after="0" w:line="276" w:lineRule="auto"/>
        <w:tabs>
          <w:tab w:leader="none" w:pos="518"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00" w:right="20" w:hanging="178"/>
        <w:spacing w:after="0" w:line="249" w:lineRule="auto"/>
        <w:tabs>
          <w:tab w:leader="none" w:pos="5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we have:</w:t>
      </w:r>
    </w:p>
    <w:p>
      <w:pPr>
        <w:spacing w:after="0" w:line="21" w:lineRule="exact"/>
        <w:rPr>
          <w:rFonts w:ascii="Arial" w:cs="Arial" w:eastAsia="Arial" w:hAnsi="Arial"/>
          <w:sz w:val="18"/>
          <w:szCs w:val="18"/>
          <w:color w:val="auto"/>
        </w:rPr>
      </w:pPr>
    </w:p>
    <w:p>
      <w:pPr>
        <w:jc w:val="both"/>
        <w:ind w:left="780" w:right="20" w:hanging="255"/>
        <w:spacing w:after="0" w:line="239" w:lineRule="auto"/>
        <w:tabs>
          <w:tab w:leader="none" w:pos="1098"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8"/>
          <w:szCs w:val="18"/>
          <w:color w:val="auto"/>
        </w:rPr>
      </w:pPr>
    </w:p>
    <w:p>
      <w:pPr>
        <w:ind w:left="1100" w:hanging="575"/>
        <w:spacing w:after="0"/>
        <w:tabs>
          <w:tab w:leader="none" w:pos="11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44" w:lineRule="exact"/>
        <w:rPr>
          <w:rFonts w:ascii="Arial" w:cs="Arial" w:eastAsia="Arial" w:hAnsi="Arial"/>
          <w:sz w:val="18"/>
          <w:szCs w:val="18"/>
          <w:color w:val="auto"/>
        </w:rPr>
      </w:pPr>
    </w:p>
    <w:p>
      <w:pPr>
        <w:ind w:left="780" w:right="20" w:hanging="255"/>
        <w:spacing w:after="0" w:line="313" w:lineRule="auto"/>
        <w:tabs>
          <w:tab w:leader="none" w:pos="1098" w:val="left"/>
        </w:tabs>
        <w:numPr>
          <w:ilvl w:val="1"/>
          <w:numId w:val="9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80" w:right="20" w:hanging="255"/>
        <w:spacing w:after="0" w:line="239" w:lineRule="auto"/>
        <w:tabs>
          <w:tab w:leader="none" w:pos="1098"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rFonts w:ascii="Arial" w:cs="Arial" w:eastAsia="Arial" w:hAnsi="Arial"/>
          <w:sz w:val="18"/>
          <w:szCs w:val="18"/>
          <w:color w:val="auto"/>
        </w:rPr>
      </w:pPr>
    </w:p>
    <w:p>
      <w:pPr>
        <w:ind w:left="200" w:right="20" w:hanging="178"/>
        <w:spacing w:after="0" w:line="313" w:lineRule="auto"/>
        <w:tabs>
          <w:tab w:leader="none" w:pos="518"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80" w:right="20" w:hanging="255"/>
        <w:spacing w:after="0" w:line="276" w:lineRule="auto"/>
        <w:tabs>
          <w:tab w:leader="none" w:pos="1098" w:val="left"/>
        </w:tabs>
        <w:numPr>
          <w:ilvl w:val="1"/>
          <w:numId w:val="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80" w:right="20" w:hanging="255"/>
        <w:spacing w:after="0" w:line="249" w:lineRule="auto"/>
        <w:tabs>
          <w:tab w:leader="none" w:pos="1098"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696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5"/>
          <w:szCs w:val="15"/>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19685</wp:posOffset>
            </wp:positionV>
            <wp:extent cx="27178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3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Alexander Timm</w:t>
      </w:r>
    </w:p>
    <w:p>
      <w:pPr>
        <w:spacing w:after="0" w:line="4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 and Director</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920"/>
          </w:cols>
          <w:pgMar w:left="640" w:top="1393"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 Daniel Rosenthal, certify that:</w:t>
      </w:r>
    </w:p>
    <w:p>
      <w:pPr>
        <w:spacing w:after="0" w:line="111" w:lineRule="exact"/>
        <w:rPr>
          <w:sz w:val="20"/>
          <w:szCs w:val="20"/>
          <w:color w:val="auto"/>
        </w:rPr>
      </w:pPr>
    </w:p>
    <w:p>
      <w:pPr>
        <w:ind w:left="340" w:hanging="336"/>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Root, Inc.;</w:t>
      </w:r>
    </w:p>
    <w:p>
      <w:pPr>
        <w:spacing w:after="0" w:line="45" w:lineRule="exact"/>
        <w:rPr>
          <w:sz w:val="20"/>
          <w:szCs w:val="20"/>
          <w:color w:val="auto"/>
        </w:rPr>
      </w:pPr>
    </w:p>
    <w:p>
      <w:pPr>
        <w:ind w:left="340" w:right="20" w:hanging="336"/>
        <w:spacing w:after="0" w:line="313" w:lineRule="auto"/>
        <w:tabs>
          <w:tab w:leader="none" w:pos="3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sz w:val="20"/>
          <w:szCs w:val="20"/>
          <w:color w:val="auto"/>
        </w:rPr>
      </w:pPr>
    </w:p>
    <w:p>
      <w:pPr>
        <w:ind w:left="340" w:right="20" w:hanging="336"/>
        <w:spacing w:after="0" w:line="249"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sz w:val="20"/>
          <w:szCs w:val="20"/>
          <w:color w:val="auto"/>
        </w:rPr>
      </w:pPr>
    </w:p>
    <w:p>
      <w:pPr>
        <w:ind w:left="340" w:right="20" w:hanging="336"/>
        <w:spacing w:after="0" w:line="249"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we have:</w:t>
      </w:r>
    </w:p>
    <w:p>
      <w:pPr>
        <w:spacing w:after="0" w:line="21" w:lineRule="exact"/>
        <w:rPr>
          <w:rFonts w:ascii="Arial" w:cs="Arial" w:eastAsia="Arial" w:hAnsi="Arial"/>
          <w:sz w:val="18"/>
          <w:szCs w:val="18"/>
          <w:color w:val="auto"/>
        </w:rPr>
      </w:pPr>
    </w:p>
    <w:p>
      <w:pPr>
        <w:jc w:val="both"/>
        <w:ind w:left="720" w:right="20" w:hanging="385"/>
        <w:spacing w:after="0" w:line="239" w:lineRule="auto"/>
        <w:tabs>
          <w:tab w:leader="none" w:pos="7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8"/>
          <w:szCs w:val="18"/>
          <w:color w:val="auto"/>
        </w:rPr>
      </w:pPr>
    </w:p>
    <w:p>
      <w:pPr>
        <w:ind w:left="720" w:hanging="385"/>
        <w:spacing w:after="0"/>
        <w:tabs>
          <w:tab w:leader="none" w:pos="7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44" w:lineRule="exact"/>
        <w:rPr>
          <w:rFonts w:ascii="Arial" w:cs="Arial" w:eastAsia="Arial" w:hAnsi="Arial"/>
          <w:sz w:val="18"/>
          <w:szCs w:val="18"/>
          <w:color w:val="auto"/>
        </w:rPr>
      </w:pPr>
    </w:p>
    <w:p>
      <w:pPr>
        <w:ind w:left="720" w:right="20" w:hanging="385"/>
        <w:spacing w:after="0" w:line="276" w:lineRule="auto"/>
        <w:tabs>
          <w:tab w:leader="none" w:pos="72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20" w:right="20" w:hanging="385"/>
        <w:spacing w:after="0" w:line="239" w:lineRule="auto"/>
        <w:tabs>
          <w:tab w:leader="none" w:pos="7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sz w:val="20"/>
          <w:szCs w:val="20"/>
          <w:color w:val="auto"/>
        </w:rPr>
      </w:pPr>
    </w:p>
    <w:p>
      <w:pPr>
        <w:ind w:left="340" w:right="20" w:hanging="336"/>
        <w:spacing w:after="0" w:line="276" w:lineRule="auto"/>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20" w:right="20" w:hanging="385"/>
        <w:spacing w:after="0" w:line="249" w:lineRule="auto"/>
        <w:tabs>
          <w:tab w:leader="none" w:pos="7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720" w:right="20" w:hanging="385"/>
        <w:spacing w:after="0" w:line="249" w:lineRule="auto"/>
        <w:tabs>
          <w:tab w:leader="none" w:pos="7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tabs>
          <w:tab w:leader="none" w:pos="720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5"/>
          <w:szCs w:val="15"/>
          <w:color w:val="auto"/>
        </w:rPr>
        <w:t>/s/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19685</wp:posOffset>
            </wp:positionV>
            <wp:extent cx="2549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38"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Daniel Rosenthal</w:t>
      </w:r>
    </w:p>
    <w:p>
      <w:pPr>
        <w:spacing w:after="0" w:line="4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20"/>
          </w:cols>
          <w:pgMar w:left="340" w:top="1393"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Chief Financial Officer and Chief Accounting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2" w:lineRule="exact"/>
        <w:rPr>
          <w:sz w:val="20"/>
          <w:szCs w:val="20"/>
          <w:color w:val="auto"/>
        </w:rPr>
      </w:pPr>
    </w:p>
    <w:p>
      <w:pPr>
        <w:ind w:right="140" w:firstLine="318"/>
        <w:spacing w:after="0" w:line="277" w:lineRule="auto"/>
        <w:rPr>
          <w:sz w:val="20"/>
          <w:szCs w:val="20"/>
          <w:color w:val="auto"/>
        </w:rPr>
      </w:pPr>
      <w:r>
        <w:rPr>
          <w:rFonts w:ascii="Arial" w:cs="Arial" w:eastAsia="Arial" w:hAnsi="Arial"/>
          <w:sz w:val="17"/>
          <w:szCs w:val="17"/>
          <w:color w:val="auto"/>
        </w:rPr>
        <w:t>Pursuant to the requirements set forth in Rule 13a-14(b) of the Securities Exchange Act of 1934, as amended (the “Exchange Act”), and Section 1350 of Chapter 63 of Title 18 of the United States Code (“18 U.S.C. 1350”), Alexander Timm, Chief Executive Officer of Root, Inc. (the “Company”) and Daniel Rosenthal, Chief Financial Officer of the Company, each hereby certifies that, to the best of his knowledge:</w:t>
      </w:r>
    </w:p>
    <w:p>
      <w:pPr>
        <w:spacing w:after="0" w:line="251" w:lineRule="exact"/>
        <w:rPr>
          <w:sz w:val="20"/>
          <w:szCs w:val="20"/>
          <w:color w:val="auto"/>
        </w:rPr>
      </w:pPr>
    </w:p>
    <w:p>
      <w:pPr>
        <w:ind w:left="340" w:right="460" w:hanging="122"/>
        <w:spacing w:after="0" w:line="249" w:lineRule="auto"/>
        <w:rPr>
          <w:sz w:val="20"/>
          <w:szCs w:val="20"/>
          <w:color w:val="auto"/>
        </w:rPr>
      </w:pPr>
      <w:r>
        <w:rPr>
          <w:rFonts w:ascii="Arial" w:cs="Arial" w:eastAsia="Arial" w:hAnsi="Arial"/>
          <w:sz w:val="18"/>
          <w:szCs w:val="18"/>
          <w:color w:val="auto"/>
        </w:rPr>
        <w:t>1 The Company’s Quarterly Report on Form 10-Q for the period ended September 30, 2020 to which this certification is attached as Exhibit 32.1 (the “Periodic Report”), fully complies with the requirements of Section 13(a) or Section 15(d) of the Exchange Act; and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2 The information contained in the Periodic Report fairly presents, in all material respects, the financial condition and results of operations of the Company.</w:t>
      </w:r>
    </w:p>
    <w:p>
      <w:pPr>
        <w:spacing w:after="0" w:line="3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 August 12, 2021</w:t>
      </w:r>
    </w:p>
    <w:p>
      <w:pPr>
        <w:spacing w:after="0" w:line="200" w:lineRule="exact"/>
        <w:rPr>
          <w:sz w:val="20"/>
          <w:szCs w:val="20"/>
          <w:color w:val="auto"/>
        </w:rPr>
      </w:pPr>
    </w:p>
    <w:p>
      <w:pPr>
        <w:spacing w:after="0" w:line="33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10795</wp:posOffset>
            </wp:positionV>
            <wp:extent cx="22631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Alexander Timm</w:t>
      </w:r>
    </w:p>
    <w:p>
      <w:pPr>
        <w:spacing w:after="0" w:line="4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Executive Officer and Director</w:t>
      </w:r>
    </w:p>
    <w:p>
      <w:pPr>
        <w:spacing w:after="0" w:line="32"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Executive Officer)</w:t>
      </w:r>
    </w:p>
    <w:p>
      <w:pPr>
        <w:spacing w:after="0" w:line="27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10795</wp:posOffset>
            </wp:positionV>
            <wp:extent cx="22631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Daniel Rosenthal</w:t>
      </w:r>
    </w:p>
    <w:p>
      <w:pPr>
        <w:spacing w:after="0" w:line="4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32"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Financial Officer)</w:t>
      </w:r>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 after the date of this Quarterly Report on Form 10-Q, irrespective of any general incorporation language contained in any such filing.</w:t>
      </w:r>
    </w:p>
    <w:sectPr>
      <w:pgSz w:w="11900" w:h="16838" w:orient="portrait"/>
      <w:cols w:equalWidth="0" w:num="1">
        <w:col w:w="11240"/>
      </w:cols>
      <w:pgMar w:left="320" w:top="13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1."/>
      <w:numFmt w:val="decimal"/>
      <w:start w:val="1"/>
    </w:lvl>
  </w:abstractNum>
  <w:abstractNum w:abstractNumId="6">
    <w:nsid w:val="374A3FE6"/>
    <w:multiLevelType w:val="hybridMultilevel"/>
    <w:lvl w:ilvl="0">
      <w:lvlJc w:val="left"/>
      <w:lvlText w:val="%1."/>
      <w:numFmt w:val="decimal"/>
      <w:start w:val="2"/>
    </w:lvl>
  </w:abstractNum>
  <w:abstractNum w:abstractNumId="7">
    <w:nsid w:val="4F4EF005"/>
    <w:multiLevelType w:val="hybridMultilevel"/>
    <w:lvl w:ilvl="0">
      <w:lvlJc w:val="left"/>
      <w:lvlText w:val="%1."/>
      <w:numFmt w:val="decimal"/>
      <w:start w:val="3"/>
    </w:lvl>
  </w:abstractNum>
  <w:abstractNum w:abstractNumId="8">
    <w:nsid w:val="23F9C13C"/>
    <w:multiLevelType w:val="hybridMultilevel"/>
    <w:lvl w:ilvl="0">
      <w:lvlJc w:val="left"/>
      <w:lvlText w:val="%1."/>
      <w:numFmt w:val="decimal"/>
      <w:start w:val="4"/>
    </w:lvl>
  </w:abstractNum>
  <w:abstractNum w:abstractNumId="9">
    <w:nsid w:val="649BB77C"/>
    <w:multiLevelType w:val="hybridMultilevel"/>
    <w:lvl w:ilvl="0">
      <w:lvlJc w:val="left"/>
      <w:lvlText w:val="%1."/>
      <w:numFmt w:val="decimal"/>
      <w:start w:val="5"/>
    </w:lvl>
  </w:abstractNum>
  <w:abstractNum w:abstractNumId="10">
    <w:nsid w:val="275AC794"/>
    <w:multiLevelType w:val="hybridMultilevel"/>
    <w:lvl w:ilvl="0">
      <w:lvlJc w:val="left"/>
      <w:lvlText w:val="%1."/>
      <w:numFmt w:val="decimal"/>
      <w:start w:val="6"/>
    </w:lvl>
  </w:abstractNum>
  <w:abstractNum w:abstractNumId="11">
    <w:nsid w:val="39386575"/>
    <w:multiLevelType w:val="hybridMultilevel"/>
    <w:lvl w:ilvl="0">
      <w:lvlJc w:val="left"/>
      <w:lvlText w:val="%1."/>
      <w:numFmt w:val="decimal"/>
      <w:start w:val="7"/>
    </w:lvl>
  </w:abstractNum>
  <w:abstractNum w:abstractNumId="12">
    <w:nsid w:val="1CF10FD8"/>
    <w:multiLevelType w:val="hybridMultilevel"/>
    <w:lvl w:ilvl="0">
      <w:lvlJc w:val="left"/>
      <w:lvlText w:val="%1."/>
      <w:numFmt w:val="decimal"/>
      <w:start w:val="8"/>
    </w:lvl>
  </w:abstractNum>
  <w:abstractNum w:abstractNumId="13">
    <w:nsid w:val="180115BE"/>
    <w:multiLevelType w:val="hybridMultilevel"/>
    <w:lvl w:ilvl="0">
      <w:lvlJc w:val="left"/>
      <w:lvlText w:val="%1."/>
      <w:numFmt w:val="decimal"/>
      <w:start w:val="9"/>
    </w:lvl>
  </w:abstractNum>
  <w:abstractNum w:abstractNumId="14">
    <w:nsid w:val="235BA861"/>
    <w:multiLevelType w:val="hybridMultilevel"/>
    <w:lvl w:ilvl="0">
      <w:lvlJc w:val="left"/>
      <w:lvlText w:val="%1."/>
      <w:numFmt w:val="decimal"/>
      <w:start w:val="10"/>
    </w:lvl>
  </w:abstractNum>
  <w:abstractNum w:abstractNumId="15">
    <w:nsid w:val="47398C89"/>
    <w:multiLevelType w:val="hybridMultilevel"/>
    <w:lvl w:ilvl="0">
      <w:lvlJc w:val="left"/>
      <w:lvlText w:val="%1."/>
      <w:numFmt w:val="decimal"/>
      <w:start w:val="11"/>
    </w:lvl>
  </w:abstractNum>
  <w:abstractNum w:abstractNumId="16">
    <w:nsid w:val="354FE9F9"/>
    <w:multiLevelType w:val="hybridMultilevel"/>
    <w:lvl w:ilvl="0">
      <w:lvlJc w:val="left"/>
      <w:lvlText w:val="%1."/>
      <w:numFmt w:val="decimal"/>
      <w:start w:val="12"/>
    </w:lvl>
  </w:abstractNum>
  <w:abstractNum w:abstractNumId="17">
    <w:nsid w:val="15B5AF5C"/>
    <w:multiLevelType w:val="hybridMultilevel"/>
    <w:lvl w:ilvl="0">
      <w:lvlJc w:val="left"/>
      <w:lvlText w:val="%1."/>
      <w:numFmt w:val="decimal"/>
      <w:start w:val="13"/>
    </w:lvl>
  </w:abstractNum>
  <w:abstractNum w:abstractNumId="18">
    <w:nsid w:val="741226BB"/>
    <w:multiLevelType w:val="hybridMultilevel"/>
    <w:lvl w:ilvl="0">
      <w:lvlJc w:val="left"/>
      <w:lvlText w:val="%1."/>
      <w:numFmt w:val="decimal"/>
      <w:start w:val="14"/>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1)"/>
      <w:numFmt w:val="lowerRoman"/>
      <w:start w:val="1"/>
    </w:lvl>
  </w:abstractNum>
  <w:abstractNum w:abstractNumId="22">
    <w:nsid w:val="61574095"/>
    <w:multiLevelType w:val="hybridMultilevel"/>
    <w:lvl w:ilvl="0">
      <w:lvlJc w:val="left"/>
      <w:lvlText w:val="*"/>
      <w:numFmt w:val="bullet"/>
      <w:start w:val="1"/>
    </w:lvl>
    <w:lvl w:ilvl="1">
      <w:lvlJc w:val="left"/>
      <w:lvlText w:val="%2"/>
      <w:numFmt w:val="decimal"/>
      <w:start w:val="104"/>
    </w:lvl>
  </w:abstractNum>
  <w:abstractNum w:abstractNumId="23">
    <w:nsid w:val="7E0C57B1"/>
    <w:multiLevelType w:val="hybridMultilevel"/>
    <w:lvl w:ilvl="0">
      <w:lvlJc w:val="left"/>
      <w:lvlText w:val="(%1)"/>
      <w:numFmt w:val="lowerLetter"/>
      <w:start w:val="1"/>
    </w:lvl>
  </w:abstractNum>
  <w:abstractNum w:abstractNumId="24">
    <w:nsid w:val="77AE35EB"/>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25">
    <w:nsid w:val="579BE4F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6">
    <w:nsid w:val="310C50B3"/>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7">
    <w:nsid w:val="5FF87E0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8">
    <w:nsid w:val="2F305DEF"/>
    <w:multiLevelType w:val="hybridMultilevel"/>
    <w:lvl w:ilvl="0">
      <w:lvlJc w:val="left"/>
      <w:lvlText w:val="(%1)"/>
      <w:numFmt w:val="lowerLetter"/>
      <w:start w:val="4"/>
    </w:lvl>
    <w:lvl w:ilvl="1">
      <w:lvlJc w:val="left"/>
      <w:lvlText w:val="(%2)"/>
      <w:numFmt w:val="lowerRoman"/>
      <w:start w:val="1"/>
    </w:lvl>
  </w:abstractNum>
  <w:abstractNum w:abstractNumId="29">
    <w:nsid w:val="25A70BF7"/>
    <w:multiLevelType w:val="hybridMultilevel"/>
    <w:lvl w:ilvl="0">
      <w:lvlJc w:val="left"/>
      <w:lvlText w:val="(%1)"/>
      <w:numFmt w:val="lowerRoman"/>
      <w:start w:val="4"/>
    </w:lvl>
  </w:abstractNum>
  <w:abstractNum w:abstractNumId="30">
    <w:nsid w:val="1DBABF00"/>
    <w:multiLevelType w:val="hybridMultilevel"/>
    <w:lvl w:ilvl="0">
      <w:lvlJc w:val="left"/>
      <w:lvlText w:val="(%1)"/>
      <w:numFmt w:val="lowerLetter"/>
      <w:start w:val="1"/>
    </w:lvl>
  </w:abstractNum>
  <w:abstractNum w:abstractNumId="31">
    <w:nsid w:val="4AD084E9"/>
    <w:multiLevelType w:val="hybridMultilevel"/>
    <w:lvl w:ilvl="0">
      <w:lvlJc w:val="left"/>
      <w:lvlText w:val="(%1)"/>
      <w:numFmt w:val="lowerLetter"/>
      <w:start w:val="5"/>
    </w:lvl>
  </w:abstractNum>
  <w:abstractNum w:abstractNumId="32">
    <w:nsid w:val="1F48EAA1"/>
    <w:multiLevelType w:val="hybridMultilevel"/>
    <w:lvl w:ilvl="0">
      <w:lvlJc w:val="left"/>
      <w:lvlText w:val="(%1)"/>
      <w:numFmt w:val="lowerLetter"/>
      <w:start w:val="3"/>
    </w:lvl>
  </w:abstractNum>
  <w:abstractNum w:abstractNumId="33">
    <w:nsid w:val="1381823A"/>
    <w:multiLevelType w:val="hybridMultilevel"/>
    <w:lvl w:ilvl="0">
      <w:lvlJc w:val="left"/>
      <w:lvlText w:val="(%1)"/>
      <w:numFmt w:val="lowerLetter"/>
      <w:start w:val="1"/>
    </w:lvl>
  </w:abstractNum>
  <w:abstractNum w:abstractNumId="34">
    <w:nsid w:val="5DB70AE5"/>
    <w:multiLevelType w:val="hybridMultilevel"/>
    <w:lvl w:ilvl="0">
      <w:lvlJc w:val="left"/>
      <w:lvlText w:val="(%1)"/>
      <w:numFmt w:val="lowerLetter"/>
      <w:start w:val="1"/>
    </w:lvl>
  </w:abstractNum>
  <w:abstractNum w:abstractNumId="35">
    <w:nsid w:val="100F8FCA"/>
    <w:multiLevelType w:val="hybridMultilevel"/>
    <w:lvl w:ilvl="0">
      <w:lvlJc w:val="left"/>
      <w:lvlText w:val="(%1)"/>
      <w:numFmt w:val="decimal"/>
      <w:start w:val="24"/>
    </w:lvl>
    <w:lvl w:ilvl="1">
      <w:lvlJc w:val="left"/>
      <w:lvlText w:val="(%2)"/>
      <w:numFmt w:val="lowerLetter"/>
      <w:start w:val="5"/>
    </w:lvl>
  </w:abstractNum>
  <w:abstractNum w:abstractNumId="36">
    <w:nsid w:val="6590700B"/>
    <w:multiLevelType w:val="hybridMultilevel"/>
    <w:lvl w:ilvl="0">
      <w:lvlJc w:val="left"/>
      <w:lvlText w:val="(%1)"/>
      <w:numFmt w:val="lowerLetter"/>
      <w:start w:val="1"/>
    </w:lvl>
  </w:abstractNum>
  <w:abstractNum w:abstractNumId="37">
    <w:nsid w:val="15014ACB"/>
    <w:multiLevelType w:val="hybridMultilevel"/>
    <w:lvl w:ilvl="0">
      <w:lvlJc w:val="left"/>
      <w:lvlText w:val="(%1)"/>
      <w:numFmt w:val="lowerLetter"/>
      <w:start w:val="1"/>
    </w:lvl>
  </w:abstractNum>
  <w:abstractNum w:abstractNumId="38">
    <w:nsid w:val="5F5E7FD0"/>
    <w:multiLevelType w:val="hybridMultilevel"/>
    <w:lvl w:ilvl="0">
      <w:lvlJc w:val="left"/>
      <w:lvlText w:val="(%1)"/>
      <w:numFmt w:val="lowerLetter"/>
      <w:start w:val="9"/>
    </w:lvl>
    <w:lvl w:ilvl="1">
      <w:lvlJc w:val="left"/>
      <w:lvlText w:val="(%2)"/>
      <w:numFmt w:val="lowerLetter"/>
      <w:start w:val="2"/>
    </w:lvl>
  </w:abstractNum>
  <w:abstractNum w:abstractNumId="39">
    <w:nsid w:val="98A3148"/>
    <w:multiLevelType w:val="hybridMultilevel"/>
    <w:lvl w:ilvl="0">
      <w:lvlJc w:val="left"/>
      <w:lvlText w:val="(%1)"/>
      <w:numFmt w:val="lowerLetter"/>
      <w:start w:val="1"/>
    </w:lvl>
  </w:abstractNum>
  <w:abstractNum w:abstractNumId="40">
    <w:nsid w:val="799D0247"/>
    <w:multiLevelType w:val="hybridMultilevel"/>
    <w:lvl w:ilvl="0">
      <w:lvlJc w:val="left"/>
      <w:lvlText w:val="(%1)"/>
      <w:numFmt w:val="lowerLetter"/>
      <w:start w:val="3"/>
    </w:lvl>
  </w:abstractNum>
  <w:abstractNum w:abstractNumId="41">
    <w:nsid w:val="6B94764"/>
    <w:multiLevelType w:val="hybridMultilevel"/>
    <w:lvl w:ilvl="0">
      <w:lvlJc w:val="left"/>
      <w:lvlText w:val="(%1)"/>
      <w:numFmt w:val="lowerLetter"/>
      <w:start w:val="7"/>
    </w:lvl>
  </w:abstractNum>
  <w:abstractNum w:abstractNumId="42">
    <w:nsid w:val="42C296BD"/>
    <w:multiLevelType w:val="hybridMultilevel"/>
    <w:lvl w:ilvl="0">
      <w:lvlJc w:val="left"/>
      <w:lvlText w:val="(%1)"/>
      <w:numFmt w:val="lowerLetter"/>
      <w:start w:val="1"/>
    </w:lvl>
  </w:abstractNum>
  <w:abstractNum w:abstractNumId="43">
    <w:nsid w:val="168E121F"/>
    <w:multiLevelType w:val="hybridMultilevel"/>
    <w:lvl w:ilvl="0">
      <w:lvlJc w:val="left"/>
      <w:lvlText w:val="(%1)"/>
      <w:numFmt w:val="lowerLetter"/>
      <w:start w:val="1"/>
    </w:lvl>
  </w:abstractNum>
  <w:abstractNum w:abstractNumId="44">
    <w:nsid w:val="1EBA5D23"/>
    <w:multiLevelType w:val="hybridMultilevel"/>
    <w:lvl w:ilvl="0">
      <w:lvlJc w:val="left"/>
      <w:lvlText w:val="(%1)"/>
      <w:numFmt w:val="lowerLetter"/>
      <w:start w:val="1"/>
    </w:lvl>
  </w:abstractNum>
  <w:abstractNum w:abstractNumId="45">
    <w:nsid w:val="661E3F1E"/>
    <w:multiLevelType w:val="hybridMultilevel"/>
    <w:lvl w:ilvl="0">
      <w:lvlJc w:val="left"/>
      <w:lvlText w:val="(%1)"/>
      <w:numFmt w:val="lowerLetter"/>
      <w:start w:val="2"/>
    </w:lvl>
  </w:abstractNum>
  <w:abstractNum w:abstractNumId="46">
    <w:nsid w:val="5DC79EA8"/>
    <w:multiLevelType w:val="hybridMultilevel"/>
    <w:lvl w:ilvl="0">
      <w:lvlJc w:val="left"/>
      <w:lvlText w:val="(%1)"/>
      <w:numFmt w:val="lowerLetter"/>
      <w:start w:val="4"/>
    </w:lvl>
  </w:abstractNum>
  <w:abstractNum w:abstractNumId="47">
    <w:nsid w:val="540A471C"/>
    <w:multiLevelType w:val="hybridMultilevel"/>
    <w:lvl w:ilvl="0">
      <w:lvlJc w:val="left"/>
      <w:lvlText w:val="(%1)"/>
      <w:numFmt w:val="lowerLetter"/>
      <w:start w:val="5"/>
    </w:lvl>
  </w:abstractNum>
  <w:abstractNum w:abstractNumId="48">
    <w:nsid w:val="7BD3EE7B"/>
    <w:multiLevelType w:val="hybridMultilevel"/>
    <w:lvl w:ilvl="0">
      <w:lvlJc w:val="left"/>
      <w:lvlText w:val="(%1)"/>
      <w:numFmt w:val="lowerLetter"/>
      <w:start w:val="10"/>
    </w:lvl>
    <w:lvl w:ilvl="1">
      <w:lvlJc w:val="left"/>
      <w:lvlText w:val="(%2)"/>
      <w:numFmt w:val="lowerRoman"/>
      <w:start w:val="1"/>
    </w:lvl>
  </w:abstractNum>
  <w:abstractNum w:abstractNumId="49">
    <w:nsid w:val="51D9C564"/>
    <w:multiLevelType w:val="hybridMultilevel"/>
    <w:lvl w:ilvl="0">
      <w:lvlJc w:val="left"/>
      <w:lvlText w:val="(%1)"/>
      <w:numFmt w:val="lowerLetter"/>
      <w:start w:val="1"/>
    </w:lvl>
  </w:abstractNum>
  <w:abstractNum w:abstractNumId="50">
    <w:nsid w:val="613EFDC5"/>
    <w:multiLevelType w:val="hybridMultilevel"/>
    <w:lvl w:ilvl="0">
      <w:lvlJc w:val="left"/>
      <w:lvlText w:val="(%1)"/>
      <w:numFmt w:val="lowerLetter"/>
      <w:start w:val="3"/>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4">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5">
    <w:nsid w:val="8F2B15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6">
    <w:nsid w:val="1A32234B"/>
    <w:multiLevelType w:val="hybridMultilevel"/>
    <w:lvl w:ilvl="0">
      <w:lvlJc w:val="left"/>
      <w:lvlText w:val="%1."/>
      <w:numFmt w:val="decimal"/>
      <w:start w:val="4"/>
    </w:lvl>
    <w:lvl w:ilvl="1">
      <w:lvlJc w:val="left"/>
      <w:lvlText w:val="(%2)"/>
      <w:numFmt w:val="lowerLetter"/>
      <w:start w:val="1"/>
    </w:lvl>
  </w:abstractNum>
  <w:abstractNum w:abstractNumId="57">
    <w:nsid w:val="3B0FD379"/>
    <w:multiLevelType w:val="hybridMultilevel"/>
    <w:lvl w:ilvl="0">
      <w:lvlJc w:val="left"/>
      <w:lvlText w:val="(%1)"/>
      <w:numFmt w:val="lowerLetter"/>
      <w:start w:val="2"/>
    </w:lvl>
  </w:abstractNum>
  <w:abstractNum w:abstractNumId="58">
    <w:nsid w:val="68EB2F63"/>
    <w:multiLevelType w:val="hybridMultilevel"/>
    <w:lvl w:ilvl="0">
      <w:lvlJc w:val="left"/>
      <w:lvlText w:val="%1"/>
      <w:numFmt w:val="decimal"/>
      <w:start w:val="1"/>
    </w:lvl>
    <w:lvl w:ilvl="1">
      <w:lvlJc w:val="left"/>
      <w:lvlText w:val="(%2)"/>
      <w:numFmt w:val="lowerLetter"/>
      <w:start w:val="4"/>
    </w:lvl>
  </w:abstractNum>
  <w:abstractNum w:abstractNumId="59">
    <w:nsid w:val="4962813B"/>
    <w:multiLevelType w:val="hybridMultilevel"/>
    <w:lvl w:ilvl="0">
      <w:lvlJc w:val="left"/>
      <w:lvlText w:val="%1."/>
      <w:numFmt w:val="decimal"/>
      <w:start w:val="5"/>
    </w:lvl>
    <w:lvl w:ilvl="1">
      <w:lvlJc w:val="left"/>
      <w:lvlText w:val="%2"/>
      <w:numFmt w:val="lowerLetter"/>
      <w:start w:val="1"/>
    </w:lvl>
  </w:abstractNum>
  <w:abstractNum w:abstractNumId="60">
    <w:nsid w:val="60B6DF70"/>
    <w:multiLevelType w:val="hybridMultilevel"/>
    <w:lvl w:ilvl="0">
      <w:lvlJc w:val="left"/>
      <w:lvlText w:val="%1."/>
      <w:numFmt w:val="decimal"/>
      <w:start w:val="10"/>
    </w:lvl>
    <w:lvl w:ilvl="1">
      <w:lvlJc w:val="left"/>
      <w:lvlText w:val="*"/>
      <w:numFmt w:val="bullet"/>
      <w:start w:val="1"/>
    </w:lvl>
  </w:abstractNum>
  <w:abstractNum w:abstractNumId="61">
    <w:nsid w:val="6A5EE64"/>
    <w:multiLevelType w:val="hybridMultilevel"/>
    <w:lvl w:ilvl="0">
      <w:lvlJc w:val="left"/>
      <w:lvlText w:val="%1."/>
      <w:numFmt w:val="decimal"/>
      <w:start w:val="1"/>
    </w:lvl>
  </w:abstractNum>
  <w:abstractNum w:abstractNumId="62">
    <w:nsid w:val="14330624"/>
    <w:multiLevelType w:val="hybridMultilevel"/>
    <w:lvl w:ilvl="0">
      <w:lvlJc w:val="left"/>
      <w:lvlText w:val="(%1)"/>
      <w:numFmt w:val="lowerLetter"/>
      <w:start w:val="1"/>
    </w:lvl>
  </w:abstractNum>
  <w:abstractNum w:abstractNumId="63">
    <w:nsid w:val="7FFFCA11"/>
    <w:multiLevelType w:val="hybridMultilevel"/>
    <w:lvl w:ilvl="0">
      <w:lvlJc w:val="left"/>
      <w:lvlText w:val="%1."/>
      <w:numFmt w:val="decimal"/>
      <w:start w:val="3"/>
    </w:lvl>
  </w:abstractNum>
  <w:abstractNum w:abstractNumId="64">
    <w:nsid w:val="1A27709E"/>
    <w:multiLevelType w:val="hybridMultilevel"/>
    <w:lvl w:ilvl="0">
      <w:lvlJc w:val="left"/>
      <w:lvlText w:val="(%1)"/>
      <w:numFmt w:val="lowerLetter"/>
      <w:start w:val="1"/>
    </w:lvl>
  </w:abstractNum>
  <w:abstractNum w:abstractNumId="65">
    <w:nsid w:val="71EA1109"/>
    <w:multiLevelType w:val="hybridMultilevel"/>
    <w:lvl w:ilvl="0">
      <w:lvlJc w:val="left"/>
      <w:lvlText w:val="(%1)"/>
      <w:numFmt w:val="lowerLetter"/>
      <w:start w:val="3"/>
    </w:lvl>
  </w:abstractNum>
  <w:abstractNum w:abstractNumId="66">
    <w:nsid w:val="100F59DC"/>
    <w:multiLevelType w:val="hybridMultilevel"/>
    <w:lvl w:ilvl="0">
      <w:lvlJc w:val="left"/>
      <w:lvlText w:val="(%1)"/>
      <w:numFmt w:val="lowerLetter"/>
      <w:start w:val="5"/>
    </w:lvl>
  </w:abstractNum>
  <w:abstractNum w:abstractNumId="67">
    <w:nsid w:val="7FB7E0AA"/>
    <w:multiLevelType w:val="hybridMultilevel"/>
    <w:lvl w:ilvl="0">
      <w:lvlJc w:val="left"/>
      <w:lvlText w:val="%1."/>
      <w:numFmt w:val="decimal"/>
      <w:start w:val="4"/>
    </w:lvl>
  </w:abstractNum>
  <w:abstractNum w:abstractNumId="68">
    <w:nsid w:val="6EB5BD4"/>
    <w:multiLevelType w:val="hybridMultilevel"/>
    <w:lvl w:ilvl="0">
      <w:lvlJc w:val="left"/>
      <w:lvlText w:val="(%1)"/>
      <w:numFmt w:val="lowerLetter"/>
      <w:start w:val="1"/>
    </w:lvl>
    <w:lvl w:ilvl="1">
      <w:lvlJc w:val="left"/>
      <w:lvlText w:val="(%2)"/>
      <w:numFmt w:val="lowerRoman"/>
      <w:start w:val="1"/>
    </w:lvl>
  </w:abstractNum>
  <w:abstractNum w:abstractNumId="69">
    <w:nsid w:val="6F6DD9AC"/>
    <w:multiLevelType w:val="hybridMultilevel"/>
    <w:lvl w:ilvl="0">
      <w:lvlJc w:val="left"/>
      <w:lvlText w:val="(%1)"/>
      <w:numFmt w:val="upperLetter"/>
      <w:start w:val="1"/>
    </w:lvl>
  </w:abstractNum>
  <w:abstractNum w:abstractNumId="70">
    <w:nsid w:val="94211F2"/>
    <w:multiLevelType w:val="hybridMultilevel"/>
    <w:lvl w:ilvl="0">
      <w:lvlJc w:val="left"/>
      <w:lvlText w:val="(%1)"/>
      <w:numFmt w:val="lowerRoman"/>
      <w:start w:val="2"/>
    </w:lvl>
  </w:abstractNum>
  <w:abstractNum w:abstractNumId="71">
    <w:nsid w:val="885E1B"/>
    <w:multiLevelType w:val="hybridMultilevel"/>
    <w:lvl w:ilvl="0">
      <w:lvlJc w:val="left"/>
      <w:lvlText w:val="(%1)"/>
      <w:numFmt w:val="upperLetter"/>
      <w:start w:val="1"/>
    </w:lvl>
  </w:abstractNum>
  <w:abstractNum w:abstractNumId="72">
    <w:nsid w:val="76272110"/>
    <w:multiLevelType w:val="hybridMultilevel"/>
    <w:lvl w:ilvl="0">
      <w:lvlJc w:val="left"/>
      <w:lvlText w:val="(%1)"/>
      <w:numFmt w:val="lowerRoman"/>
      <w:start w:val="3"/>
    </w:lvl>
  </w:abstractNum>
  <w:abstractNum w:abstractNumId="73">
    <w:nsid w:val="4C04A8AF"/>
    <w:multiLevelType w:val="hybridMultilevel"/>
    <w:lvl w:ilvl="0">
      <w:lvlJc w:val="left"/>
      <w:lvlText w:val="(%1)"/>
      <w:numFmt w:val="upperLetter"/>
      <w:start w:val="1"/>
    </w:lvl>
  </w:abstractNum>
  <w:abstractNum w:abstractNumId="74">
    <w:nsid w:val="1716703B"/>
    <w:multiLevelType w:val="hybridMultilevel"/>
    <w:lvl w:ilvl="0">
      <w:lvlJc w:val="left"/>
      <w:lvlText w:val="(%1)"/>
      <w:numFmt w:val="upperLetter"/>
      <w:start w:val="3"/>
    </w:lvl>
    <w:lvl w:ilvl="1">
      <w:lvlJc w:val="left"/>
      <w:lvlText w:val="(%2)"/>
      <w:numFmt w:val="lowerLetter"/>
      <w:start w:val="3"/>
    </w:lvl>
  </w:abstractNum>
  <w:abstractNum w:abstractNumId="75">
    <w:nsid w:val="14E17E33"/>
    <w:multiLevelType w:val="hybridMultilevel"/>
    <w:lvl w:ilvl="0">
      <w:lvlJc w:val="left"/>
      <w:lvlText w:val="(%1)"/>
      <w:numFmt w:val="lowerLetter"/>
      <w:start w:val="7"/>
    </w:lvl>
  </w:abstractNum>
  <w:abstractNum w:abstractNumId="76">
    <w:nsid w:val="3222E7CD"/>
    <w:multiLevelType w:val="hybridMultilevel"/>
    <w:lvl w:ilvl="0">
      <w:lvlJc w:val="left"/>
      <w:lvlText w:val="%1."/>
      <w:numFmt w:val="decimal"/>
      <w:start w:val="5"/>
    </w:lvl>
  </w:abstractNum>
  <w:abstractNum w:abstractNumId="77">
    <w:nsid w:val="74DE0EE3"/>
    <w:multiLevelType w:val="hybridMultilevel"/>
    <w:lvl w:ilvl="0">
      <w:lvlJc w:val="left"/>
      <w:lvlText w:val="(%1)"/>
      <w:numFmt w:val="lowerLetter"/>
      <w:start w:val="1"/>
    </w:lvl>
  </w:abstractNum>
  <w:abstractNum w:abstractNumId="78">
    <w:nsid w:val="68EBC550"/>
    <w:multiLevelType w:val="hybridMultilevel"/>
    <w:lvl w:ilvl="0">
      <w:lvlJc w:val="left"/>
      <w:lvlText w:val="(%1)"/>
      <w:numFmt w:val="lowerLetter"/>
      <w:start w:val="4"/>
    </w:lvl>
  </w:abstractNum>
  <w:abstractNum w:abstractNumId="79">
    <w:nsid w:val="2DF6D648"/>
    <w:multiLevelType w:val="hybridMultilevel"/>
    <w:lvl w:ilvl="0">
      <w:lvlJc w:val="left"/>
      <w:lvlText w:val="%1."/>
      <w:numFmt w:val="decimal"/>
      <w:start w:val="6"/>
    </w:lvl>
  </w:abstractNum>
  <w:abstractNum w:abstractNumId="80">
    <w:nsid w:val="46B7D447"/>
    <w:multiLevelType w:val="hybridMultilevel"/>
    <w:lvl w:ilvl="0">
      <w:lvlJc w:val="left"/>
      <w:lvlText w:val="(%1)"/>
      <w:numFmt w:val="lowerLetter"/>
      <w:start w:val="1"/>
    </w:lvl>
  </w:abstractNum>
  <w:abstractNum w:abstractNumId="81">
    <w:nsid w:val="4A2AC315"/>
    <w:multiLevelType w:val="hybridMultilevel"/>
    <w:lvl w:ilvl="0">
      <w:lvlJc w:val="left"/>
      <w:lvlText w:val="(%1)"/>
      <w:numFmt w:val="lowerLetter"/>
      <w:start w:val="2"/>
    </w:lvl>
  </w:abstractNum>
  <w:abstractNum w:abstractNumId="82">
    <w:nsid w:val="39EE015C"/>
    <w:multiLevelType w:val="hybridMultilevel"/>
    <w:lvl w:ilvl="0">
      <w:lvlJc w:val="left"/>
      <w:lvlText w:val="(%1)"/>
      <w:numFmt w:val="lowerLetter"/>
      <w:start w:val="3"/>
    </w:lvl>
  </w:abstractNum>
  <w:abstractNum w:abstractNumId="83">
    <w:nsid w:val="57FC4FBB"/>
    <w:multiLevelType w:val="hybridMultilevel"/>
    <w:lvl w:ilvl="0">
      <w:lvlJc w:val="left"/>
      <w:lvlText w:val="%1."/>
      <w:numFmt w:val="decimal"/>
      <w:start w:val="7"/>
    </w:lvl>
  </w:abstractNum>
  <w:abstractNum w:abstractNumId="84">
    <w:nsid w:val="CC1016F"/>
    <w:multiLevelType w:val="hybridMultilevel"/>
    <w:lvl w:ilvl="0">
      <w:lvlJc w:val="left"/>
      <w:lvlText w:val="%1."/>
      <w:numFmt w:val="decimal"/>
      <w:start w:val="8"/>
    </w:lvl>
  </w:abstractNum>
  <w:abstractNum w:abstractNumId="85">
    <w:nsid w:val="43F18422"/>
    <w:multiLevelType w:val="hybridMultilevel"/>
    <w:lvl w:ilvl="0">
      <w:lvlJc w:val="left"/>
      <w:lvlText w:val="%1."/>
      <w:numFmt w:val="decimal"/>
      <w:start w:val="11"/>
    </w:lvl>
  </w:abstractNum>
  <w:abstractNum w:abstractNumId="86">
    <w:nsid w:val="60EF0119"/>
    <w:multiLevelType w:val="hybridMultilevel"/>
    <w:lvl w:ilvl="0">
      <w:lvlJc w:val="left"/>
      <w:lvlText w:val="%1."/>
      <w:numFmt w:val="decimal"/>
      <w:start w:val="17"/>
    </w:lvl>
  </w:abstractNum>
  <w:abstractNum w:abstractNumId="87">
    <w:nsid w:val="26F324BA"/>
    <w:multiLevelType w:val="hybridMultilevel"/>
    <w:lvl w:ilvl="0">
      <w:lvlJc w:val="left"/>
      <w:lvlText w:val="%1"/>
      <w:numFmt w:val="upperLetter"/>
      <w:start w:val="1"/>
    </w:lvl>
    <w:lvl w:ilvl="1">
      <w:lvlJc w:val="left"/>
      <w:lvlText w:val="(%2)"/>
      <w:numFmt w:val="lowerLetter"/>
      <w:start w:val="1"/>
    </w:lvl>
  </w:abstractNum>
  <w:abstractNum w:abstractNumId="88">
    <w:nsid w:val="7F01579B"/>
    <w:multiLevelType w:val="hybridMultilevel"/>
    <w:lvl w:ilvl="0">
      <w:lvlJc w:val="left"/>
      <w:lvlText w:val="(%1)"/>
      <w:numFmt w:val="upperLetter"/>
      <w:start w:val="1"/>
    </w:lvl>
    <w:lvl w:ilvl="1">
      <w:lvlJc w:val="left"/>
      <w:lvlText w:val="%2"/>
      <w:numFmt w:val="lowerLetter"/>
      <w:start w:val="1"/>
    </w:lvl>
  </w:abstractNum>
  <w:abstractNum w:abstractNumId="89">
    <w:nsid w:val="49DA307D"/>
    <w:multiLevelType w:val="hybridMultilevel"/>
    <w:lvl w:ilvl="0">
      <w:lvlJc w:val="left"/>
      <w:lvlText w:val="(%1)"/>
      <w:numFmt w:val="lowerLetter"/>
      <w:start w:val="4"/>
    </w:lvl>
  </w:abstractNum>
  <w:abstractNum w:abstractNumId="90">
    <w:nsid w:val="7055A5F5"/>
    <w:multiLevelType w:val="hybridMultilevel"/>
    <w:lvl w:ilvl="0">
      <w:lvlJc w:val="left"/>
      <w:lvlText w:val="%1."/>
      <w:numFmt w:val="decimal"/>
      <w:start w:val="19"/>
    </w:lvl>
  </w:abstractNum>
  <w:abstractNum w:abstractNumId="91">
    <w:nsid w:val="5FB8370B"/>
    <w:multiLevelType w:val="hybridMultilevel"/>
    <w:lvl w:ilvl="0">
      <w:lvlJc w:val="left"/>
      <w:lvlText w:val="%1."/>
      <w:numFmt w:val="decimal"/>
      <w:start w:val="22"/>
    </w:lvl>
  </w:abstractNum>
  <w:abstractNum w:abstractNumId="92">
    <w:nsid w:val="50801EE1"/>
    <w:multiLevelType w:val="hybridMultilevel"/>
    <w:lvl w:ilvl="0">
      <w:lvlJc w:val="left"/>
      <w:lvlText w:val="(%1)"/>
      <w:numFmt w:val="lowerLetter"/>
      <w:start w:val="1"/>
    </w:lvl>
    <w:lvl w:ilvl="1">
      <w:lvlJc w:val="left"/>
      <w:lvlText w:val="(%2)"/>
      <w:numFmt w:val="lowerRoman"/>
      <w:start w:val="1"/>
    </w:lvl>
  </w:abstractNum>
  <w:abstractNum w:abstractNumId="93">
    <w:nsid w:val="488AC1A"/>
    <w:multiLevelType w:val="hybridMultilevel"/>
    <w:lvl w:ilvl="0">
      <w:lvlJc w:val="left"/>
      <w:lvlText w:val="(%1)"/>
      <w:numFmt w:val="lowerRoman"/>
      <w:start w:val="3"/>
    </w:lvl>
  </w:abstractNum>
  <w:abstractNum w:abstractNumId="94">
    <w:nsid w:val="5FB8011C"/>
    <w:multiLevelType w:val="hybridMultilevel"/>
    <w:lvl w:ilvl="0">
      <w:lvlJc w:val="left"/>
      <w:lvlText w:val="(%1)"/>
      <w:numFmt w:val="lowerRoman"/>
      <w:start w:val="9"/>
    </w:lvl>
    <w:lvl w:ilvl="1">
      <w:lvlJc w:val="left"/>
      <w:lvlText w:val="*"/>
      <w:numFmt w:val="bullet"/>
      <w:start w:val="1"/>
    </w:lvl>
  </w:abstractNum>
  <w:abstractNum w:abstractNumId="95">
    <w:nsid w:val="6AA78F7F"/>
    <w:multiLevelType w:val="hybridMultilevel"/>
    <w:lvl w:ilvl="0">
      <w:lvlJc w:val="left"/>
      <w:lvlText w:val="%1."/>
      <w:numFmt w:val="decimal"/>
      <w:start w:val="1"/>
    </w:lvl>
    <w:lvl w:ilvl="1">
      <w:lvlJc w:val="left"/>
      <w:lvlText w:val="(%2)"/>
      <w:numFmt w:val="lowerLetter"/>
      <w:start w:val="1"/>
    </w:lvl>
  </w:abstractNum>
  <w:abstractNum w:abstractNumId="96">
    <w:nsid w:val="7672BD23"/>
    <w:multiLevelType w:val="hybridMultilevel"/>
    <w:lvl w:ilvl="0">
      <w:lvlJc w:val="left"/>
      <w:lvlText w:val="1"/>
      <w:numFmt w:val="bullet"/>
      <w:start w:val="1"/>
    </w:lvl>
  </w:abstractNum>
  <w:abstractNum w:abstractNumId="97">
    <w:nsid w:val="6FC75AF8"/>
    <w:multiLevelType w:val="hybridMultilevel"/>
    <w:lvl w:ilvl="0">
      <w:lvlJc w:val="left"/>
      <w:lvlText w:val="2"/>
      <w:numFmt w:val="bullet"/>
      <w:start w:val="1"/>
    </w:lvl>
  </w:abstractNum>
  <w:abstractNum w:abstractNumId="98">
    <w:nsid w:val="6A5F7029"/>
    <w:multiLevelType w:val="hybridMultilevel"/>
    <w:lvl w:ilvl="0">
      <w:lvlJc w:val="left"/>
      <w:lvlText w:val="3"/>
      <w:numFmt w:val="bullet"/>
      <w:start w:val="1"/>
    </w:lvl>
  </w:abstractNum>
  <w:abstractNum w:abstractNumId="99">
    <w:nsid w:val="7D5E18F8"/>
    <w:multiLevelType w:val="hybridMultilevel"/>
    <w:lvl w:ilvl="0">
      <w:lvlJc w:val="left"/>
      <w:lvlText w:val="4"/>
      <w:numFmt w:val="bullet"/>
      <w:start w:val="1"/>
    </w:lvl>
    <w:lvl w:ilvl="1">
      <w:lvlJc w:val="left"/>
      <w:lvlText w:val="(%2)"/>
      <w:numFmt w:val="lowerLetter"/>
      <w:start w:val="1"/>
    </w:lvl>
  </w:abstractNum>
  <w:abstractNum w:abstractNumId="100">
    <w:nsid w:val="5F3534A4"/>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90" Type="http://schemas.openxmlformats.org/officeDocument/2006/relationships/hyperlink" Target="http://www.sec.gov/Archives/edgar/data/1788882/000162828020014581/exhibit33-sx1a1xformof.htm" TargetMode="External"/><Relationship Id="rId91" Type="http://schemas.openxmlformats.org/officeDocument/2006/relationships/hyperlink" Target="http://www.sec.gov/Archives/edgar/data/1788882/000162828020014581/exhibit41-sx1a1xformof.htm" TargetMode="External"/><Relationship Id="rId92" Type="http://schemas.openxmlformats.org/officeDocument/2006/relationships/hyperlink" Target="http://www.sec.gov/Archives/edgar/data/1788882/000095012321010425/d7245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2021-08-12T09:10:55Z</dcterms:created>
  <dcterms:modified xsi:type="dcterms:W3CDTF">2021-08-12T09:10:55Z</dcterms:modified>
</cp:coreProperties>
</file>