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3"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41"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5, 2021</w:t>
      </w:r>
    </w:p>
    <w:p>
      <w:pPr>
        <w:spacing w:after="0" w:line="73"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ROOT,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55"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001-39658</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84-2717903</w:t>
            </w:r>
          </w:p>
        </w:tc>
      </w:tr>
      <w:tr>
        <w:trPr>
          <w:trHeight w:val="231"/>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spacing w:after="0"/>
              <w:rPr>
                <w:sz w:val="20"/>
                <w:szCs w:val="20"/>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80 E. Rich Street, Suite 500</w:t>
            </w:r>
          </w:p>
        </w:tc>
        <w:tc>
          <w:tcPr>
            <w:tcW w:w="4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Columbus, Ohio</w:t>
            </w:r>
          </w:p>
        </w:tc>
        <w:tc>
          <w:tcPr>
            <w:tcW w:w="488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43215</w:t>
            </w:r>
          </w:p>
        </w:tc>
      </w:tr>
      <w:tr>
        <w:trPr>
          <w:trHeight w:val="231"/>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spacing w:after="0"/>
              <w:rPr>
                <w:sz w:val="20"/>
                <w:szCs w:val="20"/>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(866) 980-9431</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00"/>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45"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213"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Instructions A.2. below):</w:t>
      </w:r>
    </w:p>
    <w:p>
      <w:pPr>
        <w:spacing w:after="0" w:line="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40" w:firstLine="8"/>
        <w:spacing w:after="0" w:line="277"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50"/>
        </w:trPr>
        <w:tc>
          <w:tcPr>
            <w:tcW w:w="3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ROOT</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2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1" w:name="page2"/>
    <w:bookmarkEnd w:id="1"/>
    <w:p>
      <w:pPr>
        <w:ind w:left="94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w:t>
      </w:r>
    </w:p>
    <w:p>
      <w:pPr>
        <w:spacing w:after="0" w:line="225"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On May 5, 2021, the Compensation Committee (the “Committee”) of the Board of Directors of the Company approved certain changes to the compensation arrangements for Alexander Timm, Co-Founder and Chief Executive Officer; Daniel Rosenthal, Chief Financial Officer; and Daniel Manges, Co-Founder and Chief Technology Officer (collectively, the “Executive Officers”).</w:t>
      </w:r>
    </w:p>
    <w:p>
      <w:pPr>
        <w:spacing w:after="0" w:line="211" w:lineRule="exact"/>
        <w:rPr>
          <w:sz w:val="20"/>
          <w:szCs w:val="20"/>
          <w:color w:val="auto"/>
        </w:rPr>
      </w:pPr>
    </w:p>
    <w:p>
      <w:pPr>
        <w:ind w:right="380" w:firstLine="180"/>
        <w:spacing w:after="0" w:line="263" w:lineRule="auto"/>
        <w:rPr>
          <w:sz w:val="20"/>
          <w:szCs w:val="20"/>
          <w:color w:val="auto"/>
        </w:rPr>
      </w:pPr>
      <w:r>
        <w:rPr>
          <w:rFonts w:ascii="Arial" w:cs="Arial" w:eastAsia="Arial" w:hAnsi="Arial"/>
          <w:sz w:val="18"/>
          <w:szCs w:val="18"/>
          <w:color w:val="auto"/>
        </w:rPr>
        <w:t>Mr. Timm’s annual base salary was increased to $750,000, with an effective date of February 1, 2021. Mr. Timm’s target annual bonus under the Company’s annual short-term incentive plan will be 150% of his annual base salary. Mr. Timm’s target annual equity grant under the Company’s 2020 Equity Incentive Plan (the “Plan”) will have a value of $6,000,000.</w:t>
      </w:r>
    </w:p>
    <w:p>
      <w:pPr>
        <w:spacing w:after="0" w:line="211" w:lineRule="exact"/>
        <w:rPr>
          <w:sz w:val="20"/>
          <w:szCs w:val="20"/>
          <w:color w:val="auto"/>
        </w:rPr>
      </w:pPr>
    </w:p>
    <w:p>
      <w:pPr>
        <w:ind w:right="180" w:firstLine="180"/>
        <w:spacing w:after="0" w:line="263" w:lineRule="auto"/>
        <w:rPr>
          <w:sz w:val="20"/>
          <w:szCs w:val="20"/>
          <w:color w:val="auto"/>
        </w:rPr>
      </w:pPr>
      <w:r>
        <w:rPr>
          <w:rFonts w:ascii="Arial" w:cs="Arial" w:eastAsia="Arial" w:hAnsi="Arial"/>
          <w:sz w:val="18"/>
          <w:szCs w:val="18"/>
          <w:color w:val="auto"/>
        </w:rPr>
        <w:t>In addition, Mr. Rosenthal’s and Mr. Manges’ annual base salaries were increased to $500,000, with an effective date of February 1, 2021. They will each have a target annual bonus under the Company’s annual short-term incentive plan of 125% of his annual base salary and a target annual equity grant under the Plan with a value of $3,460,000.</w:t>
      </w:r>
    </w:p>
    <w:p>
      <w:pPr>
        <w:spacing w:after="0" w:line="211" w:lineRule="exact"/>
        <w:rPr>
          <w:sz w:val="20"/>
          <w:szCs w:val="20"/>
          <w:color w:val="auto"/>
        </w:rPr>
      </w:pPr>
    </w:p>
    <w:p>
      <w:pPr>
        <w:ind w:right="220" w:firstLine="177"/>
        <w:spacing w:after="0" w:line="277" w:lineRule="auto"/>
        <w:rPr>
          <w:sz w:val="20"/>
          <w:szCs w:val="20"/>
          <w:color w:val="auto"/>
        </w:rPr>
      </w:pPr>
      <w:r>
        <w:rPr>
          <w:rFonts w:ascii="Arial" w:cs="Arial" w:eastAsia="Arial" w:hAnsi="Arial"/>
          <w:sz w:val="18"/>
          <w:szCs w:val="18"/>
          <w:color w:val="auto"/>
        </w:rPr>
        <w:t>The annual equity awards granted to the Executive Officers for 2021 consisted of restricted stock units, with one-quarter of the shares underlying such awards vesting on February 1, 2022 and the remainder vesting quarterly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1630680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ROOT, INC.</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11, 2021</w:t>
      </w:r>
    </w:p>
    <w:p>
      <w:pPr>
        <w:spacing w:after="0" w:line="77"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31750</wp:posOffset>
            </wp:positionV>
            <wp:extent cx="3394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7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Alexander Timm</w:t>
      </w:r>
    </w:p>
    <w:p>
      <w:pPr>
        <w:spacing w:after="0" w:line="7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Executive Officer and Director</w:t>
      </w:r>
    </w:p>
    <w:sectPr>
      <w:pgSz w:w="11900" w:h="16838" w:orient="portrait"/>
      <w:cols w:equalWidth="0" w:num="1">
        <w:col w:w="10940"/>
      </w:cols>
      <w:pgMar w:left="320" w:top="14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2021-05-11T16:11:47Z</dcterms:created>
  <dcterms:modified xsi:type="dcterms:W3CDTF">2021-05-11T16:11:47Z</dcterms:modified>
</cp:coreProperties>
</file>