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before="0" w:after="0"/>
        <w:jc w:val="center"/>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September 30, 2023</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or </w:t>
      </w:r>
    </w:p>
    <w:p>
      <w:pPr>
        <w:pStyle w:val="TextBody"/>
        <w:bidi w:val="0"/>
        <w:spacing w:lineRule="auto" w:line="288" w:before="0" w:after="0"/>
        <w:jc w:val="center"/>
        <w:rPr>
          <w:color w:val="000000"/>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from____________to____________</w:t>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 001-39658</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ROOT,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65" w:type="dxa"/>
        <w:jc w:val="center"/>
        <w:tblInd w:w="0" w:type="dxa"/>
        <w:tblLayout w:type="fixed"/>
        <w:tblCellMar>
          <w:top w:w="28" w:type="dxa"/>
          <w:left w:w="28" w:type="dxa"/>
          <w:bottom w:w="28" w:type="dxa"/>
          <w:right w:w="28" w:type="dxa"/>
        </w:tblCellMar>
      </w:tblPr>
      <w:tblGrid>
        <w:gridCol w:w="1060"/>
        <w:gridCol w:w="929"/>
        <w:gridCol w:w="935"/>
        <w:gridCol w:w="109"/>
        <w:gridCol w:w="109"/>
        <w:gridCol w:w="109"/>
        <w:gridCol w:w="528"/>
        <w:gridCol w:w="528"/>
        <w:gridCol w:w="758"/>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84-2717903</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Number)</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80 E. Rich Street, Suite 500</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Columbus, Ohio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43215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(866) 980-9431</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6837" w:type="dxa"/>
        <w:jc w:val="left"/>
        <w:tblInd w:w="0" w:type="dxa"/>
        <w:tblLayout w:type="fixed"/>
        <w:tblCellMar>
          <w:top w:w="28" w:type="dxa"/>
          <w:left w:w="28" w:type="dxa"/>
          <w:bottom w:w="28" w:type="dxa"/>
          <w:right w:w="28" w:type="dxa"/>
        </w:tblCellMar>
      </w:tblPr>
      <w:tblGrid>
        <w:gridCol w:w="748"/>
        <w:gridCol w:w="656"/>
        <w:gridCol w:w="665"/>
        <w:gridCol w:w="484"/>
        <w:gridCol w:w="484"/>
        <w:gridCol w:w="486"/>
        <w:gridCol w:w="970"/>
        <w:gridCol w:w="970"/>
        <w:gridCol w:w="1374"/>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06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w:t>
              <w:br/>
              <w:t>$0.0001 par value per share</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ROOT</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124" w:type="dxa"/>
        <w:jc w:val="left"/>
        <w:tblInd w:w="0" w:type="dxa"/>
        <w:tblLayout w:type="fixed"/>
        <w:tblCellMar>
          <w:top w:w="28" w:type="dxa"/>
          <w:left w:w="28" w:type="dxa"/>
          <w:bottom w:w="28" w:type="dxa"/>
          <w:right w:w="28" w:type="dxa"/>
        </w:tblCellMar>
      </w:tblPr>
      <w:tblGrid>
        <w:gridCol w:w="674"/>
        <w:gridCol w:w="592"/>
        <w:gridCol w:w="594"/>
        <w:gridCol w:w="662"/>
        <w:gridCol w:w="662"/>
        <w:gridCol w:w="940"/>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 ☐</w:t>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 ☒</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 ☐</w:t>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October 27, 2023, the number of outstanding shares of the registrant’s Class A common stock, par value $0.0001 per share, was 9.6 million and the number of outstanding shares of the registrant’s Class B common stock, par value $0.0001 per share, was 5.0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693"/>
        <w:gridCol w:w="608"/>
        <w:gridCol w:w="608"/>
        <w:gridCol w:w="2659"/>
        <w:gridCol w:w="2507"/>
        <w:gridCol w:w="2557"/>
        <w:gridCol w:w="167"/>
        <w:gridCol w:w="167"/>
        <w:gridCol w:w="239"/>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2507"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
              <w:r>
                <w:rPr>
                  <w:rStyle w:val="InternetLink"/>
                  <w:rFonts w:ascii="Times New Roman;sans-serif" w:hAnsi="Times New Roman;sans-serif"/>
                  <w:b w:val="false"/>
                  <w:color w:val="0000FF"/>
                  <w:sz w:val="20"/>
                  <w:u w:val="single"/>
                </w:rPr>
                <w:t>Special Note Regarding Forward-Looking Statements</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6">
              <w:r>
                <w:rPr>
                  <w:rStyle w:val="InternetLink"/>
                  <w:rFonts w:ascii="Times New Roman;sans-serif" w:hAnsi="Times New Roman;sans-serif"/>
                  <w:b/>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6">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9">
              <w:r>
                <w:rPr>
                  <w:rStyle w:val="InternetLink"/>
                  <w:rFonts w:ascii="Times New Roman;sans-serif" w:hAnsi="Times New Roman;sans-serif"/>
                  <w:b w:val="false"/>
                  <w:color w:val="0000FF"/>
                  <w:sz w:val="20"/>
                  <w:u w:val="single"/>
                </w:rPr>
                <w:t xml:space="preserve">Item 1.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22">
              <w:r>
                <w:rPr>
                  <w:rStyle w:val="InternetLink"/>
                  <w:rFonts w:ascii="Times New Roman;sans-serif" w:hAnsi="Times New Roman;sans-serif"/>
                  <w:b w:val="false"/>
                  <w:color w:val="0000FF"/>
                  <w:sz w:val="20"/>
                  <w:u w:val="single"/>
                </w:rPr>
                <w:t>Condensed Consolidated Balance Sheets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22">
              <w:r>
                <w:rPr>
                  <w:rStyle w:val="InternetLink"/>
                  <w:rFonts w:ascii="Times New Roman;sans-serif" w:hAnsi="Times New Roman;sans-serif"/>
                  <w:b w:val="false"/>
                  <w:color w:val="0000FF"/>
                  <w:sz w:val="20"/>
                  <w:u w:val="single"/>
                </w:rPr>
                <w:t>1</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28">
              <w:r>
                <w:rPr>
                  <w:rStyle w:val="InternetLink"/>
                  <w:rFonts w:ascii="Times New Roman;sans-serif" w:hAnsi="Times New Roman;sans-serif"/>
                  <w:b w:val="false"/>
                  <w:color w:val="0000FF"/>
                  <w:sz w:val="20"/>
                  <w:u w:val="single"/>
                </w:rPr>
                <w:t>Condensed Consolidated Statements of Operations and Comprehensive Loss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28">
              <w:r>
                <w:rPr>
                  <w:rStyle w:val="InternetLink"/>
                  <w:rFonts w:ascii="Times New Roman;sans-serif" w:hAnsi="Times New Roman;sans-serif"/>
                  <w:b w:val="false"/>
                  <w:color w:val="0000FF"/>
                  <w:sz w:val="20"/>
                  <w:u w:val="single"/>
                </w:rPr>
                <w:t>2</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01c7bf769b4ee08022fc9c9d54b9c8_34">
              <w:r>
                <w:rPr>
                  <w:rStyle w:val="InternetLink"/>
                  <w:rFonts w:ascii="Times New Roman;sans-serif" w:hAnsi="Times New Roman;sans-serif"/>
                  <w:b w:val="false"/>
                  <w:color w:val="0000FF"/>
                  <w:sz w:val="20"/>
                  <w:u w:val="single"/>
                </w:rPr>
                <w:t>Condensed Consolidated Statements of Redeemable Convertible Preferred Stock and Stockholders’ Equity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34">
              <w:r>
                <w:rPr>
                  <w:rStyle w:val="InternetLink"/>
                  <w:rFonts w:ascii="Times New Roman;sans-serif" w:hAnsi="Times New Roman;sans-serif"/>
                  <w:b w:val="false"/>
                  <w:color w:val="0000FF"/>
                  <w:sz w:val="20"/>
                  <w:u w:val="single"/>
                </w:rPr>
                <w:t>3</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40">
              <w:r>
                <w:rPr>
                  <w:rStyle w:val="InternetLink"/>
                  <w:rFonts w:ascii="Times New Roman;sans-serif" w:hAnsi="Times New Roman;sans-serif"/>
                  <w:b w:val="false"/>
                  <w:color w:val="0000FF"/>
                  <w:sz w:val="20"/>
                  <w:u w:val="single"/>
                </w:rPr>
                <w:t>Condensed Consolidated Statements of Cash Flows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40">
              <w:r>
                <w:rPr>
                  <w:rStyle w:val="InternetLink"/>
                  <w:rFonts w:ascii="Times New Roman;sans-serif" w:hAnsi="Times New Roman;sans-serif"/>
                  <w:b w:val="false"/>
                  <w:color w:val="0000FF"/>
                  <w:sz w:val="20"/>
                  <w:u w:val="single"/>
                </w:rPr>
                <w:t>5</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43">
              <w:r>
                <w:rPr>
                  <w:rStyle w:val="InternetLink"/>
                  <w:rFonts w:ascii="Times New Roman;sans-serif" w:hAnsi="Times New Roman;sans-serif"/>
                  <w:b w:val="false"/>
                  <w:color w:val="0000FF"/>
                  <w:sz w:val="20"/>
                  <w:u w:val="single"/>
                </w:rPr>
                <w:t>Notes to Condensed Consolidated Financial Statements -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43">
              <w:r>
                <w:rPr>
                  <w:rStyle w:val="InternetLink"/>
                  <w:rFonts w:ascii="Times New Roman;sans-serif" w:hAnsi="Times New Roman;sans-serif"/>
                  <w:b w:val="false"/>
                  <w:color w:val="0000FF"/>
                  <w:sz w:val="20"/>
                  <w:u w:val="single"/>
                </w:rPr>
                <w:t>6</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03">
              <w:r>
                <w:rPr>
                  <w:rStyle w:val="InternetLink"/>
                  <w:rFonts w:ascii="Times New Roman;sans-serif" w:hAnsi="Times New Roman;sans-serif"/>
                  <w:b w:val="false"/>
                  <w:color w:val="0000FF"/>
                  <w:sz w:val="20"/>
                  <w:u w:val="single"/>
                </w:rPr>
                <w:t xml:space="preserve">Item 2.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03">
              <w:r>
                <w:rPr>
                  <w:rStyle w:val="InternetLink"/>
                  <w:rFonts w:ascii="Times New Roman;sans-serif" w:hAnsi="Times New Roman;sans-serif"/>
                  <w:b w:val="false"/>
                  <w:color w:val="0000FF"/>
                  <w:sz w:val="20"/>
                  <w:u w:val="single"/>
                </w:rPr>
                <w:t>23</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0">
              <w:r>
                <w:rPr>
                  <w:rStyle w:val="InternetLink"/>
                  <w:rFonts w:ascii="Times New Roman;sans-serif" w:hAnsi="Times New Roman;sans-serif"/>
                  <w:b w:val="false"/>
                  <w:color w:val="0000FF"/>
                  <w:sz w:val="20"/>
                  <w:u w:val="single"/>
                </w:rPr>
                <w:t>Item 3.</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0">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30">
              <w:r>
                <w:rPr>
                  <w:rStyle w:val="InternetLink"/>
                  <w:rFonts w:ascii="Times New Roman;sans-serif" w:hAnsi="Times New Roman;sans-serif"/>
                  <w:b w:val="false"/>
                  <w:color w:val="0000FF"/>
                  <w:sz w:val="20"/>
                  <w:u w:val="single"/>
                </w:rPr>
                <w:t>42</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3">
              <w:r>
                <w:rPr>
                  <w:rStyle w:val="InternetLink"/>
                  <w:rFonts w:ascii="Times New Roman;sans-serif" w:hAnsi="Times New Roman;sans-serif"/>
                  <w:b w:val="false"/>
                  <w:color w:val="0000FF"/>
                  <w:sz w:val="20"/>
                  <w:u w:val="single"/>
                </w:rPr>
                <w:t xml:space="preserve">Item 4.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3">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33">
              <w:r>
                <w:rPr>
                  <w:rStyle w:val="InternetLink"/>
                  <w:rFonts w:ascii="Times New Roman;sans-serif" w:hAnsi="Times New Roman;sans-serif"/>
                  <w:b w:val="false"/>
                  <w:color w:val="0000FF"/>
                  <w:sz w:val="20"/>
                  <w:u w:val="single"/>
                </w:rPr>
                <w:t>43</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36">
              <w:r>
                <w:rPr>
                  <w:rStyle w:val="InternetLink"/>
                  <w:rFonts w:ascii="Times New Roman;sans-serif" w:hAnsi="Times New Roman;sans-serif"/>
                  <w:b/>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36">
              <w:r>
                <w:rPr>
                  <w:rStyle w:val="InternetLink"/>
                  <w:rFonts w:ascii="Times New Roman;sans-serif" w:hAnsi="Times New Roman;sans-serif"/>
                  <w:b w:val="false"/>
                  <w:color w:val="0000FF"/>
                  <w:sz w:val="20"/>
                  <w:u w:val="single"/>
                </w:rPr>
                <w:t>44</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9">
              <w:r>
                <w:rPr>
                  <w:rStyle w:val="InternetLink"/>
                  <w:rFonts w:ascii="Times New Roman;sans-serif" w:hAnsi="Times New Roman;sans-serif"/>
                  <w:b w:val="false"/>
                  <w:color w:val="0000FF"/>
                  <w:sz w:val="20"/>
                  <w:u w:val="single"/>
                </w:rPr>
                <w:t xml:space="preserve">Item 1.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39">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39">
              <w:r>
                <w:rPr>
                  <w:rStyle w:val="InternetLink"/>
                  <w:rFonts w:ascii="Times New Roman;sans-serif" w:hAnsi="Times New Roman;sans-serif"/>
                  <w:b w:val="false"/>
                  <w:color w:val="0000FF"/>
                  <w:sz w:val="20"/>
                  <w:u w:val="single"/>
                </w:rPr>
                <w:t>44</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42">
              <w:r>
                <w:rPr>
                  <w:rStyle w:val="InternetLink"/>
                  <w:rFonts w:ascii="Times New Roman;sans-serif" w:hAnsi="Times New Roman;sans-serif"/>
                  <w:b w:val="false"/>
                  <w:color w:val="0000FF"/>
                  <w:sz w:val="20"/>
                  <w:u w:val="single"/>
                </w:rPr>
                <w:t>Item 1A.</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42">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42">
              <w:r>
                <w:rPr>
                  <w:rStyle w:val="InternetLink"/>
                  <w:rFonts w:ascii="Times New Roman;sans-serif" w:hAnsi="Times New Roman;sans-serif"/>
                  <w:b w:val="false"/>
                  <w:color w:val="0000FF"/>
                  <w:sz w:val="20"/>
                  <w:u w:val="single"/>
                </w:rPr>
                <w:t>45</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45">
              <w:r>
                <w:rPr>
                  <w:rStyle w:val="InternetLink"/>
                  <w:rFonts w:ascii="Times New Roman;sans-serif" w:hAnsi="Times New Roman;sans-serif"/>
                  <w:b w:val="false"/>
                  <w:color w:val="0000FF"/>
                  <w:sz w:val="20"/>
                  <w:u w:val="single"/>
                </w:rPr>
                <w:t xml:space="preserve">Item 2.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301c7bf769b4ee08022fc9c9d54b9c8_145">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45">
              <w:r>
                <w:rPr>
                  <w:rStyle w:val="InternetLink"/>
                  <w:rFonts w:ascii="Times New Roman;sans-serif" w:hAnsi="Times New Roman;sans-serif"/>
                  <w:b w:val="false"/>
                  <w:color w:val="0000FF"/>
                  <w:sz w:val="20"/>
                  <w:u w:val="single"/>
                </w:rPr>
                <w:t>46</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48">
              <w:r>
                <w:rPr>
                  <w:rStyle w:val="InternetLink"/>
                  <w:rFonts w:ascii="Times New Roman;sans-serif" w:hAnsi="Times New Roman;sans-serif"/>
                  <w:b w:val="false"/>
                  <w:color w:val="0000FF"/>
                  <w:sz w:val="20"/>
                  <w:u w:val="single"/>
                </w:rPr>
                <w:t xml:space="preserve">Item 3.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48">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48">
              <w:r>
                <w:rPr>
                  <w:rStyle w:val="InternetLink"/>
                  <w:rFonts w:ascii="Times New Roman;sans-serif" w:hAnsi="Times New Roman;sans-serif"/>
                  <w:b w:val="false"/>
                  <w:color w:val="0000FF"/>
                  <w:sz w:val="20"/>
                  <w:u w:val="single"/>
                </w:rPr>
                <w:t>47</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51">
              <w:r>
                <w:rPr>
                  <w:rStyle w:val="InternetLink"/>
                  <w:rFonts w:ascii="Times New Roman;sans-serif" w:hAnsi="Times New Roman;sans-serif"/>
                  <w:b w:val="false"/>
                  <w:color w:val="0000FF"/>
                  <w:sz w:val="20"/>
                  <w:u w:val="single"/>
                </w:rPr>
                <w:t>Item 4.</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51">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51">
              <w:r>
                <w:rPr>
                  <w:rStyle w:val="InternetLink"/>
                  <w:rFonts w:ascii="Times New Roman;sans-serif" w:hAnsi="Times New Roman;sans-serif"/>
                  <w:b w:val="false"/>
                  <w:color w:val="0000FF"/>
                  <w:sz w:val="20"/>
                  <w:u w:val="single"/>
                </w:rPr>
                <w:t>48</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54">
              <w:r>
                <w:rPr>
                  <w:rStyle w:val="InternetLink"/>
                  <w:rFonts w:ascii="Times New Roman;sans-serif" w:hAnsi="Times New Roman;sans-serif"/>
                  <w:b w:val="false"/>
                  <w:color w:val="0000FF"/>
                  <w:sz w:val="20"/>
                  <w:u w:val="single"/>
                </w:rPr>
                <w:t xml:space="preserve">Item 5. </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54">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54">
              <w:r>
                <w:rPr>
                  <w:rStyle w:val="InternetLink"/>
                  <w:rFonts w:ascii="Times New Roman;sans-serif" w:hAnsi="Times New Roman;sans-serif"/>
                  <w:b w:val="false"/>
                  <w:color w:val="0000FF"/>
                  <w:sz w:val="20"/>
                  <w:u w:val="single"/>
                </w:rPr>
                <w:t>49</w:t>
              </w:r>
            </w:hyperlink>
          </w:p>
        </w:tc>
      </w:tr>
      <w:tr>
        <w:trPr/>
        <w:tc>
          <w:tcPr>
            <w:tcW w:w="190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57">
              <w:r>
                <w:rPr>
                  <w:rStyle w:val="InternetLink"/>
                  <w:rFonts w:ascii="Times New Roman;sans-serif" w:hAnsi="Times New Roman;sans-serif"/>
                  <w:b w:val="false"/>
                  <w:color w:val="0000FF"/>
                  <w:sz w:val="20"/>
                  <w:u w:val="single"/>
                </w:rPr>
                <w:t>Item 6.</w:t>
              </w:r>
            </w:hyperlink>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57">
              <w:r>
                <w:rPr>
                  <w:rStyle w:val="InternetLink"/>
                  <w:rFonts w:ascii="Times New Roman;sans-serif" w:hAnsi="Times New Roman;sans-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57">
              <w:r>
                <w:rPr>
                  <w:rStyle w:val="InternetLink"/>
                  <w:rFonts w:ascii="Times New Roman;sans-serif" w:hAnsi="Times New Roman;sans-serif"/>
                  <w:b w:val="false"/>
                  <w:color w:val="0000FF"/>
                  <w:sz w:val="20"/>
                  <w:u w:val="single"/>
                </w:rPr>
                <w:t>50</w:t>
              </w:r>
            </w:hyperlink>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301c7bf769b4ee08022fc9c9d54b9c8_160">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301c7bf769b4ee08022fc9c9d54b9c8_160">
              <w:r>
                <w:rPr>
                  <w:rStyle w:val="InternetLink"/>
                  <w:rFonts w:ascii="Times New Roman;sans-serif" w:hAnsi="Times New Roman;sans-serif"/>
                  <w:b w:val="false"/>
                  <w:color w:val="0000FF"/>
                  <w:sz w:val="20"/>
                  <w:u w:val="single"/>
                </w:rPr>
                <w:t>52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SPECIAL NOTE REGARDING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about us and our industry that involve substantial risks and uncertainties. All statements other than statements of historical facts contained in this Quarterly Report on Form 10-Q are forward-looking statements. In some cases, you can identify forward-looking statements because they contain words such as “anticipate,” “believe,” “contemplate,” “continue,” “could,” “estimate,” “expect,” “intend,” “may,” “path,”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retain existing customers, acquire new customers and expand our customer reach;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expectations regarding our future financial performance, including total revenue, gross profit/(loss), net income/(loss), direct contribution, adjusted EBITDA, net loss and loss adjustment expense, or LAE, ratio, net expense ratio, net combined ratio, gross loss ratio, marketing costs and costs of customer acquisition, gross LAE ratio, gross expense ratio, gross combined ratio, quota share levels, changes in unencumbered cash balances and expansion of our new and renewal premium base;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realize profits, acquire customers, retain customers, contract with additional partners to utilize the product, or achieve other benefits from our embedded insurance offering;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our distribution channels through additional partnership relationships, digital media and referrals;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a significant long-term competitive advantage through our partnership with Carvana and other partnerships;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embedded products for our new embedded insurance partners;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supply chain disruptions, increasing inflation, a recession and/or disruptions to properly functioning financial and capital markets and interest rates on our business and financial condition;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reduce operating losses and extend our capital runway;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goal to be licensed in all states in the United States and the timing of obtaining additional licenses and launching in new states;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accuracy and efficiency of our telematics and behavioral data, and our ability to gather and leverage additional data;</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materially improve retention rates and our ability to realize benefits from retaining customers;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underwrite risks accurately and charge profitable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our business model and improve our capital and marketing efficiency;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drive improved conversion and decrease the cost of customer acquisition;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and enhance our brand and reputation;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manage the growth of our business;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raise additional capital efficiently or at all;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improve our product offerings, introduce new products and expand into additional insurance lines;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cross sell our products and attain greater value from each customer;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lack of operating history and ability to attain profitability;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compete effectively with existing competitors and new market entrants in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future performance of the markets in which we operate;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operate a “capital-efficient” business and obtain and maintain desirable levels of reinsurance;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further reductions in the utilization of reinsurance, which would result in retention of more premium and losses and could cause our capital requirements to increase;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economies of scale;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motivate and retain key personnel, or hire personnel, and to offer competitive compensation and benefits;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deliver a vertically integrated customer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products that utilize our telematics to drive better customer satisfaction and retention;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protect our intellectual property and any costs associated therewith;</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develop an autonomous claims experience;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take rate action early and react to changing environments;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meet risk-based capital requirements;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our ability to realize the benefits anticipated from our Texas county mutual fronting arrangement;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expand domestically;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 xml:space="preserve">our ability to stay in compliance with laws and regulations that currently apply or become applicable to our business; </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litigation or other losses;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effect of increasing interest rates on our available cash and our ability to maintain compliance with our credit agreement;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maintain proper and effective internal control over financial reporting and remediate existing deficiencies;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continue to meet the Nasdaq Stock Market listing standards;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growth rates of the markets in which we compete.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under the heading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indicates, references in this report to the terms “Root,” “the Company,” “we,” “our” and “us” refer to Root, Inc. and its subsidiaries.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may announce material business and financial information to our investors using our investor relations website (ir.joinroot.com). We therefore encourage investors and others interested in Root to review the information that we make available on our website, in addition to following our filings with the Securities and Exchange Commission, or SEC, webcasts, press releases and conference calls.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45"/>
        <w:gridCol w:w="2411"/>
        <w:gridCol w:w="1521"/>
        <w:gridCol w:w="292"/>
        <w:gridCol w:w="1063"/>
        <w:gridCol w:w="150"/>
        <w:gridCol w:w="150"/>
        <w:gridCol w:w="150"/>
        <w:gridCol w:w="150"/>
        <w:gridCol w:w="292"/>
        <w:gridCol w:w="1063"/>
        <w:gridCol w:w="218"/>
      </w:tblGrid>
      <w:tr>
        <w:trPr/>
        <w:tc>
          <w:tcPr>
            <w:tcW w:w="2745"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tc>
      </w:tr>
      <w:tr>
        <w:trPr/>
        <w:tc>
          <w:tcPr>
            <w:tcW w:w="6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w:t>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 available-for-sale, at fair value (amortized cost: $171.1 and $134.2 at September 30, 2023 and December 31, 2022, respectively)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(amortized cost: $2.6 and $0.4 at September 30, 2023 and December 31, 2022, respectively)</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investments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investments </w:t>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net of allowance of $2.7 and $2.8 at September 30, 2023 and December 31, 2022, respectively</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 net of allowance of $2.9 and $0.2 at September 30, 2023 and December 31, 2022, respectively</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Equity</w:t>
            </w:r>
          </w:p>
        </w:tc>
        <w:tc>
          <w:tcPr>
            <w:tcW w:w="15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 reserves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and warrants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951.1 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923.8 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11)</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convertible preferred stock, $0.0001 par value, 100.0 shares authorized, 14.1 shares issued and outstanding at September 30, 2023 and December 31, 2022 (liquidation preference of $126.5) </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1,000.0 shares authorized, 9.5 and 9.2 shares issued and outstanding at September 30, 2023 and December 31, 2022, respectively</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269.0 shares authorized, 5.0 shares issued and outstanding at September 30, 2023 and December 31, 2022</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equity</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1,312.9 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617"/>
        <w:gridCol w:w="1046"/>
        <w:gridCol w:w="1050"/>
        <w:gridCol w:w="284"/>
        <w:gridCol w:w="831"/>
        <w:gridCol w:w="147"/>
        <w:gridCol w:w="147"/>
        <w:gridCol w:w="147"/>
        <w:gridCol w:w="147"/>
        <w:gridCol w:w="284"/>
        <w:gridCol w:w="754"/>
        <w:gridCol w:w="147"/>
        <w:gridCol w:w="147"/>
        <w:gridCol w:w="147"/>
        <w:gridCol w:w="147"/>
        <w:gridCol w:w="284"/>
        <w:gridCol w:w="896"/>
        <w:gridCol w:w="147"/>
        <w:gridCol w:w="147"/>
        <w:gridCol w:w="147"/>
        <w:gridCol w:w="147"/>
        <w:gridCol w:w="284"/>
        <w:gridCol w:w="896"/>
        <w:gridCol w:w="215"/>
      </w:tblGrid>
      <w:tr>
        <w:trPr/>
        <w:tc>
          <w:tcPr>
            <w:tcW w:w="161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 UNAUDITED</w:t>
            </w:r>
          </w:p>
        </w:tc>
      </w:tr>
      <w:tr>
        <w:trPr/>
        <w:tc>
          <w:tcPr>
            <w:tcW w:w="37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data)</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180"/>
        <w:jc w:val="left"/>
        <w:rPr/>
      </w:pPr>
      <w:r>
        <w:rPr/>
      </w:r>
    </w:p>
    <w:tbl>
      <w:tblPr>
        <w:tblW w:w="12747" w:type="dxa"/>
        <w:jc w:val="left"/>
        <w:tblInd w:w="0" w:type="dxa"/>
        <w:tblLayout w:type="fixed"/>
        <w:tblCellMar>
          <w:top w:w="28" w:type="dxa"/>
          <w:left w:w="28" w:type="dxa"/>
          <w:bottom w:w="28" w:type="dxa"/>
          <w:right w:w="28" w:type="dxa"/>
        </w:tblCellMar>
      </w:tblPr>
      <w:tblGrid>
        <w:gridCol w:w="728"/>
        <w:gridCol w:w="311"/>
        <w:gridCol w:w="312"/>
        <w:gridCol w:w="255"/>
        <w:gridCol w:w="256"/>
        <w:gridCol w:w="117"/>
        <w:gridCol w:w="109"/>
        <w:gridCol w:w="109"/>
        <w:gridCol w:w="109"/>
        <w:gridCol w:w="211"/>
        <w:gridCol w:w="616"/>
        <w:gridCol w:w="109"/>
        <w:gridCol w:w="109"/>
        <w:gridCol w:w="109"/>
        <w:gridCol w:w="109"/>
        <w:gridCol w:w="109"/>
        <w:gridCol w:w="109"/>
        <w:gridCol w:w="109"/>
        <w:gridCol w:w="209"/>
        <w:gridCol w:w="197"/>
        <w:gridCol w:w="117"/>
        <w:gridCol w:w="109"/>
        <w:gridCol w:w="109"/>
        <w:gridCol w:w="109"/>
        <w:gridCol w:w="209"/>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1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01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Balance—September 30, 2023</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Balance—January 1, 2023</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stock—option exercises and restricted stock units vesting, net of shares withheld for employee taxes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Balance—September 30, 2023</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80"/>
        <w:jc w:val="left"/>
        <w:rPr/>
      </w:pPr>
      <w:r>
        <w:rPr/>
      </w:r>
    </w:p>
    <w:tbl>
      <w:tblPr>
        <w:tblW w:w="12837" w:type="dxa"/>
        <w:jc w:val="left"/>
        <w:tblInd w:w="0" w:type="dxa"/>
        <w:tblLayout w:type="fixed"/>
        <w:tblCellMar>
          <w:top w:w="28" w:type="dxa"/>
          <w:left w:w="28" w:type="dxa"/>
          <w:bottom w:w="28" w:type="dxa"/>
          <w:right w:w="28" w:type="dxa"/>
        </w:tblCellMar>
      </w:tblPr>
      <w:tblGrid>
        <w:gridCol w:w="803"/>
        <w:gridCol w:w="311"/>
        <w:gridCol w:w="312"/>
        <w:gridCol w:w="255"/>
        <w:gridCol w:w="256"/>
        <w:gridCol w:w="117"/>
        <w:gridCol w:w="109"/>
        <w:gridCol w:w="109"/>
        <w:gridCol w:w="109"/>
        <w:gridCol w:w="211"/>
        <w:gridCol w:w="616"/>
        <w:gridCol w:w="109"/>
        <w:gridCol w:w="109"/>
        <w:gridCol w:w="109"/>
        <w:gridCol w:w="109"/>
        <w:gridCol w:w="109"/>
        <w:gridCol w:w="109"/>
        <w:gridCol w:w="109"/>
        <w:gridCol w:w="209"/>
        <w:gridCol w:w="197"/>
        <w:gridCol w:w="117"/>
        <w:gridCol w:w="109"/>
        <w:gridCol w:w="109"/>
        <w:gridCol w:w="109"/>
        <w:gridCol w:w="224"/>
        <w:gridCol w:w="197"/>
        <w:gridCol w:w="117"/>
        <w:gridCol w:w="109"/>
        <w:gridCol w:w="109"/>
        <w:gridCol w:w="109"/>
        <w:gridCol w:w="211"/>
        <w:gridCol w:w="406"/>
        <w:gridCol w:w="109"/>
        <w:gridCol w:w="109"/>
        <w:gridCol w:w="109"/>
        <w:gridCol w:w="109"/>
        <w:gridCol w:w="109"/>
        <w:gridCol w:w="109"/>
        <w:gridCol w:w="751"/>
        <w:gridCol w:w="109"/>
        <w:gridCol w:w="211"/>
        <w:gridCol w:w="766"/>
        <w:gridCol w:w="109"/>
        <w:gridCol w:w="109"/>
        <w:gridCol w:w="109"/>
        <w:gridCol w:w="109"/>
        <w:gridCol w:w="341"/>
        <w:gridCol w:w="421"/>
        <w:gridCol w:w="109"/>
        <w:gridCol w:w="109"/>
        <w:gridCol w:w="109"/>
        <w:gridCol w:w="109"/>
        <w:gridCol w:w="211"/>
        <w:gridCol w:w="781"/>
        <w:gridCol w:w="109"/>
        <w:gridCol w:w="109"/>
        <w:gridCol w:w="109"/>
        <w:gridCol w:w="109"/>
        <w:gridCol w:w="211"/>
        <w:gridCol w:w="616"/>
        <w:gridCol w:w="154"/>
      </w:tblGrid>
      <w:tr>
        <w:trPr/>
        <w:tc>
          <w:tcPr>
            <w:tcW w:w="8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0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0101" w:type="dxa"/>
            <w:gridSpan w:val="4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REDEEMABLE CONVERTIBLE PREFERRED STOCK AND STOCKHOLDERS’ EQUITY - UNAUDITED</w:t>
            </w:r>
          </w:p>
        </w:tc>
        <w:tc>
          <w:tcPr>
            <w:tcW w:w="2736"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1308" w:type="dxa"/>
            <w:gridSpan w:val="6"/>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A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Class B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3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(in millions)</w:t>
            </w:r>
          </w:p>
        </w:tc>
        <w:tc>
          <w:tcPr>
            <w:tcW w:w="2736" w:type="dxa"/>
            <w:gridSpan w:val="12"/>
            <w:tcBorders/>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Balance—June 30,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to Class 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Balance—September 30, 2022</w:t>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Balance—January 1, 2022</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Class B to Class A</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stock—option exercises and restricted stock units vesting, net of shares withheld for employee taxes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early-exercised stock options from liabilities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stock—share-based compensation expense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issuance costs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warrants issued</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Balance—September 30, 2022</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2092"/>
        <w:gridCol w:w="1682"/>
        <w:gridCol w:w="1694"/>
        <w:gridCol w:w="422"/>
        <w:gridCol w:w="1359"/>
        <w:gridCol w:w="216"/>
        <w:gridCol w:w="216"/>
        <w:gridCol w:w="216"/>
        <w:gridCol w:w="216"/>
        <w:gridCol w:w="422"/>
        <w:gridCol w:w="1359"/>
        <w:gridCol w:w="311"/>
      </w:tblGrid>
      <w:tr>
        <w:trPr/>
        <w:tc>
          <w:tcPr>
            <w:tcW w:w="2092"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tc>
      </w:tr>
      <w:tr>
        <w:trPr/>
        <w:tc>
          <w:tcPr>
            <w:tcW w:w="1020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tc>
      </w:tr>
      <w:tr>
        <w:trPr/>
        <w:tc>
          <w:tcPr>
            <w:tcW w:w="5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lease modification</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and receivable</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reserves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premiums payable</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call and pay downs of investments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investments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Capitalization of internally developed software</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fixed assets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indefinite-lived intangible assets and transaction costs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restricted stock units, net of tax (withholding)/proceeds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debt and related warrants, net of issuance costs</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preferred stock and related warrants issuance costs</w:t>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(decrease) increase in cash, cash equivalents and restricted cash </w:t>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r>
        <w:trPr/>
        <w:tc>
          <w:tcPr>
            <w:tcW w:w="5468" w:type="dxa"/>
            <w:gridSpan w:val="3"/>
            <w:tcBorders/>
            <w:vAlign w:val="center"/>
          </w:tcPr>
          <w:p>
            <w:pPr>
              <w:pStyle w:val="TableContents"/>
              <w:bidi w:val="0"/>
              <w:spacing w:before="0" w:after="283"/>
              <w:jc w:val="left"/>
              <w:rPr>
                <w:sz w:val="4"/>
                <w:szCs w:val="4"/>
              </w:rPr>
            </w:pPr>
            <w:r>
              <w:rPr>
                <w:sz w:val="4"/>
                <w:szCs w:val="4"/>
              </w:rPr>
            </w:r>
          </w:p>
        </w:tc>
        <w:tc>
          <w:tcPr>
            <w:tcW w:w="1997"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2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ROOT, INC. AND SUBSIDIARIES</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w:t>
      </w:r>
      <w:r>
        <w:rPr>
          <w:rFonts w:ascii="Times New Roman;sans-serif" w:hAnsi="Times New Roman;sans-serif"/>
          <w:b/>
          <w:color w:val="000000"/>
          <w:sz w:val="20"/>
        </w:rPr>
        <w:t>NATURE OF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Root, Inc. is a holding company which, directly or indirectly, maintains 100% ownership of each of its subsidiaries, including, among others, Root Insurance Company and Root Property &amp; Casualty Insurance Company, both Ohio-domiciled insurance companies, and Root Reinsurance Company, Ltd., a Cayman Islands-domiciled reinsurance company, together with Root, Inc., “we,” “us” or “our.”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formed in 2015 and began writing personal auto insurance in July 2016. We are a technology company operating primarily a direct-to-consumer model with the majority of our personal insurance customers acquired through mobile applications and our embedded platform. We offer auto and renters insurance products underwritten by Root Insurance Company and Root Property &amp; Casualty Insurance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2.</w:t>
      </w:r>
      <w:r>
        <w:rPr>
          <w:rFonts w:ascii="Times New Roman;sans-serif" w:hAnsi="Times New Roman;sans-serif"/>
          <w:b/>
          <w:color w:val="000000"/>
          <w:sz w:val="20"/>
        </w:rPr>
        <w:t>BASIS OF PRESENTATION AND SUMMARY OF SIGNIFICANT ACCOUNTING POLICIES</w:t>
      </w:r>
    </w:p>
    <w:p>
      <w:pPr>
        <w:pStyle w:val="TextBody"/>
        <w:bidi w:val="0"/>
        <w:spacing w:lineRule="auto" w:line="288" w:before="0" w:after="180"/>
        <w:jc w:val="left"/>
        <w:rPr/>
      </w:pPr>
      <w:r>
        <w:rPr>
          <w:rFonts w:ascii="Times New Roman;sans-serif" w:hAnsi="Times New Roman;sans-serif"/>
          <w:b/>
          <w:color w:val="000000"/>
          <w:sz w:val="20"/>
        </w:rPr>
        <w:t>Basis of Presentation</w:t>
      </w:r>
      <w:r>
        <w:rPr>
          <w:color w:val="000000"/>
        </w:rPr>
        <w:t>—</w:t>
      </w:r>
      <w:r>
        <w:rPr>
          <w:rFonts w:ascii="Times New Roman;sans-serif" w:hAnsi="Times New Roman;sans-serif"/>
          <w:b w:val="false"/>
          <w:color w:val="000000"/>
          <w:sz w:val="20"/>
        </w:rPr>
        <w:t>In our opinion, all adjustments necessary for a fair presentation of the condensed consolidated financial statements have been included. All such adjustments are of a normal and recurring nature. These condensed consolidated financial statements are unaudited and, accordingly, should be read in conjunction with the consolidated financial statements and related notes included in the Annual Report on Form 10-K for the year ended December 31, 2022 filed with the Securities and Exchange Commission, or SEC, on February 22, 2023.</w:t>
      </w:r>
    </w:p>
    <w:p>
      <w:pPr>
        <w:pStyle w:val="TextBody"/>
        <w:bidi w:val="0"/>
        <w:spacing w:lineRule="auto" w:line="288" w:before="0" w:after="180"/>
        <w:jc w:val="left"/>
        <w:rPr/>
      </w:pPr>
      <w:r>
        <w:rPr>
          <w:rFonts w:ascii="Times New Roman;sans-serif" w:hAnsi="Times New Roman;sans-serif"/>
          <w:b/>
          <w:color w:val="000000"/>
          <w:sz w:val="20"/>
        </w:rPr>
        <w:t>Basis of Consolidation</w:t>
      </w:r>
      <w:r>
        <w:rPr>
          <w:color w:val="000000"/>
        </w:rPr>
        <w:t>—</w:t>
      </w:r>
      <w:r>
        <w:rPr>
          <w:rFonts w:ascii="Times New Roman;sans-serif" w:hAnsi="Times New Roman;sans-serif"/>
          <w:b w:val="false"/>
          <w:color w:val="000000"/>
          <w:sz w:val="20"/>
        </w:rPr>
        <w:t>The unaudited condensed consolidated financial statements include the accounts of Root, Inc. and its subsidiaries, all of which are wholly owned. These financial statements have been prepared in accordance with accounting principles generally accepted in the United States, or GAAP. All intercompany accounts and transactions have been eliminated.</w:t>
      </w:r>
    </w:p>
    <w:p>
      <w:pPr>
        <w:pStyle w:val="TextBody"/>
        <w:bidi w:val="0"/>
        <w:spacing w:lineRule="auto" w:line="288" w:before="0" w:after="180"/>
        <w:jc w:val="left"/>
        <w:rPr/>
      </w:pP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the unaudited condensed consolidated financial statements requires management to make certain estimates and assumptions that affect the reported amounts of assets and liabilities and disclosure of contingent assets and liabilities at the date of the unaudited condensed consolidated financial statements and the reported amounts of revenue and expenses during the reporting period. Actual results could differ from those estimates. Significant estimates reflected in our unaudited condensed consolidated financial statements include, but are not limited to, reserves for loss and loss adjustment expense, or LAE, valuation allowances for income taxes and allowance for expected credit losses on premium receivables and reinsurance recoverables.</w:t>
      </w:r>
    </w:p>
    <w:p>
      <w:pPr>
        <w:pStyle w:val="TextBody"/>
        <w:bidi w:val="0"/>
        <w:spacing w:lineRule="auto" w:line="288" w:before="0" w:after="180"/>
        <w:jc w:val="left"/>
        <w:rPr/>
      </w:pPr>
      <w:r>
        <w:rPr>
          <w:rFonts w:ascii="Times New Roman;sans-serif" w:hAnsi="Times New Roman;sans-serif"/>
          <w:b/>
          <w:color w:val="000000"/>
          <w:sz w:val="20"/>
        </w:rPr>
        <w:t>Revision of Previously Issued Financial Statements</w:t>
      </w:r>
      <w:r>
        <w:rPr>
          <w:color w:val="000000"/>
        </w:rPr>
        <w:t>—</w:t>
      </w:r>
      <w:r>
        <w:rPr>
          <w:rFonts w:ascii="Times New Roman;sans-serif" w:hAnsi="Times New Roman;sans-serif"/>
          <w:b w:val="false"/>
          <w:color w:val="000000"/>
          <w:sz w:val="20"/>
        </w:rPr>
        <w:t>During the fourth quarter of 2022, we identified errors in our first, second and third quarter financial statements for 2022 and revised the quarterly presentation of certain sales and marketing and general and administrative expenses on our condensed consolidated statements of operations and comprehensive loss related to the purported misappropriation of funds by a senior marketing employee. The errors did not impact periods prior to 2022.</w:t>
      </w:r>
    </w:p>
    <w:p>
      <w:pPr>
        <w:pStyle w:val="TextBody"/>
        <w:bidi w:val="0"/>
        <w:spacing w:lineRule="auto" w:line="288" w:before="0" w:after="180"/>
        <w:jc w:val="left"/>
        <w:rPr/>
      </w:pPr>
      <w:r>
        <w:rPr>
          <w:rFonts w:ascii="Times New Roman;sans-serif" w:hAnsi="Times New Roman;sans-serif"/>
          <w:b w:val="false"/>
          <w:color w:val="000000"/>
          <w:sz w:val="20"/>
        </w:rPr>
        <w:t xml:space="preserve">In accordance with SEC Staff Accounting Bulletin, or SAB, No. 99, </w:t>
      </w:r>
      <w:r>
        <w:rPr>
          <w:rFonts w:ascii="Times New Roman;sans-serif" w:hAnsi="Times New Roman;sans-serif"/>
          <w:b w:val="false"/>
          <w:i/>
          <w:color w:val="000000"/>
          <w:sz w:val="20"/>
        </w:rPr>
        <w:t>Materiality,</w:t>
      </w:r>
      <w:r>
        <w:rPr>
          <w:color w:val="000000"/>
        </w:rPr>
        <w:t xml:space="preserve"> </w:t>
      </w:r>
      <w:r>
        <w:rPr>
          <w:rFonts w:ascii="Times New Roman;sans-serif" w:hAnsi="Times New Roman;sans-serif"/>
          <w:b w:val="false"/>
          <w:color w:val="000000"/>
          <w:sz w:val="20"/>
        </w:rPr>
        <w:t xml:space="preserve">and SAB No. 108, </w:t>
      </w:r>
      <w:r>
        <w:rPr>
          <w:rFonts w:ascii="Times New Roman;sans-serif" w:hAnsi="Times New Roman;sans-serif"/>
          <w:b w:val="false"/>
          <w:i/>
          <w:color w:val="000000"/>
          <w:sz w:val="20"/>
        </w:rPr>
        <w:t>Considering the Effects of Prior Year Misstatements when Quantifying Misstatements in Current Year Financial Statements</w:t>
      </w:r>
      <w:r>
        <w:rPr>
          <w:rFonts w:ascii="Times New Roman;sans-serif" w:hAnsi="Times New Roman;sans-serif"/>
          <w:b w:val="false"/>
          <w:color w:val="000000"/>
          <w:sz w:val="20"/>
        </w:rPr>
        <w:t>, we assessed the materiality of these errors on our financial statements and concluded the errors were not material to the unaudited interim financial statements for the three and nine months ended September 30, 2022.</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effect of the revision on the condensed consolidated statements of operations and comprehensive loss for the three and nine months ended September 30, 2022, condensed consolidated statement of redeemable convertible preferred stock and stockholders’ equity and condensed consolidated statement of cash flows as of and for the nine months ended September 30, 2022.</w:t>
      </w:r>
    </w:p>
    <w:tbl>
      <w:tblPr>
        <w:tblW w:w="10205" w:type="dxa"/>
        <w:jc w:val="left"/>
        <w:tblInd w:w="0" w:type="dxa"/>
        <w:tblLayout w:type="fixed"/>
        <w:tblCellMar>
          <w:top w:w="28" w:type="dxa"/>
          <w:left w:w="28" w:type="dxa"/>
          <w:bottom w:w="28" w:type="dxa"/>
          <w:right w:w="28" w:type="dxa"/>
        </w:tblCellMar>
      </w:tblPr>
      <w:tblGrid>
        <w:gridCol w:w="930"/>
        <w:gridCol w:w="616"/>
        <w:gridCol w:w="619"/>
        <w:gridCol w:w="244"/>
        <w:gridCol w:w="624"/>
        <w:gridCol w:w="126"/>
        <w:gridCol w:w="126"/>
        <w:gridCol w:w="126"/>
        <w:gridCol w:w="126"/>
        <w:gridCol w:w="126"/>
        <w:gridCol w:w="126"/>
        <w:gridCol w:w="126"/>
        <w:gridCol w:w="109"/>
        <w:gridCol w:w="286"/>
        <w:gridCol w:w="571"/>
        <w:gridCol w:w="149"/>
        <w:gridCol w:w="110"/>
        <w:gridCol w:w="110"/>
        <w:gridCol w:w="110"/>
        <w:gridCol w:w="214"/>
        <w:gridCol w:w="542"/>
        <w:gridCol w:w="110"/>
        <w:gridCol w:w="110"/>
        <w:gridCol w:w="110"/>
        <w:gridCol w:w="110"/>
        <w:gridCol w:w="214"/>
        <w:gridCol w:w="647"/>
        <w:gridCol w:w="110"/>
        <w:gridCol w:w="109"/>
        <w:gridCol w:w="109"/>
        <w:gridCol w:w="109"/>
        <w:gridCol w:w="286"/>
        <w:gridCol w:w="571"/>
        <w:gridCol w:w="149"/>
        <w:gridCol w:w="109"/>
        <w:gridCol w:w="109"/>
        <w:gridCol w:w="109"/>
        <w:gridCol w:w="212"/>
        <w:gridCol w:w="640"/>
        <w:gridCol w:w="166"/>
      </w:tblGrid>
      <w:tr>
        <w:trPr/>
        <w:tc>
          <w:tcPr>
            <w:tcW w:w="93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2022 (unaudited)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 (unaudited)</w:t>
            </w:r>
          </w:p>
        </w:tc>
        <w:tc>
          <w:tcPr>
            <w:tcW w:w="2678" w:type="dxa"/>
            <w:gridSpan w:val="12"/>
            <w:tcBorders/>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2" w:type="dxa"/>
            <w:gridSpan w:val="2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c>
          <w:tcPr>
            <w:tcW w:w="2678" w:type="dxa"/>
            <w:gridSpan w:val="12"/>
            <w:tcBorders/>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loss:</w:t>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2286"/>
        <w:gridCol w:w="1961"/>
        <w:gridCol w:w="1967"/>
        <w:gridCol w:w="211"/>
        <w:gridCol w:w="822"/>
        <w:gridCol w:w="109"/>
        <w:gridCol w:w="109"/>
        <w:gridCol w:w="109"/>
        <w:gridCol w:w="109"/>
        <w:gridCol w:w="286"/>
        <w:gridCol w:w="571"/>
        <w:gridCol w:w="149"/>
        <w:gridCol w:w="109"/>
        <w:gridCol w:w="109"/>
        <w:gridCol w:w="109"/>
        <w:gridCol w:w="211"/>
        <w:gridCol w:w="822"/>
        <w:gridCol w:w="156"/>
      </w:tblGrid>
      <w:tr>
        <w:trPr/>
        <w:tc>
          <w:tcPr>
            <w:tcW w:w="22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2022 (unaudited)</w:t>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6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 of redeemable convertible preferred stock and stockholders’ equity: </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tbl>
      <w:tblPr>
        <w:tblW w:w="8190" w:type="dxa"/>
        <w:jc w:val="left"/>
        <w:tblInd w:w="0" w:type="dxa"/>
        <w:tblLayout w:type="fixed"/>
        <w:tblCellMar>
          <w:top w:w="28" w:type="dxa"/>
          <w:left w:w="28" w:type="dxa"/>
          <w:bottom w:w="28" w:type="dxa"/>
          <w:right w:w="28" w:type="dxa"/>
        </w:tblCellMar>
      </w:tblPr>
      <w:tblGrid>
        <w:gridCol w:w="1504"/>
        <w:gridCol w:w="1323"/>
        <w:gridCol w:w="1327"/>
        <w:gridCol w:w="235"/>
        <w:gridCol w:w="771"/>
        <w:gridCol w:w="121"/>
        <w:gridCol w:w="121"/>
        <w:gridCol w:w="121"/>
        <w:gridCol w:w="121"/>
        <w:gridCol w:w="286"/>
        <w:gridCol w:w="571"/>
        <w:gridCol w:w="149"/>
        <w:gridCol w:w="121"/>
        <w:gridCol w:w="121"/>
        <w:gridCol w:w="121"/>
        <w:gridCol w:w="235"/>
        <w:gridCol w:w="771"/>
        <w:gridCol w:w="171"/>
      </w:tblGrid>
      <w:tr>
        <w:trPr/>
        <w:tc>
          <w:tcPr>
            <w:tcW w:w="150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2022 (unaudited)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reported</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Adjustments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Corrected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Condensed consolidated statement of cash flows: </w:t>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Cash, Cash Equivalents and Restricted Cash</w:t>
      </w:r>
      <w:r>
        <w:rPr>
          <w:color w:val="000000"/>
        </w:rPr>
        <w:t>—</w:t>
      </w:r>
      <w:r>
        <w:rPr>
          <w:rFonts w:ascii="Times New Roman;sans-serif" w:hAnsi="Times New Roman;sans-serif"/>
          <w:b w:val="false"/>
          <w:color w:val="000000"/>
          <w:sz w:val="20"/>
        </w:rPr>
        <w:t>The following table provides a reconciliation of cash, cash equivalents and restricted cash reported within the condensed consolidated balance sheets that sum to the total of the same such amount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73"/>
        <w:gridCol w:w="2419"/>
        <w:gridCol w:w="2433"/>
        <w:gridCol w:w="248"/>
        <w:gridCol w:w="726"/>
        <w:gridCol w:w="127"/>
        <w:gridCol w:w="109"/>
        <w:gridCol w:w="109"/>
        <w:gridCol w:w="109"/>
        <w:gridCol w:w="247"/>
        <w:gridCol w:w="721"/>
        <w:gridCol w:w="184"/>
      </w:tblGrid>
      <w:tr>
        <w:trPr/>
        <w:tc>
          <w:tcPr>
            <w:tcW w:w="2773"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shown in the condensed consolidated statements of cash flows</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Performance-Based Restricted Stock Units</w:t>
      </w:r>
      <w:r>
        <w:rPr>
          <w:color w:val="000000"/>
        </w:rPr>
        <w:t>—</w:t>
      </w:r>
      <w:r>
        <w:rPr>
          <w:rFonts w:ascii="Times New Roman;sans-serif" w:hAnsi="Times New Roman;sans-serif"/>
          <w:b w:val="false"/>
          <w:color w:val="000000"/>
          <w:sz w:val="20"/>
        </w:rPr>
        <w:t xml:space="preserve">During the third quarter of 2023, we granted 0.4 million performance-based restricted stock units, or PSUs, to certain key employees as part of our equity compensation plan. The PSUs are expected to vest over a derived service period of one to four-years and are dependent upon the fulfillment of both a service condition and the achievement of stock-price goals during the performance period, with the latter being classified as a market condition according to Accounting Standard Codification 718, </w:t>
      </w:r>
      <w:r>
        <w:rPr>
          <w:rFonts w:ascii="Times New Roman;sans-serif" w:hAnsi="Times New Roman;sans-serif"/>
          <w:b w:val="false"/>
          <w:i/>
          <w:color w:val="000000"/>
          <w:sz w:val="20"/>
        </w:rPr>
        <w:t>Stock Compensation</w:t>
      </w:r>
      <w:r>
        <w:rPr>
          <w:rFonts w:ascii="Times New Roman;sans-serif" w:hAnsi="Times New Roman;sans-serif"/>
          <w:b w:val="false"/>
          <w:color w:val="000000"/>
          <w:sz w:val="20"/>
        </w:rPr>
        <w:t>. The service condition with respect to the four tranches of PSUs will be met in installments on April 1, 2024, and each of the subsequent three anniversaries of that date, or Vesting Date Requirement, subject to the individual’s continued service through such dates. Stock price goals must be met on or after the respective tranche’s Vesting Date Requirement and are based on the average closing price per share of our Class A common stock over a consecutive 45 day trading period. Any tranche of PSUs with respect to which the stock price goal has not been met as of April 1, 2028 (the final day of the performance period) will be forfeited as of such date.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PSU compensation expense is recognized based on the grant date fair value of the award, which was determined by simulating Root’s stock prices using a Monte Carlo simulation in a risk-neutral framework, assuming a Geometric Brownian Motion. The simulation is repeated 100,000 times, and the average of the discounted values for each tranche is the grant date fair value for that tranche. The median time to vest is the derived service period.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Employing a Monte Carlo simulation requires a range of inputs for each uncertain variable, and establishing linkage between the assumptions, if necessary. Inputs and assumptions used in our analysis included our stock price at grant date, exercise prices, the term of the PSUs, equity volatility, risk-free rate and dividend yield. Equity volatility was derived using a blended volatility assumption of 50% weight on Root’s historical volatility calculated from daily stock returns since IPO from the grant date and a 50% weight based on Root’s term matched simple average peer volatility as of the valuation date because our company-specific volatility is not sufficient by itself at the time of grant.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is recognized via a graded vesting method over the derived service period. In the event that both the service condition and market condition are met earlier, expense would be accelerated. If the service condition is not achieved, previously recognized compensation cost for the associated tranche is reversed. In the event that the market conditions are never achieved before the expiration date, but the service condition is met, the respective compensation costs remain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3.</w:t>
      </w:r>
      <w:r>
        <w:rPr>
          <w:rFonts w:ascii="Times New Roman;sans-serif" w:hAnsi="Times New Roman;sans-serif"/>
          <w:b/>
          <w:color w:val="000000"/>
          <w:sz w:val="20"/>
        </w:rPr>
        <w:t>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short-term investments and available-for-sale fixed maturity securities at September 30, 2023 and December 31, 2022 are as follows:</w:t>
      </w:r>
    </w:p>
    <w:tbl>
      <w:tblPr>
        <w:tblW w:w="10205" w:type="dxa"/>
        <w:jc w:val="left"/>
        <w:tblInd w:w="0" w:type="dxa"/>
        <w:tblLayout w:type="fixed"/>
        <w:tblCellMar>
          <w:top w:w="28" w:type="dxa"/>
          <w:left w:w="28" w:type="dxa"/>
          <w:bottom w:w="28" w:type="dxa"/>
          <w:right w:w="28" w:type="dxa"/>
        </w:tblCellMar>
      </w:tblPr>
      <w:tblGrid>
        <w:gridCol w:w="1070"/>
        <w:gridCol w:w="660"/>
        <w:gridCol w:w="664"/>
        <w:gridCol w:w="243"/>
        <w:gridCol w:w="711"/>
        <w:gridCol w:w="125"/>
        <w:gridCol w:w="109"/>
        <w:gridCol w:w="109"/>
        <w:gridCol w:w="109"/>
        <w:gridCol w:w="516"/>
        <w:gridCol w:w="996"/>
        <w:gridCol w:w="270"/>
        <w:gridCol w:w="109"/>
        <w:gridCol w:w="109"/>
        <w:gridCol w:w="109"/>
        <w:gridCol w:w="383"/>
        <w:gridCol w:w="738"/>
        <w:gridCol w:w="199"/>
        <w:gridCol w:w="109"/>
        <w:gridCol w:w="109"/>
        <w:gridCol w:w="109"/>
        <w:gridCol w:w="379"/>
        <w:gridCol w:w="758"/>
        <w:gridCol w:w="197"/>
        <w:gridCol w:w="109"/>
        <w:gridCol w:w="109"/>
        <w:gridCol w:w="109"/>
        <w:gridCol w:w="211"/>
        <w:gridCol w:w="616"/>
        <w:gridCol w:w="161"/>
      </w:tblGrid>
      <w:tr>
        <w:trPr/>
        <w:tc>
          <w:tcPr>
            <w:tcW w:w="107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 Expected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w:t>
            </w:r>
          </w:p>
        </w:tc>
      </w:tr>
      <w:tr>
        <w:trPr/>
        <w:tc>
          <w:tcPr>
            <w:tcW w:w="2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r>
      <w:tr>
        <w:trPr/>
        <w:tc>
          <w:tcPr>
            <w:tcW w:w="2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9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reviewed the available-for-sale securities at each balance sheet date to consider whether it was necessary to recognize a credit loss as of September 30, 2023 and December 31, 2022. We do not intend to sell the investments and it is not more likely than not that we will be required to sell the security before recovery. Management concluded that the available-for-sale securities’ unrealized losses were due to non-credit related factors and, therefore, there was no allowance for credit loss as of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the gross unrealized losses and fair value of short-term investments and available-for-sale fixed maturity securities, aggregated by investment category and length of time that individual securities have been in a continuous unrealized loss position at September 30, 2023 and December 31, 2022:</w:t>
      </w:r>
    </w:p>
    <w:tbl>
      <w:tblPr>
        <w:tblW w:w="10205" w:type="dxa"/>
        <w:jc w:val="left"/>
        <w:tblInd w:w="0" w:type="dxa"/>
        <w:tblLayout w:type="fixed"/>
        <w:tblCellMar>
          <w:top w:w="28" w:type="dxa"/>
          <w:left w:w="28" w:type="dxa"/>
          <w:bottom w:w="28" w:type="dxa"/>
          <w:right w:w="28" w:type="dxa"/>
        </w:tblCellMar>
      </w:tblPr>
      <w:tblGrid>
        <w:gridCol w:w="1190"/>
        <w:gridCol w:w="988"/>
        <w:gridCol w:w="993"/>
        <w:gridCol w:w="222"/>
        <w:gridCol w:w="541"/>
        <w:gridCol w:w="115"/>
        <w:gridCol w:w="109"/>
        <w:gridCol w:w="109"/>
        <w:gridCol w:w="109"/>
        <w:gridCol w:w="252"/>
        <w:gridCol w:w="503"/>
        <w:gridCol w:w="131"/>
        <w:gridCol w:w="109"/>
        <w:gridCol w:w="109"/>
        <w:gridCol w:w="109"/>
        <w:gridCol w:w="222"/>
        <w:gridCol w:w="541"/>
        <w:gridCol w:w="115"/>
        <w:gridCol w:w="109"/>
        <w:gridCol w:w="109"/>
        <w:gridCol w:w="109"/>
        <w:gridCol w:w="252"/>
        <w:gridCol w:w="503"/>
        <w:gridCol w:w="131"/>
        <w:gridCol w:w="109"/>
        <w:gridCol w:w="109"/>
        <w:gridCol w:w="109"/>
        <w:gridCol w:w="211"/>
        <w:gridCol w:w="616"/>
        <w:gridCol w:w="109"/>
        <w:gridCol w:w="109"/>
        <w:gridCol w:w="109"/>
        <w:gridCol w:w="109"/>
        <w:gridCol w:w="249"/>
        <w:gridCol w:w="498"/>
        <w:gridCol w:w="188"/>
      </w:tblGrid>
      <w:tr>
        <w:trPr/>
        <w:tc>
          <w:tcPr>
            <w:tcW w:w="119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r>
      <w:tr>
        <w:trPr/>
        <w:tc>
          <w:tcPr>
            <w:tcW w:w="3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other investments related to our private equity investments were $4.4 million. There were no realized gains or losses for the three and nine months ended September 30, 2023. We recognized zero and $1.2 million of realized gains for the three and nine months ended September 30, 2022, respectively. We recorded the gain on sale of our private equity investments within net realized gains on investments in our condensed consolidated statements of operations and comprehensive loss. There were no unrealized gains and losses or impairment losses recognized on private equity investments for the three and nine months ended September 30,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gross and net realized gains and losses on short-term investments, available-for-sale fixed maturities and other investments that have been included in the condensed consolidated statements of operations and comprehensive loss for the three and nine months ended September 30, 2023 and 2022:</w:t>
      </w:r>
    </w:p>
    <w:tbl>
      <w:tblPr>
        <w:tblW w:w="8490" w:type="dxa"/>
        <w:jc w:val="left"/>
        <w:tblInd w:w="0" w:type="dxa"/>
        <w:tblLayout w:type="fixed"/>
        <w:tblCellMar>
          <w:top w:w="28" w:type="dxa"/>
          <w:left w:w="28" w:type="dxa"/>
          <w:bottom w:w="28" w:type="dxa"/>
          <w:right w:w="28" w:type="dxa"/>
        </w:tblCellMar>
      </w:tblPr>
      <w:tblGrid>
        <w:gridCol w:w="1032"/>
        <w:gridCol w:w="907"/>
        <w:gridCol w:w="910"/>
        <w:gridCol w:w="318"/>
        <w:gridCol w:w="612"/>
        <w:gridCol w:w="164"/>
        <w:gridCol w:w="164"/>
        <w:gridCol w:w="164"/>
        <w:gridCol w:w="164"/>
        <w:gridCol w:w="318"/>
        <w:gridCol w:w="612"/>
        <w:gridCol w:w="164"/>
        <w:gridCol w:w="109"/>
        <w:gridCol w:w="109"/>
        <w:gridCol w:w="109"/>
        <w:gridCol w:w="305"/>
        <w:gridCol w:w="587"/>
        <w:gridCol w:w="157"/>
        <w:gridCol w:w="157"/>
        <w:gridCol w:w="157"/>
        <w:gridCol w:w="157"/>
        <w:gridCol w:w="305"/>
        <w:gridCol w:w="587"/>
        <w:gridCol w:w="222"/>
      </w:tblGrid>
      <w:tr>
        <w:trPr/>
        <w:tc>
          <w:tcPr>
            <w:tcW w:w="1032"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on investments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losses on investments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amortized cost and fair value of short-term investments and available-for-sale fixed maturity securities by contractual maturity at September 30, 2023:</w:t>
      </w:r>
    </w:p>
    <w:tbl>
      <w:tblPr>
        <w:tblW w:w="6093" w:type="dxa"/>
        <w:jc w:val="left"/>
        <w:tblInd w:w="0" w:type="dxa"/>
        <w:tblLayout w:type="fixed"/>
        <w:tblCellMar>
          <w:top w:w="28" w:type="dxa"/>
          <w:left w:w="28" w:type="dxa"/>
          <w:bottom w:w="28" w:type="dxa"/>
          <w:right w:w="28" w:type="dxa"/>
        </w:tblCellMar>
      </w:tblPr>
      <w:tblGrid>
        <w:gridCol w:w="1119"/>
        <w:gridCol w:w="985"/>
        <w:gridCol w:w="1000"/>
        <w:gridCol w:w="280"/>
        <w:gridCol w:w="820"/>
        <w:gridCol w:w="145"/>
        <w:gridCol w:w="109"/>
        <w:gridCol w:w="109"/>
        <w:gridCol w:w="109"/>
        <w:gridCol w:w="211"/>
        <w:gridCol w:w="616"/>
        <w:gridCol w:w="109"/>
        <w:gridCol w:w="109"/>
        <w:gridCol w:w="109"/>
        <w:gridCol w:w="109"/>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 one year or less</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five years through 10 years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10 years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net investment income for the three and nine months ended September 30, 2023 and 2022:</w:t>
      </w:r>
    </w:p>
    <w:tbl>
      <w:tblPr>
        <w:tblW w:w="9077" w:type="dxa"/>
        <w:jc w:val="left"/>
        <w:tblInd w:w="0" w:type="dxa"/>
        <w:tblLayout w:type="fixed"/>
        <w:tblCellMar>
          <w:top w:w="28" w:type="dxa"/>
          <w:left w:w="28" w:type="dxa"/>
          <w:bottom w:w="28" w:type="dxa"/>
          <w:right w:w="28" w:type="dxa"/>
        </w:tblCellMar>
      </w:tblPr>
      <w:tblGrid>
        <w:gridCol w:w="1243"/>
        <w:gridCol w:w="1091"/>
        <w:gridCol w:w="1100"/>
        <w:gridCol w:w="318"/>
        <w:gridCol w:w="612"/>
        <w:gridCol w:w="164"/>
        <w:gridCol w:w="164"/>
        <w:gridCol w:w="164"/>
        <w:gridCol w:w="164"/>
        <w:gridCol w:w="318"/>
        <w:gridCol w:w="612"/>
        <w:gridCol w:w="164"/>
        <w:gridCol w:w="109"/>
        <w:gridCol w:w="109"/>
        <w:gridCol w:w="109"/>
        <w:gridCol w:w="288"/>
        <w:gridCol w:w="699"/>
        <w:gridCol w:w="149"/>
        <w:gridCol w:w="149"/>
        <w:gridCol w:w="149"/>
        <w:gridCol w:w="149"/>
        <w:gridCol w:w="288"/>
        <w:gridCol w:w="555"/>
        <w:gridCol w:w="210"/>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bonds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deposits and cash equivalents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credit ratings of short-term investments and available-for-sale fixed maturity securities at September 30, 2023 and December 31, 2022:</w:t>
      </w:r>
    </w:p>
    <w:tbl>
      <w:tblPr>
        <w:tblW w:w="6501" w:type="dxa"/>
        <w:jc w:val="left"/>
        <w:tblInd w:w="0" w:type="dxa"/>
        <w:tblLayout w:type="fixed"/>
        <w:tblCellMar>
          <w:top w:w="28" w:type="dxa"/>
          <w:left w:w="28" w:type="dxa"/>
          <w:bottom w:w="28" w:type="dxa"/>
          <w:right w:w="28" w:type="dxa"/>
        </w:tblCellMar>
      </w:tblPr>
      <w:tblGrid>
        <w:gridCol w:w="900"/>
        <w:gridCol w:w="792"/>
        <w:gridCol w:w="797"/>
        <w:gridCol w:w="280"/>
        <w:gridCol w:w="820"/>
        <w:gridCol w:w="145"/>
        <w:gridCol w:w="109"/>
        <w:gridCol w:w="109"/>
        <w:gridCol w:w="109"/>
        <w:gridCol w:w="211"/>
        <w:gridCol w:w="616"/>
        <w:gridCol w:w="109"/>
        <w:gridCol w:w="109"/>
        <w:gridCol w:w="109"/>
        <w:gridCol w:w="109"/>
        <w:gridCol w:w="307"/>
        <w:gridCol w:w="309"/>
        <w:gridCol w:w="561"/>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S&amp;P Global rating or equivalent</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6547" w:type="dxa"/>
        <w:jc w:val="left"/>
        <w:tblInd w:w="0" w:type="dxa"/>
        <w:tblLayout w:type="fixed"/>
        <w:tblCellMar>
          <w:top w:w="28" w:type="dxa"/>
          <w:left w:w="28" w:type="dxa"/>
          <w:bottom w:w="28" w:type="dxa"/>
          <w:right w:w="28" w:type="dxa"/>
        </w:tblCellMar>
      </w:tblPr>
      <w:tblGrid>
        <w:gridCol w:w="917"/>
        <w:gridCol w:w="806"/>
        <w:gridCol w:w="812"/>
        <w:gridCol w:w="280"/>
        <w:gridCol w:w="820"/>
        <w:gridCol w:w="145"/>
        <w:gridCol w:w="109"/>
        <w:gridCol w:w="109"/>
        <w:gridCol w:w="109"/>
        <w:gridCol w:w="211"/>
        <w:gridCol w:w="616"/>
        <w:gridCol w:w="109"/>
        <w:gridCol w:w="109"/>
        <w:gridCol w:w="109"/>
        <w:gridCol w:w="109"/>
        <w:gridCol w:w="307"/>
        <w:gridCol w:w="309"/>
        <w:gridCol w:w="561"/>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br/>
              <w:t>Fair Value</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S&amp;P Global rating or equivalent </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 AA, AA-, A-1</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A, A-</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BBB+, BBB, BBB-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5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4.</w:t>
      </w:r>
      <w:r>
        <w:rPr>
          <w:rFonts w:ascii="Times New Roman;sans-serif" w:hAnsi="Times New Roman;sans-serif"/>
          <w:b/>
          <w:color w:val="000000"/>
          <w:sz w:val="20"/>
        </w:rPr>
        <w:t>FAIR VALUE OF FINANCIAL INSTRUMENTS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about our financial assets measured and reported at fair value as of September 30, 2023 and December 31, 2022:</w:t>
      </w:r>
    </w:p>
    <w:tbl>
      <w:tblPr>
        <w:tblW w:w="7935" w:type="dxa"/>
        <w:jc w:val="left"/>
        <w:tblInd w:w="0" w:type="dxa"/>
        <w:tblLayout w:type="fixed"/>
        <w:tblCellMar>
          <w:top w:w="28" w:type="dxa"/>
          <w:left w:w="28" w:type="dxa"/>
          <w:bottom w:w="28" w:type="dxa"/>
          <w:right w:w="28" w:type="dxa"/>
        </w:tblCellMar>
      </w:tblPr>
      <w:tblGrid>
        <w:gridCol w:w="1218"/>
        <w:gridCol w:w="1073"/>
        <w:gridCol w:w="1084"/>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Fair Value</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agencies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debt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assets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estimate the fair value of all our different classes of Level 2 fixed maturities and short-term investments by using quoted prices from a combination of an independent pricing vendor or broker/dealer, pricing models, quoted prices of securities with similar characteristics or discounted cash flows. All significant inputs were observable in the active markets.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Private Equity Investments Measured at Fair Value on a Non-Recurring Basis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Private equity investments that have been remeasured during the period due to an observable event or impairment are classified within Level 3 in the fair value hierarchy because we estimate the value based on valuation methods which may include a combination of the observable transaction price at the transaction date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including volatility, rights, and obligations of the investments we hold. See Note 3, “Investments,” for further information on our private equity investments.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Fair Value of 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long-term debt is recorded at the unpaid balance, net of discount and debt issuance costs. The fair value of outstanding long-term debt is classified within Level 2 of the fair value hierarchy. The fair value is based on a model referencing observable interest rates and spreads to project and discount cash flows to present value. As of September 30, 2023 and December 31, 2022, the carrying amounts and fair values of these financial instruments were as follows:</w:t>
      </w:r>
    </w:p>
    <w:tbl>
      <w:tblPr>
        <w:tblW w:w="10205" w:type="dxa"/>
        <w:jc w:val="left"/>
        <w:tblInd w:w="0" w:type="dxa"/>
        <w:tblLayout w:type="fixed"/>
        <w:tblCellMar>
          <w:top w:w="28" w:type="dxa"/>
          <w:left w:w="28" w:type="dxa"/>
          <w:bottom w:w="28" w:type="dxa"/>
          <w:right w:w="28" w:type="dxa"/>
        </w:tblCellMar>
      </w:tblPr>
      <w:tblGrid>
        <w:gridCol w:w="438"/>
        <w:gridCol w:w="386"/>
        <w:gridCol w:w="387"/>
        <w:gridCol w:w="361"/>
        <w:gridCol w:w="1055"/>
        <w:gridCol w:w="188"/>
        <w:gridCol w:w="109"/>
        <w:gridCol w:w="109"/>
        <w:gridCol w:w="109"/>
        <w:gridCol w:w="571"/>
        <w:gridCol w:w="1667"/>
        <w:gridCol w:w="297"/>
        <w:gridCol w:w="109"/>
        <w:gridCol w:w="109"/>
        <w:gridCol w:w="109"/>
        <w:gridCol w:w="300"/>
        <w:gridCol w:w="876"/>
        <w:gridCol w:w="155"/>
        <w:gridCol w:w="109"/>
        <w:gridCol w:w="109"/>
        <w:gridCol w:w="109"/>
        <w:gridCol w:w="544"/>
        <w:gridCol w:w="1591"/>
        <w:gridCol w:w="408"/>
      </w:tblGrid>
      <w:tr>
        <w:trPr/>
        <w:tc>
          <w:tcPr>
            <w:tcW w:w="43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Carrying Amount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as of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Estimated Fair Value as of December 31, 2022</w:t>
            </w:r>
          </w:p>
        </w:tc>
      </w:tr>
      <w:tr>
        <w:trPr/>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short-term financial instruments approximates their fair value due to their short-term nature.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5.</w:t>
      </w:r>
      <w:r>
        <w:rPr>
          <w:rFonts w:ascii="Times New Roman;sans-serif" w:hAnsi="Times New Roman;sans-serif"/>
          <w:b/>
          <w:color w:val="000000"/>
          <w:sz w:val="20"/>
        </w:rPr>
        <w:t>LOSS AND LOSS ADJUSTMENT EXPENSE RESERVES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provides a reconciliation of the beginning and ending reserve balances for loss and LAE, net of reinsurance:</w:t>
      </w:r>
    </w:p>
    <w:tbl>
      <w:tblPr>
        <w:tblW w:w="6461" w:type="dxa"/>
        <w:jc w:val="left"/>
        <w:tblInd w:w="0" w:type="dxa"/>
        <w:tblLayout w:type="fixed"/>
        <w:tblCellMar>
          <w:top w:w="28" w:type="dxa"/>
          <w:left w:w="28" w:type="dxa"/>
          <w:bottom w:w="28" w:type="dxa"/>
          <w:right w:w="28" w:type="dxa"/>
        </w:tblCellMar>
      </w:tblPr>
      <w:tblGrid>
        <w:gridCol w:w="1387"/>
        <w:gridCol w:w="1216"/>
        <w:gridCol w:w="1221"/>
        <w:gridCol w:w="248"/>
        <w:gridCol w:w="724"/>
        <w:gridCol w:w="128"/>
        <w:gridCol w:w="128"/>
        <w:gridCol w:w="128"/>
        <w:gridCol w:w="128"/>
        <w:gridCol w:w="248"/>
        <w:gridCol w:w="724"/>
        <w:gridCol w:w="181"/>
      </w:tblGrid>
      <w:tr>
        <w:trPr/>
        <w:tc>
          <w:tcPr>
            <w:tcW w:w="138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January 1</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January 1</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incurred loss and LAE related to:</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paid loss and LAE related to:</w:t>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w:t>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reserves, September 30</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reinsurance recoverable on unpaid losses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loss and LAE reserves, September 30</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Incurred losses and LAE attributable to prior accident years was a decrease of $0.6 million and $0.2 million for the nine months ended September 30, 2023 and 2022, respectively. For the nine months ended September 30, 2023, the development of incurred losses and LAE related to prior periods was a result of lower-than-expected reported losses on injury coverages, partially offset by losses on commutations of certain reinsurance agreements and higher-than-expected LAE on prior accident periods. For the nine months ended September 30, 2022, the development of incurred losses and LAE related to prior periods was a result of lower-than-expected LAE on prior accident period claims, partially offset by higher-than-expected reported losses on property damage and collision claims due to inflation.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6.</w:t>
      </w:r>
      <w:r>
        <w:rPr>
          <w:rFonts w:ascii="Times New Roman;sans-serif" w:hAnsi="Times New Roman;sans-serif"/>
          <w:b/>
          <w:color w:val="000000"/>
          <w:sz w:val="20"/>
        </w:rPr>
        <w:t>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amounts affecting the condensed consolidated statements of operations and comprehensive loss for reinsurance for the three and nine months ended September 30, 2023 and 2022:</w:t>
      </w:r>
    </w:p>
    <w:tbl>
      <w:tblPr>
        <w:tblW w:w="8061" w:type="dxa"/>
        <w:jc w:val="left"/>
        <w:tblInd w:w="0" w:type="dxa"/>
        <w:tblLayout w:type="fixed"/>
        <w:tblCellMar>
          <w:top w:w="28" w:type="dxa"/>
          <w:left w:w="28" w:type="dxa"/>
          <w:bottom w:w="28" w:type="dxa"/>
          <w:right w:w="28" w:type="dxa"/>
        </w:tblCellMar>
      </w:tblPr>
      <w:tblGrid>
        <w:gridCol w:w="875"/>
        <w:gridCol w:w="768"/>
        <w:gridCol w:w="771"/>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written:</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w:t>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LAE incurred:</w:t>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losses and LAE incurred</w:t>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we commuted certain agreements with our reinsurers which resulted in $4.4 million of net premiums earned, $4.2 million of loss and loss adjustment expenses and $5.8 million of other insurance expense (benefit), respectively, on the condensed consolidated statements of operations and comprehensive loss. A portion of the loss and loss adjustment expenses is related to an allowance for credit losses of $2.8 million, that was established due to a commutation with one of our reinsurers as of September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connection with the commutation of certain agreements with reinsurers during the third quarter of 2023, we received cash and cash equivalents of $3.9 million, reinsurance recoverable and receivable decreased by $6.1 million, prepaid reinsurance premiums was reduced by $33.5 million and reinsurance premiums payable decreased by $30.2 million all of which are reported within the condensed consolidated balance sheets.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that all or any of the reinsuring companies might be unable to meet their obligations under existing reinsurance agreements, we would be liable to the policyholder for such defaulted amounts.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7.</w:t>
      </w:r>
      <w:r>
        <w:rPr>
          <w:rFonts w:ascii="Times New Roman;sans-serif" w:hAnsi="Times New Roman;sans-serif"/>
          <w:b/>
          <w:color w:val="000000"/>
          <w:sz w:val="20"/>
        </w:rPr>
        <w:t>LONG-TERM DEBT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we entered into a $300.0 million five-year term loan, or Term Loan, with the principal amount due and payable upon maturity on January 27, 2027. Interest is payable quarterly and is determined on a floating interest rate currently calculated on the Secured Overnight Financing Rate, or SOFR, with a 1.0% floor, plus 9.0%.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the carrying value of long-term debt as of September 30, 2023 and December 31, 2022:</w:t>
      </w:r>
    </w:p>
    <w:tbl>
      <w:tblPr>
        <w:tblW w:w="8035" w:type="dxa"/>
        <w:jc w:val="left"/>
        <w:tblInd w:w="0" w:type="dxa"/>
        <w:tblLayout w:type="fixed"/>
        <w:tblCellMar>
          <w:top w:w="28" w:type="dxa"/>
          <w:left w:w="28" w:type="dxa"/>
          <w:bottom w:w="28" w:type="dxa"/>
          <w:right w:w="28" w:type="dxa"/>
        </w:tblCellMar>
      </w:tblPr>
      <w:tblGrid>
        <w:gridCol w:w="1674"/>
        <w:gridCol w:w="1468"/>
        <w:gridCol w:w="1477"/>
        <w:gridCol w:w="348"/>
        <w:gridCol w:w="1017"/>
        <w:gridCol w:w="180"/>
        <w:gridCol w:w="109"/>
        <w:gridCol w:w="109"/>
        <w:gridCol w:w="109"/>
        <w:gridCol w:w="332"/>
        <w:gridCol w:w="970"/>
        <w:gridCol w:w="242"/>
      </w:tblGrid>
      <w:tr>
        <w:trPr/>
        <w:tc>
          <w:tcPr>
            <w:tcW w:w="167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payable</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debt issuance costs and warrants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8.</w:t>
      </w:r>
      <w:r>
        <w:rPr>
          <w:rFonts w:ascii="Times New Roman;sans-serif" w:hAnsi="Times New Roman;sans-serif"/>
          <w:b/>
          <w:color w:val="000000"/>
          <w:sz w:val="20"/>
        </w:rPr>
        <w:t>INCOME TAXES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effective tax rate was zero for the three and nine months ended September 30, 2023 and 2022. The difference between these rates and the U.S. federal income tax rate of 21% was primarily due to a full valuation allowance on our U.S. deferred tax assets.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we did not have any unrecognized tax benefits for uncertain tax positions and had no interest or penalties related to uncertain tax positions.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9.</w:t>
      </w:r>
      <w:r>
        <w:rPr>
          <w:rFonts w:ascii="Times New Roman;sans-serif" w:hAnsi="Times New Roman;sans-serif"/>
          <w:b/>
          <w:color w:val="000000"/>
          <w:sz w:val="20"/>
        </w:rPr>
        <w:t>RESTRUCTURING COSTS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conducted strategic initiatives to reduce operating costs, improve efficiency, and increase focus on our strategic priorities. These initiatives resulted in restructuring actions that included a reduction in workforce levels, contract terminations, and in certain instances, a reduction in office space. These restructuring actions include the following costs: </w:t>
      </w:r>
    </w:p>
    <w:p>
      <w:pPr>
        <w:pStyle w:val="TextBody"/>
        <w:bidi w:val="0"/>
        <w:spacing w:lineRule="auto" w:line="288" w:before="0" w:after="180"/>
        <w:jc w:val="left"/>
        <w:rPr/>
      </w:pPr>
      <w:r>
        <w:rPr>
          <w:rFonts w:ascii="Times New Roman;sans-serif" w:hAnsi="Times New Roman;sans-serif"/>
          <w:b/>
          <w:color w:val="000000"/>
          <w:sz w:val="20"/>
        </w:rPr>
        <w:t>Employee costs</w:t>
      </w:r>
      <w:r>
        <w:rPr>
          <w:color w:val="000000"/>
        </w:rPr>
        <w:t>—</w:t>
      </w:r>
      <w:r>
        <w:rPr>
          <w:rFonts w:ascii="Times New Roman;sans-serif" w:hAnsi="Times New Roman;sans-serif"/>
          <w:b w:val="false"/>
          <w:color w:val="000000"/>
          <w:sz w:val="20"/>
        </w:rPr>
        <w:t xml:space="preserve">consist of severance, benefits, share-based compensation, and employee compensation expense dependent upon continuous employment for certain employees and related employee costs. </w:t>
      </w:r>
    </w:p>
    <w:p>
      <w:pPr>
        <w:pStyle w:val="TextBody"/>
        <w:bidi w:val="0"/>
        <w:spacing w:lineRule="auto" w:line="288" w:before="0" w:after="180"/>
        <w:jc w:val="left"/>
        <w:rPr/>
      </w:pPr>
      <w:r>
        <w:rPr>
          <w:rFonts w:ascii="Times New Roman;sans-serif" w:hAnsi="Times New Roman;sans-serif"/>
          <w:b/>
          <w:color w:val="000000"/>
          <w:sz w:val="20"/>
        </w:rPr>
        <w:t>Real estate exit costs</w:t>
      </w:r>
      <w:r>
        <w:rPr>
          <w:color w:val="000000"/>
        </w:rPr>
        <w:t>—</w:t>
      </w:r>
      <w:r>
        <w:rPr>
          <w:rFonts w:ascii="Times New Roman;sans-serif" w:hAnsi="Times New Roman;sans-serif"/>
          <w:b w:val="false"/>
          <w:color w:val="000000"/>
          <w:sz w:val="20"/>
        </w:rPr>
        <w:t>consist of real estate exit costs primarily related to accelerated amortization of right-of-use assets, leasehold improvements and furniture and fixtures.</w:t>
      </w:r>
    </w:p>
    <w:p>
      <w:pPr>
        <w:pStyle w:val="TextBody"/>
        <w:bidi w:val="0"/>
        <w:spacing w:lineRule="auto" w:line="288" w:before="0" w:after="180"/>
        <w:jc w:val="left"/>
        <w:rPr/>
      </w:pPr>
      <w:r>
        <w:rPr>
          <w:rFonts w:ascii="Times New Roman;sans-serif" w:hAnsi="Times New Roman;sans-serif"/>
          <w:b/>
          <w:color w:val="000000"/>
          <w:sz w:val="20"/>
        </w:rPr>
        <w:t>Other costs</w:t>
      </w:r>
      <w:r>
        <w:rPr>
          <w:color w:val="000000"/>
        </w:rPr>
        <w:t>—</w:t>
      </w:r>
      <w:r>
        <w:rPr>
          <w:rFonts w:ascii="Times New Roman;sans-serif" w:hAnsi="Times New Roman;sans-serif"/>
          <w:b w:val="false"/>
          <w:color w:val="000000"/>
          <w:sz w:val="20"/>
        </w:rPr>
        <w:t>primarily consist of contract termination costs incurred as part of our efforts to improve efficiency and reduce operating costs and accelerated expense for software that no longer has economic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expect to incur approximately $1.7 million of employee compensation expense, dependent upon continuous employment for certain employees, to be recognized ratably through the fourth quarter of 2023. We expect a cash expenditure related to these employee compensation costs in January 2024. As of September 30, 2023, except as discussed above, we do not expect to incur any additional material expenditures in future periods related to restructuring actions that have occurred.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restructuring costs recorded in general and administrative expenses on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655"/>
        <w:gridCol w:w="576"/>
        <w:gridCol w:w="577"/>
        <w:gridCol w:w="283"/>
        <w:gridCol w:w="545"/>
        <w:gridCol w:w="146"/>
        <w:gridCol w:w="146"/>
        <w:gridCol w:w="146"/>
        <w:gridCol w:w="146"/>
        <w:gridCol w:w="283"/>
        <w:gridCol w:w="545"/>
        <w:gridCol w:w="146"/>
        <w:gridCol w:w="109"/>
        <w:gridCol w:w="109"/>
        <w:gridCol w:w="109"/>
        <w:gridCol w:w="276"/>
        <w:gridCol w:w="532"/>
        <w:gridCol w:w="142"/>
        <w:gridCol w:w="142"/>
        <w:gridCol w:w="142"/>
        <w:gridCol w:w="142"/>
        <w:gridCol w:w="276"/>
        <w:gridCol w:w="532"/>
        <w:gridCol w:w="142"/>
        <w:gridCol w:w="109"/>
        <w:gridCol w:w="109"/>
        <w:gridCol w:w="109"/>
        <w:gridCol w:w="727"/>
        <w:gridCol w:w="1761"/>
        <w:gridCol w:w="378"/>
        <w:gridCol w:w="165"/>
      </w:tblGrid>
      <w:tr>
        <w:trPr/>
        <w:tc>
          <w:tcPr>
            <w:tcW w:w="65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Cumulative Incurred Through September 30, 2023</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costs</w:t>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exit costs</w:t>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costs</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a rollforward of the accrual for restructuring costs recorded in other liabilities on the condensed consolidated balance sheets:</w:t>
      </w:r>
    </w:p>
    <w:tbl>
      <w:tblPr>
        <w:tblW w:w="8377" w:type="dxa"/>
        <w:jc w:val="left"/>
        <w:tblInd w:w="0" w:type="dxa"/>
        <w:tblLayout w:type="fixed"/>
        <w:tblCellMar>
          <w:top w:w="28" w:type="dxa"/>
          <w:left w:w="28" w:type="dxa"/>
          <w:bottom w:w="28" w:type="dxa"/>
          <w:right w:w="28" w:type="dxa"/>
        </w:tblCellMar>
      </w:tblPr>
      <w:tblGrid>
        <w:gridCol w:w="1457"/>
        <w:gridCol w:w="1280"/>
        <w:gridCol w:w="1282"/>
        <w:gridCol w:w="348"/>
        <w:gridCol w:w="670"/>
        <w:gridCol w:w="182"/>
        <w:gridCol w:w="109"/>
        <w:gridCol w:w="109"/>
        <w:gridCol w:w="109"/>
        <w:gridCol w:w="109"/>
        <w:gridCol w:w="109"/>
        <w:gridCol w:w="270"/>
        <w:gridCol w:w="520"/>
        <w:gridCol w:w="139"/>
        <w:gridCol w:w="109"/>
        <w:gridCol w:w="109"/>
        <w:gridCol w:w="109"/>
        <w:gridCol w:w="318"/>
        <w:gridCol w:w="612"/>
        <w:gridCol w:w="164"/>
        <w:gridCol w:w="109"/>
        <w:gridCol w:w="154"/>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Employee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liability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1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activity:</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January 1, 2023</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incurred</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 as of September 30, 2023</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10.</w:t>
      </w:r>
      <w:r>
        <w:rPr>
          <w:rFonts w:ascii="Times New Roman;sans-serif" w:hAnsi="Times New Roman;sans-serif"/>
          <w:b/>
          <w:color w:val="000000"/>
          <w:sz w:val="20"/>
        </w:rPr>
        <w:t>SHARE-BASED COMPENSATION</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0" w:after="180"/>
        <w:jc w:val="left"/>
        <w:rPr/>
      </w:pPr>
      <w:r>
        <w:rPr>
          <w:rFonts w:ascii="Times New Roman;sans-serif" w:hAnsi="Times New Roman;sans-serif"/>
          <w:b w:val="false"/>
          <w:color w:val="000000"/>
          <w:sz w:val="20"/>
        </w:rPr>
        <w:t xml:space="preserve">In October 2021, we issued Carvana </w:t>
      </w:r>
      <w:r>
        <w:rPr>
          <w:rFonts w:ascii="Times New Roman;sans-serif" w:hAnsi="Times New Roman;sans-serif"/>
          <w:b w:val="false"/>
          <w:color w:val="000000"/>
          <w:sz w:val="20"/>
          <w:shd w:fill="FFFFFF" w:val="clear"/>
        </w:rPr>
        <w:t>eight tranches of warrants, comprised of three tranches of “short-term warrants” and five tranches of “long-term warrants,” with the opportunity to purchase a maximum of 7.2 million</w:t>
      </w:r>
      <w:r>
        <w:rPr>
          <w:color w:val="000000"/>
        </w:rPr>
        <w:t xml:space="preserve"> </w:t>
      </w:r>
      <w:r>
        <w:rPr>
          <w:rFonts w:ascii="Times New Roman;sans-serif" w:hAnsi="Times New Roman;sans-serif"/>
          <w:b w:val="false"/>
          <w:color w:val="000000"/>
          <w:sz w:val="20"/>
        </w:rPr>
        <w:t>shares of Class A common stock.</w:t>
      </w:r>
      <w:r>
        <w:rPr>
          <w:color w:val="000000"/>
          <w:shd w:fill="FFFFFF" w:val="clear"/>
        </w:rPr>
        <w:t xml:space="preserve"> </w:t>
      </w:r>
      <w:r>
        <w:rPr>
          <w:rFonts w:ascii="Times New Roman;sans-serif" w:hAnsi="Times New Roman;sans-serif"/>
          <w:b w:val="false"/>
          <w:color w:val="000000"/>
          <w:sz w:val="20"/>
        </w:rPr>
        <w:t>As of September 30, 2023, we determined the remaining unvested short-term warrants were probable of vesting. Under that scenario, it is not a possible outcome for the long-term warrants to also vest, so they are considered not probable of vesting. We recognized warrant compensation expense related to these equity-classified warrants based on progress toward completing the integrated automobile insurance solution for Carvana’s online buying platform, or the Integrated Platform, and policies originating through the Integrated Platform. All of these warrants are out-of-the-money and therefore have no intrinsic value as of September 30, 2023.</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warrant compensation expense recorded in the condensed consolidated statements of operations and comprehensive loss:</w:t>
      </w:r>
    </w:p>
    <w:tbl>
      <w:tblPr>
        <w:tblW w:w="8952" w:type="dxa"/>
        <w:jc w:val="left"/>
        <w:tblInd w:w="0" w:type="dxa"/>
        <w:tblLayout w:type="fixed"/>
        <w:tblCellMar>
          <w:top w:w="28" w:type="dxa"/>
          <w:left w:w="28" w:type="dxa"/>
          <w:bottom w:w="28" w:type="dxa"/>
          <w:right w:w="28" w:type="dxa"/>
        </w:tblCellMar>
      </w:tblPr>
      <w:tblGrid>
        <w:gridCol w:w="1120"/>
        <w:gridCol w:w="982"/>
        <w:gridCol w:w="988"/>
        <w:gridCol w:w="318"/>
        <w:gridCol w:w="612"/>
        <w:gridCol w:w="164"/>
        <w:gridCol w:w="164"/>
        <w:gridCol w:w="164"/>
        <w:gridCol w:w="164"/>
        <w:gridCol w:w="318"/>
        <w:gridCol w:w="612"/>
        <w:gridCol w:w="164"/>
        <w:gridCol w:w="109"/>
        <w:gridCol w:w="109"/>
        <w:gridCol w:w="109"/>
        <w:gridCol w:w="275"/>
        <w:gridCol w:w="666"/>
        <w:gridCol w:w="142"/>
        <w:gridCol w:w="142"/>
        <w:gridCol w:w="142"/>
        <w:gridCol w:w="142"/>
        <w:gridCol w:w="275"/>
        <w:gridCol w:w="666"/>
        <w:gridCol w:w="142"/>
        <w:gridCol w:w="109"/>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 compensation expense</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there was $7.8 million of unrecognized compensation cost related to warrants. The remaining costs are expected to be recognized over a period of approximately one year.</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Employee Share-Based Compensation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an equity incentive plan, or the Plan, for the issuance and grant of equity awards (restricted stock, restricted stock units, or RSUs, PSUs, and incentive and nonqualified stock options) to our officers, directors, employees and certain advisors. As of September 30, 2023, we had 1.2 million common shares available for issuance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share-based compensation expense recorded in the condensed consolidated statements of operations and comprehensive loss:</w:t>
      </w:r>
    </w:p>
    <w:tbl>
      <w:tblPr>
        <w:tblW w:w="9297" w:type="dxa"/>
        <w:jc w:val="left"/>
        <w:tblInd w:w="0" w:type="dxa"/>
        <w:tblLayout w:type="fixed"/>
        <w:tblCellMar>
          <w:top w:w="28" w:type="dxa"/>
          <w:left w:w="28" w:type="dxa"/>
          <w:bottom w:w="28" w:type="dxa"/>
          <w:right w:w="28" w:type="dxa"/>
        </w:tblCellMar>
      </w:tblPr>
      <w:tblGrid>
        <w:gridCol w:w="1245"/>
        <w:gridCol w:w="1092"/>
        <w:gridCol w:w="1098"/>
        <w:gridCol w:w="318"/>
        <w:gridCol w:w="612"/>
        <w:gridCol w:w="164"/>
        <w:gridCol w:w="164"/>
        <w:gridCol w:w="164"/>
        <w:gridCol w:w="164"/>
        <w:gridCol w:w="318"/>
        <w:gridCol w:w="612"/>
        <w:gridCol w:w="164"/>
        <w:gridCol w:w="109"/>
        <w:gridCol w:w="109"/>
        <w:gridCol w:w="109"/>
        <w:gridCol w:w="275"/>
        <w:gridCol w:w="666"/>
        <w:gridCol w:w="142"/>
        <w:gridCol w:w="142"/>
        <w:gridCol w:w="142"/>
        <w:gridCol w:w="142"/>
        <w:gridCol w:w="275"/>
        <w:gridCol w:w="666"/>
        <w:gridCol w:w="142"/>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total share-based compensation expense by type of award: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9646" w:type="dxa"/>
        <w:jc w:val="left"/>
        <w:tblInd w:w="0" w:type="dxa"/>
        <w:tblLayout w:type="fixed"/>
        <w:tblCellMar>
          <w:top w:w="28" w:type="dxa"/>
          <w:left w:w="28" w:type="dxa"/>
          <w:bottom w:w="28" w:type="dxa"/>
          <w:right w:w="28" w:type="dxa"/>
        </w:tblCellMar>
      </w:tblPr>
      <w:tblGrid>
        <w:gridCol w:w="1451"/>
        <w:gridCol w:w="1273"/>
        <w:gridCol w:w="1280"/>
        <w:gridCol w:w="318"/>
        <w:gridCol w:w="612"/>
        <w:gridCol w:w="164"/>
        <w:gridCol w:w="164"/>
        <w:gridCol w:w="164"/>
        <w:gridCol w:w="164"/>
        <w:gridCol w:w="318"/>
        <w:gridCol w:w="612"/>
        <w:gridCol w:w="164"/>
        <w:gridCol w:w="109"/>
        <w:gridCol w:w="109"/>
        <w:gridCol w:w="109"/>
        <w:gridCol w:w="273"/>
        <w:gridCol w:w="663"/>
        <w:gridCol w:w="141"/>
        <w:gridCol w:w="141"/>
        <w:gridCol w:w="141"/>
        <w:gridCol w:w="141"/>
        <w:gridCol w:w="273"/>
        <w:gridCol w:w="663"/>
        <w:gridCol w:w="199"/>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expense</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 expense</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expense</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there was $1.2 million, $25.3 million, and $2.2 million of unrecognized compensation cost related to unvested stock options, RSUs, and PSUs, respectively. The remaining costs are expected to be recognized over a period of approximately three years for unvested stock options and four years for RSUs and PSUs.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PSUs is estimated on the date of grant using a Monte Carlo simulation with Geometric Brownian Motion that uses certain inputs, assumptions and estimates, as follows: expected term of approximately five years, based on the contractual term of the PSUs; risk-free interest rate of 4.06%, based on U.S. Constant Maturity Yield Curve over a similar term; dividend rate of 0.0%, based on our historical and expected future dividend payouts; and volatility of 76%, and other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other key terms of the PSUs:</w:t>
      </w:r>
    </w:p>
    <w:tbl>
      <w:tblPr>
        <w:tblW w:w="9199" w:type="dxa"/>
        <w:jc w:val="left"/>
        <w:tblInd w:w="0" w:type="dxa"/>
        <w:tblLayout w:type="fixed"/>
        <w:tblCellMar>
          <w:top w:w="28" w:type="dxa"/>
          <w:left w:w="28" w:type="dxa"/>
          <w:bottom w:w="28" w:type="dxa"/>
          <w:right w:w="28" w:type="dxa"/>
        </w:tblCellMar>
      </w:tblPr>
      <w:tblGrid>
        <w:gridCol w:w="1157"/>
        <w:gridCol w:w="1017"/>
        <w:gridCol w:w="1021"/>
        <w:gridCol w:w="109"/>
        <w:gridCol w:w="109"/>
        <w:gridCol w:w="109"/>
        <w:gridCol w:w="314"/>
        <w:gridCol w:w="918"/>
        <w:gridCol w:w="162"/>
        <w:gridCol w:w="109"/>
        <w:gridCol w:w="109"/>
        <w:gridCol w:w="109"/>
        <w:gridCol w:w="354"/>
        <w:gridCol w:w="354"/>
        <w:gridCol w:w="356"/>
        <w:gridCol w:w="109"/>
        <w:gridCol w:w="109"/>
        <w:gridCol w:w="109"/>
        <w:gridCol w:w="618"/>
        <w:gridCol w:w="1496"/>
        <w:gridCol w:w="451"/>
      </w:tblGrid>
      <w:tr>
        <w:trPr/>
        <w:tc>
          <w:tcPr>
            <w:tcW w:w="115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4283" w:type="dxa"/>
            <w:gridSpan w:val="12"/>
            <w:tcBorders/>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Stock Price Goals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per Share</w:t>
            </w:r>
          </w:p>
        </w:tc>
      </w:tr>
      <w:tr>
        <w:trPr/>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Tranches: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Tranche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Restricted Stock Units and Performance-Based Restricted Stock Units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RSU and PSU activity for the nine months ended September 30, 2023 is as follows:</w:t>
      </w:r>
    </w:p>
    <w:tbl>
      <w:tblPr>
        <w:tblW w:w="10205" w:type="dxa"/>
        <w:jc w:val="left"/>
        <w:tblInd w:w="0" w:type="dxa"/>
        <w:tblLayout w:type="fixed"/>
        <w:tblCellMar>
          <w:top w:w="28" w:type="dxa"/>
          <w:left w:w="28" w:type="dxa"/>
          <w:bottom w:w="28" w:type="dxa"/>
          <w:right w:w="28" w:type="dxa"/>
        </w:tblCellMar>
      </w:tblPr>
      <w:tblGrid>
        <w:gridCol w:w="1655"/>
        <w:gridCol w:w="1454"/>
        <w:gridCol w:w="1461"/>
        <w:gridCol w:w="109"/>
        <w:gridCol w:w="109"/>
        <w:gridCol w:w="109"/>
        <w:gridCol w:w="430"/>
        <w:gridCol w:w="430"/>
        <w:gridCol w:w="431"/>
        <w:gridCol w:w="116"/>
        <w:gridCol w:w="116"/>
        <w:gridCol w:w="116"/>
        <w:gridCol w:w="331"/>
        <w:gridCol w:w="968"/>
        <w:gridCol w:w="172"/>
        <w:gridCol w:w="116"/>
        <w:gridCol w:w="116"/>
        <w:gridCol w:w="116"/>
        <w:gridCol w:w="446"/>
        <w:gridCol w:w="1076"/>
        <w:gridCol w:w="328"/>
      </w:tblGrid>
      <w:tr>
        <w:trPr/>
        <w:tc>
          <w:tcPr>
            <w:tcW w:w="165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4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Restricted Stock Units and Performance-Based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Grant Date Fair</w:t>
              <w:br/>
              <w:t>Value per Share</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4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4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for the nine months ended September 30, 2023 is as follows:</w:t>
      </w:r>
    </w:p>
    <w:tbl>
      <w:tblPr>
        <w:tblW w:w="10205" w:type="dxa"/>
        <w:jc w:val="left"/>
        <w:tblInd w:w="0" w:type="dxa"/>
        <w:tblLayout w:type="fixed"/>
        <w:tblCellMar>
          <w:top w:w="28" w:type="dxa"/>
          <w:left w:w="28" w:type="dxa"/>
          <w:bottom w:w="28" w:type="dxa"/>
          <w:right w:w="28" w:type="dxa"/>
        </w:tblCellMar>
      </w:tblPr>
      <w:tblGrid>
        <w:gridCol w:w="816"/>
        <w:gridCol w:w="717"/>
        <w:gridCol w:w="723"/>
        <w:gridCol w:w="109"/>
        <w:gridCol w:w="109"/>
        <w:gridCol w:w="109"/>
        <w:gridCol w:w="315"/>
        <w:gridCol w:w="315"/>
        <w:gridCol w:w="316"/>
        <w:gridCol w:w="109"/>
        <w:gridCol w:w="109"/>
        <w:gridCol w:w="109"/>
        <w:gridCol w:w="416"/>
        <w:gridCol w:w="1218"/>
        <w:gridCol w:w="216"/>
        <w:gridCol w:w="109"/>
        <w:gridCol w:w="109"/>
        <w:gridCol w:w="109"/>
        <w:gridCol w:w="841"/>
        <w:gridCol w:w="841"/>
        <w:gridCol w:w="843"/>
        <w:gridCol w:w="109"/>
        <w:gridCol w:w="109"/>
        <w:gridCol w:w="109"/>
        <w:gridCol w:w="358"/>
        <w:gridCol w:w="690"/>
        <w:gridCol w:w="272"/>
      </w:tblGrid>
      <w:tr>
        <w:trPr/>
        <w:tc>
          <w:tcPr>
            <w:tcW w:w="81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 2023</w:t>
            </w:r>
          </w:p>
        </w:tc>
      </w:tr>
      <w:tr>
        <w:trPr/>
        <w:tc>
          <w:tcPr>
            <w:tcW w:w="2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Remaining Contractual Term (in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exercise price and term amounts)</w:t>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 expired or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and exercisable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11.</w:t>
      </w:r>
      <w:r>
        <w:rPr>
          <w:rFonts w:ascii="Times New Roman;sans-serif" w:hAnsi="Times New Roman;sans-serif"/>
          <w:b/>
          <w:color w:val="000000"/>
          <w:sz w:val="20"/>
        </w:rPr>
        <w:t xml:space="preserve">COMMITMENTS AND CONTINGENCIES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are party to litigation and legal proceedings relating to our business operations. Except as disclosed below, we do not believe that we are party to any current or pending legal action that could reasonably be expected to have a material adverse effect on our financial condition or results of operations and cash flow.</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19, 2022, a purported class action complaint was filed against the Company’s subsidiary, Root Insurance Company, in the U.S. District Court for the Western District of Texas (Case No. 1:22-cv-01328-LY) by an individual on her behalf and further claiming to represent a putative class of insureds. The complaint alleges that Root Insurance Company breached its insurance contract and violated specific provisions of the Texas Prompt Payment of Claims Act for an alleged failure to include sales tax in total loss vehicle settlements. The complaint seeks damages to include payment of alleged benefits owed under the policy, in addition to pre- and post-judgment interest and attorneys fees on behalf of the named plaintiff and the putative class members. Root Insurance Company’s motion to dismiss the claims set forth in the complaint was granted and the lawsuit was dismissed with prejudice on August 22, 2023, which dismissal has been appealed. The Company believes that the claims in this lawsuit are without merit and intends to defend against them vigorously. The lawsuit is in its early stages. Therefore,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27, 2022, a verified shareholder derivative complaint was filed against certain of the Company’s current and former officers and directors in the U.S. District Court for the District of Delaware (Case No. 1:22-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cv-00865). The Company was named as a nominal defendant. The complaint alleges that defendants made false or misleading statements and omissions of purportedly material fact, in violation of Section 10(b) of the Securities Exchange Act of 1934, or the Exchange Act, and Rule 10b-5 thereunder, breached their fiduciary duties and/or aided and abetted the breach of fiduciary duties, were unjustly enriched, wasted corporate assets, and are liable under Section 11(f) of the Securities Act of 1933, or the Securities Act, in connection with and following the Company’s initial public offering. The complaint seeks unspecified damages. The Company believes that the claims in this lawsuit are without merit and intends to defend against them vigorously. The lawsuit is currently stayed pending final resolution of the below matter and,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March 19, 2021, a purported class action complaint was filed against the Company and certain of its current and former officers and directors in the U.S. District Court for the Southern District of Ohio (Case No. 2:21-cv-01197) on behalf of certain Root shareholders. The complaint alleges that defendants made false or misleading statements and omissions of purportedly material fact, in violation of Sections 10(b) and 20(a) of the Exchange Act and Rule 10b-5 thereunder, and of Sections 11 and 15 of the Securities Act in connection with and following the Company’s initial public offering. The complaint seeks unspecified damages. The defendants’ motion to dismiss the claims set forth in the complaint was granted and the lawsuit was dismissed with prejudice on March 31, 2023, which dismissal has been appealed. The Company believes that the claims in this lawsuit are without merit and intends to defend against them vigorously. The lawsuit is in the early stages and, at this time, we cannot predict the outcome or estimate the likelihood or magnitude of our possible or potential loss contingency.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contingently liable for possible future assessments under regulatory requirements for insolvencies and impairments of unaffiliated insurance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ans-serif" w:hAnsi="Times New Roman;sans-serif"/>
          <w:b/>
          <w:color w:val="000000"/>
          <w:sz w:val="20"/>
        </w:rPr>
        <w:t>12.</w:t>
      </w:r>
      <w:r>
        <w:rPr>
          <w:rFonts w:ascii="Times New Roman;sans-serif" w:hAnsi="Times New Roman;sans-serif"/>
          <w:b/>
          <w:color w:val="000000"/>
          <w:sz w:val="20"/>
        </w:rPr>
        <w:t>OTHER COMPREHENSIVE LOSS AND ACCUMULATED OTHER COMPREHENSIVE (LOSS)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changes in our accumulated other comprehensive (loss) income, or AOCI, for the three and nine months ended September 30, 2023 and 2022: </w:t>
      </w:r>
    </w:p>
    <w:tbl>
      <w:tblPr>
        <w:tblW w:w="10205" w:type="dxa"/>
        <w:jc w:val="left"/>
        <w:tblInd w:w="0" w:type="dxa"/>
        <w:tblLayout w:type="fixed"/>
        <w:tblCellMar>
          <w:top w:w="28" w:type="dxa"/>
          <w:left w:w="28" w:type="dxa"/>
          <w:bottom w:w="28" w:type="dxa"/>
          <w:right w:w="28" w:type="dxa"/>
        </w:tblCellMar>
      </w:tblPr>
      <w:tblGrid>
        <w:gridCol w:w="1727"/>
        <w:gridCol w:w="1509"/>
        <w:gridCol w:w="1476"/>
        <w:gridCol w:w="274"/>
        <w:gridCol w:w="613"/>
        <w:gridCol w:w="141"/>
        <w:gridCol w:w="141"/>
        <w:gridCol w:w="141"/>
        <w:gridCol w:w="141"/>
        <w:gridCol w:w="274"/>
        <w:gridCol w:w="613"/>
        <w:gridCol w:w="141"/>
        <w:gridCol w:w="109"/>
        <w:gridCol w:w="109"/>
        <w:gridCol w:w="109"/>
        <w:gridCol w:w="266"/>
        <w:gridCol w:w="596"/>
        <w:gridCol w:w="137"/>
        <w:gridCol w:w="137"/>
        <w:gridCol w:w="137"/>
        <w:gridCol w:w="137"/>
        <w:gridCol w:w="266"/>
        <w:gridCol w:w="596"/>
        <w:gridCol w:w="137"/>
        <w:gridCol w:w="109"/>
        <w:gridCol w:w="169"/>
      </w:tblGrid>
      <w:tr>
        <w:trPr/>
        <w:tc>
          <w:tcPr>
            <w:tcW w:w="1727"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278" w:type="dxa"/>
            <w:gridSpan w:val="2"/>
            <w:tcBorders/>
          </w:tcPr>
          <w:p>
            <w:pPr>
              <w:pStyle w:val="TableContents"/>
              <w:bidi w:val="0"/>
              <w:spacing w:before="0" w:after="283"/>
              <w:jc w:val="left"/>
              <w:rPr>
                <w:sz w:val="4"/>
                <w:szCs w:val="4"/>
              </w:rPr>
            </w:pPr>
            <w:r>
              <w:rPr>
                <w:sz w:val="4"/>
                <w:szCs w:val="4"/>
              </w:rPr>
            </w:r>
          </w:p>
        </w:tc>
      </w:tr>
      <w:tr>
        <w:trPr/>
        <w:tc>
          <w:tcPr>
            <w:tcW w:w="4712"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 on investments reclassified from AOCI to net loss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ind w:left="0" w:right="0" w:hanging="180"/>
              <w:jc w:val="left"/>
              <w:rPr>
                <w:sz w:val="4"/>
                <w:szCs w:val="4"/>
              </w:rPr>
            </w:pPr>
            <w:r>
              <w:rPr>
                <w:sz w:val="4"/>
                <w:szCs w:val="4"/>
              </w:rPr>
            </w:r>
          </w:p>
        </w:tc>
      </w:tr>
      <w:tr>
        <w:trPr/>
        <w:tc>
          <w:tcPr>
            <w:tcW w:w="4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13.</w:t>
      </w:r>
      <w:r>
        <w:rPr>
          <w:rFonts w:ascii="Times New Roman;sans-serif" w:hAnsi="Times New Roman;sans-serif"/>
          <w:b/>
          <w:color w:val="000000"/>
          <w:sz w:val="20"/>
        </w:rPr>
        <w:t>LOSS PER SHARE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displays the computation of basic and diluted loss per share for both Class A and Class B common stock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1796"/>
        <w:gridCol w:w="1570"/>
        <w:gridCol w:w="1598"/>
        <w:gridCol w:w="243"/>
        <w:gridCol w:w="652"/>
        <w:gridCol w:w="125"/>
        <w:gridCol w:w="125"/>
        <w:gridCol w:w="125"/>
        <w:gridCol w:w="125"/>
        <w:gridCol w:w="243"/>
        <w:gridCol w:w="652"/>
        <w:gridCol w:w="125"/>
        <w:gridCol w:w="109"/>
        <w:gridCol w:w="109"/>
        <w:gridCol w:w="109"/>
        <w:gridCol w:w="223"/>
        <w:gridCol w:w="710"/>
        <w:gridCol w:w="115"/>
        <w:gridCol w:w="115"/>
        <w:gridCol w:w="115"/>
        <w:gridCol w:w="115"/>
        <w:gridCol w:w="223"/>
        <w:gridCol w:w="710"/>
        <w:gridCol w:w="173"/>
      </w:tblGrid>
      <w:tr>
        <w:trPr/>
        <w:tc>
          <w:tcPr>
            <w:tcW w:w="1796"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per share amounts)</w:t>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7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 basic and diluted (both Class A and B)</w:t>
            </w:r>
          </w:p>
        </w:tc>
        <w:tc>
          <w:tcPr>
            <w:tcW w:w="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per common share: basic and diluted (both Class A and B)</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excluded the following potentially dilutive common stock equivalents, presented based on amounts outstanding at each period end, from the computation of diluted loss per share attributable to common shareholders for the periods indicated because including them would have had an anti-dilutive effect: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913" w:type="dxa"/>
        <w:jc w:val="left"/>
        <w:tblInd w:w="0" w:type="dxa"/>
        <w:tblLayout w:type="fixed"/>
        <w:tblCellMar>
          <w:top w:w="28" w:type="dxa"/>
          <w:left w:w="28" w:type="dxa"/>
          <w:bottom w:w="28" w:type="dxa"/>
          <w:right w:w="28" w:type="dxa"/>
        </w:tblCellMar>
      </w:tblPr>
      <w:tblGrid>
        <w:gridCol w:w="2157"/>
        <w:gridCol w:w="1903"/>
        <w:gridCol w:w="1910"/>
        <w:gridCol w:w="255"/>
        <w:gridCol w:w="256"/>
        <w:gridCol w:w="170"/>
        <w:gridCol w:w="170"/>
        <w:gridCol w:w="170"/>
        <w:gridCol w:w="170"/>
        <w:gridCol w:w="255"/>
        <w:gridCol w:w="256"/>
        <w:gridCol w:w="241"/>
      </w:tblGrid>
      <w:tr>
        <w:trPr/>
        <w:tc>
          <w:tcPr>
            <w:tcW w:w="215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shares subject to repurchase</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performance-based restricted stock units</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 (as converted to common stock)</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r>
      <w:tr>
        <w:trPr/>
        <w:tc>
          <w:tcPr>
            <w:tcW w:w="5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5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r>
        <w:trPr/>
        <w:tc>
          <w:tcPr>
            <w:tcW w:w="597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Times New Roman;sans-serif" w:hAnsi="Times New Roman;sans-serif"/>
          <w:b/>
          <w:color w:val="000000"/>
          <w:sz w:val="20"/>
        </w:rPr>
        <w:t>14.</w:t>
      </w:r>
      <w:r>
        <w:rPr>
          <w:rFonts w:ascii="Times New Roman;sans-serif" w:hAnsi="Times New Roman;sans-serif"/>
          <w:b/>
          <w:color w:val="000000"/>
          <w:sz w:val="20"/>
        </w:rPr>
        <w:t>GEOGRAPHICAL BREAKDOWN OF 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 by state is as follows for the three and nine months ended September 30, 2023 and 2022:</w:t>
      </w:r>
    </w:p>
    <w:tbl>
      <w:tblPr>
        <w:tblW w:w="10862" w:type="dxa"/>
        <w:jc w:val="left"/>
        <w:tblInd w:w="0" w:type="dxa"/>
        <w:tblLayout w:type="fixed"/>
        <w:tblCellMar>
          <w:top w:w="28" w:type="dxa"/>
          <w:left w:w="28" w:type="dxa"/>
          <w:bottom w:w="28" w:type="dxa"/>
          <w:right w:w="28" w:type="dxa"/>
        </w:tblCellMar>
      </w:tblPr>
      <w:tblGrid>
        <w:gridCol w:w="437"/>
        <w:gridCol w:w="382"/>
        <w:gridCol w:w="397"/>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276"/>
        <w:gridCol w:w="109"/>
        <w:gridCol w:w="109"/>
        <w:gridCol w:w="109"/>
        <w:gridCol w:w="211"/>
        <w:gridCol w:w="616"/>
        <w:gridCol w:w="109"/>
        <w:gridCol w:w="109"/>
        <w:gridCol w:w="109"/>
        <w:gridCol w:w="109"/>
        <w:gridCol w:w="307"/>
        <w:gridCol w:w="309"/>
        <w:gridCol w:w="321"/>
      </w:tblGrid>
      <w:tr>
        <w:trPr/>
        <w:tc>
          <w:tcPr>
            <w:tcW w:w="43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6"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Georgia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Colorado</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Pennsylvania</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Carolina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Utah</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Arizona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Oklahoma</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Missouri</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others states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2022 filed with the Securities and Exchange Commission, or SEC, on February 22, 2023, or the 2022 10-K.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and in the 2022 10-K for a discussion of important factors that could cause our actual results to differ materially from those anticipated in these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Root is a tech-enabled insurance company revolutionizing personal insurance with a pricing model based upon fairness and a modern customer experience. We operate primarily a direct-to-consumer model in which we currently acquire the majority of our customers through mobile applications. We are also focused on expanding our embedded insurance platform, where we acquire customers through strategic partnerships.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Root advantage is derived from our unique ability to efficiently and effectively bind auto insurance policies quickly, through direct and embedded channels, aided by segmenting individual risk based on complex behavioral data and proprietary telematics. Our customer experience is built for ease of use and a product offering made possible with our full-stack insurance structure. These are all uniquely integrated into a single cloud-based technology platform that captures the entire insurance value chain—from customer acquisition to underwriting to claims and administration to ongoing customer engagement.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model benefits from portfolio maturity. As we scale the business and develop our embedded products, our results are disproportionately weighted towards new customers compared to traditional insurance carriers. As we build an underlying base of recurring customers, we expect the following financial impacts: </w:t>
      </w:r>
    </w:p>
    <w:p>
      <w:pPr>
        <w:pStyle w:val="TextBody"/>
        <w:bidi w:val="0"/>
        <w:spacing w:lineRule="auto" w:line="288" w:before="0" w:after="180"/>
        <w:jc w:val="left"/>
        <w:rPr/>
      </w:pPr>
      <w:r>
        <w:rPr>
          <w:color w:val="000000"/>
        </w:rPr>
        <w:t>•</w:t>
      </w:r>
      <w:r>
        <w:rPr>
          <w:rFonts w:ascii="Times New Roman;sans-serif" w:hAnsi="Times New Roman;sans-serif"/>
          <w:b/>
          <w:i/>
          <w:color w:val="000000"/>
          <w:sz w:val="20"/>
        </w:rPr>
        <w:t>Improved loss ratio.</w:t>
      </w:r>
      <w:r>
        <w:rPr>
          <w:color w:val="000000"/>
        </w:rPr>
        <w:t xml:space="preserve"> </w:t>
      </w:r>
      <w:r>
        <w:rPr>
          <w:rFonts w:ascii="Times New Roman;sans-serif" w:hAnsi="Times New Roman;sans-serif"/>
          <w:b w:val="false"/>
          <w:color w:val="000000"/>
          <w:sz w:val="20"/>
        </w:rPr>
        <w:t xml:space="preserve">Renewal premiums, referring to premiums from a customer’s second term and beyond, have lower loss ratios as compared to new premiums in the customer’s first term. As we grow our business, we anticipate, consistent with industry norms, that a greater proportion of our premiums will be from customer renewals and drive down the loss ratio across our portfolio. We also continue to revise contracts to tighten underwriting and implement rate increases to control the impact of increased loss costs. </w:t>
      </w:r>
    </w:p>
    <w:p>
      <w:pPr>
        <w:pStyle w:val="TextBody"/>
        <w:bidi w:val="0"/>
        <w:spacing w:lineRule="auto" w:line="288" w:before="0" w:after="180"/>
        <w:jc w:val="left"/>
        <w:rPr/>
      </w:pPr>
      <w:r>
        <w:rPr>
          <w:color w:val="000000"/>
        </w:rPr>
        <w:t>•</w:t>
      </w:r>
      <w:r>
        <w:rPr>
          <w:rFonts w:ascii="Times New Roman;sans-serif" w:hAnsi="Times New Roman;sans-serif"/>
          <w:b/>
          <w:i/>
          <w:color w:val="000000"/>
          <w:sz w:val="20"/>
        </w:rPr>
        <w:t>Reduced marketing as a percentage of premium</w:t>
      </w:r>
      <w:r>
        <w:rPr>
          <w:rFonts w:ascii="Times New Roman;sans-serif" w:hAnsi="Times New Roman;sans-serif"/>
          <w:b w:val="false"/>
          <w:color w:val="000000"/>
          <w:sz w:val="20"/>
        </w:rPr>
        <w:t>. Certain recurring customer premiums have no associated customer acquisition costs and minimal underwriting costs, driving profitability. As we grow our business, we anticipate, consistent with industry norms, that a greater proportion of our premiums will be from customer renewals without associated marketing costs.</w:t>
      </w:r>
    </w:p>
    <w:p>
      <w:pPr>
        <w:pStyle w:val="TextBody"/>
        <w:bidi w:val="0"/>
        <w:spacing w:lineRule="auto" w:line="288" w:before="0" w:after="180"/>
        <w:jc w:val="left"/>
        <w:rPr/>
      </w:pPr>
      <w:r>
        <w:rPr>
          <w:color w:val="000000"/>
        </w:rPr>
        <w:t>•</w:t>
      </w:r>
      <w:r>
        <w:rPr>
          <w:rFonts w:ascii="Times New Roman;sans-serif" w:hAnsi="Times New Roman;sans-serif"/>
          <w:b/>
          <w:i/>
          <w:color w:val="000000"/>
          <w:sz w:val="20"/>
        </w:rPr>
        <w:t>Increased revenue per customer</w:t>
      </w:r>
      <w:r>
        <w:rPr>
          <w:rFonts w:ascii="Times New Roman;sans-serif" w:hAnsi="Times New Roman;sans-serif"/>
          <w:b w:val="false"/>
          <w:color w:val="000000"/>
          <w:sz w:val="20"/>
        </w:rPr>
        <w:t>. Over time we expect to refine our fee schedules to be more consistent with industry norms. This, paired with strengthened underwriting and pricing segmentation, will facilitate the opportunity to generate additional fee revenue per customer.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technology to drive efficiency across all functions, including distribution, underwriting, policy administration and claims in particular. We believe this allows us to operate with a cost to acquire and cost to serve advantage. We continue to develop machine learning loss models, which allows us to respond more quickly to changes in the market, improve pricing segmentation and take appropriate and timely rate actions. We efficiently acquire customers directly through multiple channels, including embedded, digital (performance), channel media, referrals and agency. Our evolving acquisition strategy includes utilizing our embedded platform through current and future embedded partners. Traditionally, our marketing costs have historically been well below industry averages, although in any given period, these costs can vary by acquisition strategy, channel mix, by state, or due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seasonality or due to the competitive environment. Today, we acquire the vast majority of our customers through mobile applications and our embedded platform. We believe that through prudent investment in and diversification of our marketing channels, including a focus on embedded insurance through our current and future strategic partners, and leveraging proprietary data science and technology will position us for more sustainable, long-term and profitable growth.</w:t>
      </w:r>
    </w:p>
    <w:p>
      <w:pPr>
        <w:pStyle w:val="TextBody"/>
        <w:bidi w:val="0"/>
        <w:spacing w:lineRule="auto" w:line="288" w:before="0" w:after="180"/>
        <w:jc w:val="left"/>
        <w:rPr/>
      </w:pPr>
      <w:r>
        <w:rPr>
          <w:rFonts w:ascii="Times New Roman;sans-serif" w:hAnsi="Times New Roman;sans-serif"/>
          <w:b w:val="false"/>
          <w:color w:val="000000"/>
          <w:sz w:val="20"/>
        </w:rPr>
        <w:t>As a full-stack insurance company, we currently employ a “capital-efficient” model, which utilizes a variety of reinsurance structures. These include excess of loss and quota share reinsurance. Excess of loss provides us with volatility protection against a portion of large individual losses or an aggregation of losses from catastrophes. Quota share provides, among other advantages, regulatory surplus relief for growing companies. These reinsurance structures deliver three core objectives (1) top-line growth without a commensurate increase in regulatory capital requirements, (2) support of customer acquisition costs and (3) protection from outsized losses or tail events</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We expect to continuously evaluate our utilization of third-party quota share reinsurance while scaling our business in order to operate a capital-efficient business model. As our gross loss ratios continue to improve and stabilize over the long-term, we expect to maintain the flexibility to modify our quota share levels to maximize the return to shareholders.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Given the significant impact of reinsurance on our results of operations, we use certain gross basis key performance indicators to manage and measure our business operations and enhance investor understanding of our business model prior to reinsurance. We believe our long-term success will be apparent through the progression of our gross metrics. Results of operations on a gross basis alone are not achievable under our regulatory landscape given our historical top-line growth and resulting capital requirements, which are relieved, in part, by obtaining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gross basis metrics, management uses adjusted earnings before interest, tax, depreciation and amortization, or adjusted EBITDA, as an integral part of managing our business. We believe adjusted EBITDA provides investors with useful insight into our business because such measure eliminates the effects of certain charges that are not directly attributable to our underlying operating performance. For additional information, including definitions of these key metrics, see “— Key Performance Indicators” and for reconciliations of Direct Contribution and adjusted EBITDA to the most directly comparable generally accepted accounting principles in the United States, or GAAP, metric, see “— Non-GAAP Financial Measures.”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Recent Developments Affecting Comparability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Macroeconomic Factors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Economic instability has led to acute inflationary pressures, supply chain disruptions, rising interest rates, a downturn in equity markets and bank failures. There is a risk of inflation remaining elevated for an extended period, which could cause claims and claim expenses to increase, impact the performance of our investment portfolio or have other adverse effects. We have seen an increase in auto repairable and medical costs. These cost increases have resulted in greater claims severity. We continue to file in multiple states to establish rates that more closely follow the evolving loss cost trends. Rising interest rates have increased the cost of capital and may limit our ability to raise additional capital.</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Comprehensive Reinsurance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 we reduced the utilization of reinsurance through a strategic reduction of external quota share. The changes to the reinsurance program aim to deliver improved economics and capital efficiency. Our diversified approach to reinsurance allows us to optimize capital requirements while remaining flexible in response to changes in market conditions or changes specific to our own business. We may choose to amend, commute, and/or non-renew certain third-party reinsurance arrangements in the future, which may result in us retaining more of our business. To the extent we retain a larger share of our book of business, our capital requirements may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review a number of metrics, including the following key performance indicators, to evaluate our business, measure our performance, identify trends in our business, prepare financial projections and make strategic decisions. We believe these non-GAAP and operational measures are useful in evaluating our performance, in addition to our financial results prepared in accordance with GAAP. See the section titled “— Non-GAAP Financial Measures” for additional information regarding our use of direct contribution and adjusted EBITDA and their reconciliations to the most directly comparable GAAP measures.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8599" w:type="dxa"/>
        <w:jc w:val="left"/>
        <w:tblInd w:w="0" w:type="dxa"/>
        <w:tblLayout w:type="fixed"/>
        <w:tblCellMar>
          <w:top w:w="28" w:type="dxa"/>
          <w:left w:w="28" w:type="dxa"/>
          <w:bottom w:w="28" w:type="dxa"/>
          <w:right w:w="28" w:type="dxa"/>
        </w:tblCellMar>
      </w:tblPr>
      <w:tblGrid>
        <w:gridCol w:w="960"/>
        <w:gridCol w:w="845"/>
        <w:gridCol w:w="849"/>
        <w:gridCol w:w="224"/>
        <w:gridCol w:w="655"/>
        <w:gridCol w:w="288"/>
        <w:gridCol w:w="116"/>
        <w:gridCol w:w="116"/>
        <w:gridCol w:w="116"/>
        <w:gridCol w:w="224"/>
        <w:gridCol w:w="655"/>
        <w:gridCol w:w="288"/>
        <w:gridCol w:w="109"/>
        <w:gridCol w:w="109"/>
        <w:gridCol w:w="109"/>
        <w:gridCol w:w="211"/>
        <w:gridCol w:w="691"/>
        <w:gridCol w:w="271"/>
        <w:gridCol w:w="109"/>
        <w:gridCol w:w="109"/>
        <w:gridCol w:w="109"/>
        <w:gridCol w:w="211"/>
        <w:gridCol w:w="691"/>
        <w:gridCol w:w="271"/>
        <w:gridCol w:w="109"/>
        <w:gridCol w:w="154"/>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 except premiums per policy)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Policies in force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per policy</w:t>
            </w:r>
          </w:p>
        </w:tc>
        <w:tc>
          <w:tcPr>
            <w:tcW w:w="22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in force</w:t>
            </w:r>
          </w:p>
        </w:tc>
        <w:tc>
          <w:tcPr>
            <w:tcW w:w="22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2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22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22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2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LAE ratio</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expense ratio</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combined ratio</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28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loss ratio</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LAE ratio</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8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28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expense ratio</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combined ratio</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28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288"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271"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88"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Policies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policies in force as the number of current and active auto insurance policyholders underwritten by us as of the period end date. We view policies in force as an important metric to assess our financial performance because policy growth drives our revenue growth, expands brand awareness, deepens our market penetration, and generates additional data to continue to improve the functioning of our platform.</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per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per policy as the ratio of gross premiums written on auto insurance policies in force at the end of the period divided by policies in force. We view premiums per policy as an important metric since the higher the premiums per policy the greater the amount of earned premium we expect from each policy.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Premiums in Force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premiums in force as premiums per policy multiplied by policies in force multiplied by two. We view premiums in force as an estimate of annualized run rate of gross premiums written as of a given period. Since our auto policies are six-month policies, we multiply this figure by two in order to determine an annualized amount of premiums in force. We view this as an important metric because it is an indicator of the size of our portfolio of policies as well as an indicator of expected earned premium over the coming 12 months. Premiums in force is not a forecast of future revenue nor is it a reliable indicator of revenue expected to be earned in any given period.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believe that our calculation of premiums in force is useful to investors and analysts because it captures the impact of fluctuations in customers and premiums per policy at the end of each reported period, without adjusting for known or projected policy updates, cancellations and non-renewals.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Written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written, as the total amount of gross premium on policies that were bound during the period less the prorated impact of policy cancellations. Gross premiums written includes direct premiums and assumed premiums. We view gross premiums written as an important metric because it is the metric that most closely correlates with changes in gross premiums earned. We use gross premiums written,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 Additionally, premiums ceded to reinsurers can change significantly based on the type and mix of reinsurance structures we use, and, as such, we have the optionality to fully retain the premiums from customers acquired in the future.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premiums earned as the amount of gross premium that was earned during the period. Premiums are earned over the period in which insurance protection is provided, which is typically six months. Gross premiums earned includes direct premiums and assumed premiums. We view gross premiums earned as an important metric as it allows us to evaluate our premium levels prior to the impacts of reinsurance. It is the primary driver of our consolidated GAAP revenues. As with gross premiums written, we use gross premiums earned, which excludes the impact of premiums ceded to reinsurers to manage our business, because we believe that it reflects the business volume and direct economic benefit generated by our customer acquisition activities, which along with our underlying underwriting and claims operations (gross loss ratio and gross LAE) are the key drivers of our future profit opportunities.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Profit/(Loss)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profit/(loss) as total revenue minus net loss and LAE and other insurance expense (benefit). We view gross profit/(loss) as an important metric because we believe it is informative of the financial performance of our core insurance business.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direct contribution, a non-GAAP financial measure, as gross profit/(loss) excluding net investment income, net realized gains on investments, report costs, overhead allocated based on headcount, or Overhead, and salaries, health benefits, bonuses, employee retirement plan-related expenses and employee share-based compensation expense, or Personnel Costs, licenses, net commissions, professional fees and other expenses, ceded premiums earned, ceded loss and LAE, and net ceding commission and other. Net ceding commission and other is comprised of ceding commission received in connection with reinsurance ceded, partially offset by amortization of excess ceding commission, and other impacts of reinsurance ceded, which are included in other insurance expense. After these adjustments, the resulting calculation is inclusive of only those gross variable costs of revenue incurred on the successful acquisition of business. We view direct contribution as an important metric because we believe it measures progress towards the profitability of our total policy portfolio prior to the impact of reinsurance.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 Non-GAAP Financial Measures” for a reconciliation of total revenue to direct contribution.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adjusted EBITDA, a non-GAAP financial measure, as net loss excluding interest expense, income tax expense, depreciation and amortization, share-based compensation, warrant compensation expense, restructuring charges, write-off of prepaid marketing expenses, legal fees and other items that do not reflect our ongoing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After these adjustments, the resulting calculation represents expenses directly attributable to our operating performance. We use adjusted EBITDA as an internal performance measure in the management of our operations because we believe it provides management and other users of our financial information useful insight into our results of operations and underlying business performance. Adjusted EBITDA should not be viewed as a substitute for net loss calculated in accordance with GAAP, and other companies may define adjusted EBITDA differently.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titled “— Non-GAAP Financial Measures” for a reconciliation of net loss to adjusted EBITDA.</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Loss and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loss and LAE ratio expressed as a percentage, as the ratio of net loss and LAE to net premiums earned. We view net loss and LAE ratio as important metric because it allows us to evaluate loss trends as a percentage of net premiums and believe it is useful for investors to evaluate those separately from other 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expense ratio expressed as a percentage, as the ratio of all operating expenses less loss and LAE and less fee income to net premiums earned. We view net expense ratio as important because it allows us to analyze our expense and acquisition trends, net of fee income, and allows investors to evaluate these expenses exclusive of our loss and LAE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net combined ratio expressed as a percentage, as the sum of net loss and LAE ratio and net expense ratio. We view net combined ratio as important because it allows us to analyze our underwriting result trends and is a key indicator of overall profitability and health of the overall business. We believe it is useful to investors to evaluate these components separately and in the aggregate when reviewing our underwriting performance. A net combined ratio under 100% indicates an underwriting profit, while a net combined ratio greater than 100% indicates an underwriting loss.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loss ratio expressed as a percentage, as the ratio of gross losses to gross premiums earned. Gross loss ratio excludes LAE. We view gross loss ratio as an important metric because it allows us to evaluate incurred losses and LAE separately prior to the impact of reinsurance.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LAE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LAE ratio expressed as a percentage, as the ratio of gross LAE to gross premiums earned. We view gross LAE ratio as an important metric because it allows us to evaluate incurred losses and LAE separately. Currently, we do not cede any of our LAE to our third-party quota share reinsurance treaties; therefore, we actively monitor LAE ratio as it has a direct impact on our results regardless of our reinsurance strategy.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Expense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gross expense ratio expressed as a percentage as the ratio of gross operating expenses less loss and LAE and less fee income to gross premiums earned. We view gross expense ratio as important because it allows us to analyze the underlying expense base of the business and establish expense targets, prior to the impact of reinsurance. We believe gross expense ratio is useful for investors to further evaluate business health and performance, prior to the impact of reinsurance.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Combined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define gross combined ratio expressed as a percentage as the sum of the gross loss ratio, gross LAE ratio and gross expense ratio. We view gross combined ratio as important because it allows us to evaluate financial performance and establish targets that we believe more closely reflect the underlying performance and profitability of the business prior to reinsurance. Further, we believe it is useful for investors to evaluate these components separately and in the aggregate when reviewing our gross underwriting performance. A gross combined ratio under 100% indicates an underwriting profit while a gross combined ratio greater than 100% indicates an underwriting loss, prior to the impact of reinsurance.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Gross Accident Period Loss Ratio</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accident period loss ratio, expressed as a percentage, represents all losses and claims expected to arise from insured events that occurred during the applicable period regardless of when they are reported and finally settled divided by gross premiums earned for the same period. Changes to our loss reserves are the primary driver of the difference between our gross accident period loss ratio and gross loss ratio. We believe that gross accident period loss ratio is useful in evaluating expected losses prior to the impact of reinsurance.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net premiums earned, net investment income, net realized gains on investments, fee income and other income.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Premiums written are deferred and earned pro rata over the policy period. Net premiums earned represents the earned portion of our gross premiums written, less the earned portion that is ceded to third-party reinsurers under our reinsurance agreements.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represents interest earned from our cash and cash equivalents and fixed maturity and short-term investments and unrealized gains and losses from our private equity investments less investment expenses. Net investment income is directly correlated with the overall size of our investment portfolio, market level of interest rates and changes in the fair value of our private equity investments. Net investment income will vary with the size and composition of our investment portfolio, market returns and the investment strategy.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Realized Gains on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 represents the difference between the amount received by us on the sale of an investment as compared to the investment’s amortized cost basis.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Fee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those policyholders who pay premiums on an installment basis, we charge a flat fee for each installment related to the additional administrative costs associated with processing more frequent billing. We recognize this fee income in the period in which we process each installment.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is primarily comprised of revenue earned from distributing website and mobile application policy inquiry leads in geographies where we do not have a presence, recognized when we generate the lead; commissions earned for homeowners policies placed with third-party insurance companies where we have no exposure to the insured risk, recognized on the effective date of the associated policy.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operating expenses consist of loss and LAE, sales and marketing, other insurance expense (benefit), technology and development, and general and administrative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include the costs incurred for claims, payments made and estimated future payments to be made to or on behalf of our policyholders, including expenses needed to adjust or settle claims, net of amounts ceded to reinsurers. Loss and LAE include an amount determined using adjuster determined case-base estimates for reported claims and actuarial determined unpaid claim estimates using past experience and historical emergence patterns for unreported losses and LAE. These reserves are a liability established to cover the estimated ultimate cost to settle insured losses. The unpaid loss estimates consider loss trends, mix of business, and other risk factors impacting claims settlement. The method used to estimate unpaid LAE liability is based on claims transaction data, including the relative cost of adjusting and settling a range of claim types from express material damage claims to more complex injury cases.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Loss and LAE are net of amounts ceded to reinsurers. We enter into reinsurance contracts to limit our exposure to potential losses as well as to provide additional capacity to write more business. These expenses are a function of the size and term of the insurance policies we write and the loss experience associated with the underlying risks. This includes an allowance for credit losses based on the probability of default and expected loss of a reinsurer. Loss and LAE may be paid out over a period of years.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Various other expenses incurred during claims processing are considered LAE. These amounts include Personnel Costs for claims related employees; software expense; internally developed software amortization; and Overhead.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Sales and Marketing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includes spending related to performance and embedded channels, channel media, advertising, branding, public relations, sponsorship, consumer insights and referral fees. These expenses also include related Personnel Costs, Overhead and certain warrant compensation expense related to our embedded channel. We incur sales and marketing expenses for all product offerings. Sales and marketing are expensed as incurred. Certain warrant compensation expense is recognized on a pro-rata basis considering progress toward completing the Integrated Platform under the Carvana commercial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plan to continue investing in and diversifying our marketing channels, including costs incurred related to our embedded channel, to attract and acquire new customers, increase our brand awareness, and expand our product offerings within certain markets. We expect that in the long term, our sales and marketing will decrease as a percentage of revenue as the proportion of renewals to our total business increases.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 includes underwriting expenses, credit card and policy processing expenses, premium write-offs, insurance license expenses, certain warrant compensation expense related to our embedded channel, and Personnel Costs and Overhead related to actuarial and certain data science activities. Other insurance expense (benefit) also includes amortization of deferred acquisition costs like certain commissions, premium taxes and report costs related to the successful acquisition of a policy. Other insurance expense (benefit) is expensed as incurred, except for costs related to deferred acquisition costs that are capitalized and subsequently amortized over the same period in which the related premiums are earned. These expenses are also recognized net of ceding commissions earned from reinsurance contracts. Certain warrant compensation expense is recognized on a pro-rata basis considering progress toward achieving milestones for policies originated through the Integrated Platform as defined under the Carvana commercial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 expense consists of software development costs related to our mobile application and homegrown information technology systems; third-party services related to infrastructure support; Personnel Costs and Overhead for engineering, product, technology, and certain data science activities; and amortization of internally developed software. Technology and development is expensed as incurred, except for development and testing costs related to internally developed software that are capitalized and subsequently amortized over the expected useful life. Over time, we expect technology and development to decrease as a percentage of 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primarily relate to external professional service expenses; Personnel Costs and Overhead for corporate functions; and depreciation expense for computers, furniture and other fixed assets; write-offs; and restructuring costs which include employee costs, real estate exit costs and other costs. General and administrative expenses are expensed as incurred. We expect general and administrative expenses to decrease as a percentage of total revenue over time.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is not an operating expense; therefore, we include these expenses below operating expenses. Interest expense primarily relates to interest incurred on our long-term debt, certain fees that are expensed as incurred and amortization of debt issuance costs. In addition, changes in the fair value of warrant liabilities that were associated with our long-term debt are recorded as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8999" w:type="dxa"/>
        <w:jc w:val="left"/>
        <w:tblInd w:w="0" w:type="dxa"/>
        <w:tblLayout w:type="fixed"/>
        <w:tblCellMar>
          <w:top w:w="28" w:type="dxa"/>
          <w:left w:w="28" w:type="dxa"/>
          <w:bottom w:w="28" w:type="dxa"/>
          <w:right w:w="28" w:type="dxa"/>
        </w:tblCellMar>
      </w:tblPr>
      <w:tblGrid>
        <w:gridCol w:w="1460"/>
        <w:gridCol w:w="1285"/>
        <w:gridCol w:w="1290"/>
        <w:gridCol w:w="211"/>
        <w:gridCol w:w="616"/>
        <w:gridCol w:w="109"/>
        <w:gridCol w:w="109"/>
        <w:gridCol w:w="109"/>
        <w:gridCol w:w="109"/>
        <w:gridCol w:w="211"/>
        <w:gridCol w:w="586"/>
        <w:gridCol w:w="109"/>
        <w:gridCol w:w="109"/>
        <w:gridCol w:w="109"/>
        <w:gridCol w:w="109"/>
        <w:gridCol w:w="211"/>
        <w:gridCol w:w="511"/>
        <w:gridCol w:w="109"/>
        <w:gridCol w:w="109"/>
        <w:gridCol w:w="109"/>
        <w:gridCol w:w="109"/>
        <w:gridCol w:w="381"/>
        <w:gridCol w:w="385"/>
        <w:gridCol w:w="54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1,563.6 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 increased $31.4 million, or 45.8%, to $100.0 million for the three months ended September 30, 2023 compared to the same period in 2022. The increase was primarily due to reduced cessions of gross premiums earned to reinsurers between periods and an increase in premium per policy resulting from rate actions. In addition, net premiums earned increased due to commutations of certain reinsurance agreements executed in the third quarter of 2023.</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and 2022, we ceded approximately 37.4% and 55.8% of our gross premiums earned to third-party reinsurers, respectively. The change in cessions between periods was primarily driven by a strategic reduction of external quota share reinsurance and commutations of certain reinsurance agreements.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three months ended September 30, 2023 and 2022:</w:t>
      </w:r>
    </w:p>
    <w:p>
      <w:pPr>
        <w:pStyle w:val="TextBody"/>
        <w:bidi w:val="0"/>
        <w:spacing w:before="0" w:after="0"/>
        <w:jc w:val="left"/>
        <w:rPr/>
      </w:pPr>
      <w:r>
        <w:rPr/>
      </w:r>
    </w:p>
    <w:tbl>
      <w:tblPr>
        <w:tblW w:w="7146"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306"/>
        <w:gridCol w:w="310"/>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gross premiums earned was primarily due to higher policies in force driven by greater sales and marketing spend deployment for the three months ended September 30, 2023 compared to the same period in 2022. We also experienced a 21.6% increase in premium per policy for automobile insurance primarily attributable to rate actions.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Investment Income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 increased $8.1 million, or 900.0%, to $9.0 million for the three months ended September 30, 2023 compared to the same period in 2022. The increase was primarily driven by $7.9 million in higher interest and dividends received as a result of investing more in higher yielding investments.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and LAE increased $4.9 million, or 6.1%, to $85.8 million for the three months ended September 30, 2023 compared to the same period in 2022. The increase was primarily driven by reduced cessions of losses to reinsurers and commutations of certain reinsurance agreements which includes $2.8 million expense related to an allowance for credit losses. This was partially offset by better loss experience for the three months ended September 30, 2023 compared to the same period ended in 2022.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68.0% for the three months ended September 30, 2023, from 79.3% for the same period in 2022. The change in the ratios was mainly driven by growth in average premium per policy primarily attributable to rate actions. This was partially offset by higher loss costs as a result of increased severity per claim due to higher vehicle repair and medical costs. We experienced a 10% increase in severity per claim and claim frequency remained flat for the three months ended September 30, 2023 compared to the same period in 2022. The claim severity and frequency estimates are based on bodily injury, collision, and property damage coverages, the claim frequency estimates are tenure mix adjusted.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 increased $5.0 million, or 61.7%, to $13.1 million for the three months ended September 30, 2023 compared to the same period in 2022. The increase was primarily due to an increased deployment of performance marketing spend of $11.4 million to drive growth and deeper market penetration in the states in which we operate. This was partially offset by a $4.5 million decrease in content development, sponsorship, marketing partnership and advertising costs due to a shift in our direct marketing strategy. In addition, we experienced a $2.0 million decrease in Personnel Costs as a result of a decrease in headcount, primarily attributable to the involuntary workforce reductions in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increased $17.2 million, or 1,563.6%, to $18.3 million for the three months ended September 30, 2023 compared to the same period in 2022. The increase was primarily driven by a $7.6 million decrease in ceding commissions contra-expense driven primarily by commutations executed in the third quarter of 2023, and $6.4 million increase in report costs due to an increase in customer applications and new writings. Further, we incurred a $3.6 million increase in Carvana warrant expense as a result of policies originating from the Integrated Platform. We also experienced a $3.0 million increase in amortization of deferred acquisition costs for certain commissions. This was partially offset by a $1.9 million decrease in premium write-offs. We also experienced a $1.1 million decrease in Personnel Costs as a result of a decrease in headcount due to the involuntary workforce reductions in 2022.</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and development decreased $3.2 million, or 22.4%, to $11.1 million for the three months ended September 30, 2023 compared to the same period in 2022. The decrease was primarily driven by a $2.3 million decrease in Personnel Costs as a result of a decrease in headcount, primarily attributable to the involuntary workforce reductions in 2022. We also experienced a $1.2 million decrease in software development expense as a result of initiatives to reduce operating costs.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decreased $5.4 million, or 20.5%, to $21.0 million for the three months ended September 30, 2023 compared to the same period in 2022. The decrease was primarily driven by a $6.3 million decrease in Personnel Costs as a result of a decrease in headcount, primarily attributable to the involuntary workforce reductions in 2022. This was partially offset by a $1.9 million increase in restructuring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results of operations for the periods indicated:</w:t>
      </w:r>
    </w:p>
    <w:tbl>
      <w:tblPr>
        <w:tblW w:w="9208" w:type="dxa"/>
        <w:jc w:val="left"/>
        <w:tblInd w:w="0" w:type="dxa"/>
        <w:tblLayout w:type="fixed"/>
        <w:tblCellMar>
          <w:top w:w="28" w:type="dxa"/>
          <w:left w:w="28" w:type="dxa"/>
          <w:bottom w:w="28" w:type="dxa"/>
          <w:right w:w="28" w:type="dxa"/>
        </w:tblCellMar>
      </w:tblPr>
      <w:tblGrid>
        <w:gridCol w:w="1460"/>
        <w:gridCol w:w="1285"/>
        <w:gridCol w:w="1290"/>
        <w:gridCol w:w="211"/>
        <w:gridCol w:w="691"/>
        <w:gridCol w:w="109"/>
        <w:gridCol w:w="109"/>
        <w:gridCol w:w="109"/>
        <w:gridCol w:w="109"/>
        <w:gridCol w:w="211"/>
        <w:gridCol w:w="691"/>
        <w:gridCol w:w="109"/>
        <w:gridCol w:w="109"/>
        <w:gridCol w:w="109"/>
        <w:gridCol w:w="109"/>
        <w:gridCol w:w="211"/>
        <w:gridCol w:w="616"/>
        <w:gridCol w:w="109"/>
        <w:gridCol w:w="109"/>
        <w:gridCol w:w="109"/>
        <w:gridCol w:w="109"/>
        <w:gridCol w:w="344"/>
        <w:gridCol w:w="346"/>
        <w:gridCol w:w="544"/>
      </w:tblGrid>
      <w:tr>
        <w:trPr/>
        <w:tc>
          <w:tcPr>
            <w:tcW w:w="146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922.7 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Net Premiums Earned</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 increased $2.3 million, or 1.0%, to $223.9 million, for the nine months ended September 30, 2023 compared to the same period in 2022. The increase was primarily due to reduced cessions of gross premiums earned to reinsurers between periods, greater premium per policy resulting from rate actions and commutations of certain reinsurance agreements executed in the third quarter of 2023. This was partially offset by lower gross premiums earned for the nine months ended September 30, 2023 compared to the same period in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and 2022, we ceded approximately 46.9% and 55.8% of our gross premiums earned to third-party reinsurers, respectively. The change in cessions between periods was primarily driven by a strategic reduction of quota share reinsurance and commutations of certain reinsurance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gross premiums written, ceded premiums written, net premiums written, gross premiums earned, ceded premiums earned and net premiums earned for the nine months ended September 30, 2023 and 2022: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r>
    </w:p>
    <w:tbl>
      <w:tblPr>
        <w:tblW w:w="7116" w:type="dxa"/>
        <w:jc w:val="left"/>
        <w:tblInd w:w="0" w:type="dxa"/>
        <w:tblLayout w:type="fixed"/>
        <w:tblCellMar>
          <w:top w:w="28" w:type="dxa"/>
          <w:left w:w="28" w:type="dxa"/>
          <w:bottom w:w="28" w:type="dxa"/>
          <w:right w:w="28" w:type="dxa"/>
        </w:tblCellMar>
      </w:tblPr>
      <w:tblGrid>
        <w:gridCol w:w="761"/>
        <w:gridCol w:w="667"/>
        <w:gridCol w:w="672"/>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93"/>
        <w:gridCol w:w="293"/>
        <w:gridCol w:w="483"/>
        <w:gridCol w:w="109"/>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written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written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written</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premiums earned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premiums earned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gross premiums earned was primarily due to strong growth in new writings during the nine months ended September 30, 2023, that is continuing to earn in over the policy period. This decrease was partially offset by a 21.6% increase in premium per policy for automobile insurance primarily attributable to rate actions and higher policies in force.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Net Investment Income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investment income increased $20.3 million, or 922.7%, to $22.5 million for the nine months ended September 30, 2023 compared to the same period in 2022. The increase was primarily driven by $19.6 million in higher interest and dividends received as a result of investing more in higher yielding investments.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Loss and Loss Adjustment Expenses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and LAE decreased $64.7 million, or 23.7%, to $208.6 million for the nine months ended September 30, 2023 compared to the same period in 2022. The decrease was primarily due to better loss experience for the nine months ended September 30, 2023 compared to the same period in 2022. This was partially offset by reduced cessions of losses to reinsurers and commutations of certain reinsurance agreements which includes $2.8 million expense related to an allowance for credit losses for the nine months ended September 30, 2023 compared to the same period in 2022.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Gross accident period loss ratios decreased to 67.9% for the nine months ended September 30, 2023, from 81.3% for the same period in 2022. The change in the ratios was driven by growth in average premium per policy primarily attributable to rate actions. This was partially offset by higher loss costs as a result of increased severity per claim due to higher vehicle repair and medical costs. We experienced an 8% increase in severity per claim and a 5% decrease in claim frequency for the nine months ended September 30, 2023 compared to the same period in 2022. The claim severity and frequency estimates are based on bodily injury, collision, and property damage coverages, the claim frequency estimates are tenure mix adjusted.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 decreased $22.0 million, or 49.1%, to $22.8 million for the nine months ended September 30, 2023 compared to the same period in 2022. The decrease was due to a $20.2 million decrease in content development, marketing partnership, sponsorship and advertising costs due to a shift in our direct marketing strategy. In addition, we experienced an $8.8 million decline in warrant compensation expense related to the completion of the Integrated Platform pursuant to the Carvana commercial agreement in the prior year. We also experienced a $5.8 million decrease in Personnel Costs as a result of a decrease in headcount, primarily attributable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to the involuntary workforce reductions in 2022. This was partially offset by a $12.7 million increase in performance marketing spend to drive growth and deeper market penetration in the states in which we operate.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Other Insurance Expense (Benefit)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 increased $27.9 million, or 489.5%, to an expense of $22.2 million for the nine months ended September 30, 2023 compared to the same period in 2022. The increase was primarily driven by a $13.8 million decrease in net ceding commission contra-expense as a result of a decline in ceded premiums and commutations executed in the third quarter of 2023. We also experienced an $11.9 million increase in Carvana warrant expense as a result of policies originating from the Integrated Platform and an $8.6 million increase in report costs due to an increase in customer applications and new writings. In addition, we experienced a $6.7 million increase in amortization of deferred acquisition costs for certain commissions. This was partially offset by a $4.1 million decrease in Personnel Costs as a result of a decrease in headcount due to the involuntary workforce reductions in 2022. In addition, we experienced a $2.5 million decrease in premium taxes and a $1.8 million decrease in payment processing fees.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Technology and Development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and development decreased $13.7 million, or 29.7%, to $32.4 million for the nine months ended September 30, 2023 compared to the same period in 2022. The decrease was primarily driven by an $11.0 million decrease in Personnel Costs as a result of a decrease in headcount, primarily attributable to the involuntary workforce reductions in 2022. We also experienced a $3.5 million decrease in software development expense as a result of initiatives to reduce operating costs.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decreased $33.2 million, or 34.4%, to $63.2 million for the nine months ended September 30, 2023 compared to the same period in 2022. The decrease was primarily driven by a $23.8 million decrease in Personnel Costs as a result of a decrease in headcount, primarily attributable to the involuntary workforce reductions in 2022, and a $10.1 million write-off of prepaid marketing expense recognized in 2022.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Non-Operating Expenses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$10.4 million, or 43.3%, to $34.4 million for the nine months ended September 30, 2023 compared to the same period in 2022. The increase was primarily due to a $10.1 million increase in debt interest expense primarily as a result of a greater average interest rate as of September 30, 2023 compared to the same period in 2022.</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Comprehensive Loss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Net Unrealized Losses on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net unrealized losses on investments decreased $6.5 million, or 89.0%, to $0.8 million for the nine months ended September 30, 2023 compared to the same period in 2022. The decrease is primarily attributable to investments being reinvested at maturity in securities that reflect the current interest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non-GAAP financial measures below have not been calculated in accordance with GAAP and should be considered in addition to results prepared in accordance with GAAP and should not be considered as a substitute for, or superior to, GAAP results. In addition, direct contribution and adjusted EBITDA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Therefore, its use can make it difficult to compare our current results with our results from other reporting periods and with the results of other companies.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these non-GAAP financial measures, in conjunction with GAAP financial measures, as an integral part of managing our business and to, among other things: (1) monitor and evaluate the performance of our business operations and financial performance; (2) facilitate internal comparisons of the historical operating performance of our business operations; (3) facilitate external comparisons of the results of our overall business to the historical operating performance of other companies that may have different capital structures and debt levels; (4) review and assess the operating performance of our management team; (5) analyze and evaluate financial and strategic planning decisions regarding future operating investments; and (6) plan for and prepare future annual operating budgets and determine appropriate levels of operating investments.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Direct Contribution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direct contribution and why management believes this measure provides useful information to investors, see “— Key Performance Indicators.”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total revenue to direct contribution for the three and nine months ended September 30, 2023 and 2022:</w:t>
      </w:r>
    </w:p>
    <w:tbl>
      <w:tblPr>
        <w:tblW w:w="10098" w:type="dxa"/>
        <w:jc w:val="left"/>
        <w:tblInd w:w="0" w:type="dxa"/>
        <w:tblLayout w:type="fixed"/>
        <w:tblCellMar>
          <w:top w:w="28" w:type="dxa"/>
          <w:left w:w="28" w:type="dxa"/>
          <w:bottom w:w="28" w:type="dxa"/>
          <w:right w:w="28" w:type="dxa"/>
        </w:tblCellMar>
      </w:tblPr>
      <w:tblGrid>
        <w:gridCol w:w="1613"/>
        <w:gridCol w:w="1418"/>
        <w:gridCol w:w="1423"/>
        <w:gridCol w:w="270"/>
        <w:gridCol w:w="790"/>
        <w:gridCol w:w="139"/>
        <w:gridCol w:w="139"/>
        <w:gridCol w:w="139"/>
        <w:gridCol w:w="139"/>
        <w:gridCol w:w="270"/>
        <w:gridCol w:w="655"/>
        <w:gridCol w:w="139"/>
        <w:gridCol w:w="109"/>
        <w:gridCol w:w="109"/>
        <w:gridCol w:w="109"/>
        <w:gridCol w:w="248"/>
        <w:gridCol w:w="724"/>
        <w:gridCol w:w="128"/>
        <w:gridCol w:w="128"/>
        <w:gridCol w:w="128"/>
        <w:gridCol w:w="128"/>
        <w:gridCol w:w="248"/>
        <w:gridCol w:w="724"/>
        <w:gridCol w:w="181"/>
      </w:tblGrid>
      <w:tr>
        <w:trPr/>
        <w:tc>
          <w:tcPr>
            <w:tcW w:w="1613"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and loss adjustment expenses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insurance (expense) benefit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profit/(loss)</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gains on investments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Times New Roman;sans-serif" w:hAnsi="Times New Roman;sans-serif"/>
                <w:b w:val="false"/>
                <w:color w:val="000000"/>
                <w:sz w:val="20"/>
              </w:rPr>
              <w:t>Adjustments from other insurance expense (benefit)</w:t>
            </w:r>
            <w:r>
              <w:rPr>
                <w:rFonts w:ascii="Times New Roman;sans-serif" w:hAnsi="Times New Roman;sans-serif"/>
                <w:b w:val="false"/>
                <w:color w:val="000000"/>
                <w:sz w:val="13"/>
              </w:rPr>
              <w:t>(1)</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premiums earned</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loss and loss adjustment expenses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Net ceding commission and other</w:t>
            </w:r>
            <w:r>
              <w:rPr>
                <w:rFonts w:ascii="Times New Roman;sans-serif" w:hAnsi="Times New Roman;sans-serif"/>
                <w:b w:val="false"/>
                <w:color w:val="000000"/>
                <w:sz w:val="13"/>
              </w:rPr>
              <w:t>(2)</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contribution</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20"/>
        <w:ind w:left="0" w:right="0" w:hanging="360"/>
        <w:jc w:val="left"/>
        <w:rPr/>
      </w:pPr>
      <w:r>
        <w:rPr>
          <w:rFonts w:ascii="Times New Roman;sans-serif" w:hAnsi="Times New Roman;sans-serif"/>
          <w:b w:val="false"/>
          <w:color w:val="000000"/>
          <w:sz w:val="16"/>
        </w:rPr>
        <w:t>(1) Adjustments from other insurance expense (benefit) includes report costs, Personnel Costs, Overhead, licenses, net commissions, professional fees and other</w:t>
      </w:r>
      <w:r>
        <w:rPr>
          <w:rFonts w:ascii="Times New Roman;sans-serif" w:hAnsi="Times New Roman;sans-serif"/>
          <w:b w:val="false"/>
          <w:color w:val="000000"/>
          <w:sz w:val="20"/>
        </w:rPr>
        <w:t xml:space="preserve">. </w:t>
      </w:r>
    </w:p>
    <w:p>
      <w:pPr>
        <w:pStyle w:val="TextBody"/>
        <w:bidi w:val="0"/>
        <w:spacing w:lineRule="auto" w:line="288" w:before="0" w:after="120"/>
        <w:ind w:left="0" w:right="0" w:hanging="360"/>
        <w:jc w:val="left"/>
        <w:rPr/>
      </w:pPr>
      <w:r>
        <w:rPr>
          <w:rFonts w:ascii="Times New Roman;sans-serif" w:hAnsi="Times New Roman;sans-serif"/>
          <w:b w:val="false"/>
          <w:color w:val="000000"/>
          <w:sz w:val="16"/>
        </w:rPr>
        <w:t>(2) Net ceding commission and other is comprised of ceding commissions received in connection with reinsurance ceded, partially offset by amortization of excess ceding commission and other impacts of reinsurance ceded</w:t>
      </w:r>
      <w:r>
        <w:rPr>
          <w:rFonts w:ascii="Times New Roman;sans-serif" w:hAnsi="Times New Roman;sans-serif"/>
          <w:b w:val="false"/>
          <w:color w:val="000000"/>
          <w:sz w:val="20"/>
        </w:rPr>
        <w:t xml:space="preserve">.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Adjusted EBITDA</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For the definition of adjusted EBITDA and why management believes this measure provides useful information to investors, see “— Key Performance Indicators.”</w:t>
      </w:r>
    </w:p>
    <w:p>
      <w:pPr>
        <w:pStyle w:val="TextBody"/>
        <w:bidi w:val="0"/>
        <w:spacing w:lineRule="auto" w:line="288" w:before="0" w:after="180"/>
        <w:jc w:val="left"/>
        <w:rPr/>
      </w:pPr>
      <w:r>
        <w:rPr>
          <w:rFonts w:ascii="Times New Roman;sans-serif" w:hAnsi="Times New Roman;sans-serif"/>
          <w:b w:val="false"/>
          <w:color w:val="000000"/>
          <w:sz w:val="20"/>
        </w:rPr>
        <w:t>The following table provides a reconciliation of net loss to adjusted EBITDA for the three and nine months ended September 30, 2023 and 2022:</w:t>
      </w:r>
      <w:r>
        <w:rPr>
          <w:color w:val="000000"/>
        </w:rPr>
        <w:t xml:space="preserve"> </w:t>
      </w:r>
    </w:p>
    <w:tbl>
      <w:tblPr>
        <w:tblW w:w="8296" w:type="dxa"/>
        <w:jc w:val="left"/>
        <w:tblInd w:w="0" w:type="dxa"/>
        <w:tblLayout w:type="fixed"/>
        <w:tblCellMar>
          <w:top w:w="28" w:type="dxa"/>
          <w:left w:w="28" w:type="dxa"/>
          <w:bottom w:w="28" w:type="dxa"/>
          <w:right w:w="28" w:type="dxa"/>
        </w:tblCellMar>
      </w:tblPr>
      <w:tblGrid>
        <w:gridCol w:w="961"/>
        <w:gridCol w:w="839"/>
        <w:gridCol w:w="854"/>
        <w:gridCol w:w="264"/>
        <w:gridCol w:w="735"/>
        <w:gridCol w:w="136"/>
        <w:gridCol w:w="136"/>
        <w:gridCol w:w="136"/>
        <w:gridCol w:w="136"/>
        <w:gridCol w:w="264"/>
        <w:gridCol w:w="735"/>
        <w:gridCol w:w="136"/>
        <w:gridCol w:w="109"/>
        <w:gridCol w:w="109"/>
        <w:gridCol w:w="109"/>
        <w:gridCol w:w="232"/>
        <w:gridCol w:w="762"/>
        <w:gridCol w:w="120"/>
        <w:gridCol w:w="120"/>
        <w:gridCol w:w="120"/>
        <w:gridCol w:w="120"/>
        <w:gridCol w:w="232"/>
        <w:gridCol w:w="762"/>
        <w:gridCol w:w="169"/>
      </w:tblGrid>
      <w:tr>
        <w:trPr/>
        <w:tc>
          <w:tcPr>
            <w:tcW w:w="96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(dollars in millions)</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compensation expense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(1)</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Write-offs and other</w:t>
            </w:r>
            <w:r>
              <w:rPr>
                <w:rFonts w:ascii="Times New Roman;sans-serif" w:hAnsi="Times New Roman;sans-serif"/>
                <w:b w:val="false"/>
                <w:color w:val="000000"/>
                <w:sz w:val="13"/>
              </w:rPr>
              <w:t>(2)</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Restructuring costs consist of employee costs, real estate exit costs, and other. This includes share-based compensation of zero and $0.4 million for the three and nine months ended September 30, 2023, respectively, and zero and $2.1 million for the three and nine months ended September 30, 2022, respectively. This also includes depreciation and amortization of zero and $0.2 million for the three and nine months ended September 30, 2023, respectively, and $0.1 million and $1.4 million for the three and nine months ended September 30, 2022, respectively. For further information on restructuring costs, see Note 9, “Restructuring Costs,” in the Notes to Condensed Consolidated Financial Statements.</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 Write-offs and other primarily reflects legal costs, write-off of prepaid marketing expense and other items that do not reflect our ongoing operating performance. This includes write-off of prepaid marketing expenses of zero and $10.1 million for the three and nine months ended September 30, 2022, respectively. Legal and other fees related to the purported misappropriation of funds by a former senior marketing employee in 2022 of $1.0 million and $3.4 million for the three and nine months ended September 30,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financed operations primarily through sales of insurance policies and the net proceeds we have received from our issuance of stock and debt and from sales of investments. Cash generated from operations is highly dependent on being able to efficiently acquire and maintain customers while pricing our insurance products appropriately. We are continuously evaluating alternatives for efficiently funding our ongoing operations. We expect, from time to time, to engage in a variety of financing transactions for such purposes.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events may impact our liquidity such as the economic instability resulting in acute inflationary pressures, supply chain disruptions, rising interest rates, a downturn in equity markets, bank failures and our utilization of reinsurance. There is a risk of inflation remaining elevated for an extended period, which could cause claims and claim expenses to increase, impact the performance of our investment portfolio or have other adverse effects. Rising interest rates have increased the cost of capital and may limit our ability to raise additional capital. We utilize reinsurance arrangements to grow our business in a capital-efficient manner and mitigate risk. Over time, our strategy continues to evolve and we may choose to amend, commute, and/or non-renew certain third-party reinsurance agreements, which may result in us retaining more of our business in the future. To the extent we retain a larger share of our book of business, our capital requirements may increase.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Regulatory Considerations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are organized as a holding company, but our primary operations are conducted by two of our wholly-owned insurance subsidiaries, Root Insurance Company and Root Property &amp; Casualty Insurance Company, both Ohio-domiciled insurance companies. The payment of dividends by our insurance subsidiaries is subject to restrictions set forth in the insurance laws and regulations of the State of Ohio. To date, our insurance subsidiaries have not paid any dividends and, as of September 30, 2023, they were not permitted to pay any dividends without approval of the applicable superintendent, commissioner and/or director.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our insurance subsidiaries’ businesses grow or the regulatory requirements change, the amount of capital we are required to maintain to satisfy our risk-based capital requirements may increase significantly. To comply with these regulations, we may be required to maintain capital in the insurance subsidiaries that we would otherwise invest in our growth and operations. As of September 30, 2023, our insurance subsidiaries maintained a risk-based capital level that is in excess of an amount that would require any corrective actions on our part.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wholly-owned, Cayman Islands-based reinsurance subsidiary, Root Reinsurance Company, Ltd., or Root Re, maintains a Class B(iii) insurer license under Cayman Islands Monetary Authority, or CIMA. At September 30, 2023, Root Re was subject to compliance with certain capital levels and a net premiums earned to capital ratio of 15:1, which we maintained as of September 30, 2023. The capital ratio can fluctuate at Root Re’s election, subject to regulatory approval. Root Re’s primary sources of funds are capital contributions from the holding company, assumed insurance premiums and net investment income. These funds are primarily used to pay claims and operating expenses and to purchase investments. Root Re must receive approval from CIMA before it can pay any dividend to the holding company.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26, 2022, we closed on a $300.0 million five-year term loan, or Term Loan. The maturity of the Term Loan is January 27, 2027. Interest is payable quarterly and is determined on a floating interest rate calculated on the Secured Overnight Financing Rate, with a 1.0% floor, plus 9.0%.</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$635.3 million in cash and cash equivalents, of which $502.2 million was held outside of regulated insurance entities. We also had $167.1 million in marketable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primarily consist of bank deposits and money market funds. Our marketable securities primarily consist of U.S. Treasury securities and agencies, municipal securities, corporate debt securities, residential and commercial mortgage-backed securities, and other debt obligations.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cash and cash equivalents, marketable securities and cash flow from operations will be sufficient to support short-term working capital and capital expenditure requirements for at least the next 12 months and for the foreseeable future thereafter.</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capital requirements depend on many factors, including our insurance premium growth rate, rate adequacy, renewal activity, the timing and the amount of cash received from customers, the performance of our products, including the success of our embedded partnerships, loss cost trends, the timing and extent of spending to support development efforts, the introduction of new and enhanced products, the continuing market adoption of offerings on our platform, operating costs, and the ongoing uncertainty in global markets.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expect to incur approximately $1.7 million of employee compensation expense, dependent upon continuous employment for certain employees, to be recognized ratably in the fourth quarter of 2023. We expect a cash expenditure of approximately $8.3 million related to these employee compensation costs in the first quarter of 2024. For additional information regarding organizational realignment and involuntary workforce reductions refer to Note 9, “Restructuring Costs,” in the Notes to Condensed Consolidated Financial Statements.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our debt covenants require cash and cash equivalents held in entities other than our insurance subsidiaries to be at least $200.0 million at all times. This threshold may be reduced to $150.0 million under two 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of circumstances: issuing 62,500 insurance policies through our Carvana embedded product and achieving a ratio of direct contribution to gross premiums earned of 12%; or ceasing any customer acquisition spend outside of the Carvana commercial agreement and reducing our monthly cash burn to no greater than $12.0 million.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Through prudent deployment of capital we believe we have sufficient resources, and access to additional debt and equity capital, to adequately meet our obligations as they come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 data for the periods presented:</w:t>
      </w:r>
    </w:p>
    <w:tbl>
      <w:tblPr>
        <w:tblW w:w="6851" w:type="dxa"/>
        <w:jc w:val="left"/>
        <w:tblInd w:w="0" w:type="dxa"/>
        <w:tblLayout w:type="fixed"/>
        <w:tblCellMar>
          <w:top w:w="28" w:type="dxa"/>
          <w:left w:w="28" w:type="dxa"/>
          <w:bottom w:w="28" w:type="dxa"/>
          <w:right w:w="28" w:type="dxa"/>
        </w:tblCellMar>
      </w:tblPr>
      <w:tblGrid>
        <w:gridCol w:w="1525"/>
        <w:gridCol w:w="1343"/>
        <w:gridCol w:w="1347"/>
        <w:gridCol w:w="243"/>
        <w:gridCol w:w="676"/>
        <w:gridCol w:w="125"/>
        <w:gridCol w:w="125"/>
        <w:gridCol w:w="125"/>
        <w:gridCol w:w="125"/>
        <w:gridCol w:w="243"/>
        <w:gridCol w:w="797"/>
        <w:gridCol w:w="177"/>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4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for the nine months ended September 30, 2023 was $79.7 million compared to $163.9 million of net cash used in operating activities for the nine months ended September 30, 2022. The decrease in cash used in operating activities was primarily due to a decline in net loss incurred as a result of a decrease in loss and LAE due to better loss experience and initiatives that reduced operating costs including our prior year organizational realignment and involuntary workforce reductions that reduced payroll, employee-related expenditures and facility costs. The impact of commuting certain agreements with reinsurers along with the timing of reinsurance receipts and growth in premiums not yet earned also contributed to the decrease in cash used in operating activities. This was partially offset by timing of reinsurance payments and claims payments during the nine months ended September 30, 2023 compared to the same period in 2022.</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September 30, 2023 was $46.2 million compared to $5.7 million of net cash used in investing activities for the nine months ended September 30, 2022. The increase in cash used in investing activities was primarily due to purchases of investments and fewer proceeds from sales, maturities, calls and pay downs of investments.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nine months ended September 30, 2023 was $0.9 million due to taxes paid related to net share settlement of vested restricted stock units. Net cash provided by financing activities for the nine months ended September 30, 2022 was $283.3 million primarily due to proceeds from our Term Loan.</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Material Cash Requirements from Contractual and Other Obligations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contractual and other obligations from those described in our 2022 10-K. We believe we have sufficient resources, and access to additional debt and equity capital, to adequately meet our obligations as they come due.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that have, or are reasonably likely to have, a current or future material effect on our financial condition, results of operations, liquidity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are prepared in accordance with GAAP. The preparation of the condensed consolidated financial statements in conformity with GAAP requires our management to make a number of estimates and assumptions relating to the reported amounts of assets and liabilities, the disclosure of contingent assets and liabilities at the date of the condensed consolidated financial statements and the reported amounts of revenue and expenses during the period. We evaluate our significant estimates on an ongoing basis, including, but not limited to, estimates related to reserves for loss and LAE, valuation allowance on our deferred tax assets, premium write-offs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and allowance for expected credit losses on premium receivables and reinsurance recoverables. We base our estimates on historical experience and on various other assumptions that we believe to be reasonable under the circumstances, the results of which form the basis for making judgments about the carrying value of assets and liabilities that are not readily apparent from other sources. Actual results could differ from those estimates.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estimates are described under the heading “Management’s Discussion and Analysis of Financial Condition and Results of Operations — Critical Accounting Estimates,” in our 2022 10-K and the Notes to Condensed Consolidated Financial Statements appearing elsewhere in this Quarterly Report on Form 10-Q. During the nine months ended September 30, 2023, there were no material changes to our critical accounting estimates from those discussed in our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the quantitative and qualitative market risk disclosures included in the 2022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2023, our disclosure controls and procedures were not effective at the reasonable assurance level, due to the material weakness in internal control over financial reporting described below.</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Previously Disclosed Material Weakness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disclosed in Part II, Item 9A. “Controls and Procedures” in the 2022 10-K that we had identified a material weakness in internal control over financial reporting related to monitoring and the control environment, including the circumvention of control activities, that contributed to the fraud perpetrated by a former senior marketing employee, and aggregated to a material weakness. Specifically, the material weakness related to inadequate hiring practices for employees in senior leadership positions whose roles and responsibilities include the initiation of transactions with third parties, and ineffective control and monitoring activities, including the circumvention of certain control activities, related to the review, authorization and approval of third-party vendors, and associated contracts for services, and approval of third-party vendor payments.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Status of Management’s Remediation Efforts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taken the following steps to remediate the material weakness described above:</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Enhanced our policy to require more comprehensive hiring practices for individuals in senior leadership positions, which includes more robust background checks than we require for all employees.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Improved the design of internal vendor management processes and controls, including having hired dedicated procurement resources to ensure contracts, including amendments, are appropriately reviewed, authorized in accordance with our delegation of authority policies, and approved.</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Clarified the design of vendor payment controls to prescribe the criteria an approver must review, in addition to invoice requests, to adequately support payments to vendors.</w:t>
      </w:r>
    </w:p>
    <w:p>
      <w:pPr>
        <w:pStyle w:val="TextBody"/>
        <w:bidi w:val="0"/>
        <w:spacing w:lineRule="auto" w:line="288" w:before="0" w:after="180"/>
        <w:jc w:val="left"/>
        <w:rPr/>
      </w:pPr>
      <w:r>
        <w:rPr>
          <w:color w:val="000000"/>
        </w:rPr>
        <w:t>•</w:t>
      </w:r>
      <w:r>
        <w:rPr>
          <w:rFonts w:ascii="Times New Roman;sans-serif" w:hAnsi="Times New Roman;sans-serif"/>
          <w:b w:val="false"/>
          <w:color w:val="000000"/>
          <w:sz w:val="20"/>
        </w:rPr>
        <w:t>Implemented more stringent monitoring controls to ensure compliance with contract reviews, approval authority limits and vendor payment policies.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While we believe progress was made to enhance and strengthen our internal control over financial reporting, the controls that were designed and implemented to address the material weakness were not in all cases in place for a sufficient period of time to demonstrate operating effectiveness. The material weakness will not be considered remediated until the applicable remedial controls operate for a sufficient period of time and management has concluded, through testing, that these controls are operating effectively.</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described above, there were no changes during the quarter ended September 30, 2023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party to litigation and legal proceedings relating to our business operations. While the outcome of all legal actions is not presently determinable, except as noted in Note 11, “Commitments and Contingencies,” in the Notes to Condensed Consolidated Financial Statements, we do not believe that we are party to any current or pending legal action that could reasonably be expected to have a material adverse effect on our financial condition or results of operations and cash flow. </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our risk factors from those disclosed in the 2022 10-K. In addition to the other information set forth in this Quarterly Report on Form 10-Q, you should carefully consider the risk factors discussed in Part I, Item 1A. “Risk Factors” in the 2022 10-K. You should not interpret the disclosure of any risk factor to imply the risk has not already materialized.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Issuer Purchases of Equity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Dividend, Repurchase and Working Capital Restrictions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holding company that transacts a majority of its business through operating subsidiaries. Our regulated insurance subsidiaries are subject to restrictions on the dividends they may pay, which could impact our ability to pay dividends to stockholders in the future. </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The payment of any extraordinary dividend by one of our regulated insurance subsidiaries requires the prior approval of the superintendent of the supervisory Department of Insurance, or DOI. “Extraordinary dividend” is defined under the Ohio Revised Code, or Code, as: (i) any dividend or distribution of cash or other property whose fair market value, together with that of other dividends or distributions made within the preceding 12 months, exceeds the greater of (a) 10% of an insurer’s policyholder surplus as of December 31 of the preceding year, or (b) an insurer’s net income for the 12-month period ending December 31 of the preceding year or (ii) any dividend or distribution paid by an insurer from a source other than earned surplus. As of December 31, 2022, neither Root Insurance Company nor Root Property &amp; Casualty Insurance Company were permitted to pay any dividends to us without approval of the superintendent of the supervisory DOI. See the section titled “Risk Factors — Risks Related to Our Business — Failure to maintain our risk-based capital at the required levels could adversely affect our ability to maintain regulatory authority to conduct our business,” included in the 2022 10-K.</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insurance regulators have broad powers to prevent a reduction of statutory surplus to inadequate levels, and there is no assurance that dividends of the maximum amount calculated under any applicable formula would be permitted. The Ohio DOI may in the future adopt statutory provisions more restrictive than those currently in effect.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our Term Loan includes covenants that require us to maintain certain levels of liquidity and restrict us from declaring or making cash dividend or other distributions and from repurchasing our common stock outside of the ordinary course of business or in excess of certain specified limits during the term of the applicable loan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(a)Exhibits. </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1924"/>
        <w:gridCol w:w="1505"/>
        <w:gridCol w:w="1511"/>
        <w:gridCol w:w="177"/>
        <w:gridCol w:w="177"/>
        <w:gridCol w:w="164"/>
        <w:gridCol w:w="289"/>
        <w:gridCol w:w="289"/>
        <w:gridCol w:w="290"/>
        <w:gridCol w:w="210"/>
        <w:gridCol w:w="210"/>
        <w:gridCol w:w="211"/>
        <w:gridCol w:w="405"/>
        <w:gridCol w:w="270"/>
        <w:gridCol w:w="253"/>
        <w:gridCol w:w="295"/>
        <w:gridCol w:w="295"/>
        <w:gridCol w:w="296"/>
        <w:gridCol w:w="109"/>
        <w:gridCol w:w="109"/>
        <w:gridCol w:w="161"/>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5"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SEC File Number</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18"/>
                  <w:u w:val="single"/>
                </w:rPr>
                <w:t>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30, 2020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18"/>
                  <w:u w:val="single"/>
                </w:rPr>
                <w:t>Certificate of Amendment to Amended and Restated Certificate of Incorporation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15, 2022</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18"/>
                  <w:u w:val="single"/>
                </w:rPr>
                <w:t>Amended and Restated Bylaws of Root, Inc.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February 22, 2023</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18"/>
                  <w:u w:val="single"/>
                </w:rPr>
                <w:t>Certificate of Designations of Series A Preferred Stock, filed with the Delaware Secretary of State on October 1, 2021</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18"/>
                  <w:u w:val="single"/>
                </w:rPr>
                <w:t>Form of Class A common stock certificate.</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S-1/A</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333-249332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20, 2020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18"/>
                  <w:u w:val="single"/>
                </w:rPr>
                <w:t>Common Stock Purchase Warrants, dated as of October 1, 2021, by and between Root, Inc. and Carvana Group, LLC</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1, 2021</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18"/>
                  <w:u w:val="single"/>
                </w:rPr>
                <w:t>Form of Common Stock Purchase Warrant (Tranche 1), dated January 26, 2022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18"/>
                  <w:u w:val="single"/>
                </w:rPr>
                <w:t>Form of Common Stock Purchase Warrant (Tranche 2)</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27, 2022</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18"/>
                  <w:u w:val="single"/>
                </w:rPr>
                <w:t>Executive Retention Agreement between Matt Bonakdarpour and Root, Inc., dated August 9, 2023</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August 11, 2023</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performance-basedrsuaw.htm">
              <w:r>
                <w:rPr>
                  <w:rStyle w:val="InternetLink"/>
                  <w:rFonts w:ascii="Times New Roman;sans-serif" w:hAnsi="Times New Roman;sans-serif"/>
                  <w:b w:val="false"/>
                  <w:color w:val="000080"/>
                  <w:sz w:val="18"/>
                  <w:u w:val="single"/>
                </w:rPr>
                <w:t>P</w:t>
              </w:r>
            </w:hyperlink>
            <w:hyperlink w:anchor="a102performance-basedrsuaw.htm">
              <w:r>
                <w:rPr>
                  <w:rStyle w:val="InternetLink"/>
                  <w:rFonts w:ascii="Times New Roman;sans-serif" w:hAnsi="Times New Roman;sans-serif"/>
                  <w:b w:val="false"/>
                  <w:color w:val="000080"/>
                  <w:sz w:val="18"/>
                  <w:u w:val="single"/>
                </w:rPr>
                <w:t>erformance</w:t>
              </w:r>
            </w:hyperlink>
            <w:hyperlink w:anchor="a102performance-basedrsuaw.htm">
              <w:r>
                <w:rPr>
                  <w:rStyle w:val="InternetLink"/>
                  <w:rFonts w:ascii="Times New Roman;sans-serif" w:hAnsi="Times New Roman;sans-serif"/>
                  <w:b w:val="false"/>
                  <w:color w:val="000080"/>
                  <w:sz w:val="18"/>
                  <w:u w:val="single"/>
                </w:rPr>
                <w:t>-B</w:t>
              </w:r>
            </w:hyperlink>
            <w:hyperlink w:anchor="a102performance-basedrsuaw.htm">
              <w:r>
                <w:rPr>
                  <w:rStyle w:val="InternetLink"/>
                  <w:rFonts w:ascii="Times New Roman;sans-serif" w:hAnsi="Times New Roman;sans-serif"/>
                  <w:b w:val="false"/>
                  <w:color w:val="000080"/>
                  <w:sz w:val="18"/>
                  <w:u w:val="single"/>
                </w:rPr>
                <w:t>ased</w:t>
              </w:r>
            </w:hyperlink>
            <w:hyperlink w:anchor="a102performance-basedrsuaw.htm">
              <w:r>
                <w:rPr>
                  <w:rStyle w:val="InternetLink"/>
                  <w:rFonts w:ascii="Times New Roman;sans-serif" w:hAnsi="Times New Roman;sans-serif"/>
                  <w:b w:val="false"/>
                  <w:color w:val="000080"/>
                  <w:sz w:val="18"/>
                  <w:u w:val="single"/>
                </w:rPr>
                <w:t xml:space="preserve"> RSU A</w:t>
              </w:r>
            </w:hyperlink>
            <w:hyperlink w:anchor="a102performance-basedrsuaw.htm">
              <w:r>
                <w:rPr>
                  <w:rStyle w:val="InternetLink"/>
                  <w:rFonts w:ascii="Times New Roman;sans-serif" w:hAnsi="Times New Roman;sans-serif"/>
                  <w:b w:val="false"/>
                  <w:color w:val="000080"/>
                  <w:sz w:val="18"/>
                  <w:u w:val="single"/>
                </w:rPr>
                <w:t>ward</w:t>
              </w:r>
            </w:hyperlink>
            <w:hyperlink w:anchor="a102performance-basedrsuaw.htm">
              <w:r>
                <w:rPr>
                  <w:rStyle w:val="InternetLink"/>
                  <w:rFonts w:ascii="Times New Roman;sans-serif" w:hAnsi="Times New Roman;sans-serif"/>
                  <w:b w:val="false"/>
                  <w:color w:val="000080"/>
                  <w:sz w:val="18"/>
                  <w:u w:val="single"/>
                </w:rPr>
                <w:t xml:space="preserve"> G</w:t>
              </w:r>
            </w:hyperlink>
            <w:hyperlink w:anchor="a102performance-basedrsuaw.htm">
              <w:r>
                <w:rPr>
                  <w:rStyle w:val="InternetLink"/>
                  <w:rFonts w:ascii="Times New Roman;sans-serif" w:hAnsi="Times New Roman;sans-serif"/>
                  <w:b w:val="false"/>
                  <w:color w:val="000080"/>
                  <w:sz w:val="18"/>
                  <w:u w:val="single"/>
                </w:rPr>
                <w:t>rant</w:t>
              </w:r>
            </w:hyperlink>
            <w:hyperlink w:anchor="a102performance-basedrsuaw.htm">
              <w:r>
                <w:rPr>
                  <w:rStyle w:val="InternetLink"/>
                  <w:rFonts w:ascii="Times New Roman;sans-serif" w:hAnsi="Times New Roman;sans-serif"/>
                  <w:b w:val="false"/>
                  <w:color w:val="000080"/>
                  <w:sz w:val="18"/>
                  <w:u w:val="single"/>
                </w:rPr>
                <w:t xml:space="preserve"> N</w:t>
              </w:r>
            </w:hyperlink>
            <w:hyperlink w:anchor="a102performance-basedrsuaw.htm">
              <w:r>
                <w:rPr>
                  <w:rStyle w:val="InternetLink"/>
                  <w:rFonts w:ascii="Times New Roman;sans-serif" w:hAnsi="Times New Roman;sans-serif"/>
                  <w:b w:val="false"/>
                  <w:color w:val="000080"/>
                  <w:sz w:val="18"/>
                  <w:u w:val="single"/>
                </w:rPr>
                <w:t>otice</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80"/>
                  <w:sz w:val="18"/>
                  <w:u w:val="single"/>
                </w:rPr>
                <w:t xml:space="preserve">Root, Inc. </w:t>
              </w:r>
            </w:hyperlink>
            <w:hyperlink r:id="rId12">
              <w:r>
                <w:rPr>
                  <w:rStyle w:val="InternetLink"/>
                  <w:rFonts w:ascii="Times New Roman;sans-serif" w:hAnsi="Times New Roman;sans-serif"/>
                  <w:b w:val="false"/>
                  <w:color w:val="000080"/>
                  <w:sz w:val="18"/>
                  <w:u w:val="single"/>
                </w:rPr>
                <w:t xml:space="preserve">Non-Employee Director Compensation Policy </w:t>
              </w:r>
            </w:hyperlink>
            <w:hyperlink r:id="rId13">
              <w:r>
                <w:rPr>
                  <w:rStyle w:val="InternetLink"/>
                  <w:rFonts w:ascii="Times New Roman;sans-serif" w:hAnsi="Times New Roman;sans-serif"/>
                  <w:b w:val="false"/>
                  <w:color w:val="000080"/>
                  <w:sz w:val="18"/>
                  <w:u w:val="single"/>
                </w:rPr>
                <w:t>adopted October 23, 2023</w:t>
              </w:r>
            </w:hyperlink>
          </w:p>
        </w:tc>
        <w:tc>
          <w:tcPr>
            <w:tcW w:w="5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001-39658</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October 26, 2023</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ertificationofprincip.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ertificationofprincip.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ertificationofprincip.htm">
              <w:r>
                <w:rPr>
                  <w:rStyle w:val="InternetLink"/>
                  <w:rFonts w:ascii="Times New Roman;sans-serif" w:hAnsi="Times New Roman;sans-serif"/>
                  <w:b w:val="false"/>
                  <w:color w:val="0000FF"/>
                  <w:sz w:val="18"/>
                  <w:u w:val="single"/>
                </w:rPr>
                <w:t>Certification of Principal Executive Officer and Principal Financial Officer Pursuant to 18 U.S.C. Section 1350, as Adopted Pursuant to Section 906 of the Sarbanes-Oxley Act of 2002.</w:t>
              </w:r>
            </w:hyperlink>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180"/>
        <w:jc w:val="left"/>
        <w:rPr/>
      </w:pPr>
      <w:r>
        <w:rPr/>
      </w:r>
    </w:p>
    <w:tbl>
      <w:tblPr>
        <w:tblW w:w="9652" w:type="dxa"/>
        <w:jc w:val="left"/>
        <w:tblInd w:w="0" w:type="dxa"/>
        <w:tblLayout w:type="fixed"/>
        <w:tblCellMar>
          <w:top w:w="28" w:type="dxa"/>
          <w:left w:w="28" w:type="dxa"/>
          <w:bottom w:w="28" w:type="dxa"/>
          <w:right w:w="28" w:type="dxa"/>
        </w:tblCellMar>
      </w:tblPr>
      <w:tblGrid>
        <w:gridCol w:w="287"/>
        <w:gridCol w:w="253"/>
        <w:gridCol w:w="254"/>
        <w:gridCol w:w="109"/>
        <w:gridCol w:w="109"/>
        <w:gridCol w:w="109"/>
        <w:gridCol w:w="2172"/>
        <w:gridCol w:w="2172"/>
        <w:gridCol w:w="2180"/>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 Indicates management contract or compensatory plan. </w:t>
      </w:r>
    </w:p>
    <w:p>
      <w:pPr>
        <w:pStyle w:val="TextBody"/>
        <w:bidi w:val="0"/>
        <w:spacing w:lineRule="auto" w:line="288" w:before="0" w:after="0"/>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 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pPr>
      <w:r>
        <w:rPr>
          <w:rFonts w:ascii="Times New Roman;sans-serif" w:hAnsi="Times New Roman;sans-serif"/>
          <w:b w:val="false"/>
          <w:color w:val="000000"/>
          <w:sz w:val="20"/>
        </w:rPr>
        <w:t>Pursuant to the requirements of the Exchange Act of 1934, the registrant has duly caused this Quarterly Report on Form 10-Q to be signed on its behalf by the undersigned thereunto duly authorized</w:t>
      </w:r>
      <w:r>
        <w:rPr>
          <w:rFonts w:ascii="Times New Roman;sans-serif" w:hAnsi="Times New Roman;sans-serif"/>
          <w:b/>
          <w:color w:val="000000"/>
          <w:sz w:val="20"/>
        </w:rPr>
        <w:t>.</w:t>
      </w:r>
    </w:p>
    <w:p>
      <w:pPr>
        <w:pStyle w:val="TextBody"/>
        <w:bidi w:val="0"/>
        <w:spacing w:before="0" w:after="0"/>
        <w:jc w:val="right"/>
        <w:rPr/>
      </w:pPr>
      <w:r>
        <w:rPr/>
      </w:r>
    </w:p>
    <w:tbl>
      <w:tblPr>
        <w:tblW w:w="9041" w:type="dxa"/>
        <w:jc w:val="right"/>
        <w:tblInd w:w="0" w:type="dxa"/>
        <w:tblLayout w:type="fixed"/>
        <w:tblCellMar>
          <w:top w:w="28" w:type="dxa"/>
          <w:left w:w="28" w:type="dxa"/>
          <w:bottom w:w="28" w:type="dxa"/>
          <w:right w:w="28" w:type="dxa"/>
        </w:tblCellMar>
      </w:tblPr>
      <w:tblGrid>
        <w:gridCol w:w="759"/>
        <w:gridCol w:w="668"/>
        <w:gridCol w:w="672"/>
        <w:gridCol w:w="109"/>
        <w:gridCol w:w="109"/>
        <w:gridCol w:w="109"/>
        <w:gridCol w:w="109"/>
        <w:gridCol w:w="109"/>
        <w:gridCol w:w="109"/>
        <w:gridCol w:w="109"/>
        <w:gridCol w:w="109"/>
        <w:gridCol w:w="109"/>
        <w:gridCol w:w="109"/>
        <w:gridCol w:w="109"/>
        <w:gridCol w:w="109"/>
        <w:gridCol w:w="109"/>
        <w:gridCol w:w="109"/>
        <w:gridCol w:w="109"/>
        <w:gridCol w:w="167"/>
        <w:gridCol w:w="167"/>
        <w:gridCol w:w="167"/>
        <w:gridCol w:w="1402"/>
        <w:gridCol w:w="1402"/>
        <w:gridCol w:w="2002"/>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5" w:type="dxa"/>
            <w:gridSpan w:val="18"/>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Root,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6"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2"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8" w:type="dxa"/>
            <w:gridSpan w:val="15"/>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88" w:type="dxa"/>
            <w:gridSpan w:val="15"/>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4" w:type="dxa"/>
            <w:gridSpan w:val="9"/>
            <w:tcBorders/>
          </w:tcPr>
          <w:p>
            <w:pPr>
              <w:pStyle w:val="TableContents"/>
              <w:bidi w:val="0"/>
              <w:spacing w:before="0" w:after="283"/>
              <w:jc w:val="left"/>
              <w:rPr>
                <w:sz w:val="4"/>
                <w:szCs w:val="4"/>
              </w:rPr>
            </w:pPr>
            <w:r>
              <w:rPr>
                <w:sz w:val="4"/>
                <w:szCs w:val="4"/>
              </w:rPr>
            </w:r>
          </w:p>
        </w:tc>
      </w:tr>
      <w:tr>
        <w:trPr/>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5" w:type="dxa"/>
            <w:gridSpan w:val="18"/>
            <w:tcBorders/>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1"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7" w:type="dxa"/>
            <w:gridSpan w:val="6"/>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95095"/>
                <wp:effectExtent l="0" t="0" r="0" b="0"/>
                <wp:wrapNone/>
                <wp:docPr id="56" name="Frame56"/>
                <a:graphic xmlns:a="http://schemas.openxmlformats.org/drawingml/2006/main">
                  <a:graphicData uri="http://schemas.microsoft.com/office/word/2010/wordprocessingShape">
                    <wps:wsp>
                      <wps:cNvSpPr txBox="1"/>
                      <wps:spPr>
                        <a:xfrm>
                          <a:off x="0" y="0"/>
                          <a:ext cx="6480175" cy="1395095"/>
                        </a:xfrm>
                        <a:prstGeom prst="rect"/>
                        <a:solidFill>
                          <a:srgbClr val="FFFFFF"/>
                        </a:solidFill>
                      </wps:spPr>
                      <wps:txb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0"/>
        <w:jc w:val="right"/>
        <w:rPr>
          <w:rFonts w:ascii="Times New Roman;sans-serif" w:hAnsi="Times New Roman;sans-serif"/>
          <w:b/>
          <w:color w:val="000000"/>
          <w:sz w:val="22"/>
        </w:rPr>
      </w:pPr>
      <w:r>
        <w:rPr>
          <w:rFonts w:ascii="Times New Roman;sans-serif" w:hAnsi="Times New Roman;sans-serif"/>
          <w:b/>
          <w:color w:val="000000"/>
          <w:sz w:val="22"/>
        </w:rPr>
        <w:t>Exhibit 10.2</w:t>
      </w:r>
    </w:p>
    <w:p>
      <w:pPr>
        <w:pStyle w:val="TextBody"/>
        <w:bidi w:val="0"/>
        <w:spacing w:lineRule="auto" w:line="268" w:before="0" w:after="0"/>
        <w:jc w:val="center"/>
        <w:rPr/>
      </w:pPr>
      <w:r>
        <w:rPr>
          <w:rFonts w:ascii="Times New Roman;sans-serif" w:hAnsi="Times New Roman;sans-serif"/>
          <w:b/>
          <w:color w:val="000000"/>
          <w:sz w:val="27"/>
        </w:rPr>
        <w:t>R</w:t>
      </w:r>
      <w:r>
        <w:rPr>
          <w:rFonts w:ascii="Times New Roman;sans-serif" w:hAnsi="Times New Roman;sans-serif"/>
          <w:b/>
          <w:color w:val="000000"/>
          <w:sz w:val="19"/>
        </w:rPr>
        <w:t>OOT</w:t>
      </w:r>
      <w:r>
        <w:rPr>
          <w:rFonts w:ascii="Times New Roman;sans-serif" w:hAnsi="Times New Roman;sans-serif"/>
          <w:b/>
          <w:color w:val="000000"/>
          <w:sz w:val="27"/>
        </w:rPr>
        <w:t>, I</w:t>
      </w:r>
      <w:r>
        <w:rPr>
          <w:rFonts w:ascii="Times New Roman;sans-serif" w:hAnsi="Times New Roman;sans-serif"/>
          <w:b/>
          <w:color w:val="000000"/>
          <w:sz w:val="19"/>
        </w:rPr>
        <w:t>NC</w:t>
      </w:r>
      <w:r>
        <w:rPr>
          <w:rFonts w:ascii="Times New Roman;sans-serif" w:hAnsi="Times New Roman;sans-serif"/>
          <w:b/>
          <w:color w:val="000000"/>
          <w:sz w:val="27"/>
        </w:rPr>
        <w:t xml:space="preserve">. </w:t>
      </w:r>
    </w:p>
    <w:p>
      <w:pPr>
        <w:pStyle w:val="TextBody"/>
        <w:bidi w:val="0"/>
        <w:spacing w:lineRule="auto" w:line="268" w:before="0" w:after="0"/>
        <w:ind w:left="0" w:right="0" w:firstLine="1260"/>
        <w:jc w:val="center"/>
        <w:rPr>
          <w:rFonts w:ascii="Times New Roman;sans-serif" w:hAnsi="Times New Roman;sans-serif"/>
          <w:b/>
          <w:color w:val="000000"/>
          <w:sz w:val="27"/>
        </w:rPr>
      </w:pPr>
      <w:r>
        <w:rPr>
          <w:rFonts w:ascii="Times New Roman;sans-serif" w:hAnsi="Times New Roman;sans-serif"/>
          <w:b/>
          <w:color w:val="000000"/>
          <w:sz w:val="27"/>
        </w:rPr>
        <w:t>PERFORMANCE-BASED RSU AWARD GRANT NOTICE</w:t>
      </w:r>
    </w:p>
    <w:p>
      <w:pPr>
        <w:pStyle w:val="TextBody"/>
        <w:bidi w:val="0"/>
        <w:spacing w:lineRule="auto" w:line="268" w:before="0" w:after="0"/>
        <w:jc w:val="center"/>
        <w:rPr/>
      </w:pPr>
      <w:r>
        <w:rPr>
          <w:rFonts w:ascii="Times New Roman;sans-serif" w:hAnsi="Times New Roman;sans-serif"/>
          <w:b/>
          <w:color w:val="000000"/>
          <w:sz w:val="24"/>
        </w:rPr>
        <w:t>(2020 E</w:t>
      </w:r>
      <w:r>
        <w:rPr>
          <w:rFonts w:ascii="Times New Roman;sans-serif" w:hAnsi="Times New Roman;sans-serif"/>
          <w:b/>
          <w:color w:val="000000"/>
          <w:sz w:val="16"/>
        </w:rPr>
        <w:t xml:space="preserve">QUITY </w:t>
      </w:r>
      <w:r>
        <w:rPr>
          <w:rFonts w:ascii="Times New Roman;sans-serif" w:hAnsi="Times New Roman;sans-serif"/>
          <w:b/>
          <w:color w:val="000000"/>
          <w:sz w:val="24"/>
        </w:rPr>
        <w:t>I</w:t>
      </w:r>
      <w:r>
        <w:rPr>
          <w:rFonts w:ascii="Times New Roman;sans-serif" w:hAnsi="Times New Roman;sans-serif"/>
          <w:b/>
          <w:color w:val="000000"/>
          <w:sz w:val="16"/>
        </w:rPr>
        <w:t xml:space="preserve">NCENTIVE </w:t>
      </w:r>
      <w:r>
        <w:rPr>
          <w:rFonts w:ascii="Times New Roman;sans-serif" w:hAnsi="Times New Roman;sans-serif"/>
          <w:b/>
          <w:color w:val="000000"/>
          <w:sz w:val="24"/>
        </w:rPr>
        <w:t>P</w:t>
      </w:r>
      <w:r>
        <w:rPr>
          <w:rFonts w:ascii="Times New Roman;sans-serif" w:hAnsi="Times New Roman;sans-serif"/>
          <w:b/>
          <w:color w:val="000000"/>
          <w:sz w:val="16"/>
        </w:rPr>
        <w:t>LAN</w:t>
      </w:r>
      <w:r>
        <w:rPr>
          <w:rFonts w:ascii="Times New Roman;sans-serif" w:hAnsi="Times New Roman;sans-serif"/>
          <w:b/>
          <w:color w:val="000000"/>
          <w:sz w:val="24"/>
        </w:rPr>
        <w:t>)</w:t>
      </w:r>
    </w:p>
    <w:p>
      <w:pPr>
        <w:pStyle w:val="TextBody"/>
        <w:bidi w:val="0"/>
        <w:spacing w:lineRule="auto" w:line="228" w:before="0" w:after="0"/>
        <w:jc w:val="both"/>
        <w:rPr/>
      </w:pPr>
      <w:r>
        <w:rPr>
          <w:rFonts w:ascii="Times New Roman;sans-serif" w:hAnsi="Times New Roman;sans-serif"/>
          <w:b w:val="false"/>
          <w:color w:val="000000"/>
          <w:sz w:val="22"/>
        </w:rPr>
        <w:t xml:space="preserve">Root, Inc. (the </w:t>
      </w:r>
      <w:r>
        <w:rPr>
          <w:color w:val="000000"/>
        </w:rPr>
        <w:t>“</w:t>
      </w:r>
      <w:r>
        <w:rPr>
          <w:rFonts w:ascii="Times New Roman;sans-serif" w:hAnsi="Times New Roman;sans-serif"/>
          <w:b/>
          <w:i/>
          <w:color w:val="000000"/>
          <w:sz w:val="22"/>
        </w:rPr>
        <w:t>Company”</w:t>
      </w:r>
      <w:r>
        <w:rPr>
          <w:rFonts w:ascii="Times New Roman;sans-serif" w:hAnsi="Times New Roman;sans-serif"/>
          <w:b w:val="false"/>
          <w:color w:val="000000"/>
          <w:sz w:val="22"/>
        </w:rPr>
        <w:t>) has awarded to you (the “</w:t>
      </w:r>
      <w:r>
        <w:rPr>
          <w:rFonts w:ascii="Times New Roman;sans-serif" w:hAnsi="Times New Roman;sans-serif"/>
          <w:b/>
          <w:i/>
          <w:color w:val="000000"/>
          <w:sz w:val="22"/>
        </w:rPr>
        <w:t>Participant</w:t>
      </w:r>
      <w:r>
        <w:rPr>
          <w:color w:val="000000"/>
        </w:rPr>
        <w:t>”</w:t>
      </w:r>
      <w:r>
        <w:rPr>
          <w:rFonts w:ascii="Times New Roman;sans-serif" w:hAnsi="Times New Roman;sans-serif"/>
          <w:b w:val="false"/>
          <w:color w:val="000000"/>
          <w:sz w:val="22"/>
        </w:rPr>
        <w:t xml:space="preserve">) the number of restricted stock units specified and on the terms set forth below in consideration of your services (the </w:t>
      </w:r>
      <w:r>
        <w:rPr>
          <w:color w:val="000000"/>
        </w:rPr>
        <w:t>“</w:t>
      </w:r>
      <w:r>
        <w:rPr>
          <w:rFonts w:ascii="Times New Roman;sans-serif" w:hAnsi="Times New Roman;sans-serif"/>
          <w:b/>
          <w:i/>
          <w:color w:val="000000"/>
          <w:sz w:val="22"/>
        </w:rPr>
        <w:t>RSU Award”</w:t>
      </w:r>
      <w:r>
        <w:rPr>
          <w:rFonts w:ascii="Times New Roman;sans-serif" w:hAnsi="Times New Roman;sans-serif"/>
          <w:b w:val="false"/>
          <w:color w:val="000000"/>
          <w:sz w:val="22"/>
        </w:rPr>
        <w:t xml:space="preserve">). Your RSU Award is subject to all of the terms and conditions as set forth herein and in the Company’s 2020 Equity Incentive Plan (the </w:t>
      </w:r>
      <w:r>
        <w:rPr>
          <w:color w:val="000000"/>
        </w:rPr>
        <w:t>“</w:t>
      </w:r>
      <w:r>
        <w:rPr>
          <w:rFonts w:ascii="Times New Roman;sans-serif" w:hAnsi="Times New Roman;sans-serif"/>
          <w:b/>
          <w:i/>
          <w:color w:val="000000"/>
          <w:sz w:val="22"/>
        </w:rPr>
        <w:t>Plan”</w:t>
      </w:r>
      <w:r>
        <w:rPr>
          <w:rFonts w:ascii="Times New Roman;sans-serif" w:hAnsi="Times New Roman;sans-serif"/>
          <w:b w:val="false"/>
          <w:color w:val="000000"/>
          <w:sz w:val="22"/>
        </w:rPr>
        <w:t>) and the Award Agreement (the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 xml:space="preserve">), which are incorporated herein in their entirety. Capitalized terms not explicitly defined herein but defined in the Plan or the Agreement shall have the meanings set forth in the Plan or the Agreement. </w:t>
      </w:r>
    </w:p>
    <w:p>
      <w:pPr>
        <w:pStyle w:val="TextBody"/>
        <w:bidi w:val="0"/>
        <w:spacing w:before="0" w:after="0"/>
        <w:ind w:left="0" w:right="0" w:firstLine="1308"/>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Participant: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of Grant: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Number of Restricted Stock Units: </w:t>
      </w:r>
    </w:p>
    <w:p>
      <w:pPr>
        <w:pStyle w:val="TextBody"/>
        <w:bidi w:val="0"/>
        <w:spacing w:lineRule="auto" w:line="230" w:before="0" w:after="0"/>
        <w:ind w:left="0" w:right="0" w:hanging="1980"/>
        <w:jc w:val="left"/>
        <w:rPr/>
      </w:pPr>
      <w:r>
        <w:rPr>
          <w:rFonts w:ascii="Times New Roman;sans-serif" w:hAnsi="Times New Roman;sans-serif"/>
          <w:b/>
          <w:color w:val="000000"/>
          <w:sz w:val="22"/>
        </w:rPr>
        <w:t>Vesting Schedule</w:t>
      </w:r>
      <w:r>
        <w:rPr>
          <w:rFonts w:ascii="Times New Roman;sans-serif" w:hAnsi="Times New Roman;sans-serif"/>
          <w:b w:val="false"/>
          <w:color w:val="000000"/>
          <w:sz w:val="22"/>
        </w:rPr>
        <w:t xml:space="preserve">: The Award shall vest as set forth on Exhibit A. Notwithstanding the foregoing, vesting shall terminate upon the Participant’s termination of Continuous Service. </w:t>
      </w:r>
    </w:p>
    <w:p>
      <w:pPr>
        <w:pStyle w:val="TextBody"/>
        <w:bidi w:val="0"/>
        <w:spacing w:before="0" w:after="0"/>
        <w:ind w:left="0" w:right="0" w:hanging="1980"/>
        <w:jc w:val="left"/>
        <w:rPr/>
      </w:pPr>
      <w:r>
        <w:rPr/>
      </w:r>
    </w:p>
    <w:p>
      <w:pPr>
        <w:pStyle w:val="TextBody"/>
        <w:bidi w:val="0"/>
        <w:spacing w:lineRule="auto" w:line="237" w:before="0" w:after="0"/>
        <w:ind w:left="0" w:right="0" w:hanging="1980"/>
        <w:jc w:val="left"/>
        <w:rPr/>
      </w:pPr>
      <w:r>
        <w:rPr>
          <w:rFonts w:ascii="Times New Roman;sans-serif" w:hAnsi="Times New Roman;sans-serif"/>
          <w:b/>
          <w:color w:val="000000"/>
          <w:sz w:val="22"/>
        </w:rPr>
        <w:t xml:space="preserve">Issuance Schedule: </w:t>
      </w:r>
      <w:r>
        <w:rPr>
          <w:rFonts w:ascii="Times New Roman;sans-serif" w:hAnsi="Times New Roman;sans-serif"/>
          <w:b w:val="false"/>
          <w:color w:val="000000"/>
          <w:sz w:val="22"/>
        </w:rPr>
        <w:t xml:space="preserve">One share of Common Stock will be issued for each restricted stock unit which vests at the time set forth in Section 5 of the Agreement. </w:t>
      </w:r>
    </w:p>
    <w:p>
      <w:pPr>
        <w:pStyle w:val="TextBody"/>
        <w:bidi w:val="0"/>
        <w:spacing w:before="0" w:after="0"/>
        <w:ind w:left="0" w:right="0" w:hanging="1980"/>
        <w:jc w:val="left"/>
        <w:rPr/>
      </w:pPr>
      <w:r>
        <w:rPr/>
      </w:r>
    </w:p>
    <w:p>
      <w:pPr>
        <w:pStyle w:val="TextBody"/>
        <w:bidi w:val="0"/>
        <w:spacing w:lineRule="auto" w:line="223" w:before="0" w:after="0"/>
        <w:ind w:left="0" w:right="0" w:hanging="1980"/>
        <w:jc w:val="left"/>
        <w:rPr/>
      </w:pPr>
      <w:r>
        <w:rPr>
          <w:rFonts w:ascii="Times New Roman;sans-serif" w:hAnsi="Times New Roman;sans-serif"/>
          <w:b/>
          <w:color w:val="000000"/>
          <w:sz w:val="22"/>
        </w:rPr>
        <w:t xml:space="preserve">Participant Acknowledgments: </w:t>
      </w:r>
      <w:r>
        <w:rPr>
          <w:rFonts w:ascii="Times New Roman;sans-serif" w:hAnsi="Times New Roman;sans-serif"/>
          <w:b w:val="false"/>
          <w:color w:val="000000"/>
          <w:sz w:val="22"/>
        </w:rPr>
        <w:t xml:space="preserve">By your signature below or by electronic acceptance or authentication in a form authorized by the Company, you understand and agree that: </w:t>
      </w:r>
    </w:p>
    <w:p>
      <w:pPr>
        <w:pStyle w:val="TextBody"/>
        <w:bidi w:val="0"/>
        <w:spacing w:before="0" w:after="0"/>
        <w:jc w:val="left"/>
        <w:rPr/>
      </w:pPr>
      <w:r>
        <w:rPr/>
      </w:r>
    </w:p>
    <w:p>
      <w:pPr>
        <w:pStyle w:val="TextBody"/>
        <w:bidi w:val="0"/>
        <w:spacing w:lineRule="auto" w:line="223" w:before="0" w:after="0"/>
        <w:ind w:left="0" w:right="0" w:hanging="180"/>
        <w:jc w:val="both"/>
        <w:rPr/>
      </w:pPr>
      <w:r>
        <w:rPr>
          <w:color w:val="000000"/>
        </w:rPr>
        <w:t>•</w:t>
      </w:r>
      <w:r>
        <w:rPr>
          <w:rFonts w:ascii="Times New Roman;sans-serif" w:hAnsi="Times New Roman;sans-serif"/>
          <w:b w:val="false"/>
          <w:color w:val="000000"/>
          <w:sz w:val="22"/>
        </w:rPr>
        <w:t>The RSU Award is governed by this RSU Award Grant Notice (the “</w:t>
      </w:r>
      <w:r>
        <w:rPr>
          <w:rFonts w:ascii="Times New Roman;sans-serif" w:hAnsi="Times New Roman;sans-serif"/>
          <w:b/>
          <w:i/>
          <w:color w:val="000000"/>
          <w:sz w:val="22"/>
        </w:rPr>
        <w:t>Grant Notice</w:t>
      </w:r>
      <w:r>
        <w:rPr>
          <w:color w:val="000000"/>
        </w:rPr>
        <w:t>”</w:t>
      </w:r>
      <w:r>
        <w:rPr>
          <w:rFonts w:ascii="Times New Roman;sans-serif" w:hAnsi="Times New Roman;sans-serif"/>
          <w:b w:val="false"/>
          <w:color w:val="000000"/>
          <w:sz w:val="22"/>
        </w:rPr>
        <w:t>), and the provisions of the Plan and the Agreement, all of which are made a part of this document. Unless otherwise provided in the Plan, this Grant Notice and the Agreement (together, the “</w:t>
      </w:r>
      <w:r>
        <w:rPr>
          <w:rFonts w:ascii="Times New Roman;sans-serif" w:hAnsi="Times New Roman;sans-serif"/>
          <w:b/>
          <w:i/>
          <w:color w:val="000000"/>
          <w:sz w:val="22"/>
        </w:rPr>
        <w:t>RSU Award Agreement</w:t>
      </w:r>
      <w:r>
        <w:rPr>
          <w:color w:val="000000"/>
        </w:rPr>
        <w:t>”</w:t>
      </w:r>
      <w:r>
        <w:rPr>
          <w:rFonts w:ascii="Times New Roman;sans-serif" w:hAnsi="Times New Roman;sans-serif"/>
          <w:b w:val="false"/>
          <w:color w:val="000000"/>
          <w:sz w:val="22"/>
        </w:rPr>
        <w:t xml:space="preserve">) may not be modified, amended or revised except in a writing signed by you and a duly authorized officer of the Company. </w:t>
      </w:r>
    </w:p>
    <w:p>
      <w:pPr>
        <w:pStyle w:val="TextBody"/>
        <w:bidi w:val="0"/>
        <w:spacing w:before="0" w:after="0"/>
        <w:jc w:val="both"/>
        <w:rPr/>
      </w:pPr>
      <w:r>
        <w:rPr/>
      </w:r>
    </w:p>
    <w:p>
      <w:pPr>
        <w:pStyle w:val="TextBody"/>
        <w:bidi w:val="0"/>
        <w:spacing w:lineRule="auto" w:line="223" w:before="0" w:after="0"/>
        <w:ind w:left="0" w:right="0" w:hanging="180"/>
        <w:jc w:val="both"/>
        <w:rPr/>
      </w:pPr>
      <w:r>
        <w:rPr>
          <w:color w:val="000000"/>
        </w:rPr>
        <w:t>•</w:t>
      </w:r>
      <w:r>
        <w:rPr>
          <w:rFonts w:ascii="Times New Roman;sans-serif" w:hAnsi="Times New Roman;sans-serif"/>
          <w:b w:val="false"/>
          <w:color w:val="000000"/>
          <w:sz w:val="22"/>
        </w:rPr>
        <w:t xml:space="preserve">You have read and are familiar with the provisions of the Plan, the RSU Award Agreement and the Prospectus. In the event of any conflict between the provisions in the RSU Award Agreement, or the Prospectus and the terms of the Plan, the terms of the Plan shall control. </w:t>
      </w:r>
    </w:p>
    <w:p>
      <w:pPr>
        <w:pStyle w:val="TextBody"/>
        <w:bidi w:val="0"/>
        <w:spacing w:before="0" w:after="0"/>
        <w:ind w:left="0" w:right="0" w:firstLine="180"/>
        <w:jc w:val="both"/>
        <w:rPr/>
      </w:pPr>
      <w:r>
        <w:rPr/>
      </w:r>
    </w:p>
    <w:p>
      <w:pPr>
        <w:pStyle w:val="TextBody"/>
        <w:bidi w:val="0"/>
        <w:spacing w:lineRule="auto" w:line="223" w:before="0" w:after="0"/>
        <w:ind w:left="0" w:right="0" w:hanging="180"/>
        <w:jc w:val="both"/>
        <w:rPr/>
      </w:pPr>
      <w:r>
        <w:rPr>
          <w:color w:val="000000"/>
        </w:rPr>
        <w:t>•</w:t>
      </w:r>
      <w:r>
        <w:rPr>
          <w:rFonts w:ascii="Times New Roman;sans-serif" w:hAnsi="Times New Roman;sans-serif"/>
          <w:b w:val="false"/>
          <w:color w:val="000000"/>
          <w:sz w:val="22"/>
        </w:rPr>
        <w:t xml:space="preserve">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 </w:t>
      </w:r>
    </w:p>
    <w:p>
      <w:pPr>
        <w:pStyle w:val="TextBody"/>
        <w:bidi w:val="0"/>
        <w:spacing w:before="0" w:after="0"/>
        <w:ind w:left="0" w:right="0" w:firstLine="1360"/>
        <w:jc w:val="left"/>
        <w:rPr/>
      </w:pPr>
      <w:r>
        <w:rPr/>
      </w:r>
    </w:p>
    <w:p>
      <w:pPr>
        <w:pStyle w:val="TextBody"/>
        <w:bidi w:val="0"/>
        <w:spacing w:lineRule="auto" w:line="268"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ROOT, INC. PARTICIPANT: </w:t>
      </w:r>
    </w:p>
    <w:p>
      <w:pPr>
        <w:pStyle w:val="TextBody"/>
        <w:bidi w:val="0"/>
        <w:spacing w:before="0" w:after="0"/>
        <w:ind w:left="0" w:right="0" w:firstLine="1308"/>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By:___________________ </w:t>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Signature Signature </w:t>
      </w:r>
    </w:p>
    <w:p>
      <w:pPr>
        <w:pStyle w:val="TextBody"/>
        <w:bidi w:val="0"/>
        <w:spacing w:before="0" w:after="0"/>
        <w:ind w:left="0" w:right="0" w:firstLine="1310"/>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Chief Executive Officer Date: </w:t>
      </w:r>
    </w:p>
    <w:p>
      <w:pPr>
        <w:pStyle w:val="TextBody"/>
        <w:bidi w:val="0"/>
        <w:spacing w:before="0" w:after="0"/>
        <w:ind w:left="0" w:right="0" w:firstLine="1308"/>
        <w:jc w:val="left"/>
        <w:rPr/>
      </w:pPr>
      <w:r>
        <w:rPr/>
      </w:r>
    </w:p>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ind w:left="0" w:right="0" w:firstLine="1440"/>
        <w:jc w:val="left"/>
        <w:rPr/>
      </w:pPr>
      <w:r>
        <w:rPr>
          <w:rFonts w:ascii="Times New Roman;sans-serif" w:hAnsi="Times New Roman;sans-serif"/>
          <w:b/>
          <w:color w:val="000000"/>
          <w:sz w:val="22"/>
        </w:rPr>
        <w:t>Attachments</w:t>
      </w:r>
      <w:r>
        <w:rPr>
          <w:rFonts w:ascii="Times New Roman;sans-serif" w:hAnsi="Times New Roman;sans-serif"/>
          <w:b w:val="false"/>
          <w:color w:val="000000"/>
          <w:sz w:val="22"/>
        </w:rPr>
        <w:t xml:space="preserve">: Award Agreement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pPr>
      <w:r>
        <w:rPr>
          <w:rFonts w:ascii="Times New Roman;sans-serif" w:hAnsi="Times New Roman;sans-serif"/>
          <w:b/>
          <w:color w:val="000000"/>
          <w:sz w:val="27"/>
        </w:rPr>
        <w:t>R</w:t>
      </w:r>
      <w:r>
        <w:rPr>
          <w:rFonts w:ascii="Times New Roman;sans-serif" w:hAnsi="Times New Roman;sans-serif"/>
          <w:b/>
          <w:color w:val="000000"/>
          <w:sz w:val="19"/>
        </w:rPr>
        <w:t>OOT</w:t>
      </w:r>
      <w:r>
        <w:rPr>
          <w:rFonts w:ascii="Times New Roman;sans-serif" w:hAnsi="Times New Roman;sans-serif"/>
          <w:b/>
          <w:color w:val="000000"/>
          <w:sz w:val="27"/>
        </w:rPr>
        <w:t>, I</w:t>
      </w:r>
      <w:r>
        <w:rPr>
          <w:rFonts w:ascii="Times New Roman;sans-serif" w:hAnsi="Times New Roman;sans-serif"/>
          <w:b/>
          <w:color w:val="000000"/>
          <w:sz w:val="19"/>
        </w:rPr>
        <w:t>NC</w:t>
      </w:r>
      <w:r>
        <w:rPr>
          <w:rFonts w:ascii="Times New Roman;sans-serif" w:hAnsi="Times New Roman;sans-serif"/>
          <w:b/>
          <w:color w:val="000000"/>
          <w:sz w:val="27"/>
        </w:rPr>
        <w:t xml:space="preserve">. </w:t>
      </w:r>
    </w:p>
    <w:p>
      <w:pPr>
        <w:pStyle w:val="TextBody"/>
        <w:bidi w:val="0"/>
        <w:spacing w:lineRule="auto" w:line="268" w:before="0" w:after="0"/>
        <w:jc w:val="center"/>
        <w:rPr/>
      </w:pPr>
      <w:r>
        <w:rPr>
          <w:rFonts w:ascii="Times New Roman;sans-serif" w:hAnsi="Times New Roman;sans-serif"/>
          <w:b/>
          <w:color w:val="000000"/>
          <w:sz w:val="27"/>
        </w:rPr>
        <w:t>2020 E</w:t>
      </w:r>
      <w:r>
        <w:rPr>
          <w:rFonts w:ascii="Times New Roman;sans-serif" w:hAnsi="Times New Roman;sans-serif"/>
          <w:b/>
          <w:color w:val="000000"/>
          <w:sz w:val="19"/>
        </w:rPr>
        <w:t xml:space="preserve">QUITY </w:t>
      </w:r>
      <w:r>
        <w:rPr>
          <w:rFonts w:ascii="Times New Roman;sans-serif" w:hAnsi="Times New Roman;sans-serif"/>
          <w:b/>
          <w:color w:val="000000"/>
          <w:sz w:val="27"/>
        </w:rPr>
        <w:t>I</w:t>
      </w:r>
      <w:r>
        <w:rPr>
          <w:rFonts w:ascii="Times New Roman;sans-serif" w:hAnsi="Times New Roman;sans-serif"/>
          <w:b/>
          <w:color w:val="000000"/>
          <w:sz w:val="19"/>
        </w:rPr>
        <w:t xml:space="preserve">NCENTIVE </w:t>
      </w:r>
      <w:r>
        <w:rPr>
          <w:rFonts w:ascii="Times New Roman;sans-serif" w:hAnsi="Times New Roman;sans-serif"/>
          <w:b/>
          <w:color w:val="000000"/>
          <w:sz w:val="27"/>
        </w:rPr>
        <w:t>P</w:t>
      </w:r>
      <w:r>
        <w:rPr>
          <w:rFonts w:ascii="Times New Roman;sans-serif" w:hAnsi="Times New Roman;sans-serif"/>
          <w:b/>
          <w:color w:val="000000"/>
          <w:sz w:val="19"/>
        </w:rPr>
        <w:t xml:space="preserve">LAN </w:t>
      </w:r>
    </w:p>
    <w:p>
      <w:pPr>
        <w:pStyle w:val="TextBody"/>
        <w:bidi w:val="0"/>
        <w:spacing w:lineRule="auto" w:line="268" w:before="0" w:after="0"/>
        <w:jc w:val="center"/>
        <w:rPr/>
      </w:pPr>
      <w:r>
        <w:rPr>
          <w:rFonts w:ascii="Times New Roman;sans-serif" w:hAnsi="Times New Roman;sans-serif"/>
          <w:b/>
          <w:color w:val="000000"/>
          <w:sz w:val="27"/>
        </w:rPr>
        <w:t>A</w:t>
      </w:r>
      <w:r>
        <w:rPr>
          <w:rFonts w:ascii="Times New Roman;sans-serif" w:hAnsi="Times New Roman;sans-serif"/>
          <w:b/>
          <w:color w:val="000000"/>
          <w:sz w:val="19"/>
        </w:rPr>
        <w:t xml:space="preserve">WARD </w:t>
      </w:r>
      <w:r>
        <w:rPr>
          <w:rFonts w:ascii="Times New Roman;sans-serif" w:hAnsi="Times New Roman;sans-serif"/>
          <w:b/>
          <w:color w:val="000000"/>
          <w:sz w:val="27"/>
        </w:rPr>
        <w:t>A</w:t>
      </w:r>
      <w:r>
        <w:rPr>
          <w:rFonts w:ascii="Times New Roman;sans-serif" w:hAnsi="Times New Roman;sans-serif"/>
          <w:b/>
          <w:color w:val="000000"/>
          <w:sz w:val="19"/>
        </w:rPr>
        <w:t xml:space="preserve">GREEMENT </w:t>
      </w:r>
      <w:r>
        <w:rPr>
          <w:rFonts w:ascii="Times New Roman;sans-serif" w:hAnsi="Times New Roman;sans-serif"/>
          <w:b/>
          <w:color w:val="000000"/>
          <w:sz w:val="27"/>
        </w:rPr>
        <w:t>(</w:t>
      </w:r>
      <w:r>
        <w:rPr>
          <w:rFonts w:ascii="Arial;sans-serif" w:hAnsi="Arial;sans-serif"/>
          <w:b/>
          <w:color w:val="000000"/>
          <w:sz w:val="24"/>
        </w:rPr>
        <w:t xml:space="preserve">Performance-Based </w:t>
      </w:r>
      <w:r>
        <w:rPr>
          <w:rFonts w:ascii="Times New Roman;sans-serif" w:hAnsi="Times New Roman;sans-serif"/>
          <w:b/>
          <w:color w:val="000000"/>
          <w:sz w:val="27"/>
        </w:rPr>
        <w:t>RSU A</w:t>
      </w:r>
      <w:r>
        <w:rPr>
          <w:rFonts w:ascii="Times New Roman;sans-serif" w:hAnsi="Times New Roman;sans-serif"/>
          <w:b/>
          <w:color w:val="000000"/>
          <w:sz w:val="19"/>
        </w:rPr>
        <w:t>WARD</w:t>
      </w:r>
      <w:r>
        <w:rPr>
          <w:rFonts w:ascii="Times New Roman;sans-serif" w:hAnsi="Times New Roman;sans-serif"/>
          <w:b/>
          <w:color w:val="000000"/>
          <w:sz w:val="27"/>
        </w:rPr>
        <w:t>)</w:t>
      </w:r>
    </w:p>
    <w:p>
      <w:pPr>
        <w:pStyle w:val="TextBody"/>
        <w:bidi w:val="0"/>
        <w:spacing w:before="0" w:after="0"/>
        <w:jc w:val="center"/>
        <w:rPr/>
      </w:pPr>
      <w:r>
        <w:rPr/>
      </w:r>
    </w:p>
    <w:p>
      <w:pPr>
        <w:pStyle w:val="TextBody"/>
        <w:bidi w:val="0"/>
        <w:spacing w:lineRule="auto" w:line="228" w:before="0" w:after="0"/>
        <w:jc w:val="both"/>
        <w:rPr/>
      </w:pPr>
      <w:r>
        <w:rPr>
          <w:rFonts w:ascii="Times New Roman;sans-serif" w:hAnsi="Times New Roman;sans-serif"/>
          <w:b w:val="false"/>
          <w:color w:val="000000"/>
          <w:sz w:val="24"/>
        </w:rPr>
        <w:t>As reflected by your Restricted Stock Unit Grant Notice (“</w:t>
      </w:r>
      <w:r>
        <w:rPr>
          <w:rFonts w:ascii="Times New Roman;sans-serif" w:hAnsi="Times New Roman;sans-serif"/>
          <w:b/>
          <w:i/>
          <w:color w:val="000000"/>
          <w:sz w:val="24"/>
        </w:rPr>
        <w:t>Grant Notice</w:t>
      </w:r>
      <w:r>
        <w:rPr>
          <w:color w:val="000000"/>
        </w:rPr>
        <w:t>”</w:t>
      </w:r>
      <w:r>
        <w:rPr>
          <w:rFonts w:ascii="Times New Roman;sans-serif" w:hAnsi="Times New Roman;sans-serif"/>
          <w:b w:val="false"/>
          <w:color w:val="000000"/>
          <w:sz w:val="24"/>
        </w:rPr>
        <w:t>), Root,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has granted you a RSU Award under its 2020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for the number of performance-based restricted stock units as indicated in your Grant Notice (the “</w:t>
      </w:r>
      <w:r>
        <w:rPr>
          <w:rFonts w:ascii="Times New Roman;sans-serif" w:hAnsi="Times New Roman;sans-serif"/>
          <w:b/>
          <w:i/>
          <w:color w:val="000000"/>
          <w:sz w:val="24"/>
        </w:rPr>
        <w:t>RSU Award</w:t>
      </w:r>
      <w:r>
        <w:rPr>
          <w:color w:val="000000"/>
        </w:rPr>
        <w:t>”</w:t>
      </w:r>
      <w:r>
        <w:rPr>
          <w:rFonts w:ascii="Times New Roman;sans-serif" w:hAnsi="Times New Roman;sans-serif"/>
          <w:b w:val="false"/>
          <w:color w:val="000000"/>
          <w:sz w:val="24"/>
        </w:rPr>
        <w:t>). The terms of your RSU Award as specified in this Award Agreement for your RSU Award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and the Grant Notice constitute your “</w:t>
      </w:r>
      <w:r>
        <w:rPr>
          <w:rFonts w:ascii="Times New Roman;sans-serif" w:hAnsi="Times New Roman;sans-serif"/>
          <w:b/>
          <w:i/>
          <w:color w:val="000000"/>
          <w:sz w:val="24"/>
        </w:rPr>
        <w:t>RSU Award Agreement</w:t>
      </w:r>
      <w:r>
        <w:rPr>
          <w:color w:val="000000"/>
        </w:rPr>
        <w:t>”</w:t>
      </w:r>
      <w:r>
        <w:rPr>
          <w:rFonts w:ascii="Times New Roman;sans-serif" w:hAnsi="Times New Roman;sans-serif"/>
          <w:b w:val="false"/>
          <w:color w:val="000000"/>
          <w:sz w:val="24"/>
        </w:rPr>
        <w:t xml:space="preserve">. Defined terms not explicitly defined in this Agreement but defined in the Grant Notice or the Plan shall have the same definitions as in the Grant Notice or Plan, as applicable. </w:t>
      </w:r>
    </w:p>
    <w:p>
      <w:pPr>
        <w:pStyle w:val="TextBody"/>
        <w:bidi w:val="0"/>
        <w:spacing w:before="0" w:after="0"/>
        <w:jc w:val="both"/>
        <w:rPr/>
      </w:pPr>
      <w:r>
        <w:rPr/>
      </w:r>
    </w:p>
    <w:p>
      <w:pPr>
        <w:pStyle w:val="TextBody"/>
        <w:bidi w:val="0"/>
        <w:spacing w:lineRule="auto" w:line="268" w:before="0" w:after="0"/>
        <w:ind w:left="0" w:right="0" w:firstLine="2032"/>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general terms applicable to your RSU Award are as follows: </w:t>
      </w:r>
    </w:p>
    <w:p>
      <w:pPr>
        <w:pStyle w:val="TextBody"/>
        <w:bidi w:val="0"/>
        <w:spacing w:before="0" w:after="0"/>
        <w:ind w:left="0" w:right="0" w:firstLine="2032"/>
        <w:jc w:val="left"/>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1. G</w:t>
      </w:r>
      <w:r>
        <w:rPr>
          <w:rFonts w:ascii="Times New Roman;sans-serif" w:hAnsi="Times New Roman;sans-serif"/>
          <w:b/>
          <w:color w:val="000000"/>
          <w:sz w:val="16"/>
        </w:rPr>
        <w:t xml:space="preserve">OVERNING </w:t>
      </w:r>
      <w:r>
        <w:rPr>
          <w:rFonts w:ascii="Times New Roman;sans-serif" w:hAnsi="Times New Roman;sans-serif"/>
          <w:b/>
          <w:color w:val="000000"/>
          <w:sz w:val="24"/>
        </w:rPr>
        <w:t>P</w:t>
      </w:r>
      <w:r>
        <w:rPr>
          <w:rFonts w:ascii="Times New Roman;sans-serif" w:hAnsi="Times New Roman;sans-serif"/>
          <w:b/>
          <w:color w:val="000000"/>
          <w:sz w:val="16"/>
        </w:rPr>
        <w:t xml:space="preserve">LAN </w:t>
      </w:r>
      <w:r>
        <w:rPr>
          <w:rFonts w:ascii="Times New Roman;sans-serif" w:hAnsi="Times New Roman;sans-serif"/>
          <w:b/>
          <w:color w:val="000000"/>
          <w:sz w:val="24"/>
        </w:rPr>
        <w:t>D</w:t>
      </w:r>
      <w:r>
        <w:rPr>
          <w:rFonts w:ascii="Times New Roman;sans-serif" w:hAnsi="Times New Roman;sans-serif"/>
          <w:b/>
          <w:color w:val="000000"/>
          <w:sz w:val="16"/>
        </w:rPr>
        <w:t>OCUMENT</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Your RSU Award is subject to all the provisions of the Plan. 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 </w:t>
      </w:r>
    </w:p>
    <w:p>
      <w:pPr>
        <w:pStyle w:val="TextBody"/>
        <w:bidi w:val="0"/>
        <w:spacing w:before="0" w:after="0"/>
        <w:ind w:left="0" w:right="0" w:hanging="450"/>
        <w:jc w:val="both"/>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2. G</w:t>
      </w:r>
      <w:r>
        <w:rPr>
          <w:rFonts w:ascii="Times New Roman;sans-serif" w:hAnsi="Times New Roman;sans-serif"/>
          <w:b/>
          <w:color w:val="000000"/>
          <w:sz w:val="16"/>
        </w:rPr>
        <w:t xml:space="preserve">RANT OF THE </w:t>
      </w:r>
      <w:r>
        <w:rPr>
          <w:rFonts w:ascii="Times New Roman;sans-serif" w:hAnsi="Times New Roman;sans-serif"/>
          <w:b/>
          <w:color w:val="000000"/>
          <w:sz w:val="24"/>
        </w:rPr>
        <w:t>RSU A</w:t>
      </w:r>
      <w:r>
        <w:rPr>
          <w:rFonts w:ascii="Times New Roman;sans-serif" w:hAnsi="Times New Roman;sans-serif"/>
          <w:b/>
          <w:color w:val="000000"/>
          <w:sz w:val="16"/>
        </w:rPr>
        <w:t>WARD</w:t>
      </w:r>
      <w:r>
        <w:rPr>
          <w:rFonts w:ascii="Times New Roman;sans-serif" w:hAnsi="Times New Roman;sans-serif"/>
          <w:b/>
          <w:color w:val="000000"/>
          <w:sz w:val="24"/>
        </w:rPr>
        <w:t xml:space="preserve">. </w:t>
      </w:r>
      <w:r>
        <w:rPr>
          <w:rFonts w:ascii="Times New Roman;sans-serif" w:hAnsi="Times New Roman;sans-serif"/>
          <w:b w:val="false"/>
          <w:color w:val="000000"/>
          <w:sz w:val="24"/>
        </w:rPr>
        <w:t>This RSU Award represents your right to be issued on a future date the number of shares of the Company’s Common Stock that is equal to the number of restricted stock units indicated in the Grant Notice subject to your satisfaction of the vesting conditions set forth therein (the “</w:t>
      </w:r>
      <w:r>
        <w:rPr>
          <w:rFonts w:ascii="Times New Roman;sans-serif" w:hAnsi="Times New Roman;sans-serif"/>
          <w:b/>
          <w:color w:val="000000"/>
          <w:sz w:val="24"/>
        </w:rPr>
        <w:t>Restricted Stock Units</w:t>
      </w:r>
      <w:r>
        <w:rPr>
          <w:color w:val="000000"/>
        </w:rPr>
        <w:t>”</w:t>
      </w:r>
      <w:r>
        <w:rPr>
          <w:rFonts w:ascii="Times New Roman;sans-serif" w:hAnsi="Times New Roman;sans-serif"/>
          <w:b w:val="false"/>
          <w:color w:val="000000"/>
          <w:sz w:val="24"/>
        </w:rPr>
        <w:t xml:space="preserve">).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 </w:t>
      </w:r>
    </w:p>
    <w:p>
      <w:pPr>
        <w:pStyle w:val="TextBody"/>
        <w:bidi w:val="0"/>
        <w:spacing w:before="0" w:after="0"/>
        <w:ind w:left="0" w:right="0" w:hanging="270"/>
        <w:jc w:val="both"/>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3. D</w:t>
      </w:r>
      <w:r>
        <w:rPr>
          <w:rFonts w:ascii="Times New Roman;sans-serif" w:hAnsi="Times New Roman;sans-serif"/>
          <w:b/>
          <w:color w:val="000000"/>
          <w:sz w:val="16"/>
        </w:rPr>
        <w:t>IVIDENDS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You shall receive no benefit or adjustment to your RSU Award with respect to any cash dividend, stock dividend or other distribution that does not result from a Capitalization Adjustment as provided in the Plan; provided, however, that this sentence shall not apply with respect to any shares of Common Stock that are delivered to you in connection with your RSU Award after such shares have been delivered to you. </w:t>
      </w:r>
    </w:p>
    <w:p>
      <w:pPr>
        <w:pStyle w:val="TextBody"/>
        <w:bidi w:val="0"/>
        <w:spacing w:before="0" w:after="0"/>
        <w:ind w:left="0" w:right="0" w:hanging="270"/>
        <w:jc w:val="both"/>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4. W</w:t>
      </w:r>
      <w:r>
        <w:rPr>
          <w:rFonts w:ascii="Times New Roman;sans-serif" w:hAnsi="Times New Roman;sans-serif"/>
          <w:b/>
          <w:color w:val="000000"/>
          <w:sz w:val="16"/>
        </w:rPr>
        <w:t xml:space="preserve">ITHHOLDING </w:t>
      </w:r>
      <w:r>
        <w:rPr>
          <w:rFonts w:ascii="Times New Roman;sans-serif" w:hAnsi="Times New Roman;sans-serif"/>
          <w:b/>
          <w:color w:val="000000"/>
          <w:sz w:val="24"/>
        </w:rPr>
        <w:t>O</w:t>
      </w:r>
      <w:r>
        <w:rPr>
          <w:rFonts w:ascii="Times New Roman;sans-serif" w:hAnsi="Times New Roman;sans-serif"/>
          <w:b/>
          <w:color w:val="000000"/>
          <w:sz w:val="16"/>
        </w:rPr>
        <w:t>BLIGATIONS</w:t>
      </w:r>
      <w:r>
        <w:rPr>
          <w:rFonts w:ascii="Times New Roman;sans-serif" w:hAnsi="Times New Roman;sans-serif"/>
          <w:b/>
          <w:color w:val="000000"/>
          <w:sz w:val="24"/>
        </w:rPr>
        <w:t xml:space="preserve">. </w:t>
      </w:r>
    </w:p>
    <w:p>
      <w:pPr>
        <w:pStyle w:val="TextBody"/>
        <w:bidi w:val="0"/>
        <w:spacing w:before="0" w:after="0"/>
        <w:ind w:left="0" w:right="0" w:firstLine="2752"/>
        <w:jc w:val="both"/>
        <w:rPr/>
      </w:pPr>
      <w:r>
        <w:rPr/>
      </w:r>
    </w:p>
    <w:p>
      <w:pPr>
        <w:pStyle w:val="TextBody"/>
        <w:bidi w:val="0"/>
        <w:spacing w:lineRule="auto" w:line="228"/>
        <w:ind w:left="0" w:right="0" w:hanging="360"/>
        <w:jc w:val="both"/>
        <w:rPr/>
      </w:pPr>
      <w:r>
        <w:rPr>
          <w:rFonts w:ascii="Times New Roman;sans-serif" w:hAnsi="Times New Roman;sans-serif"/>
          <w:b/>
          <w:color w:val="000000"/>
          <w:sz w:val="24"/>
        </w:rPr>
        <w:t xml:space="preserve">(a) </w:t>
      </w:r>
      <w:r>
        <w:rPr>
          <w:rFonts w:ascii="Times New Roman;sans-serif" w:hAnsi="Times New Roman;sans-serif"/>
          <w:b w:val="false"/>
          <w:color w:val="000000"/>
          <w:sz w:val="24"/>
        </w:rPr>
        <w:t>Regardless of any action taken by the Company or, if different, the Affiliate to which you provide Continuous Service (the “</w:t>
      </w:r>
      <w:r>
        <w:rPr>
          <w:rFonts w:ascii="Times New Roman;sans-serif" w:hAnsi="Times New Roman;sans-serif"/>
          <w:b/>
          <w:color w:val="000000"/>
          <w:sz w:val="24"/>
        </w:rPr>
        <w:t>Service Recipient</w:t>
      </w:r>
      <w:r>
        <w:rPr>
          <w:color w:val="000000"/>
        </w:rPr>
        <w:t>”</w:t>
      </w:r>
      <w:r>
        <w:rPr>
          <w:rFonts w:ascii="Times New Roman;sans-serif" w:hAnsi="Times New Roman;sans-serif"/>
          <w:b w:val="false"/>
          <w:color w:val="000000"/>
          <w:sz w:val="24"/>
        </w:rPr>
        <w:t>) with respect to any income tax, social insurance, payroll tax, fringe benefits tax, payment on account or other tax related items associated with the grant or vesting of the RSU Award or sale of the underlying Common Stock or other tax-related items related to your participation in the Plan and legally applicable to you (the “</w:t>
      </w:r>
      <w:r>
        <w:rPr>
          <w:rFonts w:ascii="Times New Roman;sans-serif" w:hAnsi="Times New Roman;sans-serif"/>
          <w:b/>
          <w:color w:val="000000"/>
          <w:sz w:val="24"/>
        </w:rPr>
        <w:t>Tax Liability</w:t>
      </w:r>
      <w:r>
        <w:rPr>
          <w:color w:val="000000"/>
        </w:rPr>
        <w:t>”</w:t>
      </w:r>
      <w:r>
        <w:rPr>
          <w:rFonts w:ascii="Times New Roman;sans-serif" w:hAnsi="Times New Roman;sans-serif"/>
          <w:b w:val="false"/>
          <w:color w:val="000000"/>
          <w:sz w:val="24"/>
        </w:rPr>
        <w:t xml:space="preserve">), you hereby acknowledge and agree that the Tax Liability is your ultimate responsibility and may exceed the amount, if any, actually withheld by the Company or the Service Recipient. You further acknowledge that the Company and the Service Recipient (i) make no representations or undertakings regarding any Tax Liability in connection with any aspect of this RSU Award, including, but not limited to, the grant or vesting of the RSU Award, the issuance of Common Stock pursuant to such vesting, the subsequent sale of shares of Common Stock, and the payment of any dividends on the Common Stock; and (ii) do not commit to and are under no obligation to structure the terms of the grant or any aspect of the RSU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2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Award to reduce or eliminate your Tax Liability or achieve a particular tax result. Further, if you are subject to Tax Liability in more than one jurisdiction, you acknowledge that the Company and/or the Service Recipient (or former service recipient, as applicable) may be required to withhold or account for Tax Liability in more than one jurisdiction. </w:t>
      </w:r>
    </w:p>
    <w:p>
      <w:pPr>
        <w:pStyle w:val="TextBody"/>
        <w:bidi w:val="0"/>
        <w:spacing w:before="0" w:after="0"/>
        <w:ind w:left="0" w:right="0" w:hanging="360"/>
        <w:jc w:val="both"/>
        <w:rPr/>
      </w:pPr>
      <w:r>
        <w:rPr/>
      </w:r>
    </w:p>
    <w:p>
      <w:pPr>
        <w:pStyle w:val="TextBody"/>
        <w:bidi w:val="0"/>
        <w:spacing w:lineRule="auto" w:line="228" w:before="0" w:after="0"/>
        <w:ind w:left="0" w:right="0" w:hanging="360"/>
        <w:jc w:val="both"/>
        <w:rPr/>
      </w:pPr>
      <w:r>
        <w:rPr>
          <w:rFonts w:ascii="Times New Roman;sans-serif" w:hAnsi="Times New Roman;sans-serif"/>
          <w:b/>
          <w:color w:val="000000"/>
          <w:sz w:val="24"/>
        </w:rPr>
        <w:t xml:space="preserve">(b) </w:t>
      </w:r>
      <w:r>
        <w:rPr>
          <w:rFonts w:ascii="Times New Roman;sans-serif" w:hAnsi="Times New Roman;sans-serif"/>
          <w:b w:val="false"/>
          <w:color w:val="000000"/>
          <w:sz w:val="24"/>
        </w:rPr>
        <w:t>Prior to any relevant taxable or tax withholding event, as applicable, you agree to make adequate arrangements satisfactory to the Company and/or the Service Recipient to satisfy all Tax Liability. As further provided in Section 8 of the Plan, you hereby authorize the Company and any applicable Service Recipient to satisfy any applicable withholding obligations with regard to the Tax Liability by any of the following means or by a combination of such means: (i) causing you to pay any portion of the Tax Liability in cash or cash equivalent in a form acceptable to the Company; (ii) withholding from any compensation otherwise payable to you by the Company or the Service Recipient; (iii) withholding shares of Common Stock from the shares of Common Stock issued or otherwise issuable to you in connection with the Award; provided, however, that to the extent necessary to qualify for an exemption from application of Section 16(b) of the Exchange Act, if applicable, such share withholding procedure will be subject to the express prior approval of the Board or the Company’s Compensation Committee; (iv) permitting or requiring you to enter into a “same day sale” commitment, if applicable, with a broker-dealer that is a member of the Financial Industry Regulatory Authority (a “</w:t>
      </w:r>
      <w:r>
        <w:rPr>
          <w:rFonts w:ascii="Times New Roman;sans-serif" w:hAnsi="Times New Roman;sans-serif"/>
          <w:b/>
          <w:color w:val="000000"/>
          <w:sz w:val="24"/>
        </w:rPr>
        <w:t>FINRA Dealer</w:t>
      </w:r>
      <w:r>
        <w:rPr>
          <w:color w:val="000000"/>
        </w:rPr>
        <w:t>”</w:t>
      </w:r>
      <w:r>
        <w:rPr>
          <w:rFonts w:ascii="Times New Roman;sans-serif" w:hAnsi="Times New Roman;sans-serif"/>
          <w:b w:val="false"/>
          <w:color w:val="000000"/>
          <w:sz w:val="24"/>
        </w:rPr>
        <w:t xml:space="preserve">), pursuant to this authorization and without further consent, whereby you irrevocably elect to sell a portion of the shares of Common Stock to be delivered in connection with your Restricted Stock Units to satisfy the Tax Liability and whereby the FINRA Dealer irrevocably commits to forward the proceeds necessary to satisfy the Tax Liability directly to the Company or the Service Recipient; and/or (v) any other method determined by the Company to be in compliance with Applicable Law. Furthermore, you agree to pay the Company or the Service Recipient any amount the Company or the Service Recipient may be required to withhold, collect, or pay as a result of your participation in the Plan or that cannot be satisfied by the means previously described. In the event it is determined that the amount of the Tax Liability was greater than the amount withheld by the Company and/or the Service Recipient (as applicable), you agree to indemnify and hold the Company and/or the Service Recipient (as applicable) harmless from any failure by the Company or the applicable Service Recipient to withhold the proper amount. </w:t>
      </w:r>
    </w:p>
    <w:p>
      <w:pPr>
        <w:pStyle w:val="TextBody"/>
        <w:bidi w:val="0"/>
        <w:spacing w:before="0" w:after="0"/>
        <w:ind w:left="0" w:right="0" w:hanging="360"/>
        <w:jc w:val="both"/>
        <w:rPr/>
      </w:pPr>
      <w:r>
        <w:rPr/>
      </w:r>
    </w:p>
    <w:p>
      <w:pPr>
        <w:pStyle w:val="TextBody"/>
        <w:bidi w:val="0"/>
        <w:spacing w:lineRule="auto" w:line="228" w:before="0" w:after="0"/>
        <w:ind w:left="0" w:right="0" w:hanging="360"/>
        <w:jc w:val="both"/>
        <w:rPr/>
      </w:pPr>
      <w:r>
        <w:rPr>
          <w:rFonts w:ascii="Times New Roman;sans-serif" w:hAnsi="Times New Roman;sans-serif"/>
          <w:b/>
          <w:color w:val="000000"/>
          <w:sz w:val="24"/>
        </w:rPr>
        <w:t xml:space="preserve">(c) </w:t>
      </w:r>
      <w:r>
        <w:rPr>
          <w:rFonts w:ascii="Times New Roman;sans-serif" w:hAnsi="Times New Roman;sans-serif"/>
          <w:b w:val="false"/>
          <w:color w:val="000000"/>
          <w:sz w:val="24"/>
        </w:rPr>
        <w:t xml:space="preserve">The Company may withhold or account for your Tax Liability by considering statutory withholding amounts or other withholding rates applicable in your jurisdiction(s), including (i) maximum applicable rates in your jurisdiction(s), in which case you may receive a refund of any over-withheld amount in cash (whether from applicable tax authorities or the Company) and you will have no entitlement to the equivalent amount in Common Stock or (ii) minimum or such other applicable rates in your jurisdiction(s), in which case you may be solely responsible for paying any additional Tax Liability to the applicable tax authorities or to the Company and/or the Service Recipient. If the Tax Liability withholding obligation is satisfied by withholding shares of Common Stock, for tax purposes, you are deemed to have been issued the full number of shares of Common Stock subject to the vested portion of the RSU Award, notwithstanding that a number of the shares of Common Stock is held back solely for the purpose of paying such Tax Liability. </w:t>
      </w:r>
    </w:p>
    <w:p>
      <w:pPr>
        <w:pStyle w:val="TextBody"/>
        <w:bidi w:val="0"/>
        <w:spacing w:before="0" w:after="0"/>
        <w:ind w:left="0" w:right="0" w:firstLine="2752"/>
        <w:jc w:val="both"/>
        <w:rPr/>
      </w:pPr>
      <w:r>
        <w:rPr/>
      </w:r>
    </w:p>
    <w:p>
      <w:pPr>
        <w:pStyle w:val="TextBody"/>
        <w:bidi w:val="0"/>
        <w:spacing w:lineRule="auto" w:line="228"/>
        <w:ind w:left="0" w:right="0" w:hanging="360"/>
        <w:jc w:val="both"/>
        <w:rPr/>
      </w:pPr>
      <w:r>
        <w:rPr>
          <w:rFonts w:ascii="Times New Roman;sans-serif" w:hAnsi="Times New Roman;sans-serif"/>
          <w:b/>
          <w:color w:val="000000"/>
          <w:sz w:val="24"/>
        </w:rPr>
        <w:t xml:space="preserve">(d) </w:t>
      </w:r>
      <w:r>
        <w:rPr>
          <w:rFonts w:ascii="Times New Roman;sans-serif" w:hAnsi="Times New Roman;sans-serif"/>
          <w:b w:val="false"/>
          <w:color w:val="000000"/>
          <w:sz w:val="24"/>
        </w:rPr>
        <w:t xml:space="preserve">You acknowledge that you may not participate in the Plan and the Company shall have no obligation to deliver shares of Common Stock until you have fully satisfied the Tax Liability, as determined by the Company. Unless any withholding obligation for the Tax Liability is satisfied, the Company shall have no obligation to deliver to you any Common Stock in respect of the RSU Award.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031"/>
        <w:jc w:val="left"/>
        <w:rPr/>
      </w:pPr>
      <w:r>
        <w:rPr/>
      </w:r>
    </w:p>
    <w:p>
      <w:pPr>
        <w:pStyle w:val="TextBody"/>
        <w:bidi w:val="0"/>
        <w:spacing w:lineRule="auto" w:line="230" w:before="0" w:after="0"/>
        <w:ind w:left="0" w:right="0" w:hanging="450"/>
        <w:jc w:val="both"/>
        <w:rPr/>
      </w:pPr>
      <w:r>
        <w:rPr>
          <w:rFonts w:ascii="Times New Roman;sans-serif" w:hAnsi="Times New Roman;sans-serif"/>
          <w:b/>
          <w:color w:val="000000"/>
          <w:sz w:val="24"/>
        </w:rPr>
        <w:t>5. D</w:t>
      </w:r>
      <w:r>
        <w:rPr>
          <w:rFonts w:ascii="Times New Roman;sans-serif" w:hAnsi="Times New Roman;sans-serif"/>
          <w:b/>
          <w:color w:val="000000"/>
          <w:sz w:val="16"/>
        </w:rPr>
        <w:t xml:space="preserve">ATE OF </w:t>
      </w:r>
      <w:r>
        <w:rPr>
          <w:rFonts w:ascii="Times New Roman;sans-serif" w:hAnsi="Times New Roman;sans-serif"/>
          <w:b/>
          <w:color w:val="000000"/>
          <w:sz w:val="24"/>
        </w:rPr>
        <w:t>I</w:t>
      </w:r>
      <w:r>
        <w:rPr>
          <w:rFonts w:ascii="Times New Roman;sans-serif" w:hAnsi="Times New Roman;sans-serif"/>
          <w:b/>
          <w:color w:val="000000"/>
          <w:sz w:val="16"/>
        </w:rPr>
        <w:t>SSUANCE</w:t>
      </w:r>
      <w:r>
        <w:rPr>
          <w:rFonts w:ascii="Times New Roman;sans-serif" w:hAnsi="Times New Roman;sans-serif"/>
          <w:b/>
          <w:color w:val="000000"/>
          <w:sz w:val="24"/>
        </w:rPr>
        <w:t xml:space="preserve">. </w:t>
      </w:r>
    </w:p>
    <w:p>
      <w:pPr>
        <w:pStyle w:val="TextBody"/>
        <w:bidi w:val="0"/>
        <w:spacing w:before="0" w:after="0"/>
        <w:ind w:left="0" w:right="0" w:firstLine="2031"/>
        <w:jc w:val="left"/>
        <w:rPr/>
      </w:pPr>
      <w:r>
        <w:rPr/>
      </w:r>
    </w:p>
    <w:p>
      <w:pPr>
        <w:pStyle w:val="TextBody"/>
        <w:bidi w:val="0"/>
        <w:spacing w:lineRule="auto" w:line="228" w:before="0" w:after="0"/>
        <w:ind w:left="0" w:right="0" w:hanging="360"/>
        <w:jc w:val="both"/>
        <w:rPr/>
      </w:pPr>
      <w:r>
        <w:rPr>
          <w:rFonts w:ascii="Times New Roman;sans-serif" w:hAnsi="Times New Roman;sans-serif"/>
          <w:b/>
          <w:color w:val="000000"/>
          <w:sz w:val="24"/>
        </w:rPr>
        <w:t xml:space="preserve">(a) </w:t>
      </w:r>
      <w:r>
        <w:rPr>
          <w:rFonts w:ascii="Times New Roman;sans-serif" w:hAnsi="Times New Roman;sans-serif"/>
          <w:b w:val="false"/>
          <w:color w:val="000000"/>
          <w:sz w:val="24"/>
        </w:rPr>
        <w:t>The issuance of shares in respect of the Restricted Stock Units is intended to comply with U.S. Treasury Regulations Section 1.409A-3(a) and will be construed and administered in such a manner. Subject to the satisfaction of the Tax Liability withholding obligation, if any, in the event one or more Restricted Stock Units vests, the Company shall issue to you one (1) share of Common Stock for each vested Restricted Stock Unit. Each issuance date determined by this paragraph is referred to as an “</w:t>
      </w:r>
      <w:r>
        <w:rPr>
          <w:rFonts w:ascii="Times New Roman;sans-serif" w:hAnsi="Times New Roman;sans-serif"/>
          <w:b/>
          <w:i/>
          <w:color w:val="000000"/>
          <w:sz w:val="24"/>
        </w:rPr>
        <w:t>Original Issuance Date</w:t>
      </w:r>
      <w:r>
        <w:rPr>
          <w:rFonts w:ascii="Times New Roman;sans-serif" w:hAnsi="Times New Roman;sans-serif"/>
          <w:b w:val="false"/>
          <w:color w:val="000000"/>
          <w:sz w:val="24"/>
        </w:rPr>
        <w:t xml:space="preserve">.” </w:t>
      </w:r>
    </w:p>
    <w:p>
      <w:pPr>
        <w:pStyle w:val="TextBody"/>
        <w:bidi w:val="0"/>
        <w:spacing w:before="0" w:after="0"/>
        <w:ind w:left="0" w:right="0" w:firstLine="2754"/>
        <w:jc w:val="both"/>
        <w:rPr/>
      </w:pPr>
      <w:r>
        <w:rPr/>
      </w:r>
    </w:p>
    <w:p>
      <w:pPr>
        <w:pStyle w:val="TextBody"/>
        <w:bidi w:val="0"/>
        <w:spacing w:lineRule="auto" w:line="228" w:before="0" w:after="0"/>
        <w:ind w:left="0" w:right="0" w:hanging="360"/>
        <w:jc w:val="both"/>
        <w:rPr/>
      </w:pPr>
      <w:r>
        <w:rPr>
          <w:rFonts w:ascii="Times New Roman;sans-serif" w:hAnsi="Times New Roman;sans-serif"/>
          <w:b/>
          <w:color w:val="000000"/>
          <w:sz w:val="24"/>
        </w:rPr>
        <w:t xml:space="preserve">(b) </w:t>
      </w:r>
      <w:r>
        <w:rPr>
          <w:rFonts w:ascii="Times New Roman;sans-serif" w:hAnsi="Times New Roman;sans-serif"/>
          <w:b w:val="false"/>
          <w:color w:val="000000"/>
          <w:sz w:val="24"/>
        </w:rPr>
        <w:t xml:space="preserve">If the Original Issuance Date falls on a date that is not a business day, delivery shall instead occur on the next following business day. In addition, if: </w:t>
      </w:r>
    </w:p>
    <w:p>
      <w:pPr>
        <w:pStyle w:val="TextBody"/>
        <w:bidi w:val="0"/>
        <w:spacing w:before="0" w:after="0"/>
        <w:ind w:left="0" w:right="0" w:firstLine="3474"/>
        <w:jc w:val="both"/>
        <w:rPr/>
      </w:pPr>
      <w:r>
        <w:rPr/>
      </w:r>
    </w:p>
    <w:p>
      <w:pPr>
        <w:pStyle w:val="TextBody"/>
        <w:bidi w:val="0"/>
        <w:spacing w:lineRule="auto" w:line="228" w:before="0" w:after="0"/>
        <w:ind w:left="0" w:right="0" w:hanging="360"/>
        <w:jc w:val="both"/>
        <w:rPr/>
      </w:pPr>
      <w:r>
        <w:rPr>
          <w:rFonts w:ascii="Times New Roman;sans-serif" w:hAnsi="Times New Roman;sans-serif"/>
          <w:b/>
          <w:color w:val="000000"/>
          <w:sz w:val="24"/>
        </w:rPr>
        <w:t xml:space="preserve">(i) </w:t>
      </w:r>
      <w:r>
        <w:rPr>
          <w:rFonts w:ascii="Times New Roman;sans-serif" w:hAnsi="Times New Roman;sans-serif"/>
          <w:b w:val="false"/>
          <w:color w:val="000000"/>
          <w:sz w:val="24"/>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ans-serif" w:hAnsi="Times New Roman;sans-serif"/>
          <w:b/>
          <w:color w:val="000000"/>
          <w:sz w:val="24"/>
        </w:rPr>
        <w:t>10b5-1 Arrangement</w:t>
      </w:r>
      <w:r>
        <w:rPr>
          <w:rFonts w:ascii="Times New Roman;sans-serif" w:hAnsi="Times New Roman;sans-serif"/>
          <w:b w:val="false"/>
          <w:color w:val="000000"/>
          <w:sz w:val="24"/>
        </w:rPr>
        <w:t xml:space="preserve">)), and </w:t>
      </w:r>
    </w:p>
    <w:p>
      <w:pPr>
        <w:pStyle w:val="TextBody"/>
        <w:bidi w:val="0"/>
        <w:spacing w:before="0" w:after="0"/>
        <w:ind w:left="0" w:right="0" w:firstLine="3474"/>
        <w:jc w:val="both"/>
        <w:rPr/>
      </w:pPr>
      <w:r>
        <w:rPr/>
      </w:r>
    </w:p>
    <w:p>
      <w:pPr>
        <w:pStyle w:val="TextBody"/>
        <w:bidi w:val="0"/>
        <w:spacing w:lineRule="auto" w:line="228" w:before="0" w:after="0"/>
        <w:ind w:left="0" w:right="0" w:hanging="360"/>
        <w:jc w:val="both"/>
        <w:rPr/>
      </w:pPr>
      <w:r>
        <w:rPr>
          <w:rFonts w:ascii="Times New Roman;sans-serif" w:hAnsi="Times New Roman;sans-serif"/>
          <w:b/>
          <w:color w:val="000000"/>
          <w:sz w:val="24"/>
        </w:rPr>
        <w:t xml:space="preserve">(ii) </w:t>
      </w:r>
      <w:r>
        <w:rPr>
          <w:rFonts w:ascii="Times New Roman;sans-serif" w:hAnsi="Times New Roman;sans-serif"/>
          <w:b w:val="false"/>
          <w:color w:val="000000"/>
          <w:sz w:val="24"/>
        </w:rPr>
        <w:t xml:space="preserve">either (1) a Tax Liability withholding obligation does not apply, or (2) the Company decides, prior to the Original Issuance Date, (A) not to satisfy the Tax Liability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Tax Liability in cash, </w:t>
      </w:r>
      <w:r>
        <w:rPr>
          <w:rFonts w:ascii="Times New Roman;sans-serif" w:hAnsi="Times New Roman;sans-serif"/>
          <w:b w:val="false"/>
          <w:color w:val="000000"/>
          <w:sz w:val="24"/>
          <w:u w:val="single"/>
        </w:rPr>
        <w:t>then</w:t>
      </w:r>
      <w:r>
        <w:rPr>
          <w:color w:val="000000"/>
        </w:rPr>
        <w:t xml:space="preserve"> </w:t>
      </w:r>
      <w:r>
        <w:rPr>
          <w:rFonts w:ascii="Times New Roman;sans-serif" w:hAnsi="Times New Roman;sans-serif"/>
          <w:b w:val="false"/>
          <w:color w:val="000000"/>
          <w:sz w:val="24"/>
        </w:rPr>
        <w:t xml:space="preserve">the shares that would otherwise be issued to you on the Original Issuance Date will not be delivered on such Original Issuance Date and will instead be delivered on the first business day when you are not prohibited from selling shares of the Common Stock in the open public market, but in no event later than December 31 of the calendar year in which the Original Issuance Date occurs (that is, the last day of your taxable year in which the Original Issuance Date occurs), or, </w:t>
      </w:r>
      <w:r>
        <w:rPr>
          <w:rFonts w:ascii="Times New Roman;sans-serif" w:hAnsi="Times New Roman;sans-serif"/>
          <w:b w:val="false"/>
          <w:color w:val="000000"/>
          <w:sz w:val="24"/>
          <w:u w:val="single"/>
        </w:rPr>
        <w:t>if and only if</w:t>
      </w:r>
      <w:r>
        <w:rPr>
          <w:color w:val="000000"/>
        </w:rPr>
        <w:t xml:space="preserve"> </w:t>
      </w:r>
      <w:r>
        <w:rPr>
          <w:rFonts w:ascii="Times New Roman;sans-serif" w:hAnsi="Times New Roman;sans-serif"/>
          <w:b w:val="false"/>
          <w:color w:val="000000"/>
          <w:sz w:val="24"/>
        </w:rPr>
        <w:t xml:space="preserve">permitted in a manner that complies with U.S.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U.S. Treasury Regulations Section 1.409A-1(d). </w:t>
      </w:r>
    </w:p>
    <w:p>
      <w:pPr>
        <w:pStyle w:val="TextBody"/>
        <w:bidi w:val="0"/>
        <w:spacing w:before="0" w:after="0"/>
        <w:jc w:val="left"/>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6. T</w:t>
      </w:r>
      <w:r>
        <w:rPr>
          <w:rFonts w:ascii="Times New Roman;sans-serif" w:hAnsi="Times New Roman;sans-serif"/>
          <w:b/>
          <w:color w:val="000000"/>
          <w:sz w:val="16"/>
        </w:rPr>
        <w:t>RANSFERABILITY</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Except as otherwise provided in the Plan, your RSU Award is not transferable, except by will or by the applicable laws of descent and distribution. </w:t>
      </w:r>
    </w:p>
    <w:p>
      <w:pPr>
        <w:pStyle w:val="TextBody"/>
        <w:bidi w:val="0"/>
        <w:spacing w:before="0" w:after="0"/>
        <w:ind w:left="0" w:right="0" w:hanging="270"/>
        <w:jc w:val="both"/>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7. C</w:t>
      </w:r>
      <w:r>
        <w:rPr>
          <w:rFonts w:ascii="Times New Roman;sans-serif" w:hAnsi="Times New Roman;sans-serif"/>
          <w:b/>
          <w:color w:val="000000"/>
          <w:sz w:val="16"/>
        </w:rPr>
        <w:t xml:space="preserve">ORPORATE </w:t>
      </w:r>
      <w:r>
        <w:rPr>
          <w:rFonts w:ascii="Times New Roman;sans-serif" w:hAnsi="Times New Roman;sans-serif"/>
          <w:b/>
          <w:color w:val="000000"/>
          <w:sz w:val="24"/>
        </w:rPr>
        <w:t>T</w:t>
      </w:r>
      <w:r>
        <w:rPr>
          <w:rFonts w:ascii="Times New Roman;sans-serif" w:hAnsi="Times New Roman;sans-serif"/>
          <w:b/>
          <w:color w:val="000000"/>
          <w:sz w:val="16"/>
        </w:rPr>
        <w:t>RANSACTION</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Your RSU Award is subject to the terms of any agreement governing a Corporate Transaction involving the Company, including, without limitation, a provision for the appointment of a stockholder representative that is authorized to act on your behalf with respect to any escrow, indemnities and any contingent consideration. </w:t>
      </w:r>
    </w:p>
    <w:p>
      <w:pPr>
        <w:pStyle w:val="TextBody"/>
        <w:bidi w:val="0"/>
        <w:spacing w:before="0" w:after="0"/>
        <w:ind w:left="0" w:right="0" w:hanging="270"/>
        <w:jc w:val="both"/>
        <w:rPr/>
      </w:pPr>
      <w:r>
        <w:rPr/>
      </w:r>
    </w:p>
    <w:p>
      <w:pPr>
        <w:pStyle w:val="TextBody"/>
        <w:bidi w:val="0"/>
        <w:spacing w:lineRule="auto" w:line="230"/>
        <w:ind w:left="0" w:right="0" w:hanging="270"/>
        <w:jc w:val="both"/>
        <w:rPr/>
      </w:pPr>
      <w:r>
        <w:rPr>
          <w:rFonts w:ascii="Times New Roman;sans-serif" w:hAnsi="Times New Roman;sans-serif"/>
          <w:b/>
          <w:color w:val="000000"/>
          <w:sz w:val="24"/>
        </w:rPr>
        <w:t>8. N</w:t>
      </w:r>
      <w:r>
        <w:rPr>
          <w:rFonts w:ascii="Times New Roman;sans-serif" w:hAnsi="Times New Roman;sans-serif"/>
          <w:b/>
          <w:color w:val="000000"/>
          <w:sz w:val="16"/>
        </w:rPr>
        <w:t xml:space="preserve">O </w:t>
      </w:r>
      <w:r>
        <w:rPr>
          <w:rFonts w:ascii="Times New Roman;sans-serif" w:hAnsi="Times New Roman;sans-serif"/>
          <w:b/>
          <w:color w:val="000000"/>
          <w:sz w:val="24"/>
        </w:rPr>
        <w:t>L</w:t>
      </w:r>
      <w:r>
        <w:rPr>
          <w:rFonts w:ascii="Times New Roman;sans-serif" w:hAnsi="Times New Roman;sans-serif"/>
          <w:b/>
          <w:color w:val="000000"/>
          <w:sz w:val="16"/>
        </w:rPr>
        <w:t xml:space="preserve">IABILITY FOR </w:t>
      </w:r>
      <w:r>
        <w:rPr>
          <w:rFonts w:ascii="Times New Roman;sans-serif" w:hAnsi="Times New Roman;sans-serif"/>
          <w:b/>
          <w:color w:val="000000"/>
          <w:sz w:val="24"/>
        </w:rPr>
        <w:t>T</w:t>
      </w:r>
      <w:r>
        <w:rPr>
          <w:rFonts w:ascii="Times New Roman;sans-serif" w:hAnsi="Times New Roman;sans-serif"/>
          <w:b/>
          <w:color w:val="000000"/>
          <w:sz w:val="16"/>
        </w:rPr>
        <w:t>AXES</w:t>
      </w:r>
      <w:r>
        <w:rPr>
          <w:rFonts w:ascii="Times New Roman;sans-serif" w:hAnsi="Times New Roman;sans-serif"/>
          <w:b w:val="false"/>
          <w:color w:val="000000"/>
          <w:sz w:val="24"/>
        </w:rPr>
        <w:t xml:space="preserve">. As a condition to accepting the RSU Award, you hereby (a) agree to not make any claim against the Company, or any of its Officers, Directors, Employees or Affiliates related to tax liabilities arising from the RSU Award or other Company compensation and (b) acknowledge that you were advised to consult with your own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3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personal tax, financial and other legal advisors regarding the tax consequences of the RSU Award and have either done so or knowingly and voluntarily declined to do so. </w:t>
      </w:r>
    </w:p>
    <w:p>
      <w:pPr>
        <w:pStyle w:val="TextBody"/>
        <w:bidi w:val="0"/>
        <w:spacing w:before="0" w:after="0"/>
        <w:ind w:left="0" w:right="0" w:hanging="450"/>
        <w:jc w:val="both"/>
        <w:rPr/>
      </w:pPr>
      <w:r>
        <w:rPr/>
      </w:r>
    </w:p>
    <w:p>
      <w:pPr>
        <w:pStyle w:val="TextBody"/>
        <w:bidi w:val="0"/>
        <w:spacing w:lineRule="auto" w:line="230" w:before="0" w:after="0"/>
        <w:ind w:left="0" w:right="0" w:hanging="270"/>
        <w:jc w:val="both"/>
        <w:rPr/>
      </w:pPr>
      <w:r>
        <w:rPr>
          <w:rFonts w:ascii="Times New Roman;sans-serif" w:hAnsi="Times New Roman;sans-serif"/>
          <w:b/>
          <w:color w:val="000000"/>
          <w:sz w:val="24"/>
        </w:rPr>
        <w:t>9. S</w:t>
      </w:r>
      <w:r>
        <w:rPr>
          <w:rFonts w:ascii="Times New Roman;sans-serif" w:hAnsi="Times New Roman;sans-serif"/>
          <w:b/>
          <w:color w:val="000000"/>
          <w:sz w:val="16"/>
        </w:rPr>
        <w:t>EVERABILITY</w:t>
      </w:r>
      <w:r>
        <w:rPr>
          <w:rFonts w:ascii="Times New Roman;sans-serif" w:hAnsi="Times New Roman;sans-serif"/>
          <w:b w:val="false"/>
          <w:color w:val="000000"/>
          <w:sz w:val="24"/>
        </w:rPr>
        <w:t xml:space="preserve">. If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 </w:t>
      </w:r>
    </w:p>
    <w:p>
      <w:pPr>
        <w:pStyle w:val="TextBody"/>
        <w:bidi w:val="0"/>
        <w:spacing w:before="0" w:after="0"/>
        <w:ind w:left="0" w:right="0" w:hanging="270"/>
        <w:jc w:val="both"/>
        <w:rPr/>
      </w:pPr>
      <w:r>
        <w:rPr/>
      </w:r>
    </w:p>
    <w:p>
      <w:pPr>
        <w:pStyle w:val="TextBody"/>
        <w:bidi w:val="0"/>
        <w:spacing w:lineRule="auto" w:line="230" w:before="0" w:after="0"/>
        <w:ind w:left="0" w:right="0" w:hanging="360"/>
        <w:jc w:val="both"/>
        <w:rPr/>
      </w:pPr>
      <w:r>
        <w:rPr>
          <w:rFonts w:ascii="Times New Roman;sans-serif" w:hAnsi="Times New Roman;sans-serif"/>
          <w:b/>
          <w:color w:val="000000"/>
          <w:sz w:val="24"/>
        </w:rPr>
        <w:t>10. O</w:t>
      </w:r>
      <w:r>
        <w:rPr>
          <w:rFonts w:ascii="Times New Roman;sans-serif" w:hAnsi="Times New Roman;sans-serif"/>
          <w:b/>
          <w:color w:val="000000"/>
          <w:sz w:val="16"/>
        </w:rPr>
        <w:t xml:space="preserve">THER </w:t>
      </w:r>
      <w:r>
        <w:rPr>
          <w:rFonts w:ascii="Times New Roman;sans-serif" w:hAnsi="Times New Roman;sans-serif"/>
          <w:b/>
          <w:color w:val="000000"/>
          <w:sz w:val="24"/>
        </w:rPr>
        <w:t>D</w:t>
      </w:r>
      <w:r>
        <w:rPr>
          <w:rFonts w:ascii="Times New Roman;sans-serif" w:hAnsi="Times New Roman;sans-serif"/>
          <w:b/>
          <w:color w:val="000000"/>
          <w:sz w:val="16"/>
        </w:rPr>
        <w:t>OCUMENTS</w:t>
      </w:r>
      <w:r>
        <w:rPr>
          <w:rFonts w:ascii="Times New Roman;sans-serif" w:hAnsi="Times New Roman;sans-serif"/>
          <w:b/>
          <w:color w:val="000000"/>
          <w:sz w:val="24"/>
        </w:rPr>
        <w:t xml:space="preserve">. </w:t>
      </w:r>
      <w:r>
        <w:rPr>
          <w:rFonts w:ascii="Times New Roman;sans-serif" w:hAnsi="Times New Roman;sans-serif"/>
          <w:b w:val="false"/>
          <w:color w:val="000000"/>
          <w:sz w:val="24"/>
        </w:rPr>
        <w:t>You hereby acknowledge receipt of or the right to receive a document providing the information required by Rule 428(b)(1) promulgated under the Securities Act, which includes the Prospectus. In addition, you acknowledge receipt of the Company’s Trading Policy.</w:t>
      </w:r>
    </w:p>
    <w:p>
      <w:pPr>
        <w:pStyle w:val="TextBody"/>
        <w:bidi w:val="0"/>
        <w:spacing w:lineRule="auto" w:line="230" w:before="0" w:after="0"/>
        <w:ind w:left="0" w:right="0" w:hanging="360"/>
        <w:jc w:val="both"/>
        <w:rPr/>
      </w:pPr>
      <w:r>
        <w:rPr>
          <w:rFonts w:ascii="Times New Roman;sans-serif" w:hAnsi="Times New Roman;sans-serif"/>
          <w:b/>
          <w:color w:val="000000"/>
          <w:sz w:val="24"/>
        </w:rPr>
        <w:t>11. Q</w:t>
      </w:r>
      <w:r>
        <w:rPr>
          <w:rFonts w:ascii="Times New Roman;sans-serif" w:hAnsi="Times New Roman;sans-serif"/>
          <w:b/>
          <w:color w:val="000000"/>
          <w:sz w:val="16"/>
        </w:rPr>
        <w:t>UESTIONS</w:t>
      </w:r>
      <w:r>
        <w:rPr>
          <w:rFonts w:ascii="Times New Roman;sans-serif" w:hAnsi="Times New Roman;sans-serif"/>
          <w:b/>
          <w:color w:val="000000"/>
          <w:sz w:val="24"/>
        </w:rPr>
        <w:t xml:space="preserve">. </w:t>
      </w:r>
      <w:r>
        <w:rPr>
          <w:rFonts w:ascii="Times New Roman;sans-serif" w:hAnsi="Times New Roman;sans-serif"/>
          <w:b w:val="false"/>
          <w:color w:val="000000"/>
          <w:sz w:val="24"/>
        </w:rPr>
        <w:t xml:space="preserve">If you have questions regarding these or any other terms and conditions applicable to your RSU Award, including a summary of the applicable federal income tax consequences please see the Prospectus.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ind w:left="0" w:right="0" w:firstLine="20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2040"/>
        <w:jc w:val="center"/>
        <w:rPr/>
      </w:pPr>
      <w:r>
        <w:rPr/>
      </w:r>
    </w:p>
    <w:p>
      <w:pPr>
        <w:pStyle w:val="TextBody"/>
        <w:bidi w:val="0"/>
        <w:spacing w:lineRule="auto" w:line="268" w:before="0" w:after="0"/>
        <w:ind w:left="0" w:right="0" w:firstLine="14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before="0" w:after="0"/>
        <w:jc w:val="left"/>
        <w:rPr/>
      </w:pPr>
      <w:r>
        <w:rPr/>
      </w:r>
    </w:p>
    <w:p>
      <w:pPr>
        <w:pStyle w:val="TextBody"/>
        <w:bidi w:val="0"/>
        <w:spacing w:lineRule="auto" w:line="276" w:before="0" w:after="0"/>
        <w:ind w:left="0" w:right="0" w:firstLine="1440"/>
        <w:jc w:val="center"/>
        <w:rPr>
          <w:rFonts w:ascii="Times New Roman;sans-serif" w:hAnsi="Times New Roman;sans-serif"/>
          <w:b/>
          <w:color w:val="000000"/>
          <w:sz w:val="24"/>
        </w:rPr>
      </w:pPr>
      <w:r>
        <w:rPr>
          <w:rFonts w:ascii="Times New Roman;sans-serif" w:hAnsi="Times New Roman;sans-serif"/>
          <w:b/>
          <w:color w:val="000000"/>
          <w:sz w:val="24"/>
        </w:rPr>
        <w:t>VESTING SCHEDULE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number of Restricted Stock Units that vest shall be determined in accordance with the following terms and conditions. Capitalized terms not otherwise defined herein have the meanings set forth in the Grant Notice, the Agreement or the Plan, as applicable.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1.</w:t>
      </w:r>
      <w:r>
        <w:rPr>
          <w:rFonts w:ascii="Times New Roman;sans-serif" w:hAnsi="Times New Roman;sans-serif"/>
          <w:b/>
          <w:color w:val="000000"/>
          <w:sz w:val="24"/>
        </w:rPr>
        <w:t xml:space="preserve">Performance Period. </w:t>
      </w:r>
      <w:r>
        <w:rPr>
          <w:rFonts w:ascii="Times New Roman;sans-serif" w:hAnsi="Times New Roman;sans-serif"/>
          <w:b w:val="false"/>
          <w:color w:val="000000"/>
          <w:sz w:val="24"/>
        </w:rPr>
        <w:t>The “</w:t>
      </w:r>
      <w:r>
        <w:rPr>
          <w:rFonts w:ascii="Times New Roman;sans-serif" w:hAnsi="Times New Roman;sans-serif"/>
          <w:b/>
          <w:i/>
          <w:color w:val="000000"/>
          <w:sz w:val="24"/>
        </w:rPr>
        <w:t>Performance Period</w:t>
      </w:r>
      <w:r>
        <w:rPr>
          <w:color w:val="000000"/>
        </w:rPr>
        <w:t xml:space="preserve">” </w:t>
      </w:r>
      <w:r>
        <w:rPr>
          <w:rFonts w:ascii="Times New Roman;sans-serif" w:hAnsi="Times New Roman;sans-serif"/>
          <w:b w:val="false"/>
          <w:color w:val="000000"/>
          <w:sz w:val="24"/>
        </w:rPr>
        <w:t>shall begin on the date of grant and shall end on the April 1, 2028 (the “</w:t>
      </w:r>
      <w:r>
        <w:rPr>
          <w:rFonts w:ascii="Times New Roman;sans-serif" w:hAnsi="Times New Roman;sans-serif"/>
          <w:b/>
          <w:i/>
          <w:color w:val="000000"/>
          <w:sz w:val="24"/>
        </w:rPr>
        <w:t>Scheduled Performance Period End Date</w:t>
      </w:r>
      <w:r>
        <w:rPr>
          <w:color w:val="000000"/>
        </w:rPr>
        <w:t>”</w:t>
      </w:r>
      <w:r>
        <w:rPr>
          <w:rFonts w:ascii="Times New Roman;sans-serif" w:hAnsi="Times New Roman;sans-serif"/>
          <w:b w:val="false"/>
          <w:color w:val="000000"/>
          <w:sz w:val="24"/>
        </w:rPr>
        <w:t>). Notwithstanding the foregoing, in the event of a Change in Control prior to the Scheduled Performance Period End Date, the Performance Period shall be shortened and deemed to end immediately prior to the effective time of the Change in Control.</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22"/>
        </w:rPr>
        <w:t>2.</w:t>
      </w:r>
      <w:r>
        <w:rPr>
          <w:rFonts w:ascii="Times New Roman;sans-serif" w:hAnsi="Times New Roman;sans-serif"/>
          <w:b/>
          <w:color w:val="000000"/>
          <w:sz w:val="24"/>
        </w:rPr>
        <w:t>Vesting of Restricted Stock Units.</w:t>
      </w:r>
      <w:r>
        <w:rPr>
          <w:color w:val="000000"/>
        </w:rPr>
        <w:t xml:space="preserve"> </w:t>
      </w:r>
      <w:r>
        <w:rPr>
          <w:rFonts w:ascii="Times New Roman;sans-serif" w:hAnsi="Times New Roman;sans-serif"/>
          <w:b w:val="false"/>
          <w:color w:val="000000"/>
          <w:sz w:val="24"/>
        </w:rPr>
        <w:t>In order for Restricted Stock Units to vest, a stock-based performance requirement and vesting date requirement (the “</w:t>
      </w:r>
      <w:r>
        <w:rPr>
          <w:rFonts w:ascii="Times New Roman;sans-serif" w:hAnsi="Times New Roman;sans-serif"/>
          <w:b/>
          <w:i/>
          <w:color w:val="000000"/>
          <w:sz w:val="24"/>
        </w:rPr>
        <w:t>Vesting Requirements</w:t>
      </w:r>
      <w:r>
        <w:rPr>
          <w:color w:val="000000"/>
        </w:rPr>
        <w:t>”</w:t>
      </w:r>
      <w:r>
        <w:rPr>
          <w:rFonts w:ascii="Times New Roman;sans-serif" w:hAnsi="Times New Roman;sans-serif"/>
          <w:b w:val="false"/>
          <w:color w:val="000000"/>
          <w:sz w:val="24"/>
        </w:rPr>
        <w:t>) must be achieved, as set forth in more detail below. A Restricted Stock Unit will vest on the first date upon which the Vesting Requirements are satisfied with respect to that particular Restricted Stock Unit. All Restricted Stock Units that do not vest on or before the end of the Scheduled Performance Period End Date shall be immediately forfeited to the Company upon expiration at no cost to the Company. In addition, all Restricted Stock Units that are unvested as of the date on which your Continuous Service terminates shall be forfeited as of the date of such termination. Except as set forth in paragraph 4 below, which shall control in the event of a Change in Control, to the extent any agreement to which participant is a party provides for accelerated vesting of equity upon the termination of a Participant's Continuous Service, then, for the avoidance of doubt, such accelerated vesting will apply to the vesting date requirement only and not the stock price requirement.</w:t>
      </w:r>
    </w:p>
    <w:p>
      <w:pPr>
        <w:pStyle w:val="TextBody"/>
        <w:bidi w:val="0"/>
        <w:spacing w:before="0" w:after="0"/>
        <w:jc w:val="both"/>
        <w:rPr/>
      </w:pPr>
      <w:r>
        <w:rPr/>
      </w:r>
    </w:p>
    <w:p>
      <w:pPr>
        <w:pStyle w:val="TextBody"/>
        <w:bidi w:val="0"/>
        <w:spacing w:lineRule="auto" w:line="268" w:before="0" w:after="0"/>
        <w:ind w:left="0" w:right="0" w:hanging="360"/>
        <w:jc w:val="left"/>
        <w:rPr/>
      </w:pPr>
      <w:r>
        <w:rPr>
          <w:rFonts w:ascii="Arial;sans-serif" w:hAnsi="Arial;sans-serif"/>
          <w:b w:val="false"/>
          <w:color w:val="000000"/>
          <w:sz w:val="22"/>
        </w:rPr>
        <w:t>3.</w:t>
      </w:r>
      <w:r>
        <w:rPr>
          <w:rFonts w:ascii="Times New Roman;sans-serif" w:hAnsi="Times New Roman;sans-serif"/>
          <w:b/>
          <w:color w:val="000000"/>
          <w:sz w:val="24"/>
        </w:rPr>
        <w:t>Vesting Requirements.</w:t>
      </w:r>
      <w:r>
        <w:rPr>
          <w:color w:val="000000"/>
        </w:rPr>
        <w:t xml:space="preserve"> </w:t>
      </w:r>
      <w:r>
        <w:rPr>
          <w:rFonts w:ascii="Times New Roman;sans-serif" w:hAnsi="Times New Roman;sans-serif"/>
          <w:b w:val="false"/>
          <w:color w:val="000000"/>
          <w:sz w:val="24"/>
        </w:rPr>
        <w:t>Each tranche of the Restricted Stock Units (as set forth below) will meet its Vesting Requirements on the date on which the Committee certifies that the average closing price per share of Common Stock over a consecutive 45 trading day period during the Performance Period has met or exceeded the applicable stock price requirement, with such stock price requirement met on or after the applicable vesting date requirement as set forth below. Such stock price targets shall be subject to adjustment by the Board in the case of an applicable Capitalization Adjustment.</w:t>
      </w:r>
    </w:p>
    <w:p>
      <w:pPr>
        <w:pStyle w:val="TextBody"/>
        <w:bidi w:val="0"/>
        <w:spacing w:before="0" w:after="0"/>
        <w:jc w:val="left"/>
        <w:rPr/>
      </w:pPr>
      <w:r>
        <w:rPr/>
      </w:r>
    </w:p>
    <w:tbl>
      <w:tblPr>
        <w:tblW w:w="8593" w:type="dxa"/>
        <w:jc w:val="left"/>
        <w:tblInd w:w="0" w:type="dxa"/>
        <w:tblLayout w:type="fixed"/>
        <w:tblCellMar>
          <w:top w:w="28" w:type="dxa"/>
          <w:left w:w="28" w:type="dxa"/>
          <w:bottom w:w="28" w:type="dxa"/>
          <w:right w:w="28" w:type="dxa"/>
        </w:tblCellMar>
      </w:tblPr>
      <w:tblGrid>
        <w:gridCol w:w="326"/>
        <w:gridCol w:w="287"/>
        <w:gridCol w:w="288"/>
        <w:gridCol w:w="819"/>
        <w:gridCol w:w="819"/>
        <w:gridCol w:w="821"/>
        <w:gridCol w:w="874"/>
        <w:gridCol w:w="874"/>
        <w:gridCol w:w="876"/>
        <w:gridCol w:w="762"/>
        <w:gridCol w:w="762"/>
        <w:gridCol w:w="1085"/>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Tranche</w:t>
            </w:r>
          </w:p>
        </w:tc>
        <w:tc>
          <w:tcPr>
            <w:tcW w:w="24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Stock Price Requirement</w:t>
            </w:r>
          </w:p>
        </w:tc>
        <w:tc>
          <w:tcPr>
            <w:tcW w:w="26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Vesting Date Requirement</w:t>
            </w:r>
          </w:p>
        </w:tc>
        <w:tc>
          <w:tcPr>
            <w:tcW w:w="260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Number of RSUs Vesting</w:t>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c>
        <w:tc>
          <w:tcPr>
            <w:tcW w:w="24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24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245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0"/>
              <w:jc w:val="center"/>
              <w:rPr/>
            </w:pPr>
            <w:r>
              <w:rPr/>
            </w:r>
          </w:p>
        </w:tc>
      </w:tr>
      <w:tr>
        <w:trPr/>
        <w:tc>
          <w:tcPr>
            <w:tcW w:w="90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2459"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jc w:val="center"/>
              <w:rPr/>
            </w:pPr>
            <w:r>
              <w:rPr/>
            </w:r>
          </w:p>
        </w:tc>
      </w:tr>
    </w:tbl>
    <w:p>
      <w:pPr>
        <w:pStyle w:val="TextBody"/>
        <w:bidi w:val="0"/>
        <w:spacing w:before="0" w:after="0"/>
        <w:jc w:val="left"/>
        <w:rPr/>
      </w:pPr>
      <w:r>
        <w:rPr/>
      </w:r>
    </w:p>
    <w:p>
      <w:pPr>
        <w:pStyle w:val="TextBody"/>
        <w:bidi w:val="0"/>
        <w:spacing w:lineRule="auto" w:line="268"/>
        <w:ind w:left="0" w:right="0" w:hanging="360"/>
        <w:jc w:val="both"/>
        <w:rPr/>
      </w:pPr>
      <w:r>
        <w:rPr>
          <w:rFonts w:ascii="Arial;sans-serif" w:hAnsi="Arial;sans-serif"/>
          <w:b w:val="false"/>
          <w:color w:val="000000"/>
          <w:sz w:val="22"/>
        </w:rPr>
        <w:t>4.</w:t>
      </w:r>
      <w:r>
        <w:rPr>
          <w:rFonts w:ascii="Times New Roman;sans-serif" w:hAnsi="Times New Roman;sans-serif"/>
          <w:b/>
          <w:color w:val="000000"/>
          <w:sz w:val="24"/>
        </w:rPr>
        <w:t xml:space="preserve">Impact of Change in Control. </w:t>
      </w:r>
      <w:r>
        <w:rPr>
          <w:rFonts w:ascii="Times New Roman;sans-serif" w:hAnsi="Times New Roman;sans-serif"/>
          <w:b w:val="false"/>
          <w:color w:val="000000"/>
          <w:sz w:val="24"/>
        </w:rPr>
        <w:t xml:space="preserve">If, during the Performance Period, a Change in Control occurs, then the Performance Period will be shortened such that the Performance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jc w:val="both"/>
        <w:rPr/>
      </w:pPr>
      <w:r>
        <w:rPr>
          <w:rFonts w:ascii="Times New Roman;sans-serif" w:hAnsi="Times New Roman;sans-serif"/>
          <w:b w:val="false"/>
          <w:color w:val="000000"/>
          <w:sz w:val="24"/>
        </w:rPr>
        <w:t>will end as of immediately prior to the Change in Control and, to the extent that any of the Stock Price Requirements are achieved based on the value of the per-share consideration received by the Company’s stockholders in connection with the Change in Control (the “</w:t>
      </w:r>
      <w:r>
        <w:rPr>
          <w:rFonts w:ascii="Times New Roman;sans-serif" w:hAnsi="Times New Roman;sans-serif"/>
          <w:b/>
          <w:i/>
          <w:color w:val="000000"/>
          <w:sz w:val="24"/>
        </w:rPr>
        <w:t>Per Share Consideration</w:t>
      </w:r>
      <w:r>
        <w:rPr>
          <w:color w:val="000000"/>
        </w:rPr>
        <w:t>”</w:t>
      </w:r>
      <w:r>
        <w:rPr>
          <w:rFonts w:ascii="Times New Roman;sans-serif" w:hAnsi="Times New Roman;sans-serif"/>
          <w:b w:val="false"/>
          <w:color w:val="000000"/>
          <w:sz w:val="24"/>
        </w:rPr>
        <w:t>) (and, for the avoidance of doubt, in lieu of and without regard to any vesting date requirement or any closing price average otherwise required to meet a Stock Price Requirement), such Stock Price Requirement will be deemed achieved.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Alexander Timm,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5545"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910"/>
        <w:gridCol w:w="910"/>
        <w:gridCol w:w="129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209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60"/>
        <w:jc w:val="center"/>
        <w:rPr/>
      </w:pPr>
      <w:r>
        <w:rPr/>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I, Megan Binkley,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48"/>
        <w:gridCol w:w="923"/>
        <w:gridCol w:w="923"/>
        <w:gridCol w:w="2392"/>
        <w:gridCol w:w="1807"/>
        <w:gridCol w:w="25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Root,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6769"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4946"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736"/>
        <w:gridCol w:w="736"/>
        <w:gridCol w:w="1048"/>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2099"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br/>
        <w:t>Pursuant to Section 906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set forth in Rule 13a-14(b) of the Securities Exchange Act of 1934, as amended (the “Exchange Act”), and Section 1350 of Chapter 63 of Title 18 of the United States Code (“18 U.S.C. 1350”), Alexander Timm, Chief Executive Officer of Root, Inc. (the “Company”) and Megan Binkley, Chief Financial Officer of the Company, each hereby certifies that, to the best of his or her knowledge: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535"/>
        <w:gridCol w:w="1535"/>
        <w:gridCol w:w="1535"/>
        <w:gridCol w:w="1535"/>
        <w:gridCol w:w="1535"/>
        <w:gridCol w:w="21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Quarterly Report on Form 10-Q for the period ended September 30, 2023 to which this certification is attached as Exhibit 32.1 (the “Periodic Report”), fully complies with the requirements of Section 13(a) or Section 15(d) of the Exchange Act;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Periodic Report fairly presents, in all material respects, the financial condition and results of operations of the Company.</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1, 2023</w:t>
      </w:r>
    </w:p>
    <w:tbl>
      <w:tblPr>
        <w:tblW w:w="444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910"/>
        <w:gridCol w:w="910"/>
        <w:gridCol w:w="12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Alexander Timm</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Alexander Timm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Megan Binkley</w:t>
            </w:r>
          </w:p>
        </w:tc>
      </w:tr>
      <w:tr>
        <w:trPr/>
        <w:tc>
          <w:tcPr>
            <w:tcW w:w="342"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Megan Binkley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47"/>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this Quarterly Report on Form 10-Q. The certification is not deemed filed with the Securities and Exchange Commission and is not to be incorporated by reference into any filing of Root, Inc. under the Securities Act of 1933, as amended, or the Exchange Act, whether made before or after the date of this Quarterly Report on Form 10-Q, irrespective of any general incorporation language contained in any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0001788882/000162828020015173/exhibit31-8xkxamendeda.htm" TargetMode="External"/><Relationship Id="rId3" Type="http://schemas.openxmlformats.org/officeDocument/2006/relationships/hyperlink" Target="https://www.sec.gov/Archives/edgar/data/1788882/000178888222000026/a31rootcharteramendment.htm" TargetMode="External"/><Relationship Id="rId4" Type="http://schemas.openxmlformats.org/officeDocument/2006/relationships/hyperlink" Target="https://www.sec.gov/Archives/edgar/data/1788882/000162828023004580/a33amendedandrestatedbylaws.htm" TargetMode="External"/><Relationship Id="rId5" Type="http://schemas.openxmlformats.org/officeDocument/2006/relationships/hyperlink" Target="http://www.sec.gov/Archives/edgar/data/0001788882/000119312521289291/d236036dex31.htm" TargetMode="External"/><Relationship Id="rId6" Type="http://schemas.openxmlformats.org/officeDocument/2006/relationships/hyperlink" Target="http://www.sec.gov/Archives/edgar/data/1788882/000162828020014581/exhibit41-sx1a1xformof.htm" TargetMode="External"/><Relationship Id="rId7" Type="http://schemas.openxmlformats.org/officeDocument/2006/relationships/hyperlink" Target="http://www.sec.gov/Archives/edgar/data/0001788882/000119312521289291/d236036dex41.htm" TargetMode="External"/><Relationship Id="rId8" Type="http://schemas.openxmlformats.org/officeDocument/2006/relationships/hyperlink" Target="http://www.sec.gov/Archives/edgar/data/1788882/000119312522018949/d295910dex41.htm" TargetMode="External"/><Relationship Id="rId9" Type="http://schemas.openxmlformats.org/officeDocument/2006/relationships/hyperlink" Target="https://www.sec.gov/Archives/edgar/data/1788882/000119312522018949/d295910dex42.htm" TargetMode="External"/><Relationship Id="rId10" Type="http://schemas.openxmlformats.org/officeDocument/2006/relationships/hyperlink" Target="https://www.sec.gov/Archives/edgar/data/1788882/000162828023029070/rootincexecutiveretentiona.htm" TargetMode="External"/><Relationship Id="rId11" Type="http://schemas.openxmlformats.org/officeDocument/2006/relationships/hyperlink" Target="https://www.sec.gov/Archives/edgar/data/1788882/000162828023035296/rootincnon-employeedirecto.htm" TargetMode="External"/><Relationship Id="rId12" Type="http://schemas.openxmlformats.org/officeDocument/2006/relationships/hyperlink" Target="https://www.sec.gov/Archives/edgar/data/1788882/000162828023035296/rootincnon-employeedirecto.htm" TargetMode="External"/><Relationship Id="rId13" Type="http://schemas.openxmlformats.org/officeDocument/2006/relationships/hyperlink" Target="https://www.sec.gov/Archives/edgar/data/1788882/000162828023035296/rootincnon-employeedirecto.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24036</Words>
  <Characters>131670</Characters>
  <CharactersWithSpaces>153789</CharactersWithSpaces>
  <Paragraphs>3611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