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Ulman Doug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Root,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ROOT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ROOT,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 RICH STREET, SUITE 500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in accordance with the Issuer's Non-Employee Director Compensation Policy.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Douglas E Ulman 2016 Irrevocable Trust, for which the reporting person's spouse is the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change in form of beneficial ownership of 25,928 shares previously reported in prior reports as directly-held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Douglas E. Ulman Revocable Trust dated March 17, 2016.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Jodi Baker,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699" TargetMode="External"/><Relationship Id="rId14" Type="http://schemas.openxmlformats.org/officeDocument/2006/relationships/hyperlink" Target="http://www.sec.gov/cgi-bin/browse-edgar?action=getcompany&amp;CIK=00017888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2026-06-04T16:37:19Z</dcterms:created>
  <dcterms:modified xsi:type="dcterms:W3CDTF">2026-06-04T16:37:19Z</dcterms:modified>
</cp:coreProperties>
</file>