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48895</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5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62" w:lineRule="exact"/>
        <w:rPr>
          <w:sz w:val="24"/>
          <w:szCs w:val="24"/>
          <w:color w:val="auto"/>
        </w:rPr>
      </w:pPr>
    </w:p>
    <w:p>
      <w:pPr>
        <w:jc w:val="center"/>
        <w:ind w:left="3880" w:right="1500" w:hanging="2389"/>
        <w:spacing w:after="0" w:line="253" w:lineRule="auto"/>
        <w:tabs>
          <w:tab w:leader="none" w:pos="167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jc w:val="center"/>
        <w:ind w:right="20"/>
        <w:spacing w:after="0" w:line="235" w:lineRule="auto"/>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jc w:val="center"/>
        <w:ind w:left="3580" w:right="1500" w:hanging="2095"/>
        <w:spacing w:after="0" w:line="568" w:lineRule="auto"/>
        <w:tabs>
          <w:tab w:leader="none" w:pos="167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001-39658</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ROOT, INC.</w:t>
      </w:r>
    </w:p>
    <w:p>
      <w:pPr>
        <w:sectPr>
          <w:pgSz w:w="11900" w:h="16838" w:orient="portrait"/>
          <w:cols w:equalWidth="0" w:num="1">
            <w:col w:w="11260"/>
          </w:cols>
          <w:pgMar w:left="320" w:top="898" w:right="319" w:bottom="1440" w:gutter="0" w:footer="0" w:header="0"/>
        </w:sectPr>
      </w:pPr>
    </w:p>
    <w:p>
      <w:pPr>
        <w:spacing w:after="0" w:line="3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55880</wp:posOffset>
            </wp:positionV>
            <wp:extent cx="1463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Delaware</w:t>
      </w:r>
    </w:p>
    <w:p>
      <w:pPr>
        <w:spacing w:after="0" w:line="5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(State or other jurisdiction of</w:t>
      </w:r>
    </w:p>
    <w:p>
      <w:pPr>
        <w:spacing w:after="0" w:line="14" w:lineRule="exact"/>
        <w:rPr>
          <w:sz w:val="24"/>
          <w:szCs w:val="24"/>
          <w:color w:val="auto"/>
        </w:rPr>
      </w:pPr>
    </w:p>
    <w:p>
      <w:pPr>
        <w:ind w:left="960"/>
        <w:spacing w:after="0"/>
        <w:rPr>
          <w:sz w:val="20"/>
          <w:szCs w:val="20"/>
          <w:color w:val="auto"/>
        </w:rPr>
      </w:pPr>
      <w:r>
        <w:rPr>
          <w:rFonts w:ascii="Arial" w:cs="Arial" w:eastAsia="Arial" w:hAnsi="Arial"/>
          <w:sz w:val="14"/>
          <w:szCs w:val="14"/>
          <w:b w:val="1"/>
          <w:bCs w:val="1"/>
          <w:color w:val="auto"/>
        </w:rPr>
        <w:t>incorporation or organization)</w:t>
      </w:r>
    </w:p>
    <w:p>
      <w:pPr>
        <w:spacing w:after="0" w:line="3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80 E. Rich Street, Suite 500</w:t>
      </w:r>
    </w:p>
    <w:p>
      <w:pPr>
        <w:spacing w:after="0" w:line="14"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Columbus, Ohio</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1" w:lineRule="exact"/>
        <w:rPr>
          <w:sz w:val="24"/>
          <w:szCs w:val="24"/>
          <w:color w:val="auto"/>
        </w:rPr>
      </w:pPr>
    </w:p>
    <w:p>
      <w:pPr>
        <w:jc w:val="center"/>
        <w:ind w:left="3320"/>
        <w:spacing w:after="0"/>
        <w:rPr>
          <w:sz w:val="20"/>
          <w:szCs w:val="20"/>
          <w:color w:val="auto"/>
        </w:rPr>
      </w:pPr>
      <w:r>
        <w:rPr>
          <w:rFonts w:ascii="Arial" w:cs="Arial" w:eastAsia="Arial" w:hAnsi="Arial"/>
          <w:sz w:val="18"/>
          <w:szCs w:val="18"/>
          <w:b w:val="1"/>
          <w:bCs w:val="1"/>
          <w:color w:val="auto"/>
        </w:rPr>
        <w:t>(866) 980-9431</w:t>
      </w:r>
    </w:p>
    <w:p>
      <w:pPr>
        <w:spacing w:after="0" w:line="22" w:lineRule="exact"/>
        <w:rPr>
          <w:sz w:val="24"/>
          <w:szCs w:val="24"/>
          <w:color w:val="auto"/>
        </w:rPr>
      </w:pPr>
    </w:p>
    <w:p>
      <w:pPr>
        <w:jc w:val="center"/>
        <w:ind w:left="33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84-2717903</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(I.R.S. Employer</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Identification Number)</w:t>
      </w:r>
    </w:p>
    <w:p>
      <w:pPr>
        <w:spacing w:after="0" w:line="126"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43215</w:t>
      </w:r>
    </w:p>
    <w:p>
      <w:pPr>
        <w:spacing w:after="0" w:line="13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(Zip Code)</w:t>
      </w:r>
    </w:p>
    <w:p>
      <w:pPr>
        <w:spacing w:after="0" w:line="704" w:lineRule="exact"/>
        <w:rPr>
          <w:sz w:val="24"/>
          <w:szCs w:val="24"/>
          <w:color w:val="auto"/>
        </w:rPr>
      </w:pPr>
    </w:p>
    <w:p>
      <w:pPr>
        <w:sectPr>
          <w:pgSz w:w="11900" w:h="16838" w:orient="portrait"/>
          <w:cols w:equalWidth="0" w:num="2">
            <w:col w:w="7940" w:space="720"/>
            <w:col w:w="2600"/>
          </w:cols>
          <w:pgMar w:left="320" w:top="898"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54610</wp:posOffset>
            </wp:positionV>
            <wp:extent cx="1463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16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ROOT</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18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$0.0001 par value per share</w:t>
            </w:r>
          </w:p>
        </w:tc>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133" w:lineRule="exact"/>
        <w:rPr>
          <w:sz w:val="24"/>
          <w:szCs w:val="24"/>
          <w:color w:val="auto"/>
        </w:rPr>
      </w:pPr>
    </w:p>
    <w:p>
      <w:pPr>
        <w:ind w:right="20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7" w:lineRule="exact"/>
        <w:rPr>
          <w:sz w:val="24"/>
          <w:szCs w:val="24"/>
          <w:color w:val="auto"/>
        </w:rPr>
      </w:pPr>
    </w:p>
    <w:p>
      <w:pPr>
        <w:ind w:right="14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0"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51"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01" w:lineRule="exact"/>
        <w:rPr>
          <w:sz w:val="24"/>
          <w:szCs w:val="24"/>
          <w:color w:val="auto"/>
        </w:rPr>
      </w:pPr>
    </w:p>
    <w:p>
      <w:pPr>
        <w:ind w:right="480" w:firstLine="318"/>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right="100" w:firstLine="318"/>
        <w:spacing w:after="0" w:line="294" w:lineRule="auto"/>
        <w:rPr>
          <w:sz w:val="20"/>
          <w:szCs w:val="20"/>
          <w:color w:val="auto"/>
        </w:rPr>
      </w:pPr>
      <w:r>
        <w:rPr>
          <w:rFonts w:ascii="Arial" w:cs="Arial" w:eastAsia="Arial" w:hAnsi="Arial"/>
          <w:sz w:val="17"/>
          <w:szCs w:val="17"/>
          <w:color w:val="auto"/>
        </w:rPr>
        <w:t>As of November 4, 2021, the number of outstanding shares of the registrant’s Class A common stock, par value $0.0001 per share, was 132.5 million and the number of outstanding shares of the registrant’s Class B common stock, par value $0.0001 per share, was 120.0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898" w:right="319" w:bottom="1440" w:gutter="0" w:footer="0" w:header="0"/>
          <w:type w:val="continuous"/>
        </w:sectPr>
      </w:pPr>
    </w:p>
    <w:bookmarkStart w:id="1" w:name="page2"/>
    <w:bookmarkEnd w:id="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6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60" w:type="dxa"/>
            <w:vAlign w:val="bottom"/>
            <w:gridSpan w:val="25"/>
          </w:tcPr>
          <w:p>
            <w:pPr>
              <w:spacing w:after="0" w:line="167"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8"/>
          </w:tcPr>
          <w:p>
            <w:pPr>
              <w:jc w:val="center"/>
              <w:spacing w:after="0"/>
              <w:rPr>
                <w:rFonts w:ascii="Arial" w:cs="Arial" w:eastAsia="Arial" w:hAnsi="Arial"/>
                <w:sz w:val="18"/>
                <w:szCs w:val="18"/>
                <w:b w:val="1"/>
                <w:bCs w:val="1"/>
                <w:color w:val="0000FF"/>
                <w:w w:val="93"/>
              </w:rPr>
            </w:pPr>
            <w:hyperlink w:anchor="page4">
              <w:r>
                <w:rPr>
                  <w:rFonts w:ascii="Arial" w:cs="Arial" w:eastAsia="Arial" w:hAnsi="Arial"/>
                  <w:sz w:val="18"/>
                  <w:szCs w:val="18"/>
                  <w:b w:val="1"/>
                  <w:bCs w:val="1"/>
                  <w:color w:val="0000FF"/>
                  <w:w w:val="93"/>
                </w:rPr>
                <w:t>Part I. Financial Information</w:t>
              </w:r>
            </w:hyperlink>
          </w:p>
        </w:tc>
        <w:tc>
          <w:tcPr>
            <w:tcW w:w="3440" w:type="dxa"/>
            <w:vAlign w:val="bottom"/>
            <w:gridSpan w:val="4"/>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2"/>
          </w:tcPr>
          <w:p>
            <w:pPr>
              <w:spacing w:after="0" w:line="205"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Redeemable Convertible Preferred Stock and Stockholders’ Equity (Deficit)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0"/>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 Unaudited</w:t>
              </w:r>
            </w:hyperlink>
          </w:p>
        </w:tc>
        <w:tc>
          <w:tcPr>
            <w:tcW w:w="32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Notes to the Condensed Consolidated Financial Statements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24">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Management's Discussion and Analysis of Financial Condition and Results of Operations</w:t>
              </w:r>
            </w:hyperlink>
          </w:p>
        </w:tc>
        <w:tc>
          <w:tcPr>
            <w:tcW w:w="27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21</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tcBorders>
              <w:bottom w:val="single" w:sz="8" w:color="0000FF"/>
            </w:tcBorders>
            <w:gridSpan w:val="13"/>
          </w:tcPr>
          <w:p>
            <w:pPr>
              <w:spacing w:after="0" w:line="205"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Quantitative and Qualitative Disclosures About Market Risk</w:t>
              </w:r>
            </w:hyperlink>
          </w:p>
        </w:tc>
        <w:tc>
          <w:tcPr>
            <w:tcW w:w="48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bottom w:val="single" w:sz="8" w:color="0000FF"/>
            </w:tcBorders>
            <w:gridSpan w:val="6"/>
          </w:tcPr>
          <w:p>
            <w:pPr>
              <w:spacing w:after="0" w:line="205" w:lineRule="exact"/>
              <w:rPr>
                <w:rFonts w:ascii="Arial" w:cs="Arial" w:eastAsia="Arial" w:hAnsi="Arial"/>
                <w:sz w:val="18"/>
                <w:szCs w:val="18"/>
                <w:color w:val="0000FF"/>
                <w:w w:val="86"/>
              </w:rPr>
            </w:pPr>
            <w:hyperlink w:anchor="page44">
              <w:r>
                <w:rPr>
                  <w:rFonts w:ascii="Arial" w:cs="Arial" w:eastAsia="Arial" w:hAnsi="Arial"/>
                  <w:sz w:val="18"/>
                  <w:szCs w:val="18"/>
                  <w:color w:val="0000FF"/>
                  <w:w w:val="86"/>
                </w:rPr>
                <w:t>Controls and Procedures</w:t>
              </w:r>
            </w:hyperlink>
          </w:p>
        </w:tc>
        <w:tc>
          <w:tcPr>
            <w:tcW w:w="73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4">
              <w:r>
                <w:rPr>
                  <w:rFonts w:ascii="Arial" w:cs="Arial" w:eastAsia="Arial" w:hAnsi="Arial"/>
                  <w:sz w:val="15"/>
                  <w:szCs w:val="15"/>
                  <w:color w:val="0000FF"/>
                  <w:w w:val="71"/>
                </w:rPr>
                <w:t>41</w:t>
              </w:r>
            </w:hyperlink>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5"/>
              </w:rPr>
            </w:pPr>
            <w:hyperlink w:anchor="page45">
              <w:r>
                <w:rPr>
                  <w:rFonts w:ascii="Arial" w:cs="Arial" w:eastAsia="Arial" w:hAnsi="Arial"/>
                  <w:sz w:val="18"/>
                  <w:szCs w:val="18"/>
                  <w:b w:val="1"/>
                  <w:bCs w:val="1"/>
                  <w:color w:val="0000FF"/>
                  <w:w w:val="95"/>
                </w:rPr>
                <w:t>Part II. Other Information</w:t>
              </w:r>
            </w:hyperlink>
          </w:p>
        </w:tc>
        <w:tc>
          <w:tcPr>
            <w:tcW w:w="35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5">
              <w:r>
                <w:rPr>
                  <w:rFonts w:ascii="Arial" w:cs="Arial" w:eastAsia="Arial" w:hAnsi="Arial"/>
                  <w:sz w:val="15"/>
                  <w:szCs w:val="15"/>
                  <w:color w:val="0000FF"/>
                  <w:w w:val="71"/>
                </w:rPr>
                <w:t>42</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320" w:type="dxa"/>
            <w:vAlign w:val="bottom"/>
            <w:gridSpan w:val="2"/>
            <w:vMerge w:val="restart"/>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1A.</w:t>
              </w:r>
            </w:hyperlink>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Item</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0000FF"/>
            </w:tcBorders>
            <w:gridSpan w:val="5"/>
            <w:vMerge w:val="restart"/>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7780" w:type="dxa"/>
            <w:vAlign w:val="bottom"/>
            <w:gridSpan w:val="16"/>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40" w:type="dxa"/>
            <w:vAlign w:val="bottom"/>
            <w:tcBorders>
              <w:top w:val="single" w:sz="8" w:color="0000FF"/>
            </w:tcBorders>
            <w:gridSpan w:val="3"/>
            <w:vMerge w:val="restart"/>
          </w:tcPr>
          <w:p>
            <w:pPr>
              <w:jc w:val="right"/>
              <w:spacing w:after="0"/>
              <w:rPr>
                <w:rFonts w:ascii="Arial" w:cs="Arial" w:eastAsia="Arial" w:hAnsi="Arial"/>
                <w:sz w:val="15"/>
                <w:szCs w:val="15"/>
                <w:color w:val="0000FF"/>
                <w:w w:val="71"/>
              </w:rPr>
            </w:pPr>
            <w:hyperlink w:anchor="page46">
              <w:r>
                <w:rPr>
                  <w:rFonts w:ascii="Arial" w:cs="Arial" w:eastAsia="Arial" w:hAnsi="Arial"/>
                  <w:sz w:val="15"/>
                  <w:szCs w:val="15"/>
                  <w:color w:val="0000FF"/>
                  <w:w w:val="71"/>
                </w:rPr>
                <w:t>43</w:t>
              </w:r>
            </w:hyperlink>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top w:val="single" w:sz="8" w:color="0000FF"/>
            </w:tcBorders>
            <w:gridSpan w:val="5"/>
            <w:vMerge w:val="continue"/>
          </w:tcPr>
          <w:p>
            <w:pPr>
              <w:spacing w:after="0"/>
              <w:rPr>
                <w:sz w:val="13"/>
                <w:szCs w:val="13"/>
                <w:color w:val="auto"/>
              </w:rPr>
            </w:pPr>
          </w:p>
        </w:tc>
        <w:tc>
          <w:tcPr>
            <w:tcW w:w="7780" w:type="dxa"/>
            <w:vAlign w:val="bottom"/>
            <w:gridSpan w:val="1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Borders>
              <w:top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0000FF"/>
            </w:tcBorders>
            <w:gridSpan w:val="12"/>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Defaults Upon Senior Securities</w:t>
              </w:r>
            </w:hyperlink>
          </w:p>
        </w:tc>
        <w:tc>
          <w:tcPr>
            <w:tcW w:w="48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46</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68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right"/>
              <w:spacing w:after="0"/>
              <w:rPr>
                <w:rFonts w:ascii="Arial" w:cs="Arial" w:eastAsia="Arial" w:hAnsi="Arial"/>
                <w:sz w:val="15"/>
                <w:szCs w:val="15"/>
                <w:color w:val="0000FF"/>
                <w:w w:val="71"/>
              </w:rPr>
            </w:pPr>
            <w:hyperlink w:anchor="page50">
              <w:r>
                <w:rPr>
                  <w:rFonts w:ascii="Arial" w:cs="Arial" w:eastAsia="Arial" w:hAnsi="Arial"/>
                  <w:sz w:val="15"/>
                  <w:szCs w:val="15"/>
                  <w:color w:val="0000FF"/>
                  <w:w w:val="71"/>
                </w:rPr>
                <w:t>47</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1">
              <w:r>
                <w:rPr>
                  <w:rFonts w:ascii="Arial" w:cs="Arial" w:eastAsia="Arial" w:hAnsi="Arial"/>
                  <w:sz w:val="18"/>
                  <w:szCs w:val="18"/>
                  <w:color w:val="0000FF"/>
                  <w:w w:val="87"/>
                </w:rPr>
                <w:t>Item 5.</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52">
              <w:r>
                <w:rPr>
                  <w:rFonts w:ascii="Arial" w:cs="Arial" w:eastAsia="Arial" w:hAnsi="Arial"/>
                  <w:sz w:val="18"/>
                  <w:szCs w:val="18"/>
                  <w:color w:val="0000FF"/>
                  <w:w w:val="87"/>
                </w:rPr>
                <w:t>Item 6.</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78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49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1656"/>
        </w:trPr>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64" w:lineRule="exact"/>
        <w:rPr>
          <w:rFonts w:ascii="Arial" w:cs="Arial" w:eastAsia="Arial" w:hAnsi="Arial"/>
          <w:sz w:val="18"/>
          <w:szCs w:val="18"/>
          <w:color w:val="auto"/>
        </w:rPr>
      </w:pPr>
    </w:p>
    <w:p>
      <w:pPr>
        <w:ind w:left="640" w:righ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adjusted gross profit/(loss), direct contribution, gross loss ratio, marketing costs, gross loss adjustment expense, or LAE, ratio, quota share levels and expansion of our renewal premium base;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financial performance;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build an embedded insurance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the features discussed herein, reduce customer acquisition costs, and realize other expected benefits related to the partnership with Carvana Group, LLC, or Carvana;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951230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1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enter into a new term facility with BlackRock Financial Management, Inc., on the anticipated terms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956310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240"/>
              <w:spacing w:after="0" w:line="159" w:lineRule="exact"/>
              <w:rPr>
                <w:sz w:val="20"/>
                <w:szCs w:val="20"/>
                <w:color w:val="auto"/>
              </w:rPr>
            </w:pPr>
            <w:r>
              <w:rPr>
                <w:rFonts w:ascii="Arial" w:cs="Arial" w:eastAsia="Arial" w:hAnsi="Arial"/>
                <w:sz w:val="17"/>
                <w:szCs w:val="17"/>
                <w:color w:val="auto"/>
                <w:w w:val="94"/>
              </w:rPr>
              <w:t>Fixed maturities available-for sale, at fair value (amortized cost: $129.2 and $215.4 at September 30, 2021 and</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2020, respectively)</w:t>
            </w:r>
          </w:p>
        </w:tc>
        <w:tc>
          <w:tcPr>
            <w:tcW w:w="2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40"/>
              <w:spacing w:after="0"/>
              <w:rPr>
                <w:sz w:val="20"/>
                <w:szCs w:val="20"/>
                <w:color w:val="auto"/>
              </w:rPr>
            </w:pPr>
            <w:r>
              <w:rPr>
                <w:rFonts w:ascii="Arial" w:cs="Arial" w:eastAsia="Arial" w:hAnsi="Arial"/>
                <w:sz w:val="17"/>
                <w:szCs w:val="17"/>
                <w:color w:val="auto"/>
                <w:w w:val="89"/>
              </w:rPr>
              <w:t>Short-term investments (amortized cost: zero and $3.0 at September 30, 2021 and December 31, 2020, respectively)</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investments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1,112.8</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0"/>
              </w:rPr>
              <w:t>Premiums receivable, net of allowance of $3.3 and $3.5 at September 30, 2021 and December 31, 2020, respectively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Reinsurance recoverable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reinsurance premiums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Loss and loss adjustment expense reserves</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300.7</w:t>
            </w:r>
          </w:p>
        </w:tc>
        <w:tc>
          <w:tcPr>
            <w:tcW w:w="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Unearned premiums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Reinsurance premiums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5"/>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888.5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88"/>
              </w:rPr>
              <w:t>Preferred stock, $0.0001 par value, 100.0 shares authorized, zero shares issued and outstanding at September 30, 2021</w:t>
            </w:r>
          </w:p>
        </w:tc>
        <w:tc>
          <w:tcPr>
            <w:tcW w:w="2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and December 31, 2020, respectively</w:t>
            </w:r>
          </w:p>
        </w:tc>
        <w:tc>
          <w:tcPr>
            <w:tcW w:w="2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88"/>
              </w:rPr>
              <w:t>Class A common stock, $0.0001 par value, 1,000.0 shares authorized, 127.0 and 59.4 shares issued and outstanding at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September 30, 2021 and December 31, 2020, respectively</w:t>
            </w: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89"/>
              </w:rPr>
              <w:t>Class B common stock, $0.0001 par value, 269.0 shares authorized, 125.5 and 192.2 shares issued and outstanding at</w:t>
            </w:r>
          </w:p>
        </w:tc>
        <w:tc>
          <w:tcPr>
            <w:tcW w:w="2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September 30, 2021 and December 31, 2020, respectively</w:t>
            </w:r>
          </w:p>
        </w:tc>
        <w:tc>
          <w:tcPr>
            <w:tcW w:w="2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Treasury stock, at cost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1,775.6</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Accumulated other comprehensive income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loss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1,032.4</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050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040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58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Arial" w:cs="Arial" w:eastAsia="Arial" w:hAnsi="Arial"/>
                <w:sz w:val="18"/>
                <w:szCs w:val="18"/>
                <w:color w:val="auto"/>
              </w:rPr>
              <w:t>Other insurance (benefit)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net unrealized gains (losses) on investments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00" w:type="dxa"/>
            <w:vAlign w:val="bottom"/>
            <w:vMerge w:val="continue"/>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74"/>
        </w:trPr>
        <w:tc>
          <w:tcPr>
            <w:tcW w:w="58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B)</w:t>
            </w: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 w:name="page7"/>
    <w:bookmarkEnd w:id="6"/>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(DEFICIT)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center"/>
              <w:ind w:left="151"/>
              <w:spacing w:after="0"/>
              <w:rPr>
                <w:sz w:val="20"/>
                <w:szCs w:val="20"/>
                <w:color w:val="auto"/>
              </w:rPr>
            </w:pPr>
            <w:r>
              <w:rPr>
                <w:rFonts w:ascii="Arial" w:cs="Arial" w:eastAsia="Arial" w:hAnsi="Arial"/>
                <w:sz w:val="12"/>
                <w:szCs w:val="12"/>
                <w:b w:val="1"/>
                <w:bCs w:val="1"/>
                <w:color w:val="auto"/>
                <w:w w:val="90"/>
              </w:rPr>
              <w:t>Redeemable</w:t>
            </w:r>
          </w:p>
        </w:tc>
        <w:tc>
          <w:tcPr>
            <w:tcW w:w="2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400" w:type="dxa"/>
            <w:vAlign w:val="bottom"/>
            <w:tcBorders>
              <w:right w:val="single" w:sz="8" w:color="auto"/>
            </w:tcBorders>
            <w:gridSpan w:val="8"/>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20" w:type="dxa"/>
            <w:vAlign w:val="bottom"/>
          </w:tcPr>
          <w:p>
            <w:pPr>
              <w:spacing w:after="0"/>
              <w:rPr>
                <w:sz w:val="10"/>
                <w:szCs w:val="10"/>
                <w:color w:val="auto"/>
              </w:rPr>
            </w:pPr>
          </w:p>
        </w:tc>
        <w:tc>
          <w:tcPr>
            <w:tcW w:w="2020" w:type="dxa"/>
            <w:vAlign w:val="bottom"/>
            <w:gridSpan w:val="13"/>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40" w:type="dxa"/>
            <w:vAlign w:val="bottom"/>
          </w:tcPr>
          <w:p>
            <w:pPr>
              <w:spacing w:after="0"/>
              <w:rPr>
                <w:sz w:val="10"/>
                <w:szCs w:val="10"/>
                <w:color w:val="auto"/>
              </w:rPr>
            </w:pPr>
          </w:p>
        </w:tc>
        <w:tc>
          <w:tcPr>
            <w:tcW w:w="1240" w:type="dxa"/>
            <w:vAlign w:val="bottom"/>
            <w:gridSpan w:val="6"/>
            <w:vMerge w:val="restart"/>
          </w:tcPr>
          <w:p>
            <w:pPr>
              <w:jc w:val="right"/>
              <w:ind w:right="169"/>
              <w:spacing w:after="0"/>
              <w:rPr>
                <w:sz w:val="20"/>
                <w:szCs w:val="20"/>
                <w:color w:val="auto"/>
              </w:rPr>
            </w:pPr>
            <w:r>
              <w:rPr>
                <w:rFonts w:ascii="Arial" w:cs="Arial" w:eastAsia="Arial" w:hAnsi="Arial"/>
                <w:sz w:val="12"/>
                <w:szCs w:val="12"/>
                <w:b w:val="1"/>
                <w:bCs w:val="1"/>
                <w:color w:val="auto"/>
              </w:rPr>
              <w:t>Treasury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5"/>
          </w:tcPr>
          <w:p>
            <w:pPr>
              <w:jc w:val="center"/>
              <w:ind w:left="131"/>
              <w:spacing w:after="0" w:line="120" w:lineRule="exact"/>
              <w:rPr>
                <w:sz w:val="20"/>
                <w:szCs w:val="20"/>
                <w:color w:val="auto"/>
              </w:rPr>
            </w:pPr>
            <w:r>
              <w:rPr>
                <w:rFonts w:ascii="Arial" w:cs="Arial" w:eastAsia="Arial" w:hAnsi="Arial"/>
                <w:sz w:val="12"/>
                <w:szCs w:val="12"/>
                <w:b w:val="1"/>
                <w:bCs w:val="1"/>
                <w:color w:val="auto"/>
                <w:w w:val="91"/>
              </w:rPr>
              <w:t>Stock</w:t>
            </w:r>
          </w:p>
        </w:tc>
        <w:tc>
          <w:tcPr>
            <w:tcW w:w="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13"/>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0"/>
                <w:szCs w:val="10"/>
                <w:color w:val="auto"/>
              </w:rPr>
            </w:pPr>
          </w:p>
        </w:tc>
        <w:tc>
          <w:tcPr>
            <w:tcW w:w="6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0"/>
              </w:rPr>
              <w:t>Class A</w:t>
            </w:r>
          </w:p>
        </w:tc>
        <w:tc>
          <w:tcPr>
            <w:tcW w:w="40" w:type="dxa"/>
            <w:vAlign w:val="bottom"/>
          </w:tcPr>
          <w:p>
            <w:pPr>
              <w:spacing w:after="0"/>
              <w:rPr>
                <w:sz w:val="10"/>
                <w:szCs w:val="10"/>
                <w:color w:val="auto"/>
              </w:rPr>
            </w:pPr>
          </w:p>
        </w:tc>
        <w:tc>
          <w:tcPr>
            <w:tcW w:w="64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0"/>
              </w:rPr>
              <w:t>Class B</w:t>
            </w:r>
          </w:p>
        </w:tc>
        <w:tc>
          <w:tcPr>
            <w:tcW w:w="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580" w:type="dxa"/>
            <w:vAlign w:val="bottom"/>
            <w:gridSpan w:val="2"/>
            <w:vMerge w:val="restart"/>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right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in Capital</w:t>
            </w:r>
          </w:p>
        </w:tc>
        <w:tc>
          <w:tcPr>
            <w:tcW w:w="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Balance—June 30, 2021</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6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loss</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0" w:type="dxa"/>
            <w:vAlign w:val="bottom"/>
          </w:tcPr>
          <w:p>
            <w:pPr>
              <w:spacing w:after="0"/>
              <w:rPr>
                <w:sz w:val="15"/>
                <w:szCs w:val="15"/>
                <w:color w:val="auto"/>
              </w:rPr>
            </w:pPr>
          </w:p>
        </w:tc>
        <w:tc>
          <w:tcPr>
            <w:tcW w:w="6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13.0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60" w:type="dxa"/>
            <w:vAlign w:val="bottom"/>
          </w:tcPr>
          <w:p>
            <w:pPr>
              <w:spacing w:after="0"/>
              <w:rPr>
                <w:sz w:val="11"/>
                <w:szCs w:val="11"/>
                <w:color w:val="auto"/>
              </w:rPr>
            </w:pPr>
          </w:p>
        </w:tc>
        <w:tc>
          <w:tcPr>
            <w:tcW w:w="600" w:type="dxa"/>
            <w:vAlign w:val="bottom"/>
            <w:gridSpan w:val="3"/>
            <w:vMerge w:val="restart"/>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to liabilities</w:t>
            </w: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4"/>
                <w:szCs w:val="14"/>
                <w:color w:val="auto"/>
              </w:rPr>
              <w:t>Balance—September 30, 2021</w:t>
            </w:r>
          </w:p>
        </w:tc>
        <w:tc>
          <w:tcPr>
            <w:tcW w:w="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125.5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6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loss</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0" w:type="dxa"/>
            <w:vAlign w:val="bottom"/>
          </w:tcPr>
          <w:p>
            <w:pPr>
              <w:spacing w:after="0"/>
              <w:rPr>
                <w:sz w:val="15"/>
                <w:szCs w:val="15"/>
                <w:color w:val="auto"/>
              </w:rPr>
            </w:pPr>
          </w:p>
        </w:tc>
        <w:tc>
          <w:tcPr>
            <w:tcW w:w="6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65.9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(65.9)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60" w:type="dxa"/>
            <w:vAlign w:val="bottom"/>
          </w:tcPr>
          <w:p>
            <w:pPr>
              <w:spacing w:after="0"/>
              <w:rPr>
                <w:sz w:val="11"/>
                <w:szCs w:val="11"/>
                <w:color w:val="auto"/>
              </w:rPr>
            </w:pPr>
          </w:p>
        </w:tc>
        <w:tc>
          <w:tcPr>
            <w:tcW w:w="600" w:type="dxa"/>
            <w:vAlign w:val="bottom"/>
            <w:gridSpan w:val="3"/>
            <w:vMerge w:val="restart"/>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1"/>
                <w:szCs w:val="11"/>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to liabilities</w:t>
            </w: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4"/>
                <w:szCs w:val="14"/>
                <w:color w:val="auto"/>
              </w:rPr>
              <w:t>Balance—September 30, 2021</w:t>
            </w: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125.5</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1,794.4</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5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(DEFICIT) -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0"/>
              </w:rPr>
              <w:t>Redeemable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Borders>
              <w:right w:val="single" w:sz="8" w:color="auto"/>
            </w:tcBorders>
            <w:gridSpan w:val="7"/>
          </w:tcPr>
          <w:p>
            <w:pPr>
              <w:jc w:val="center"/>
              <w:ind w:right="16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20" w:type="dxa"/>
            <w:vAlign w:val="bottom"/>
          </w:tcPr>
          <w:p>
            <w:pPr>
              <w:spacing w:after="0"/>
              <w:rPr>
                <w:sz w:val="10"/>
                <w:szCs w:val="10"/>
                <w:color w:val="auto"/>
              </w:rPr>
            </w:pPr>
          </w:p>
        </w:tc>
        <w:tc>
          <w:tcPr>
            <w:tcW w:w="2020" w:type="dxa"/>
            <w:vAlign w:val="bottom"/>
            <w:gridSpan w:val="13"/>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40" w:type="dxa"/>
            <w:vAlign w:val="bottom"/>
          </w:tcPr>
          <w:p>
            <w:pPr>
              <w:spacing w:after="0"/>
              <w:rPr>
                <w:sz w:val="10"/>
                <w:szCs w:val="10"/>
                <w:color w:val="auto"/>
              </w:rPr>
            </w:pPr>
          </w:p>
        </w:tc>
        <w:tc>
          <w:tcPr>
            <w:tcW w:w="1260" w:type="dxa"/>
            <w:vAlign w:val="bottom"/>
            <w:gridSpan w:val="7"/>
            <w:vMerge w:val="restart"/>
          </w:tcPr>
          <w:p>
            <w:pPr>
              <w:ind w:left="200"/>
              <w:spacing w:after="0"/>
              <w:rPr>
                <w:sz w:val="20"/>
                <w:szCs w:val="20"/>
                <w:color w:val="auto"/>
              </w:rPr>
            </w:pPr>
            <w:r>
              <w:rPr>
                <w:rFonts w:ascii="Arial" w:cs="Arial" w:eastAsia="Arial" w:hAnsi="Arial"/>
                <w:sz w:val="12"/>
                <w:szCs w:val="12"/>
                <w:b w:val="1"/>
                <w:bCs w:val="1"/>
                <w:color w:val="auto"/>
              </w:rPr>
              <w:t>Treasury Stock</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5"/>
          </w:tcPr>
          <w:p>
            <w:pPr>
              <w:jc w:val="center"/>
              <w:ind w:left="312"/>
              <w:spacing w:after="0" w:line="120" w:lineRule="exact"/>
              <w:rPr>
                <w:sz w:val="20"/>
                <w:szCs w:val="20"/>
                <w:color w:val="auto"/>
              </w:rPr>
            </w:pPr>
            <w:r>
              <w:rPr>
                <w:rFonts w:ascii="Arial" w:cs="Arial" w:eastAsia="Arial" w:hAnsi="Arial"/>
                <w:sz w:val="12"/>
                <w:szCs w:val="12"/>
                <w:b w:val="1"/>
                <w:bCs w:val="1"/>
                <w:color w:val="auto"/>
                <w:w w:val="91"/>
              </w:rPr>
              <w:t>Stock</w:t>
            </w: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13"/>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0"/>
                <w:szCs w:val="10"/>
                <w:color w:val="auto"/>
              </w:rPr>
            </w:pPr>
          </w:p>
        </w:tc>
        <w:tc>
          <w:tcPr>
            <w:tcW w:w="7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Class A</w:t>
            </w:r>
          </w:p>
        </w:tc>
        <w:tc>
          <w:tcPr>
            <w:tcW w:w="40" w:type="dxa"/>
            <w:vAlign w:val="bottom"/>
          </w:tcPr>
          <w:p>
            <w:pPr>
              <w:spacing w:after="0"/>
              <w:rPr>
                <w:sz w:val="10"/>
                <w:szCs w:val="10"/>
                <w:color w:val="auto"/>
              </w:rPr>
            </w:pPr>
          </w:p>
        </w:tc>
        <w:tc>
          <w:tcPr>
            <w:tcW w:w="64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0"/>
              </w:rPr>
              <w:t>Class B</w:t>
            </w:r>
          </w:p>
        </w:tc>
        <w:tc>
          <w:tcPr>
            <w:tcW w:w="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10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in Capital</w:t>
            </w:r>
          </w:p>
        </w:tc>
        <w:tc>
          <w:tcPr>
            <w:tcW w:w="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Balance—June 30,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560.4</w:t>
            </w: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Changes in other comprehensive income</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stock—option exercises and</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4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shares withheld for employee taxes</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Reclassification of early-exercised stock</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from liabilities</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stock—share-based</w:t>
            </w:r>
          </w:p>
        </w:tc>
        <w:tc>
          <w:tcPr>
            <w:tcW w:w="4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2020</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560.4</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(0.1)</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Changes in other comprehensive income</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w w:val="95"/>
              </w:rPr>
              <w:t>Tender offer and subsequent conversion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40" w:type="dxa"/>
            <w:vAlign w:val="bottom"/>
          </w:tcPr>
          <w:p>
            <w:pPr>
              <w:spacing w:after="0"/>
              <w:rPr>
                <w:sz w:val="11"/>
                <w:szCs w:val="11"/>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Settlement of related party loan</w:t>
            </w: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4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(0.8)</w:t>
            </w: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60" w:type="dxa"/>
            <w:vAlign w:val="bottom"/>
            <w:tcBorders>
              <w:top w:val="single" w:sz="8" w:color="auto"/>
            </w:tcBorders>
          </w:tcPr>
          <w:p>
            <w:pPr>
              <w:spacing w:after="0"/>
              <w:rPr>
                <w:sz w:val="15"/>
                <w:szCs w:val="15"/>
                <w:color w:val="auto"/>
              </w:rPr>
            </w:pPr>
          </w:p>
        </w:tc>
        <w:tc>
          <w:tcPr>
            <w:tcW w:w="2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top w:val="single" w:sz="8" w:color="auto"/>
              <w:bottom w:val="single" w:sz="8" w:color="auto"/>
            </w:tcBorders>
          </w:tcPr>
          <w:p>
            <w:pPr>
              <w:spacing w:after="0"/>
              <w:rPr>
                <w:sz w:val="15"/>
                <w:szCs w:val="15"/>
                <w:color w:val="auto"/>
              </w:rPr>
            </w:pPr>
          </w:p>
        </w:tc>
      </w:tr>
      <w:tr>
        <w:trPr>
          <w:trHeight w:val="178"/>
        </w:trPr>
        <w:tc>
          <w:tcPr>
            <w:tcW w:w="81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79"/>
        </w:trPr>
        <w:tc>
          <w:tcPr>
            <w:tcW w:w="8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3"/>
          </w:tcPr>
          <w:p>
            <w:pPr>
              <w:jc w:val="right"/>
              <w:ind w:right="623"/>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(411.2)</w:t>
            </w:r>
          </w:p>
        </w:tc>
        <w:tc>
          <w:tcPr>
            <w:tcW w:w="80" w:type="dxa"/>
            <w:vAlign w:val="bottom"/>
          </w:tcPr>
          <w:p>
            <w:pPr>
              <w:spacing w:after="0"/>
              <w:rPr>
                <w:sz w:val="18"/>
                <w:szCs w:val="18"/>
                <w:color w:val="auto"/>
              </w:rPr>
            </w:pP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6"/>
              </w:rPr>
              <w:t>(229.7)</w:t>
            </w: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Tender offer</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Bad debt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Warrants fair value adjustment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Payment-in-kind interest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Net realized gains on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equity securities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Premiums receivable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Reinsurance recoverable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reinsurance premiums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(101.7)</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Losses and loss adjustment expenses reserves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Unearned premiums</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Reinsurance premiums payable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140.7</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(138.1)</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call and pay downs of investments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Sales of investments</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Capitalization of internally developed software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Purchases of fixed assets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(103.1)</w:t>
            </w: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Purchase of treasury stock</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debt and warrants issuance, net of issuance costs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9"/>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Repayments of long-term debt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(197.8)</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1,113.8</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416.6</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835.1</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218.8</w:t>
            </w:r>
          </w:p>
        </w:tc>
      </w:tr>
      <w:tr>
        <w:trPr>
          <w:trHeight w:val="20"/>
        </w:trPr>
        <w:tc>
          <w:tcPr>
            <w:tcW w:w="8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9" w:name="page10"/>
    <w:bookmarkEnd w:id="9"/>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UNAUDITED</w:t>
      </w:r>
    </w:p>
    <w:p>
      <w:pPr>
        <w:spacing w:after="0" w:line="147"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0"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We offer auto and renters insurance products underwritten by Root Insurance Company and Root Property &amp; Casualty Insurance Company.</w:t>
      </w:r>
    </w:p>
    <w:p>
      <w:pPr>
        <w:spacing w:after="0" w:line="129"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64"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—In our opinion, all adjustments necessary for a fair presentation of the condensed consolidated financial statements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2020 filed with the SEC on March 4, 2021, or the 2020 10-K.</w:t>
      </w:r>
    </w:p>
    <w:p>
      <w:pPr>
        <w:spacing w:after="0" w:line="131" w:lineRule="exact"/>
        <w:rPr>
          <w:sz w:val="20"/>
          <w:szCs w:val="20"/>
          <w:color w:val="auto"/>
        </w:rPr>
      </w:pPr>
    </w:p>
    <w:p>
      <w:pPr>
        <w:jc w:val="both"/>
        <w:ind w:right="80" w:firstLine="318"/>
        <w:spacing w:after="0" w:line="258"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27" w:lineRule="exact"/>
        <w:rPr>
          <w:sz w:val="20"/>
          <w:szCs w:val="20"/>
          <w:color w:val="auto"/>
        </w:rPr>
      </w:pPr>
    </w:p>
    <w:p>
      <w:pPr>
        <w:ind w:right="180" w:firstLine="318"/>
        <w:spacing w:after="0" w:line="270"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unaudited condensed consolidated financial statements requires management to make certain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premium write-offs and valuation allowances for income taxes.</w:t>
      </w:r>
    </w:p>
    <w:p>
      <w:pPr>
        <w:spacing w:after="0" w:line="119" w:lineRule="exact"/>
        <w:rPr>
          <w:sz w:val="20"/>
          <w:szCs w:val="20"/>
          <w:color w:val="auto"/>
        </w:rPr>
      </w:pPr>
    </w:p>
    <w:p>
      <w:pPr>
        <w:ind w:right="120" w:firstLine="318"/>
        <w:spacing w:after="0" w:line="304" w:lineRule="auto"/>
        <w:rPr>
          <w:sz w:val="20"/>
          <w:szCs w:val="20"/>
          <w:color w:val="auto"/>
        </w:rPr>
      </w:pPr>
      <w:r>
        <w:rPr>
          <w:rFonts w:ascii="Arial" w:cs="Arial" w:eastAsia="Arial" w:hAnsi="Arial"/>
          <w:sz w:val="15"/>
          <w:szCs w:val="15"/>
          <w:b w:val="1"/>
          <w:bCs w:val="1"/>
          <w:color w:val="auto"/>
        </w:rPr>
        <w:t>COVID-19</w:t>
      </w:r>
      <w:r>
        <w:rPr>
          <w:rFonts w:ascii="Arial" w:cs="Arial" w:eastAsia="Arial" w:hAnsi="Arial"/>
          <w:sz w:val="15"/>
          <w:szCs w:val="15"/>
          <w:color w:val="auto"/>
        </w:rPr>
        <w:t>—In March 2020, the World Health Organization declared COVID-19 to be a global pandemic. The pandemic and related measures taken to</w:t>
      </w:r>
      <w:r>
        <w:rPr>
          <w:rFonts w:ascii="Arial" w:cs="Arial" w:eastAsia="Arial" w:hAnsi="Arial"/>
          <w:sz w:val="15"/>
          <w:szCs w:val="15"/>
          <w:b w:val="1"/>
          <w:bCs w:val="1"/>
          <w:color w:val="auto"/>
        </w:rPr>
        <w:t xml:space="preserve"> </w:t>
      </w:r>
      <w:r>
        <w:rPr>
          <w:rFonts w:ascii="Arial" w:cs="Arial" w:eastAsia="Arial" w:hAnsi="Arial"/>
          <w:sz w:val="15"/>
          <w:szCs w:val="15"/>
          <w:color w:val="auto"/>
        </w:rPr>
        <w:t>contain the spread of COVID-19, such as government-mandated business closures, orders to “shelter in place”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01"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b w:val="1"/>
          <w:bCs w:val="1"/>
          <w:color w:val="auto"/>
        </w:rPr>
        <w:t>Reinsurance</w:t>
      </w:r>
      <w:r>
        <w:rPr>
          <w:rFonts w:ascii="Arial" w:cs="Arial" w:eastAsia="Arial" w:hAnsi="Arial"/>
          <w:sz w:val="18"/>
          <w:szCs w:val="18"/>
          <w:color w:val="auto"/>
        </w:rPr>
        <w:t>—In August 2021, we commenced a fronting arrangement with an unaffiliated Texas county mutual insurance company, or the fronting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 We route all of our new auto policies and, over time, expect to route certain renewal auto policies, in Texas through the fronting carrier and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Commissions paid to the fronting carrier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capitalized as deferred acquisition costs and amortized over the same period in which the related premiums are earned. Assumed premiums and losses are subject to external reinsurance agreements. For additional information on our premiums, reinsurance, and policy acquisition cost accounting policies, please refer to our 2020 10-K.</w:t>
      </w:r>
    </w:p>
    <w:p>
      <w:pPr>
        <w:spacing w:after="0" w:line="129"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b w:val="1"/>
          <w:bCs w:val="1"/>
          <w:color w:val="auto"/>
        </w:rPr>
        <w:t>Recently Adopted Financial Accounting Standards</w:t>
      </w:r>
      <w:r>
        <w:rPr>
          <w:rFonts w:ascii="Arial" w:cs="Arial" w:eastAsia="Arial" w:hAnsi="Arial"/>
          <w:sz w:val="18"/>
          <w:szCs w:val="18"/>
          <w:color w:val="auto"/>
        </w:rPr>
        <w:t>—In February 2016, the Financial Accounting Standards Board, or FASB, issued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Update, or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2016-02. The main provision of ASU 2016-02 requires the recognition of right-of-use lease assets and lease liabilities by lessees for those leases classified as operating leases under previous GAAP. The guidance also requires disclosures that meet the objective of enabling financial statement users to assess the amount, timing, and uncertainty of related cash flows. We adopted ASU 2016-02 on January 1, 2021.</w:t>
      </w:r>
    </w:p>
    <w:p>
      <w:pPr>
        <w:spacing w:after="0" w:line="138" w:lineRule="exact"/>
        <w:rPr>
          <w:sz w:val="20"/>
          <w:szCs w:val="20"/>
          <w:color w:val="auto"/>
        </w:rPr>
      </w:pPr>
    </w:p>
    <w:p>
      <w:pPr>
        <w:jc w:val="both"/>
        <w:ind w:right="180" w:firstLine="318"/>
        <w:spacing w:after="0" w:line="330" w:lineRule="auto"/>
        <w:rPr>
          <w:sz w:val="20"/>
          <w:szCs w:val="20"/>
          <w:color w:val="auto"/>
        </w:rPr>
      </w:pPr>
      <w:r>
        <w:rPr>
          <w:rFonts w:ascii="Arial" w:cs="Arial" w:eastAsia="Arial" w:hAnsi="Arial"/>
          <w:sz w:val="15"/>
          <w:szCs w:val="15"/>
          <w:color w:val="auto"/>
        </w:rPr>
        <w:t>We elected various practical expedients which include: not applying the amended lease accounting guidance to comparative periods; including the carry forward of our leases without reassessing whether any contracts are leases or contain leases, lease classification and initial direct costs; and excluding leases with a term of 12 months or less from lease liability and right-of-use asset recognition. We did not elect the hindsight practical expedient.</w:t>
      </w:r>
    </w:p>
    <w:p>
      <w:pPr>
        <w:spacing w:after="0" w:line="8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Our lease agreements contain lease components and non-lease components, both of which we have elected to account for as a single lease component for our real estate asset class.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w:t>
      </w:r>
    </w:p>
    <w:p>
      <w:pPr>
        <w:spacing w:after="0" w:line="8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Upon adoption of ASU 2016-02, we recognized an operating lease liability of $16.2 million and corresponding right-of-use asset of $9.9 million, which includes the effect of $6.3 million from reclassifying previously recognized deferred rent and lease exit liabilities as an offset, in accordance with the transition guidance. These lease assets and liabilities are recorded as other assets and other liabilities on the condensed consolidated balance sheets. This transition adjustment was reflected as a non-cash transaction in our condensed consolidated statements of cash flows. The transition did not have a material impact on our results of operations, liquidity or debt covenant compliance under our current debt agreements. For additional information refer to Note 7, “Leases.”</w:t>
      </w:r>
    </w:p>
    <w:p>
      <w:pPr>
        <w:spacing w:after="0" w:line="92" w:lineRule="exact"/>
        <w:rPr>
          <w:sz w:val="20"/>
          <w:szCs w:val="20"/>
          <w:color w:val="auto"/>
        </w:rPr>
      </w:pPr>
    </w:p>
    <w:p>
      <w:pPr>
        <w:ind w:right="80" w:firstLine="318"/>
        <w:spacing w:after="0" w:line="314" w:lineRule="auto"/>
        <w:rPr>
          <w:sz w:val="20"/>
          <w:szCs w:val="20"/>
          <w:color w:val="auto"/>
        </w:rPr>
      </w:pPr>
      <w:r>
        <w:rPr>
          <w:rFonts w:ascii="Arial" w:cs="Arial" w:eastAsia="Arial" w:hAnsi="Arial"/>
          <w:sz w:val="15"/>
          <w:szCs w:val="15"/>
          <w:b w:val="1"/>
          <w:bCs w:val="1"/>
          <w:color w:val="auto"/>
        </w:rPr>
        <w:t>Upcoming Accounting Pronouncements—</w:t>
      </w:r>
      <w:r>
        <w:rPr>
          <w:rFonts w:ascii="Arial" w:cs="Arial" w:eastAsia="Arial" w:hAnsi="Arial"/>
          <w:sz w:val="15"/>
          <w:szCs w:val="15"/>
          <w:color w:val="auto"/>
        </w:rPr>
        <w:t>We currently qualify as an "emerging growth company," or EGC, under the Jumpstart Our Business Startups</w:t>
      </w:r>
      <w:r>
        <w:rPr>
          <w:rFonts w:ascii="Arial" w:cs="Arial" w:eastAsia="Arial" w:hAnsi="Arial"/>
          <w:sz w:val="15"/>
          <w:szCs w:val="15"/>
          <w:b w:val="1"/>
          <w:bCs w:val="1"/>
          <w:color w:val="auto"/>
        </w:rPr>
        <w:t xml:space="preserve"> </w:t>
      </w:r>
      <w:r>
        <w:rPr>
          <w:rFonts w:ascii="Arial" w:cs="Arial" w:eastAsia="Arial" w:hAnsi="Arial"/>
          <w:sz w:val="15"/>
          <w:szCs w:val="15"/>
          <w:color w:val="auto"/>
        </w:rPr>
        <w:t>Act of 2012, whereby we have the option to adopt new or revised accounting guidance within the same time periods as private companies. We have elected this option, but may ultimately determine it is preferable to take advantage of early adoption provisions offered within the applicable guidance. As of June 30, 2021, the market value of our common stock held by non-affiliates exceeded $700 million. Accordingly, we will follow the adoption criteria for public companies beginning December 31, 2021 and reflect such adoption criteria in our Annual Report on Form 10-K for the year ended December 31, 2021.</w:t>
      </w:r>
    </w:p>
    <w:p>
      <w:pPr>
        <w:spacing w:after="0" w:line="97"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or ASU 2016-13. ASU 2016-13 amends previous guidance on the impairment measurement of financial assets, including reinsurance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recoverables, available-for-sale securities, and premium receivables, by requiring an entity to recognize an allowance for expected credit losses as a contra asset, rather than impairment as losses are incurred. The amended guidance is intended to result in more timely recognition of expected credit losses and enhance the accounting and disclosure of credit losses on financial assets. The ASU requires a cumulative-effect change to retained earnings (accumulated loss) in the period of adoption and prospective changes on previously recorded impairments, to the extent applicable. Upon losing EGC status as of December 31, 2021, this ASU becomes effective retroactively to January 1, 2021. We continue to evaluate the impact of this amended guidance but do not expect the adoption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3"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September 30, 2021 and December 31, 2020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60" w:type="dxa"/>
            <w:vAlign w:val="bottom"/>
          </w:tcPr>
          <w:p>
            <w:pPr>
              <w:spacing w:after="0"/>
              <w:rPr>
                <w:sz w:val="11"/>
                <w:szCs w:val="11"/>
                <w:color w:val="auto"/>
              </w:rPr>
            </w:pPr>
          </w:p>
        </w:tc>
        <w:tc>
          <w:tcPr>
            <w:tcW w:w="134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460" w:type="dxa"/>
            <w:vAlign w:val="bottom"/>
          </w:tcPr>
          <w:p>
            <w:pPr>
              <w:spacing w:after="0"/>
              <w:rPr>
                <w:sz w:val="11"/>
                <w:szCs w:val="11"/>
                <w:color w:val="auto"/>
              </w:rPr>
            </w:pPr>
          </w:p>
        </w:tc>
        <w:tc>
          <w:tcPr>
            <w:tcW w:w="13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U.S. Treasury securities and agencies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mortgage-backed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Commercial mortgage backed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9"/>
        </w:trPr>
        <w:tc>
          <w:tcPr>
            <w:tcW w:w="40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60" w:type="dxa"/>
            <w:vAlign w:val="bottom"/>
          </w:tcPr>
          <w:p>
            <w:pPr>
              <w:spacing w:after="0"/>
              <w:rPr>
                <w:sz w:val="11"/>
                <w:szCs w:val="11"/>
                <w:color w:val="auto"/>
              </w:rPr>
            </w:pPr>
          </w:p>
        </w:tc>
        <w:tc>
          <w:tcPr>
            <w:tcW w:w="134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460" w:type="dxa"/>
            <w:vAlign w:val="bottom"/>
          </w:tcPr>
          <w:p>
            <w:pPr>
              <w:spacing w:after="0"/>
              <w:rPr>
                <w:sz w:val="11"/>
                <w:szCs w:val="11"/>
                <w:color w:val="auto"/>
              </w:rPr>
            </w:pPr>
          </w:p>
        </w:tc>
        <w:tc>
          <w:tcPr>
            <w:tcW w:w="13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U.S. Treasury securities and agencies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mortgage-backed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Commercial mortgage backed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8"/>
        </w:trPr>
        <w:tc>
          <w:tcPr>
            <w:tcW w:w="4040" w:type="dxa"/>
            <w:vAlign w:val="bottom"/>
          </w:tcPr>
          <w:p>
            <w:pPr>
              <w:ind w:left="560"/>
              <w:spacing w:after="0"/>
              <w:rPr>
                <w:sz w:val="20"/>
                <w:szCs w:val="20"/>
                <w:color w:val="auto"/>
              </w:rPr>
            </w:pPr>
            <w:r>
              <w:rPr>
                <w:rFonts w:ascii="Arial" w:cs="Arial" w:eastAsia="Arial" w:hAnsi="Arial"/>
                <w:sz w:val="18"/>
                <w:szCs w:val="18"/>
                <w:color w:val="auto"/>
              </w:rPr>
              <w:t>Total fixed maturities</w:t>
            </w:r>
          </w:p>
        </w:tc>
        <w:tc>
          <w:tcPr>
            <w:tcW w:w="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40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64"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Other investments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As of September 30, 2021 and December 31, 2020, other investments were $1.3 million and $0.5 million, respectively. There were no impairments recognized on other investments for the three and nine months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9"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following tables reflect the gross unrealized losses and fair value of bonds, aggregated by investment category and length of time that individual securities have been in a continuous unrealized loss position at September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1"/>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debt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80" w:type="dxa"/>
            <w:vAlign w:val="bottom"/>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other-than-temporary impairments recognized for the three and nine months ended September 30, 2021 or 2020.</w:t>
      </w:r>
    </w:p>
    <w:p>
      <w:pPr>
        <w:spacing w:after="0" w:line="164" w:lineRule="exact"/>
        <w:rPr>
          <w:sz w:val="20"/>
          <w:szCs w:val="20"/>
          <w:color w:val="auto"/>
        </w:rPr>
      </w:pPr>
    </w:p>
    <w:p>
      <w:pPr>
        <w:ind w:right="540" w:firstLine="318"/>
        <w:spacing w:after="0" w:line="365" w:lineRule="auto"/>
        <w:rPr>
          <w:sz w:val="20"/>
          <w:szCs w:val="20"/>
          <w:color w:val="auto"/>
        </w:rPr>
      </w:pPr>
      <w:r>
        <w:rPr>
          <w:rFonts w:ascii="Arial" w:cs="Arial" w:eastAsia="Arial" w:hAnsi="Arial"/>
          <w:sz w:val="15"/>
          <w:szCs w:val="15"/>
          <w:color w:val="auto"/>
        </w:rPr>
        <w:t>The following table reflects the gross and net realized gains and losses on short-term investments and fixed maturities that have been included in the condensed consolidated statements of operations and comprehensive loss for the three and nine months ended September 30, 2021 and 2020:</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4040" w:type="dxa"/>
            <w:vAlign w:val="bottom"/>
          </w:tcPr>
          <w:p>
            <w:pPr>
              <w:spacing w:after="0"/>
              <w:rPr>
                <w:sz w:val="15"/>
                <w:szCs w:val="15"/>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79"/>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millions)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gains on investments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79"/>
              <w:spacing w:after="0"/>
              <w:rPr>
                <w:sz w:val="20"/>
                <w:szCs w:val="20"/>
                <w:color w:val="auto"/>
              </w:rPr>
            </w:pPr>
            <w:r>
              <w:rPr>
                <w:rFonts w:ascii="Arial" w:cs="Arial" w:eastAsia="Arial" w:hAnsi="Arial"/>
                <w:sz w:val="18"/>
                <w:szCs w:val="18"/>
                <w:color w:val="auto"/>
                <w:w w:val="87"/>
              </w:rPr>
              <w:t>2.5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Realized losses on investments</w:t>
            </w:r>
          </w:p>
        </w:tc>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39"/>
              <w:spacing w:after="0"/>
              <w:rPr>
                <w:sz w:val="20"/>
                <w:szCs w:val="20"/>
                <w:color w:val="auto"/>
              </w:rPr>
            </w:pPr>
            <w:r>
              <w:rPr>
                <w:rFonts w:ascii="Arial" w:cs="Arial" w:eastAsia="Arial" w:hAnsi="Arial"/>
                <w:sz w:val="18"/>
                <w:szCs w:val="18"/>
                <w:color w:val="auto"/>
                <w:w w:val="91"/>
              </w:rPr>
              <w:t>(0.1)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39"/>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on investments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79"/>
              <w:spacing w:after="0"/>
              <w:rPr>
                <w:sz w:val="20"/>
                <w:szCs w:val="20"/>
                <w:color w:val="auto"/>
              </w:rPr>
            </w:pPr>
            <w:r>
              <w:rPr>
                <w:rFonts w:ascii="Arial" w:cs="Arial" w:eastAsia="Arial" w:hAnsi="Arial"/>
                <w:sz w:val="18"/>
                <w:szCs w:val="18"/>
                <w:color w:val="auto"/>
                <w:w w:val="87"/>
              </w:rPr>
              <w:t>2.4</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3" w:name="page14"/>
    <w:bookmarkEnd w:id="13"/>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amortized cost and fair value of short-term investments and fixed maturity securities by contractual maturity at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060" w:type="dxa"/>
            <w:vAlign w:val="bottom"/>
            <w:tcBorders>
              <w:bottom w:val="single" w:sz="8" w:color="auto"/>
            </w:tcBorders>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2"/>
              </w:rPr>
              <w:t>Fair Value</w:t>
            </w:r>
          </w:p>
        </w:tc>
      </w:tr>
      <w:tr>
        <w:trPr>
          <w:trHeight w:val="179"/>
        </w:trPr>
        <w:tc>
          <w:tcPr>
            <w:tcW w:w="7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5"/>
                <w:szCs w:val="15"/>
                <w:color w:val="auto"/>
              </w:rPr>
            </w:pPr>
          </w:p>
        </w:tc>
      </w:tr>
      <w:tr>
        <w:trPr>
          <w:trHeight w:val="22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in one year or less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7140" w:type="dxa"/>
            <w:vAlign w:val="bottom"/>
          </w:tcPr>
          <w:p>
            <w:pPr>
              <w:ind w:left="320"/>
              <w:spacing w:after="0"/>
              <w:rPr>
                <w:sz w:val="20"/>
                <w:szCs w:val="20"/>
                <w:color w:val="auto"/>
              </w:rPr>
            </w:pPr>
            <w:r>
              <w:rPr>
                <w:rFonts w:ascii="Arial" w:cs="Arial" w:eastAsia="Arial" w:hAnsi="Arial"/>
                <w:sz w:val="18"/>
                <w:szCs w:val="18"/>
                <w:color w:val="auto"/>
              </w:rPr>
              <w:t>Due after one year through five years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2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five years through 10 years</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7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44"/>
        </w:trPr>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components of net investment income for the three and nine months ended September 30, 2021 and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3"/>
        </w:trPr>
        <w:tc>
          <w:tcPr>
            <w:tcW w:w="4080" w:type="dxa"/>
            <w:vAlign w:val="bottom"/>
          </w:tcPr>
          <w:p>
            <w:pPr>
              <w:spacing w:after="0"/>
              <w:rPr>
                <w:sz w:val="15"/>
                <w:szCs w:val="15"/>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79"/>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5"/>
              </w:rPr>
              <w:t>(dollars 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bonds</w:t>
            </w:r>
          </w:p>
        </w:tc>
        <w:tc>
          <w:tcPr>
            <w:tcW w:w="12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Interest on deposits and cash equivalents</w:t>
            </w:r>
          </w:p>
        </w:tc>
        <w:tc>
          <w:tcPr>
            <w:tcW w:w="12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center"/>
              <w:ind w:left="496"/>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investments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080" w:type="dxa"/>
            <w:vAlign w:val="bottom"/>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left="496"/>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expense</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(0.2)</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9"/>
        </w:trPr>
        <w:tc>
          <w:tcPr>
            <w:tcW w:w="40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87"/>
              </w:rPr>
              <w:t>2.6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the credit ratings of investments at September 30,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80" w:type="dxa"/>
            <w:vAlign w:val="bottom"/>
          </w:tcPr>
          <w:p>
            <w:pPr>
              <w:spacing w:after="0"/>
              <w:rPr>
                <w:sz w:val="11"/>
                <w:szCs w:val="11"/>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77"/>
              <w:spacing w:after="0" w:line="131"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0" w:type="dxa"/>
            <w:vAlign w:val="bottom"/>
          </w:tcPr>
          <w:p>
            <w:pPr>
              <w:jc w:val="right"/>
              <w:ind w:right="137"/>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5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80" w:type="dxa"/>
            <w:vAlign w:val="bottom"/>
          </w:tcPr>
          <w:p>
            <w:pPr>
              <w:spacing w:after="0"/>
              <w:rPr>
                <w:sz w:val="11"/>
                <w:szCs w:val="11"/>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77"/>
              <w:spacing w:after="0" w:line="131"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6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600" w:type="dxa"/>
            <w:vAlign w:val="bottom"/>
          </w:tcPr>
          <w:p>
            <w:pPr>
              <w:jc w:val="right"/>
              <w:ind w:right="137"/>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4" w:name="page15"/>
    <w:bookmarkEnd w:id="14"/>
    <w:p>
      <w:pPr>
        <w:spacing w:after="0" w:line="113"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following tables provide information about our financial assets measured and reported at fair value as of September 30, 2021 and December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208.7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assets at fair value</w:t>
            </w:r>
          </w:p>
        </w:tc>
        <w:tc>
          <w:tcPr>
            <w:tcW w:w="12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231.5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568.4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9"/>
        </w:trPr>
        <w:tc>
          <w:tcPr>
            <w:tcW w:w="4040" w:type="dxa"/>
            <w:vAlign w:val="bottom"/>
          </w:tcPr>
          <w:p>
            <w:pPr>
              <w:ind w:left="760"/>
              <w:spacing w:after="0"/>
              <w:rPr>
                <w:sz w:val="20"/>
                <w:szCs w:val="20"/>
                <w:color w:val="auto"/>
              </w:rPr>
            </w:pPr>
            <w:r>
              <w:rPr>
                <w:rFonts w:ascii="Arial" w:cs="Arial" w:eastAsia="Arial" w:hAnsi="Arial"/>
                <w:sz w:val="18"/>
                <w:szCs w:val="18"/>
                <w:b w:val="1"/>
                <w:bCs w:val="1"/>
                <w:color w:val="auto"/>
              </w:rPr>
              <w:t>Total assets at fair value</w:t>
            </w:r>
          </w:p>
        </w:tc>
        <w:tc>
          <w:tcPr>
            <w:tcW w:w="126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587.6</w:t>
            </w:r>
          </w:p>
        </w:tc>
        <w:tc>
          <w:tcPr>
            <w:tcW w:w="100" w:type="dxa"/>
            <w:vAlign w:val="bottom"/>
          </w:tcPr>
          <w:p>
            <w:pPr>
              <w:spacing w:after="0"/>
              <w:rPr>
                <w:sz w:val="19"/>
                <w:szCs w:val="19"/>
                <w:color w:val="auto"/>
              </w:rPr>
            </w:pPr>
          </w:p>
        </w:tc>
        <w:tc>
          <w:tcPr>
            <w:tcW w:w="126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204.8</w:t>
            </w:r>
          </w:p>
        </w:tc>
        <w:tc>
          <w:tcPr>
            <w:tcW w:w="80" w:type="dxa"/>
            <w:vAlign w:val="bottom"/>
          </w:tcPr>
          <w:p>
            <w:pPr>
              <w:spacing w:after="0"/>
              <w:rPr>
                <w:sz w:val="19"/>
                <w:szCs w:val="19"/>
                <w:color w:val="auto"/>
              </w:rPr>
            </w:pPr>
          </w:p>
        </w:tc>
        <w:tc>
          <w:tcPr>
            <w:tcW w:w="1340" w:type="dxa"/>
            <w:vAlign w:val="bottom"/>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9"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auto"/>
        </w:rPr>
        <w:t>The carrying amount of long-term debt is recorded at historical amounts. The fair value of outstanding long-term debt is classified within Level 2 of the fair value hierarchy. The fair value is based on a model referencing observable interest rates and spreads to project and discount cash flows to present value. As of September 30, 2021 and December 31, 2020, the carrying amounts and fair values of these financial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6"/>
              </w:rPr>
              <w:t>Carrying Amount</w:t>
            </w:r>
          </w:p>
        </w:tc>
        <w:tc>
          <w:tcPr>
            <w:tcW w:w="2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Estimated Fair Value as of</w:t>
            </w:r>
          </w:p>
        </w:tc>
        <w:tc>
          <w:tcPr>
            <w:tcW w:w="400" w:type="dxa"/>
            <w:vAlign w:val="bottom"/>
          </w:tcPr>
          <w:p>
            <w:pPr>
              <w:spacing w:after="0"/>
              <w:rPr>
                <w:sz w:val="14"/>
                <w:szCs w:val="14"/>
                <w:color w:val="auto"/>
              </w:rPr>
            </w:pPr>
          </w:p>
        </w:tc>
        <w:tc>
          <w:tcPr>
            <w:tcW w:w="1680" w:type="dxa"/>
            <w:vAlign w:val="bottom"/>
          </w:tcPr>
          <w:p>
            <w:pPr>
              <w:jc w:val="center"/>
              <w:ind w:right="285"/>
              <w:spacing w:after="0"/>
              <w:rPr>
                <w:sz w:val="20"/>
                <w:szCs w:val="20"/>
                <w:color w:val="auto"/>
              </w:rPr>
            </w:pPr>
            <w:r>
              <w:rPr>
                <w:rFonts w:ascii="Arial" w:cs="Arial" w:eastAsia="Arial" w:hAnsi="Arial"/>
                <w:sz w:val="14"/>
                <w:szCs w:val="14"/>
                <w:b w:val="1"/>
                <w:bCs w:val="1"/>
                <w:color w:val="auto"/>
                <w:w w:val="94"/>
              </w:rPr>
              <w:t>Carrying Amount</w:t>
            </w: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 as of</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Pr>
          <w:p>
            <w:pPr>
              <w:jc w:val="center"/>
              <w:ind w:right="285"/>
              <w:spacing w:after="0" w:line="133" w:lineRule="exact"/>
              <w:rPr>
                <w:sz w:val="20"/>
                <w:szCs w:val="20"/>
                <w:color w:val="auto"/>
              </w:rPr>
            </w:pPr>
            <w:r>
              <w:rPr>
                <w:rFonts w:ascii="Arial" w:cs="Arial" w:eastAsia="Arial" w:hAnsi="Arial"/>
                <w:sz w:val="14"/>
                <w:szCs w:val="14"/>
                <w:b w:val="1"/>
                <w:bCs w:val="1"/>
                <w:color w:val="auto"/>
                <w:w w:val="85"/>
              </w:rPr>
              <w:t>as of</w:t>
            </w: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16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4"/>
                <w:szCs w:val="14"/>
                <w:b w:val="1"/>
                <w:bCs w:val="1"/>
                <w:color w:val="auto"/>
                <w:w w:val="89"/>
              </w:rPr>
              <w:t>as of September 30, 2021</w:t>
            </w:r>
          </w:p>
        </w:tc>
        <w:tc>
          <w:tcPr>
            <w:tcW w:w="21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b w:val="1"/>
                <w:bCs w:val="1"/>
                <w:color w:val="auto"/>
                <w:w w:val="90"/>
              </w:rPr>
              <w:t>December 31, 2020</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300" w:type="dxa"/>
            <w:vAlign w:val="bottom"/>
            <w:gridSpan w:val="3"/>
          </w:tcPr>
          <w:p>
            <w:pPr>
              <w:jc w:val="right"/>
              <w:ind w:right="1385"/>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201.7</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218.3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188.2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58"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121.8</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incurred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282.0</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303.3</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paid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266.2</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September 30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158.9</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September 30</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225.3</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Incurred losses and LAE attributable to prior accident years was a decrease of $9.3 million and an increase of $21.3 million for the nine months ended September 30, 2021 and 2020, respectively. For the nine months ended September 30, 2021, the development of incurred losses related to prior periods was primarily related to lower-than-expected reported losses on bodily injury claims, and higher than expected recoveries from subrogation and salvage from 2020 material damage claims. For the nine months ended September 30, 2020, the development of incurred losses related to prior periods was primarily related to higher-than-expected reported losses on bodily injury and collision coverages from 2019. This period also includes adjustments recorded in order to effectuate management’s best estimate for determining the estimated ultimate cost of settling claims using our knowledge and experience about past and current events and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3"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0"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The following table reflects amounts affecting the condensed consolidated balance sheets and statements of operations and comprehensive loss for reinsurance as of and for the three and nine months ended September 30, 2021 and 2020:</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358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6"/>
                <w:szCs w:val="16"/>
                <w:color w:val="auto"/>
              </w:rPr>
            </w:pPr>
          </w:p>
        </w:tc>
        <w:tc>
          <w:tcPr>
            <w:tcW w:w="25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written:</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440"/>
              <w:spacing w:after="0"/>
              <w:rPr>
                <w:sz w:val="20"/>
                <w:szCs w:val="20"/>
                <w:color w:val="auto"/>
              </w:rPr>
            </w:pPr>
            <w:r>
              <w:rPr>
                <w:rFonts w:ascii="Arial" w:cs="Arial" w:eastAsia="Arial" w:hAnsi="Arial"/>
                <w:sz w:val="18"/>
                <w:szCs w:val="18"/>
                <w:color w:val="auto"/>
              </w:rPr>
              <w:t>Direct</w:t>
            </w:r>
          </w:p>
        </w:tc>
        <w:tc>
          <w:tcPr>
            <w:tcW w:w="114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Assumed</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Ceded</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premiums written</w:t>
            </w:r>
          </w:p>
        </w:tc>
        <w:tc>
          <w:tcPr>
            <w:tcW w:w="11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Premiums earned:</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w:t>
            </w:r>
          </w:p>
        </w:tc>
        <w:tc>
          <w:tcPr>
            <w:tcW w:w="11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5"/>
        </w:trPr>
        <w:tc>
          <w:tcPr>
            <w:tcW w:w="4140" w:type="dxa"/>
            <w:vAlign w:val="bottom"/>
          </w:tcPr>
          <w:p>
            <w:pPr>
              <w:ind w:left="440"/>
              <w:spacing w:after="0"/>
              <w:rPr>
                <w:sz w:val="20"/>
                <w:szCs w:val="20"/>
                <w:color w:val="auto"/>
              </w:rPr>
            </w:pPr>
            <w:r>
              <w:rPr>
                <w:rFonts w:ascii="Arial" w:cs="Arial" w:eastAsia="Arial" w:hAnsi="Arial"/>
                <w:sz w:val="18"/>
                <w:szCs w:val="18"/>
                <w:color w:val="auto"/>
              </w:rPr>
              <w:t>Assumed</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Ceded</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9"/>
        </w:trPr>
        <w:tc>
          <w:tcPr>
            <w:tcW w:w="4140" w:type="dxa"/>
            <w:vAlign w:val="bottom"/>
          </w:tcPr>
          <w:p>
            <w:pPr>
              <w:ind w:left="340"/>
              <w:spacing w:after="0"/>
              <w:rPr>
                <w:sz w:val="20"/>
                <w:szCs w:val="20"/>
                <w:color w:val="auto"/>
              </w:rPr>
            </w:pPr>
            <w:r>
              <w:rPr>
                <w:rFonts w:ascii="Arial" w:cs="Arial" w:eastAsia="Arial" w:hAnsi="Arial"/>
                <w:sz w:val="18"/>
                <w:szCs w:val="18"/>
                <w:color w:val="auto"/>
              </w:rPr>
              <w:t>Net premiums earned</w:t>
            </w:r>
          </w:p>
        </w:tc>
        <w:tc>
          <w:tcPr>
            <w:tcW w:w="11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Losses and LAE incurred:</w:t>
            </w: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440"/>
              <w:spacing w:after="0"/>
              <w:rPr>
                <w:sz w:val="20"/>
                <w:szCs w:val="20"/>
                <w:color w:val="auto"/>
              </w:rPr>
            </w:pPr>
            <w:r>
              <w:rPr>
                <w:rFonts w:ascii="Arial" w:cs="Arial" w:eastAsia="Arial" w:hAnsi="Arial"/>
                <w:sz w:val="18"/>
                <w:szCs w:val="18"/>
                <w:color w:val="auto"/>
              </w:rPr>
              <w:t>Direct</w:t>
            </w:r>
          </w:p>
        </w:tc>
        <w:tc>
          <w:tcPr>
            <w:tcW w:w="114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Assumed</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Ceded</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losses and LAE incurred</w:t>
            </w:r>
          </w:p>
        </w:tc>
        <w:tc>
          <w:tcPr>
            <w:tcW w:w="11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0"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w:t>
      </w:r>
    </w:p>
    <w:p>
      <w:pPr>
        <w:spacing w:after="0" w:line="138"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 to remove the LIBOR component in order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 As of September 30, 2021, our leases had a weighted-average discount rate of 10.8%. Our leases have remaining lease terms from approximately one year up to approximately six years with a weighted-average remaining lease term of 4.6 years as of September 30, 2021.</w:t>
      </w:r>
    </w:p>
    <w:p>
      <w:pPr>
        <w:spacing w:after="0" w:line="101"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As of September 30, 2021, we recognized an operating lease liability of $14.7 million and corresponding right-of-use asset of $9.0 million. Operating lease liabilities are included in other liabilities and operating lease right-of-use assets are included in other assets in our condensed consolidated balance sheets. For the three and nine months ended September 30, 2021, we recognized operating lease costs of $0.8 million and $2.3 million, respectively. Variable lease expense and short-term lease expense recognized during the three and nine months ended September 30, 2021 were not material. Moreover, we recognized operating cash flows paid for amounts included in the measurement of operating lease liabilities of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7" w:name="page18"/>
    <w:bookmarkEnd w:id="17"/>
    <w:p>
      <w:pPr>
        <w:spacing w:after="0" w:line="119"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We also sublease certain office space, resulting in sublease income. Sublease income and the related assets and cash flows are not material to our condensed consolidated financial statements as of and for the three and nine months ended September 30, 2021. Sublease income is recognized as a reduction to operating lease expense in our condensed consolidated statements of operations and comprehensive loss.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lease payments as of September 30, 2021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(dollars in millions)</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Remainder of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9140" w:type="dxa"/>
            <w:vAlign w:val="bottom"/>
          </w:tcPr>
          <w:p>
            <w:pPr>
              <w:ind w:left="34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9140" w:type="dxa"/>
            <w:vAlign w:val="bottom"/>
          </w:tcPr>
          <w:p>
            <w:pPr>
              <w:ind w:left="34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9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2026 and thereafter</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future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8"/>
        </w:trPr>
        <w:tc>
          <w:tcPr>
            <w:tcW w:w="9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4"/>
        </w:trPr>
        <w:tc>
          <w:tcPr>
            <w:tcW w:w="9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As previously disclosed in our 2020 10-K under the prior lease accounting guidance, the following table summarizes, by remaining maturity, future commitments related to operating leases and other arrangements as of December 31,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3486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2023</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2025</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317"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200" w:type="dxa"/>
            <w:vAlign w:val="bottom"/>
          </w:tcPr>
          <w:p>
            <w:pPr>
              <w:spacing w:after="0"/>
              <w:rPr>
                <w:sz w:val="15"/>
                <w:szCs w:val="15"/>
                <w:color w:val="auto"/>
              </w:rPr>
            </w:pPr>
          </w:p>
        </w:tc>
        <w:tc>
          <w:tcPr>
            <w:tcW w:w="160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(dollars in millions)</w:t>
            </w:r>
          </w:p>
        </w:tc>
      </w:tr>
      <w:tr>
        <w:trPr>
          <w:trHeight w:val="226"/>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50" w:lineRule="exact"/>
        <w:rPr>
          <w:sz w:val="20"/>
          <w:szCs w:val="20"/>
          <w:color w:val="auto"/>
        </w:rPr>
      </w:pPr>
    </w:p>
    <w:p>
      <w:pPr>
        <w:sectPr>
          <w:pgSz w:w="11900" w:h="16838" w:orient="portrait"/>
          <w:cols w:equalWidth="0" w:num="2">
            <w:col w:w="8720" w:space="720"/>
            <w:col w:w="1800"/>
          </w:cols>
          <w:pgMar w:left="320" w:top="1440" w:right="339" w:bottom="1440" w:gutter="0" w:footer="0" w:header="0"/>
          <w:type w:val="continuous"/>
        </w:sectPr>
      </w:pPr>
    </w:p>
    <w:p>
      <w:pPr>
        <w:ind w:firstLine="318"/>
        <w:spacing w:after="0" w:line="248" w:lineRule="auto"/>
        <w:rPr>
          <w:sz w:val="20"/>
          <w:szCs w:val="20"/>
          <w:color w:val="auto"/>
        </w:rPr>
      </w:pPr>
      <w:r>
        <w:rPr>
          <w:rFonts w:ascii="Arial" w:cs="Arial" w:eastAsia="Arial" w:hAnsi="Arial"/>
          <w:sz w:val="18"/>
          <w:szCs w:val="18"/>
          <w:color w:val="auto"/>
        </w:rPr>
        <w:t>Term Loan A was a term loan outstanding with a group of syndicated financial institutions as of September 30, 2021, which matured on October 15, 2021. For additional information refer to Note 15, “Subsequent Events.” Interest was paid monthly and was determined on a floating interest rate calculated on the one-month LIBOR plus an applicable margin of 4%. As a part of the amended Term Loan A, the syndicate committed, pro rata, to a $100 million revolving loan, which also expired on October 15, 2021. Commitment fees accrued at 0.50% per annum on the daily amount of unused revolving loan and was paid quarterly. For any amounts drawn on the revolving loan, interest accrued and was paid consistent with Term Loan A. In addition, there was a letter of credit fee of 4% per annum on the average daily amount of issued letters of credit against the revolver and a 0.125% per annum fronting fee based on the average daily amount of letter of credit exposure. We had no letters of credit outstanding or amounts drawn against the revolving loan as of September 30, 2021.</w:t>
      </w:r>
    </w:p>
    <w:p>
      <w:pPr>
        <w:spacing w:after="0" w:line="14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Term Loan B was a note we issued to a private equity investor that had a maturity date of November 25, 2024. We repaid Term Loan B on November 8, 2021. For additional information refer to Note 15, “Subsequent Events.” Interest was determined on a floating interest rate calculated on the three-month LIBOR plus an applicable margin of 10.5%. We paid interest pursuant to the terms of the loan agreements and had the option to pay-in-kind, or PIK, on Term Loan B until October 15, 2021. PIK interest was added to the principal balance every three months until we no longer PIK interest, at which point interest would be paid quarterly. We elected to PIK interest on Term Loan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from the original date of closing through September 30, 2021. Deferred PIK interest was $3.5 million and $2.3 million for the three months ended</w:t>
      </w:r>
    </w:p>
    <w:p>
      <w:pPr>
        <w:spacing w:after="0" w:line="28"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color w:val="auto"/>
        </w:rPr>
        <w:t>September 30, 2021 and 2020, respectively. Deferred PIK interest was $9.3 million and $6.8 million for the nine months ended September 30, 2021 and 2020, respectively. Deferred PIK interest is recognized as interest expense in the condensed consolidated statements of operations and comprehensive loss.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carrying value of long-term debt as of September 30, 2021 and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2020</w:t>
            </w:r>
          </w:p>
        </w:tc>
      </w:t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(dollars in millions)</w:t>
            </w:r>
          </w:p>
        </w:tc>
      </w:tr>
      <w:tr>
        <w:trPr>
          <w:trHeight w:val="24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8"/>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52"/>
        </w:trPr>
        <w:tc>
          <w:tcPr>
            <w:tcW w:w="7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8"/>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The consolidated effective tax rate was zero for the three and nine months ended September 30, 2021 and 2020. The difference between these rates and the U.S. federal income tax rate of 21% was primarily due to a full valuation allowance on our U.S. deferred tax assets.</w:t>
      </w:r>
    </w:p>
    <w:p>
      <w:pPr>
        <w:spacing w:after="0" w:line="10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As of September 30, 2021 and December 31, 2020, we did not have any unrecognized tax benefits for uncertain tax positions and had no interest or penalties related to uncertain tax positions.</w:t>
      </w:r>
    </w:p>
    <w:p>
      <w:pPr>
        <w:spacing w:after="0" w:line="360"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We maintain an equity incentive plan, the 2020 Equity Incentive Plan, or the 2020 Plan, for the issuance and grant of equity awards (restricted stock, restricted stock units, or RSUs, and incentive and nonqualified stock options) to our officers, directors, employees and certain advisors. As of September 30, 2021, we had 22.2 million common shares authorized and available for issuance under the 2020 Plan.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displays share-based compensation expense recorded in the condensed consolidated statements of operations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266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83"/>
        </w:trPr>
        <w:tc>
          <w:tcPr>
            <w:tcW w:w="47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79"/>
        </w:trPr>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5"/>
        </w:trPr>
        <w:tc>
          <w:tcPr>
            <w:tcW w:w="470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Other insurance expense</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total share-based compensation expense by type of award: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4040" w:type="dxa"/>
            <w:vAlign w:val="bottom"/>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79"/>
        </w:trPr>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millions)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Restricted stock unit expense</w:t>
            </w:r>
          </w:p>
        </w:tc>
        <w:tc>
          <w:tcPr>
            <w:tcW w:w="1300" w:type="dxa"/>
            <w:vAlign w:val="bottom"/>
          </w:tcPr>
          <w:p>
            <w:pPr>
              <w:jc w:val="right"/>
              <w:ind w:right="78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80" w:type="dxa"/>
            <w:vAlign w:val="bottom"/>
          </w:tcPr>
          <w:p>
            <w:pPr>
              <w:jc w:val="right"/>
              <w:ind w:right="77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1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9"/>
        </w:trPr>
        <w:tc>
          <w:tcPr>
            <w:tcW w:w="4040" w:type="dxa"/>
            <w:vAlign w:val="bottom"/>
          </w:tcPr>
          <w:p>
            <w:pPr>
              <w:ind w:left="560"/>
              <w:spacing w:after="0"/>
              <w:rPr>
                <w:sz w:val="20"/>
                <w:szCs w:val="20"/>
                <w:color w:val="auto"/>
              </w:rPr>
            </w:pPr>
            <w:r>
              <w:rPr>
                <w:rFonts w:ascii="Arial" w:cs="Arial" w:eastAsia="Arial" w:hAnsi="Arial"/>
                <w:sz w:val="18"/>
                <w:szCs w:val="18"/>
                <w:color w:val="auto"/>
              </w:rPr>
              <w:t>Total share-based compensation expense</w:t>
            </w:r>
          </w:p>
        </w:tc>
        <w:tc>
          <w:tcPr>
            <w:tcW w:w="130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4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In March 2020, a current investor completed a tender offer for vested common stock from shareholders, many of whom were employees or members of the Board of Directors. To encourage participation, the tender offer was made at a price in excess of the fair value of our common stock. As a result, we recognized $25.1 million of share-based compensation expense during the nine months ended September 30, 2020.</w:t>
      </w:r>
    </w:p>
    <w:p>
      <w:pPr>
        <w:spacing w:after="0" w:line="118"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color w:val="auto"/>
        </w:rPr>
        <w:t>As of September 30, 2021, there was $5.7 million and $81.7 million of unrecognized compensation cost related to nonvested stock options and RSUs, respectively. The remaining costs are expected to be recognized over a period of approximately five and four years, respectively.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for the nine months ended September 30, 2021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4"/>
                <w:szCs w:val="14"/>
                <w:b w:val="1"/>
                <w:bCs w:val="1"/>
                <w:color w:val="auto"/>
                <w:w w:val="94"/>
              </w:rPr>
              <w:t>Nine Months Ended September 30, 2021</w:t>
            </w: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jc w:val="right"/>
              <w:ind w:right="298"/>
              <w:spacing w:after="0" w:line="131" w:lineRule="exact"/>
              <w:rPr>
                <w:sz w:val="20"/>
                <w:szCs w:val="20"/>
                <w:color w:val="auto"/>
              </w:rPr>
            </w:pPr>
            <w:r>
              <w:rPr>
                <w:rFonts w:ascii="Arial" w:cs="Arial" w:eastAsia="Arial" w:hAnsi="Arial"/>
                <w:sz w:val="14"/>
                <w:szCs w:val="14"/>
                <w:b w:val="1"/>
                <w:bCs w:val="1"/>
                <w:color w:val="auto"/>
                <w:w w:val="97"/>
              </w:rPr>
              <w:t>Weighted-Average</w:t>
            </w:r>
          </w:p>
        </w:tc>
        <w:tc>
          <w:tcPr>
            <w:tcW w:w="380" w:type="dxa"/>
            <w:vAlign w:val="bottom"/>
          </w:tcPr>
          <w:p>
            <w:pPr>
              <w:spacing w:after="0"/>
              <w:rPr>
                <w:sz w:val="11"/>
                <w:szCs w:val="11"/>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5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Restricted Stock Units</w:t>
            </w:r>
          </w:p>
        </w:tc>
        <w:tc>
          <w:tcPr>
            <w:tcW w:w="152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4"/>
              </w:rPr>
              <w:t>Number of Shares</w:t>
            </w:r>
          </w:p>
        </w:tc>
        <w:tc>
          <w:tcPr>
            <w:tcW w:w="500" w:type="dxa"/>
            <w:vAlign w:val="bottom"/>
          </w:tcPr>
          <w:p>
            <w:pPr>
              <w:spacing w:after="0"/>
              <w:rPr>
                <w:sz w:val="11"/>
                <w:szCs w:val="11"/>
                <w:color w:val="auto"/>
              </w:rPr>
            </w:pPr>
          </w:p>
        </w:tc>
        <w:tc>
          <w:tcPr>
            <w:tcW w:w="1600" w:type="dxa"/>
            <w:vAlign w:val="bottom"/>
          </w:tcPr>
          <w:p>
            <w:pPr>
              <w:jc w:val="right"/>
              <w:ind w:right="518"/>
              <w:spacing w:after="0" w:line="133" w:lineRule="exact"/>
              <w:rPr>
                <w:sz w:val="20"/>
                <w:szCs w:val="20"/>
                <w:color w:val="auto"/>
              </w:rPr>
            </w:pPr>
            <w:r>
              <w:rPr>
                <w:rFonts w:ascii="Arial" w:cs="Arial" w:eastAsia="Arial" w:hAnsi="Arial"/>
                <w:sz w:val="14"/>
                <w:szCs w:val="14"/>
                <w:b w:val="1"/>
                <w:bCs w:val="1"/>
                <w:color w:val="auto"/>
                <w:w w:val="96"/>
              </w:rPr>
              <w:t>Grant Date Fair</w:t>
            </w:r>
          </w:p>
        </w:tc>
        <w:tc>
          <w:tcPr>
            <w:tcW w:w="3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jc w:val="right"/>
              <w:ind w:right="538"/>
              <w:spacing w:after="0"/>
              <w:rPr>
                <w:sz w:val="20"/>
                <w:szCs w:val="20"/>
                <w:color w:val="auto"/>
              </w:rPr>
            </w:pPr>
            <w:r>
              <w:rPr>
                <w:rFonts w:ascii="Arial" w:cs="Arial" w:eastAsia="Arial" w:hAnsi="Arial"/>
                <w:sz w:val="14"/>
                <w:szCs w:val="14"/>
                <w:b w:val="1"/>
                <w:bCs w:val="1"/>
                <w:color w:val="auto"/>
                <w:w w:val="90"/>
              </w:rPr>
              <w:t>Value per Share</w:t>
            </w:r>
          </w:p>
        </w:tc>
        <w:tc>
          <w:tcPr>
            <w:tcW w:w="380" w:type="dxa"/>
            <w:vAlign w:val="bottom"/>
          </w:tcPr>
          <w:p>
            <w:pPr>
              <w:spacing w:after="0"/>
              <w:rPr>
                <w:sz w:val="16"/>
                <w:szCs w:val="16"/>
                <w:color w:val="auto"/>
              </w:rPr>
            </w:pPr>
          </w:p>
        </w:tc>
        <w:tc>
          <w:tcPr>
            <w:tcW w:w="134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January 1, 2021</w:t>
            </w:r>
          </w:p>
        </w:tc>
        <w:tc>
          <w:tcPr>
            <w:tcW w:w="1520" w:type="dxa"/>
            <w:vAlign w:val="bottom"/>
            <w:shd w:val="clear" w:color="auto" w:fill="CCEEFF"/>
          </w:tcPr>
          <w:p>
            <w:pPr>
              <w:jc w:val="center"/>
              <w:ind w:left="1055"/>
              <w:spacing w:after="0"/>
              <w:rPr>
                <w:sz w:val="20"/>
                <w:szCs w:val="20"/>
                <w:color w:val="auto"/>
              </w:rPr>
            </w:pPr>
            <w:r>
              <w:rPr>
                <w:rFonts w:ascii="Arial" w:cs="Arial" w:eastAsia="Arial" w:hAnsi="Arial"/>
                <w:sz w:val="18"/>
                <w:szCs w:val="18"/>
                <w:color w:val="auto"/>
                <w:w w:val="87"/>
              </w:rPr>
              <w:t>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18.41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5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center"/>
              <w:ind w:left="1055"/>
              <w:spacing w:after="0"/>
              <w:rPr>
                <w:sz w:val="20"/>
                <w:szCs w:val="20"/>
                <w:color w:val="auto"/>
              </w:rPr>
            </w:pPr>
            <w:r>
              <w:rPr>
                <w:rFonts w:ascii="Arial" w:cs="Arial" w:eastAsia="Arial" w:hAnsi="Arial"/>
                <w:sz w:val="18"/>
                <w:szCs w:val="18"/>
                <w:color w:val="auto"/>
                <w:w w:val="87"/>
              </w:rPr>
              <w:t>8.9</w:t>
            </w:r>
          </w:p>
        </w:tc>
        <w:tc>
          <w:tcPr>
            <w:tcW w:w="500" w:type="dxa"/>
            <w:vAlign w:val="bottom"/>
          </w:tcPr>
          <w:p>
            <w:pPr>
              <w:spacing w:after="0"/>
              <w:rPr>
                <w:sz w:val="19"/>
                <w:szCs w:val="19"/>
                <w:color w:val="auto"/>
              </w:rPr>
            </w:pPr>
          </w:p>
        </w:tc>
        <w:tc>
          <w:tcPr>
            <w:tcW w:w="1600" w:type="dxa"/>
            <w:vAlign w:val="bottom"/>
          </w:tcPr>
          <w:p>
            <w:pPr>
              <w:jc w:val="right"/>
              <w:ind w:right="178"/>
              <w:spacing w:after="0"/>
              <w:rPr>
                <w:sz w:val="20"/>
                <w:szCs w:val="20"/>
                <w:color w:val="auto"/>
              </w:rPr>
            </w:pPr>
            <w:r>
              <w:rPr>
                <w:rFonts w:ascii="Arial" w:cs="Arial" w:eastAsia="Arial" w:hAnsi="Arial"/>
                <w:sz w:val="18"/>
                <w:szCs w:val="18"/>
                <w:color w:val="auto"/>
              </w:rPr>
              <w:t>10.71</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91"/>
              </w:rPr>
              <w:t>(0.1)</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15.77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5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 expired or canceled</w:t>
            </w:r>
          </w:p>
        </w:tc>
        <w:tc>
          <w:tcPr>
            <w:tcW w:w="1520" w:type="dxa"/>
            <w:vAlign w:val="bottom"/>
            <w:tcBorders>
              <w:bottom w:val="single" w:sz="8" w:color="auto"/>
            </w:tcBorders>
          </w:tcPr>
          <w:p>
            <w:pPr>
              <w:jc w:val="center"/>
              <w:ind w:left="1015"/>
              <w:spacing w:after="0"/>
              <w:rPr>
                <w:sz w:val="20"/>
                <w:szCs w:val="20"/>
                <w:color w:val="auto"/>
              </w:rPr>
            </w:pPr>
            <w:r>
              <w:rPr>
                <w:rFonts w:ascii="Arial" w:cs="Arial" w:eastAsia="Arial" w:hAnsi="Arial"/>
                <w:sz w:val="18"/>
                <w:szCs w:val="18"/>
                <w:color w:val="auto"/>
                <w:w w:val="91"/>
              </w:rPr>
              <w:t>(0.8)</w:t>
            </w:r>
          </w:p>
        </w:tc>
        <w:tc>
          <w:tcPr>
            <w:tcW w:w="5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ind w:right="178"/>
              <w:spacing w:after="0"/>
              <w:rPr>
                <w:sz w:val="20"/>
                <w:szCs w:val="20"/>
                <w:color w:val="auto"/>
              </w:rPr>
            </w:pPr>
            <w:r>
              <w:rPr>
                <w:rFonts w:ascii="Arial" w:cs="Arial" w:eastAsia="Arial" w:hAnsi="Arial"/>
                <w:sz w:val="18"/>
                <w:szCs w:val="18"/>
                <w:color w:val="auto"/>
              </w:rPr>
              <w:t>11.79</w:t>
            </w:r>
          </w:p>
        </w:tc>
        <w:tc>
          <w:tcPr>
            <w:tcW w:w="3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Nonvested at September 30, 2021</w:t>
            </w:r>
          </w:p>
        </w:tc>
        <w:tc>
          <w:tcPr>
            <w:tcW w:w="1520" w:type="dxa"/>
            <w:vAlign w:val="bottom"/>
            <w:tcBorders>
              <w:bottom w:val="single" w:sz="8" w:color="auto"/>
            </w:tcBorders>
            <w:shd w:val="clear" w:color="auto" w:fill="CCEEFF"/>
          </w:tcPr>
          <w:p>
            <w:pPr>
              <w:jc w:val="center"/>
              <w:ind w:left="1055"/>
              <w:spacing w:after="0"/>
              <w:rPr>
                <w:sz w:val="20"/>
                <w:szCs w:val="20"/>
                <w:color w:val="auto"/>
              </w:rPr>
            </w:pPr>
            <w:r>
              <w:rPr>
                <w:rFonts w:ascii="Arial" w:cs="Arial" w:eastAsia="Arial" w:hAnsi="Arial"/>
                <w:sz w:val="18"/>
                <w:szCs w:val="18"/>
                <w:color w:val="auto"/>
                <w:w w:val="87"/>
              </w:rPr>
              <w:t>8.4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10.93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option activity for the nine months ended September 30, 2021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Weighted-Average</w:t>
            </w:r>
          </w:p>
        </w:tc>
        <w:tc>
          <w:tcPr>
            <w:tcW w:w="1880" w:type="dxa"/>
            <w:vAlign w:val="bottom"/>
          </w:tcPr>
          <w:p>
            <w:pPr>
              <w:jc w:val="right"/>
              <w:ind w:right="282"/>
              <w:spacing w:after="0" w:line="131" w:lineRule="exact"/>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1"/>
                <w:szCs w:val="11"/>
                <w:color w:val="auto"/>
              </w:rPr>
            </w:pPr>
          </w:p>
        </w:tc>
        <w:tc>
          <w:tcPr>
            <w:tcW w:w="13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4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Options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880" w:type="dxa"/>
            <w:vAlign w:val="bottom"/>
          </w:tcPr>
          <w:p>
            <w:pPr>
              <w:jc w:val="right"/>
              <w:ind w:right="282"/>
              <w:spacing w:after="0" w:line="133" w:lineRule="exact"/>
              <w:rPr>
                <w:sz w:val="20"/>
                <w:szCs w:val="20"/>
                <w:color w:val="auto"/>
              </w:rPr>
            </w:pPr>
            <w:r>
              <w:rPr>
                <w:rFonts w:ascii="Arial" w:cs="Arial" w:eastAsia="Arial" w:hAnsi="Arial"/>
                <w:sz w:val="14"/>
                <w:szCs w:val="14"/>
                <w:b w:val="1"/>
                <w:bCs w:val="1"/>
                <w:color w:val="auto"/>
                <w:w w:val="97"/>
              </w:rPr>
              <w:t>Remaining Contractual</w:t>
            </w:r>
          </w:p>
        </w:tc>
        <w:tc>
          <w:tcPr>
            <w:tcW w:w="2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1"/>
              </w:rPr>
              <w:t>Exercise Price</w:t>
            </w:r>
          </w:p>
        </w:tc>
        <w:tc>
          <w:tcPr>
            <w:tcW w:w="18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Term (in Years)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9"/>
              </w:rPr>
              <w:t>(in millions, except exercise price and term amounts)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and exercisable at January 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5"/>
        </w:trPr>
        <w:tc>
          <w:tcPr>
            <w:tcW w:w="4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10.82</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 expired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4.71</w:t>
            </w:r>
          </w:p>
        </w:tc>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8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rPr>
              <w:t>6.93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20" w:hanging="61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of 1933, in connection with and following the Company’s initial public offering.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3"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income, or AOCI, for the three and nine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3"/>
        </w:trPr>
        <w:tc>
          <w:tcPr>
            <w:tcW w:w="58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79"/>
        </w:trPr>
        <w:tc>
          <w:tcPr>
            <w:tcW w:w="5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unrealized gains (losses) on investments: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beginning balance</w:t>
            </w:r>
          </w:p>
        </w:tc>
        <w:tc>
          <w:tcPr>
            <w:tcW w:w="840" w:type="dxa"/>
            <w:vAlign w:val="bottom"/>
          </w:tcPr>
          <w:p>
            <w:pPr>
              <w:jc w:val="right"/>
              <w:ind w:right="66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557"/>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57"/>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555"/>
              <w:spacing w:after="0"/>
              <w:rPr>
                <w:sz w:val="20"/>
                <w:szCs w:val="20"/>
                <w:color w:val="auto"/>
              </w:rPr>
            </w:pPr>
            <w:r>
              <w:rPr>
                <w:rFonts w:ascii="Arial" w:cs="Arial" w:eastAsia="Arial" w:hAnsi="Arial"/>
                <w:sz w:val="18"/>
                <w:szCs w:val="18"/>
                <w:color w:val="auto"/>
                <w:w w:val="87"/>
              </w:rPr>
              <w:t>0.6</w:t>
            </w: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7"/>
              </w:rPr>
              <w:t>5.2</w:t>
            </w: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Net realized gains on investments reclassified from AOCI to net loss</w:t>
            </w:r>
          </w:p>
        </w:tc>
        <w:tc>
          <w:tcPr>
            <w:tcW w:w="8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center"/>
              <w:ind w:left="517"/>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617"/>
              <w:spacing w:after="0"/>
              <w:rPr>
                <w:sz w:val="20"/>
                <w:szCs w:val="20"/>
                <w:color w:val="auto"/>
              </w:rPr>
            </w:pPr>
            <w:r>
              <w:rPr>
                <w:rFonts w:ascii="Arial" w:cs="Arial" w:eastAsia="Arial" w:hAnsi="Arial"/>
                <w:sz w:val="18"/>
                <w:szCs w:val="18"/>
                <w:color w:val="auto"/>
                <w:w w:val="91"/>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515"/>
              <w:spacing w:after="0"/>
              <w:rPr>
                <w:sz w:val="20"/>
                <w:szCs w:val="20"/>
                <w:color w:val="auto"/>
              </w:rPr>
            </w:pPr>
            <w:r>
              <w:rPr>
                <w:rFonts w:ascii="Arial" w:cs="Arial" w:eastAsia="Arial" w:hAnsi="Arial"/>
                <w:sz w:val="18"/>
                <w:szCs w:val="18"/>
                <w:color w:val="auto"/>
                <w:w w:val="91"/>
              </w:rPr>
              <w:t>(0.2)</w:t>
            </w:r>
          </w:p>
        </w:tc>
      </w:tr>
      <w:tr>
        <w:trPr>
          <w:trHeight w:val="218"/>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color w:val="auto"/>
                <w:w w:val="87"/>
              </w:rPr>
              <w:t>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1"/>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7"/>
              </w:rPr>
              <w:t>5.0</w:t>
            </w:r>
          </w:p>
        </w:tc>
      </w:tr>
      <w:tr>
        <w:trPr>
          <w:trHeight w:val="21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ending balance</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557"/>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7"/>
              </w:rPr>
              <w:t>5.6</w:t>
            </w: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680" w:hanging="674"/>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0"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following table displays the computation of basic and diluted loss per share for both Class A and Class B common stock for the three and nine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9"/>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center"/>
              <w:ind w:left="619"/>
              <w:spacing w:after="0"/>
              <w:rPr>
                <w:sz w:val="20"/>
                <w:szCs w:val="20"/>
                <w:color w:val="auto"/>
              </w:rPr>
            </w:pPr>
            <w:r>
              <w:rPr>
                <w:rFonts w:ascii="Arial" w:cs="Arial" w:eastAsia="Arial" w:hAnsi="Arial"/>
                <w:sz w:val="18"/>
                <w:szCs w:val="18"/>
                <w:color w:val="auto"/>
                <w:w w:val="91"/>
              </w:rPr>
              <w:t>38.8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B)</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per common share: basic and diluted (both Class A and 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9"/>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5"/>
          <w:szCs w:val="15"/>
          <w:color w:val="auto"/>
        </w:rPr>
        <w:t>We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As of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26"/>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5"/>
        </w:trPr>
        <w:tc>
          <w:tcPr>
            <w:tcW w:w="9160" w:type="dxa"/>
            <w:vAlign w:val="bottom"/>
            <w:gridSpan w:val="2"/>
          </w:tcPr>
          <w:p>
            <w:pPr>
              <w:ind w:left="340"/>
              <w:spacing w:after="0"/>
              <w:rPr>
                <w:sz w:val="20"/>
                <w:szCs w:val="20"/>
                <w:color w:val="auto"/>
              </w:rPr>
            </w:pPr>
            <w:r>
              <w:rPr>
                <w:rFonts w:ascii="Arial" w:cs="Arial" w:eastAsia="Arial" w:hAnsi="Arial"/>
                <w:sz w:val="18"/>
                <w:szCs w:val="18"/>
                <w:color w:val="auto"/>
              </w:rPr>
              <w:t>Nonvested shares subject to repurchase</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6"/>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9160" w:type="dxa"/>
            <w:vAlign w:val="bottom"/>
            <w:gridSpan w:val="2"/>
          </w:tcPr>
          <w:p>
            <w:pPr>
              <w:ind w:left="34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9"/>
        </w:trPr>
        <w:tc>
          <w:tcPr>
            <w:tcW w:w="9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0"/>
        </w:trPr>
        <w:tc>
          <w:tcPr>
            <w:tcW w:w="8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3"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WRITTEN PREMIUM</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written premium, by state is as follows for the three and nine months ended September 30,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4"/>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940" w:type="dxa"/>
            <w:vAlign w:val="bottom"/>
            <w:tcBorders>
              <w:bottom w:val="single" w:sz="8" w:color="auto"/>
            </w:tcBorders>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r>
      <w:tr>
        <w:trPr>
          <w:trHeight w:val="178"/>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 of 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of Total</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of Total</w:t>
            </w:r>
          </w:p>
        </w:tc>
      </w:tr>
      <w:tr>
        <w:trPr>
          <w:trHeight w:val="207"/>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20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Texas</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Georgia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12.0</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4.9</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Colorado</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3.0</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1.3</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Missouri</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4.5</w:t>
            </w:r>
          </w:p>
        </w:tc>
      </w:tr>
      <w:tr>
        <w:trPr>
          <w:trHeight w:val="225"/>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36.8</w:t>
            </w:r>
          </w:p>
        </w:tc>
      </w:tr>
      <w:tr>
        <w:trPr>
          <w:trHeight w:val="219"/>
        </w:trPr>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ind w:left="320" w:right="100" w:hanging="314"/>
        <w:spacing w:after="0" w:line="247" w:lineRule="auto"/>
        <w:tabs>
          <w:tab w:leader="none" w:pos="20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automobile insurance premiums assumed under quota share agreement with an unaffiliated Texas county mutual insurance company, whereby we assume 100% of the written premium. See Note 6, “Reinsurance,” for additional information regarding gross premiums.</w:t>
      </w:r>
    </w:p>
    <w:p>
      <w:pPr>
        <w:spacing w:after="0" w:line="134"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On October 1, 2021, we closed the convertible preferred equity investment by Carvana pursuant to the investment agreement that we entered into with Carvana on August 11, 2021, or the Investment Agreement. We received approximately $126 million of gross proceeds from the issuance of convertible preferred stock designated as the Series A Convertible Preferred Stock and issued Carvana eight tranches of warrants to purchase shares of the Company’s Class A common stock.</w:t>
      </w:r>
    </w:p>
    <w:p>
      <w:pPr>
        <w:spacing w:after="0" w:line="138"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As part of the investment agreement, we and Carvana entered into a five-year commercial agreement whereby our telematics-based auto insurance products will be embedded into Carvana’s online car buying platform, or Integrated Platform. The commercial arrangement provides for agent commissions payable to Carvana for policy origination and an enterprise total loss replacement vehicle solution.</w:t>
      </w:r>
    </w:p>
    <w:p>
      <w:pPr>
        <w:spacing w:after="0" w:line="135"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issued to Carvana approximately 14 million shares of preferred stock that is initially convertible into approximately 14 million Class A shares of Root based on an initial liquidation preference of $9.00 per share. In connection with this issuance, we filed a Certificate of Designations that established the rights and restrictions of the preferred stock, including that it will become convertible or redeemable at the option of the preferred stockholder in connection with any change of control of the Company, which is considered not solely within our control. Accordingly, the preferred stock issued to Carvana will be classified as mezzanine equity.</w:t>
      </w:r>
    </w:p>
    <w:p>
      <w:pPr>
        <w:spacing w:after="0" w:line="141"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Concurrent with the convertible preferred equity investment, we issued Carvana eight tranches of warrants, comprised of three tranches of “short-term warrants” and five tranches of “long-term warrants”. The short-term warrants will expire three years following the earlier of the date of completion of the Integrated Platform and 18 months following closing of the Investment Agreement, such earlier date, the Reference Date, and the long-term warrants will expire five years after the Reference Date. The short-term warrants have exercise prices of $10.00 to $12.00 and the long-term warrants have exercise prices of $10.00 to $30.00. The warrants will be subject to certain conditions to exercise, including relating to the achievement of defined milestones tied to the development of the Integrated Platform and insurance sales through the Integrated Platform. If the warrants are fully exercised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9"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Carvana for cash, Carvana will have the opportunity to purchase approximately 129 million shares of Class A Common Stock, representing 29.9% of the aggregate number of issued and outstanding shares of our common stock on a fully-diluted basis as of August 11, 2021.</w:t>
      </w:r>
    </w:p>
    <w:p>
      <w:pPr>
        <w:spacing w:after="0" w:line="10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In connection with the Investment Agreement, we incurred issuance costs of approximately $20 million, $9 million of which are contingent upon the success of the Investment Agreement as measured by achievement of certain warrant vesting milestones. As of September 30, 2021, these costs were accrued for in other assets, other liabilities and accounts payable and accrued expenses on our condensed consolidated balance sheets.</w:t>
      </w:r>
    </w:p>
    <w:p>
      <w:pPr>
        <w:spacing w:after="0" w:line="8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On October 15, 2021, upon the maturity of Term Loan A and expiration of the related revolving loan, we repaid the outstanding Term Loan A principal balance of $98.8 million and accrued interest and fees of $0.2 million.</w:t>
      </w:r>
    </w:p>
    <w:p>
      <w:pPr>
        <w:spacing w:after="0" w:line="128" w:lineRule="exact"/>
        <w:rPr>
          <w:sz w:val="20"/>
          <w:szCs w:val="20"/>
          <w:color w:val="auto"/>
        </w:rPr>
      </w:pPr>
    </w:p>
    <w:p>
      <w:pPr>
        <w:jc w:val="both"/>
        <w:ind w:right="40" w:firstLine="318"/>
        <w:spacing w:after="0" w:line="277" w:lineRule="auto"/>
        <w:rPr>
          <w:sz w:val="20"/>
          <w:szCs w:val="20"/>
          <w:color w:val="auto"/>
        </w:rPr>
      </w:pPr>
      <w:r>
        <w:rPr>
          <w:rFonts w:ascii="Arial" w:cs="Arial" w:eastAsia="Arial" w:hAnsi="Arial"/>
          <w:sz w:val="17"/>
          <w:szCs w:val="17"/>
          <w:color w:val="auto"/>
        </w:rPr>
        <w:t>On November 8, 2021, we repaid the outstanding Term Loan B principal balance of $100.0 million and accrued interest, including PIK interest, and fees of $20.9 million. As of September 30, 2021, we had unamortized discount and debt issuance costs of $16.4 million. Upon repayment, any unamortized costs will be recognized as interest expense in our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4" w:name="page25"/>
    <w:bookmarkEnd w:id="2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160" w:firstLine="318"/>
        <w:spacing w:after="0" w:line="303"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2020 filed with the Securities and Exchange Commission, or SEC, on March 4, 2021, or the 2020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2020 10-K for a discussion of important factors that could cause our actual results to differ materially from those anticipated in these forward-looking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ind w:right="460" w:firstLine="318"/>
        <w:spacing w:after="0" w:line="365" w:lineRule="auto"/>
        <w:rPr>
          <w:sz w:val="20"/>
          <w:szCs w:val="20"/>
          <w:color w:val="auto"/>
        </w:rPr>
      </w:pPr>
      <w:r>
        <w:rPr>
          <w:rFonts w:ascii="Arial" w:cs="Arial" w:eastAsia="Arial" w:hAnsi="Arial"/>
          <w:sz w:val="15"/>
          <w:szCs w:val="15"/>
          <w:color w:val="auto"/>
        </w:rPr>
        <w:t>Root is a technology company revolutionizing personal insurance with a pricing model based upon fairness and a modern customer experience. We operate primarily a direct-to-consumer model in which we currently acquire the majority of our customers through mobile applications.</w:t>
      </w:r>
    </w:p>
    <w:p>
      <w:pPr>
        <w:spacing w:after="0" w:line="58" w:lineRule="exact"/>
        <w:rPr>
          <w:sz w:val="20"/>
          <w:szCs w:val="20"/>
          <w:color w:val="auto"/>
        </w:rPr>
      </w:pPr>
    </w:p>
    <w:p>
      <w:pPr>
        <w:jc w:val="both"/>
        <w:ind w:right="320" w:firstLine="318"/>
        <w:spacing w:after="0" w:line="318" w:lineRule="auto"/>
        <w:rPr>
          <w:sz w:val="20"/>
          <w:szCs w:val="20"/>
          <w:color w:val="auto"/>
        </w:rPr>
      </w:pPr>
      <w:r>
        <w:rPr>
          <w:rFonts w:ascii="Arial" w:cs="Arial" w:eastAsia="Arial" w:hAnsi="Arial"/>
          <w:sz w:val="15"/>
          <w:szCs w:val="15"/>
          <w:color w:val="auto"/>
        </w:rPr>
        <w:t>We believe the $260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9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 – from customer acquisition to underwriting to claims and administration to ongoing customer engagement.</w:t>
      </w:r>
    </w:p>
    <w:p>
      <w:pPr>
        <w:spacing w:after="0" w:line="138" w:lineRule="exact"/>
        <w:rPr>
          <w:sz w:val="20"/>
          <w:szCs w:val="20"/>
          <w:color w:val="auto"/>
        </w:rPr>
      </w:pPr>
    </w:p>
    <w:p>
      <w:pPr>
        <w:ind w:right="680" w:firstLine="318"/>
        <w:spacing w:after="0" w:line="365" w:lineRule="auto"/>
        <w:rPr>
          <w:sz w:val="20"/>
          <w:szCs w:val="20"/>
          <w:color w:val="auto"/>
        </w:rPr>
      </w:pPr>
      <w:r>
        <w:rPr>
          <w:rFonts w:ascii="Arial" w:cs="Arial" w:eastAsia="Arial" w:hAnsi="Arial"/>
          <w:sz w:val="15"/>
          <w:szCs w:val="15"/>
          <w:color w:val="auto"/>
        </w:rPr>
        <w:t>Our model benefits from portfolio maturity. As we scale the business rapidly our results are disproportionately weighted towards new customers compared to traditional insurance carriers. As we build an underlying base of recurring customers, we expect the following financial impacts:</w:t>
      </w:r>
    </w:p>
    <w:p>
      <w:pPr>
        <w:spacing w:after="0" w:line="58" w:lineRule="exact"/>
        <w:rPr>
          <w:sz w:val="20"/>
          <w:szCs w:val="20"/>
          <w:color w:val="auto"/>
        </w:rPr>
      </w:pPr>
    </w:p>
    <w:p>
      <w:pPr>
        <w:ind w:left="640" w:right="140" w:hanging="316"/>
        <w:spacing w:after="0" w:line="277"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Improved loss ratio. </w:t>
      </w:r>
      <w:r>
        <w:rPr>
          <w:rFonts w:ascii="Arial" w:cs="Arial" w:eastAsia="Arial" w:hAnsi="Arial"/>
          <w:sz w:val="17"/>
          <w:szCs w:val="17"/>
          <w:color w:val="auto"/>
        </w:rPr>
        <w:t>Renewal premiums, referring to premiums from a customer’s second term and beyond, have lower loss ratios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premiums in the customer’s first term. As we grow our business, we anticipate, consistent with industry norms, that a greater proportion of our premiums will be from customer renewals driving down the total loss ratio across our portfolio.</w:t>
      </w:r>
    </w:p>
    <w:p>
      <w:pPr>
        <w:spacing w:after="0" w:line="118" w:lineRule="exact"/>
        <w:rPr>
          <w:rFonts w:ascii="Arial" w:cs="Arial" w:eastAsia="Arial" w:hAnsi="Arial"/>
          <w:sz w:val="17"/>
          <w:szCs w:val="17"/>
          <w:color w:val="auto"/>
        </w:rPr>
      </w:pPr>
    </w:p>
    <w:p>
      <w:pPr>
        <w:ind w:left="640" w:right="36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marketing as a percentage of premium. </w:t>
      </w:r>
      <w:r>
        <w:rPr>
          <w:rFonts w:ascii="Arial" w:cs="Arial" w:eastAsia="Arial" w:hAnsi="Arial"/>
          <w:sz w:val="18"/>
          <w:szCs w:val="18"/>
          <w:color w:val="auto"/>
        </w:rPr>
        <w:t>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35" w:lineRule="exact"/>
        <w:rPr>
          <w:rFonts w:ascii="Arial" w:cs="Arial" w:eastAsia="Arial" w:hAnsi="Arial"/>
          <w:sz w:val="18"/>
          <w:szCs w:val="18"/>
          <w:color w:val="auto"/>
        </w:rPr>
      </w:pPr>
    </w:p>
    <w:p>
      <w:pPr>
        <w:ind w:left="640" w:hanging="316"/>
        <w:spacing w:after="0" w:line="318" w:lineRule="auto"/>
        <w:tabs>
          <w:tab w:leader="none" w:pos="635"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Improved retention. </w:t>
      </w:r>
      <w:r>
        <w:rPr>
          <w:rFonts w:ascii="Arial" w:cs="Arial" w:eastAsia="Arial" w:hAnsi="Arial"/>
          <w:sz w:val="15"/>
          <w:szCs w:val="15"/>
          <w:color w:val="auto"/>
        </w:rPr>
        <w:t>As a young insurance carrier weighted towards new customers, we naturally have a higher percentage of more frequent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shoppers. As our business tenures and our flywheel spins allowing us to increase our pricing advantage, we will have the opportunity to acquire more long-standing customers and retain those that might naturally shop frequently. In addition to our pricing advantage, we anticipate our expanding relationships with customers through product bundling will demonstrate further improvement in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19" w:lineRule="exact"/>
        <w:rPr>
          <w:sz w:val="20"/>
          <w:szCs w:val="20"/>
          <w:color w:val="auto"/>
        </w:rPr>
      </w:pPr>
    </w:p>
    <w:p>
      <w:pPr>
        <w:ind w:left="640" w:right="50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use technology to drive efficiency across all functions, including distribution, underwriting, policy administration and claims in particular. This allows us to operate with a cost to acquire and cost to serve advantage. We efficiently acquire customers directly through multiple channels, including digital (performance), strategic partnerships, channel media and referrals. Our marketing costs have historically been well below industry averages. Today, we acquire the vast majority of our customers through our mobile app and mobile website. We believe that continued investment in and diversification of our marketing channels, including a focus on embedded insurance through our strategic partnership channel, and leveraging proprietary data science and technology to scale our internal sales agent program and build out independent agent products and relationships,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three years of bringing claims management in-house and are expected to improve as we further embed machine learning into our processes.</w:t>
      </w:r>
    </w:p>
    <w:p>
      <w:pPr>
        <w:spacing w:after="0" w:line="132"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As a rapidly growing full-stack insurance company, we currently employ a “capital 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while rapidly growing our business in order to operate a capital light business model. As our business scales, we expect to have the flexibility to reduce our quota share levels to maximize the return to shareholders.</w:t>
      </w:r>
    </w:p>
    <w:p>
      <w:pPr>
        <w:spacing w:after="0" w:line="12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August 2021, we commenced a fronting arrangement with an unaffiliated Texas county mutual insurance company, or the fronting carrier. We route all of our new auto policies and, over time, expect to route certain renewal auto policies, in Texas through the fronting carrier and we assume 100% of the related premium and losses on those policies. Through this fronting arrangement, we have greater rating and underwriting flexibility that we believe will allow us to more accurately segment risk in Texas to improve profitability.</w:t>
      </w:r>
    </w:p>
    <w:p>
      <w:pPr>
        <w:spacing w:after="0" w:line="13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determined by the progression of our gross metrics. Results of operations on a gross basis alone are not achievable under our regulatory landscape given our top-line growth and resulting capital requirements, which are relieved, in part, by obtaining reinsurance. The gross basis metrics include gross written premium, gross earned premium, direct contribution, ratio of direct contribution to total revenue, ratio of direct contribution to gross earned premium, gross loss ratio, gross LAE ratio and gross accident period loss ratio. For additional information, including definitions of these metrics, see “— Key Performance Indicators” and for a reconciliation of direct contribution to the most directly comparable generally accepted accounting principles in the United States, or GAAP, metric, see “— Non-GAAP Financial Measures.”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March 2020, the World Health Organization declared COVID-19 a global pandemic. The pandemic and related measures taken to contain the spread of COVID-19, such as government-mandated business closures, “shelter in place” orders, or SIPs,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payment, requirements to defer insurance premium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w:t>
      </w:r>
    </w:p>
    <w:p>
      <w:pPr>
        <w:spacing w:after="0" w:line="135"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result of the SIPs that started to occur toward the end of March 2020, our customers drove less and we had a resulting decline in loss costs during the first quarter of 2020. Most parts of the country eased COVID-19 related restrictions and began to return to customary levels of business activity during the second quarter of 2021. We are now seeing miles driven exceed pre-COVID-19 levels, especially in the latter part of the second quarter. As a result of the increase in average miles driven, claims frequency has rebounded proportionally. In addition, the economic instability caused by the COVID-19 pandemic has led to acute inflationary pressures and supply chain disruptions, which have increased the value of used vehicles and replacement parts in 2021. These cost increases have resulted in greater claims severity while being partially offset by higher salvage and subrogation recoveries on damaged vehicles. The American Rescue Plan Act became law in March 2021 and provided a third round of stimulus payments from the federal government to many American consumers. The easing of COVID-19 SIPs and these stimulus payments have led to an unexpected surge in interest in vehicle and auto insurance purchases. This elevated interest has resulted in a significant increase in customer acquisition and advertising campaigns in digital channels on the part of our competitors, increasing our customer acquisition costs. With the recent surge of the Delta variant of COVID-19 across the United States and increasing rates of COVID-19 cases and hospitalizations, it is unclear what the impact of the pandemic will be on future operations. As the COVID-19 pandemic continues, there is ongoing uncertainty around the severity and duration of the pandemic and the pandemic’s potential impact on our business and our financial performance. See the section titled “Risk Factors” in the 2020 10-K for more details.</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Comprehensive Reinsurance</w:t>
      </w:r>
    </w:p>
    <w:p>
      <w:pPr>
        <w:spacing w:after="0" w:line="170"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Revenue</w:t>
      </w:r>
    </w:p>
    <w:p>
      <w:pPr>
        <w:spacing w:after="0" w:line="170"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third-party insurance companies. We distribute website and app policy inquiry leads in geographies where we do not have a presence to third parties in exchange for fee revenue. We also generate revenue through fee income from our customers paying on installment and from net investment income earned on our investment portfolio.</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Investment Income</w:t>
      </w:r>
    </w:p>
    <w:p>
      <w:pPr>
        <w:spacing w:after="0" w:line="170" w:lineRule="exact"/>
        <w:rPr>
          <w:sz w:val="20"/>
          <w:szCs w:val="20"/>
          <w:color w:val="auto"/>
        </w:rPr>
      </w:pPr>
    </w:p>
    <w:p>
      <w:pPr>
        <w:ind w:right="440" w:firstLine="318"/>
        <w:spacing w:after="0" w:line="277" w:lineRule="auto"/>
        <w:rPr>
          <w:sz w:val="20"/>
          <w:szCs w:val="20"/>
          <w:color w:val="auto"/>
        </w:rPr>
      </w:pPr>
      <w:r>
        <w:rPr>
          <w:rFonts w:ascii="Arial" w:cs="Arial" w:eastAsia="Arial" w:hAnsi="Arial"/>
          <w:sz w:val="17"/>
          <w:szCs w:val="17"/>
          <w:color w:val="auto"/>
        </w:rPr>
        <w:t>Net investment income represents interest earned from our fixed maturity and short-term investments and cash and cash equivalents less investment expenses. Net investment income is directly correlated with the overall size of our investment portfolio and with the market level of interest rates. Net investment income will vary with both the size of our investment portfolio and the investment strategy.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Realized Gains on Investments</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Net realized gains on investments represents the net positive difference between the amount received by us on the sale of an investment as compared to the investment’s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Expenses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operating expenses consist of loss and loss adjustment expenses, sales and marketing, other insurance expense, technology and development, and general and administrative expenses.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loss adjustment expenses.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5"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Various other expenses incurred during claims processing are allocated to LAE. These amounts include claims salaries, health benefits, bonuses, employee retirement plan related expenses and share-based compensation expense, or Personnel Costs; software expense; internally developed software amortization; and overhead allocated based on headcount, or Overhead.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Sales and marketing expense includes spend related to performance and partnership channels, channel media, advertising, branding, public relations, consumer insights and referral fees. These expenses also include related Personnel Costs and Overhead. We incur sales and marketing expenses for all product offerings. Sales and marketing are expensed as incurred.</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We expect that in the long term, our sales and marketing will decrease as a percentage of revenue as the proportion of renewals to our total business increases.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Expense</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Other insurance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2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70"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and direct contribution and their reconciliations to the most directly comparable 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87"/>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r>
      <w:tr>
        <w:trPr>
          <w:trHeight w:val="24"/>
        </w:trPr>
        <w:tc>
          <w:tcPr>
            <w:tcW w:w="2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2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5"/>
              </w:rPr>
              <w:t>(dollars in millions, except Premiums per Policy)</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2"/>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Policies in Force</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380,836</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322,423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380,836</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322,423</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9,143</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7,367</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9,143</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7,367</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Premiums per Policy</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Auto</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986</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929</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986</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in Force</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751.0</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599.1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751.0</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599.1</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2"/>
                <w:szCs w:val="22"/>
                <w:color w:val="auto"/>
              </w:rPr>
            </w:pPr>
          </w:p>
        </w:tc>
      </w:tr>
      <w:tr>
        <w:trPr>
          <w:trHeight w:val="252"/>
        </w:trPr>
        <w:tc>
          <w:tcPr>
            <w:tcW w:w="2880" w:type="dxa"/>
            <w:vAlign w:val="bottom"/>
          </w:tcPr>
          <w:p>
            <w:pPr>
              <w:ind w:left="340"/>
              <w:spacing w:after="0" w:line="251" w:lineRule="exact"/>
              <w:rPr>
                <w:sz w:val="20"/>
                <w:szCs w:val="20"/>
                <w:color w:val="auto"/>
              </w:rPr>
            </w:pPr>
            <w:r>
              <w:rPr>
                <w:rFonts w:ascii="Arial" w:cs="Arial" w:eastAsia="Arial" w:hAnsi="Arial"/>
                <w:sz w:val="18"/>
                <w:szCs w:val="18"/>
                <w:color w:val="auto"/>
              </w:rPr>
              <w:t>Gross Written Premium</w:t>
            </w:r>
            <w:r>
              <w:rPr>
                <w:rFonts w:ascii="Arial" w:cs="Arial" w:eastAsia="Arial" w:hAnsi="Arial"/>
                <w:sz w:val="22"/>
                <w:szCs w:val="22"/>
                <w:color w:val="auto"/>
                <w:vertAlign w:val="superscript"/>
              </w:rPr>
              <w:t>(1)</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204.6</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164.6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584.2</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471.1</w:t>
            </w:r>
          </w:p>
        </w:tc>
        <w:tc>
          <w:tcPr>
            <w:tcW w:w="340" w:type="dxa"/>
            <w:vAlign w:val="bottom"/>
          </w:tcPr>
          <w:p>
            <w:pPr>
              <w:spacing w:after="0"/>
              <w:rPr>
                <w:sz w:val="21"/>
                <w:szCs w:val="21"/>
                <w:color w:val="auto"/>
              </w:rPr>
            </w:pPr>
          </w:p>
        </w:tc>
      </w:tr>
      <w:tr>
        <w:trPr>
          <w:trHeight w:val="265"/>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Earned Premium</w:t>
            </w:r>
            <w:r>
              <w:rPr>
                <w:rFonts w:ascii="Arial" w:cs="Arial" w:eastAsia="Arial" w:hAnsi="Arial"/>
                <w:sz w:val="22"/>
                <w:szCs w:val="22"/>
                <w:color w:val="auto"/>
                <w:vertAlign w:val="superscript"/>
              </w:rPr>
              <w:t>(1)</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189.4</w:t>
            </w:r>
          </w:p>
        </w:tc>
        <w:tc>
          <w:tcPr>
            <w:tcW w:w="5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154.4</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530.3</w:t>
            </w:r>
          </w:p>
        </w:tc>
        <w:tc>
          <w:tcPr>
            <w:tcW w:w="5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450.2</w:t>
            </w:r>
          </w:p>
        </w:tc>
        <w:tc>
          <w:tcPr>
            <w:tcW w:w="340" w:type="dxa"/>
            <w:vAlign w:val="bottom"/>
            <w:shd w:val="clear" w:color="auto" w:fill="CCEEFF"/>
          </w:tcPr>
          <w:p>
            <w:pPr>
              <w:spacing w:after="0"/>
              <w:rPr>
                <w:sz w:val="23"/>
                <w:szCs w:val="23"/>
                <w:color w:val="auto"/>
              </w:rPr>
            </w:pP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Gross Profit/(Loss)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(16.1)</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(28.7)</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Adjusted Gross Profit/(Loss)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1"/>
                <w:szCs w:val="21"/>
                <w:color w:val="auto"/>
              </w:rPr>
            </w:pPr>
          </w:p>
        </w:tc>
      </w:tr>
      <w:tr>
        <w:trPr>
          <w:trHeight w:val="272"/>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Contribution</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3"/>
                <w:szCs w:val="23"/>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8"/>
                <w:szCs w:val="18"/>
                <w:color w:val="auto"/>
                <w:w w:val="90"/>
              </w:rPr>
              <w:t>Ratio of Adjusted Gross Profit/(Loss)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Ratio of Adjusted Gross Profit/(Loss) to</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8"/>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880" w:type="dxa"/>
            <w:vAlign w:val="bottom"/>
          </w:tcPr>
          <w:p>
            <w:pPr>
              <w:ind w:left="340"/>
              <w:spacing w:after="0"/>
              <w:rPr>
                <w:sz w:val="20"/>
                <w:szCs w:val="20"/>
                <w:color w:val="auto"/>
              </w:rPr>
            </w:pPr>
            <w:r>
              <w:rPr>
                <w:rFonts w:ascii="Arial" w:cs="Arial" w:eastAsia="Arial" w:hAnsi="Arial"/>
                <w:sz w:val="18"/>
                <w:szCs w:val="18"/>
                <w:color w:val="auto"/>
              </w:rPr>
              <w:t>Ratio of Direct Contribution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(11.2)</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4.9</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Ratio of Direct Contribution to Gross</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8"/>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Gross Loss Ratio</w:t>
            </w:r>
          </w:p>
        </w:tc>
        <w:tc>
          <w:tcPr>
            <w:tcW w:w="66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92.7</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89.8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85.2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84.2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LAE Ratio</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80" w:type="dxa"/>
            <w:vAlign w:val="bottom"/>
          </w:tcPr>
          <w:p>
            <w:pPr>
              <w:ind w:left="340"/>
              <w:spacing w:after="0"/>
              <w:rPr>
                <w:sz w:val="20"/>
                <w:szCs w:val="20"/>
                <w:color w:val="auto"/>
              </w:rPr>
            </w:pPr>
            <w:r>
              <w:rPr>
                <w:rFonts w:ascii="Arial" w:cs="Arial" w:eastAsia="Arial" w:hAnsi="Arial"/>
                <w:sz w:val="18"/>
                <w:szCs w:val="18"/>
                <w:color w:val="auto"/>
                <w:w w:val="93"/>
              </w:rPr>
              <w:t>Gross Accident Period Loss Ratio</w:t>
            </w:r>
          </w:p>
        </w:tc>
        <w:tc>
          <w:tcPr>
            <w:tcW w:w="66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91.3</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79.6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87.1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74.9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880" w:type="dxa"/>
            <w:vAlign w:val="bottom"/>
          </w:tcPr>
          <w:p>
            <w:pPr>
              <w:spacing w:after="0"/>
              <w:rPr>
                <w:sz w:val="20"/>
                <w:szCs w:val="20"/>
                <w:color w:val="auto"/>
              </w:rPr>
            </w:pPr>
            <w:r>
              <w:rPr>
                <w:rFonts w:ascii="Arial" w:cs="Arial" w:eastAsia="Arial" w:hAnsi="Arial"/>
                <w:sz w:val="18"/>
                <w:szCs w:val="18"/>
                <w:color w:val="auto"/>
              </w:rPr>
              <w:t>______________</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41" w:lineRule="exact"/>
        <w:rPr>
          <w:sz w:val="20"/>
          <w:szCs w:val="20"/>
          <w:color w:val="auto"/>
        </w:rPr>
      </w:pPr>
    </w:p>
    <w:p>
      <w:pPr>
        <w:ind w:left="320" w:right="220" w:hanging="314"/>
        <w:spacing w:after="0" w:line="349" w:lineRule="auto"/>
        <w:tabs>
          <w:tab w:leader="none" w:pos="202"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Includes premiums assumed from the fronting carrier that commenced in August 2021. Assumed written premium for the three and nine months ended September 30, 2021 was $7.6 million. Assumed earned premium for the three and nine months ended September 30, 2021 was $0.9 million. Prior to the three months ended September 30, 2021 we did not assume any premiums.</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Policies in Force</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0" w:name="page31"/>
    <w:bookmarkEnd w:id="30"/>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per Policy</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define premiums per policy as the ratio of gross written premium on policies in force divided by policies in force. We view premiums per policy as an important metric since the higher the premiums per policy the greater the amount of earned premium we expect from each policy. As discussed below in gross written premium, this key performance indicator has been updated to include assumed written premiums beginning during the period ended September 30, 2021. There is no impact to any prior periods for this change.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in Force</w:t>
      </w:r>
    </w:p>
    <w:p>
      <w:pPr>
        <w:spacing w:after="0" w:line="17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define premiums in force for our auto policies as premiums per policy multiplied by policies in force multiplied by two. We view premiums in force as an estimate of annualized run rate of gross written premium as of a given period. Since our auto policies are six-month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Written Premium</w:t>
      </w:r>
    </w:p>
    <w:p>
      <w:pPr>
        <w:spacing w:after="0" w:line="170"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define gross written premium as the total amount of gross premium on policies that were bound during the period less the prorated impact of policy cancellations. Gross written premiums includes direct premiums and premiums that are assumed from the fronting carrier. We began assuming premium during the three months ended September 30, 2021, therefore there is no impact to this key performance indicator for any prior periods. We view gross written premium as an important metric because it is the metric that most closely correlates with our growth in our earned premium. We use gross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Earned Premium</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define gross earned premium as the amount of gross premium that was earned during the period. Premiums are earned over the period in which insurance protection is provided, which is typically six months. Gross earned premium includes direct premiums and premiums that are assumed from the fronting carrier. We began assuming premium during the three months ended September 30, 2021; therefore, there is no impact to this key performance indicator for any prior periods. We view gross earned premium as an important metric as it allows us to evaluate our growth prior to the impacts of reinsurance. It is the primary driver of our consolidated GAAP revenues. As with gross written premium, we use gross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Profit/(Loss)</w:t>
      </w:r>
    </w:p>
    <w:p>
      <w:pPr>
        <w:spacing w:after="0" w:line="170"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We define gross profit/(loss) as total revenue minus net loss and LAE expense and other insurance expense inclusive of depreciation and amortization. We view gross profit/(loss) as an important metric because we believe it is informative of the financial performance of our core insurance business.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(benefit) expense. After these adjustments, the resulting calculation is inclusive of only those gross variable costs of revenue incurred on the successful acquisition of business, but exclusive of net ceding commission, ceded loss and LAE and other impacts of reinsurance ceded. We view direct contribution as an important metric because we believe it measures progress towards the profitability of our total policy portfolio prior to the impact of reinsurance.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Adjusted Gross Profit/(Loss) to Gross Earned Premium</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ratio of adjusted gross profit/(loss) to gross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gross earned premium as the denominator in calculating this ratio because it reflects business volume free of elective capital efficiency choices related to our reinsurance programs. As discussed above in gross written premium, this key performance indicator has been updated to include assumed earned premiums in the calculation of ratio of adjusted gross profit/(loss) to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earned premium during the period ended September 30, 2021. There is no impact to any prior periods for this change.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0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(dollars in millions)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6"/>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Adjusted Gross</w:t>
            </w: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Profit/(Loss)</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10.5</w:t>
            </w: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spacing w:after="0"/>
              <w:rPr>
                <w:sz w:val="21"/>
                <w:szCs w:val="21"/>
                <w:color w:val="auto"/>
              </w:rPr>
            </w:pPr>
          </w:p>
        </w:tc>
      </w:tr>
      <w:tr>
        <w:trPr>
          <w:trHeight w:val="226"/>
        </w:trPr>
        <w:tc>
          <w:tcPr>
            <w:tcW w:w="2960" w:type="dxa"/>
            <w:vAlign w:val="bottom"/>
          </w:tcPr>
          <w:p>
            <w:pPr>
              <w:ind w:left="340"/>
              <w:spacing w:after="0"/>
              <w:rPr>
                <w:sz w:val="20"/>
                <w:szCs w:val="20"/>
                <w:color w:val="auto"/>
              </w:rPr>
            </w:pPr>
            <w:r>
              <w:rPr>
                <w:rFonts w:ascii="Arial" w:cs="Arial" w:eastAsia="Arial" w:hAnsi="Arial"/>
                <w:sz w:val="18"/>
                <w:szCs w:val="18"/>
                <w:color w:val="auto"/>
                <w:w w:val="96"/>
              </w:rPr>
              <w:t>Denominator: Total Gross Earned</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189.4</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154.4</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530.3</w:t>
            </w:r>
          </w:p>
        </w:tc>
        <w:tc>
          <w:tcPr>
            <w:tcW w:w="560" w:type="dxa"/>
            <w:vAlign w:val="bottom"/>
          </w:tcPr>
          <w:p>
            <w:pPr>
              <w:spacing w:after="0"/>
              <w:rPr>
                <w:sz w:val="21"/>
                <w:szCs w:val="21"/>
                <w:color w:val="auto"/>
              </w:rPr>
            </w:pP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450.2</w:t>
            </w:r>
          </w:p>
        </w:tc>
        <w:tc>
          <w:tcPr>
            <w:tcW w:w="340" w:type="dxa"/>
            <w:vAlign w:val="bottom"/>
          </w:tcPr>
          <w:p>
            <w:pPr>
              <w:spacing w:after="0"/>
              <w:rPr>
                <w:sz w:val="21"/>
                <w:szCs w:val="2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Ratio of Adjusted Gross Profit/(Loss) to</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8"/>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Earned Premium</w:t>
            </w: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Direct Contribution to Gross Earned Premium</w:t>
      </w:r>
    </w:p>
    <w:p>
      <w:pPr>
        <w:spacing w:after="0" w:line="170"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The ratio of direct contribution to gross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 gross earned premium as the denominator in calculating this ratio because it reflects business volume free of elective capital efficiency cession or commission structures choices from our reinsurance ceded programs. As discussed above in gross written premium, this key performance indicator has been updated to include assumed earned premiums in the calculation of ratio of direct contribution to gross earned premium during the period ended September 30, 2021. There is no impact to any prior periods for this change.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0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(dollars in millions)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2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5"/>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Direct Contribution</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3"/>
                <w:szCs w:val="23"/>
                <w:color w:val="auto"/>
              </w:rPr>
            </w:pPr>
          </w:p>
        </w:tc>
      </w:tr>
      <w:tr>
        <w:trPr>
          <w:trHeight w:val="226"/>
        </w:trPr>
        <w:tc>
          <w:tcPr>
            <w:tcW w:w="2960" w:type="dxa"/>
            <w:vAlign w:val="bottom"/>
          </w:tcPr>
          <w:p>
            <w:pPr>
              <w:ind w:left="340"/>
              <w:spacing w:after="0"/>
              <w:rPr>
                <w:sz w:val="20"/>
                <w:szCs w:val="20"/>
                <w:color w:val="auto"/>
              </w:rPr>
            </w:pPr>
            <w:r>
              <w:rPr>
                <w:rFonts w:ascii="Arial" w:cs="Arial" w:eastAsia="Arial" w:hAnsi="Arial"/>
                <w:sz w:val="18"/>
                <w:szCs w:val="18"/>
                <w:color w:val="auto"/>
                <w:w w:val="96"/>
              </w:rPr>
              <w:t>Denominator: Total Gross Earned</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18"/>
                <w:szCs w:val="18"/>
                <w:color w:val="auto"/>
              </w:rPr>
              <w:t>Premium</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189.4</w:t>
            </w:r>
          </w:p>
        </w:tc>
        <w:tc>
          <w:tcPr>
            <w:tcW w:w="520" w:type="dxa"/>
            <w:vAlign w:val="bottom"/>
          </w:tcPr>
          <w:p>
            <w:pPr>
              <w:spacing w:after="0"/>
              <w:rPr>
                <w:sz w:val="21"/>
                <w:szCs w:val="21"/>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154.4</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530.3</w:t>
            </w:r>
          </w:p>
        </w:tc>
        <w:tc>
          <w:tcPr>
            <w:tcW w:w="560" w:type="dxa"/>
            <w:vAlign w:val="bottom"/>
          </w:tcPr>
          <w:p>
            <w:pPr>
              <w:spacing w:after="0"/>
              <w:rPr>
                <w:sz w:val="21"/>
                <w:szCs w:val="21"/>
                <w:color w:val="auto"/>
              </w:rPr>
            </w:pP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450.2</w:t>
            </w:r>
          </w:p>
        </w:tc>
        <w:tc>
          <w:tcPr>
            <w:tcW w:w="340" w:type="dxa"/>
            <w:vAlign w:val="bottom"/>
          </w:tcPr>
          <w:p>
            <w:pPr>
              <w:spacing w:after="0"/>
              <w:rPr>
                <w:sz w:val="21"/>
                <w:szCs w:val="2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8"/>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w:t>
            </w: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Loss Ratio</w:t>
      </w:r>
    </w:p>
    <w:p>
      <w:pPr>
        <w:spacing w:after="0" w:line="17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We define gross loss ratio expressed as a percentage, as the ratio of gross losses to gross earned premium. Gross loss ratio excludes LAE. We view gross loss ratio as an important metric because it allows us to evaluate incurred losses and LAE separately prior to the impact of reinsurance. As discussed above in gross written premium, this key performance indicator has been changed to include assumed losses and assumed earned premiums in the calculation of gross loss ratio beginning during period ended September 30, 2021. There is no impact to any prior periods for this change.</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LAE Ratio</w:t>
      </w:r>
    </w:p>
    <w:p>
      <w:pPr>
        <w:spacing w:after="0" w:line="17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define gross LAE ratio expressed as a percentage, as the ratio of gross LAE to gross earned premium. We view gross LAE ratio as an important metric because it allows us to evaluate incurred losses and LAE separately. Currently, we do not cede any of our LAE on our third-party quota share reinsurance treaties; therefore, we actively monitor LAE ratio as it has a direct impact on our results regardless of our reinsurance strategy. As discussed above in gross written premium, this key performance indicator has been changed to include assumed LAE and assumed earned premium in the calculation of gross LAE ratio beginning during the period ended September 30, 2021. There is no impact to any prior periods from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Accident Period Loss Ratio</w:t>
      </w:r>
    </w:p>
    <w:p>
      <w:pPr>
        <w:spacing w:after="0" w:line="170"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Gross accident period loss ratio, expressed as a percentage, represents all losses and claims expected to arise from insured events that occurred during the applicable period regardless of when they are reported and finally settled divided by gross earned premiums for the same period. Changes to our loss reserves are the primary driver of the difference between our gross accident period loss ratio and gross calendar period loss ratio. We believe that gross accident period loss ratio is useful in evaluating expected losses prior to the impact of reinsurance. As discussed above in gross written premium, this key performance indicator has been changed to include assumed accident period losses and assumed earned premiums in the calculation of gross accident period loss ratio beginning during the period ended September 30, 2021. There is no impact to any prior periods from this change.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4"/>
        </w:trPr>
        <w:tc>
          <w:tcPr>
            <w:tcW w:w="604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89.5 %</w:t>
            </w:r>
          </w:p>
        </w:tc>
      </w:tr>
      <w:tr>
        <w:trPr>
          <w:trHeight w:val="26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604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75.0 %</w:t>
            </w:r>
          </w:p>
        </w:tc>
      </w:tr>
      <w:tr>
        <w:trPr>
          <w:trHeight w:val="231"/>
        </w:trPr>
        <w:tc>
          <w:tcPr>
            <w:tcW w:w="6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85.7 %</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50.3 %</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Other insurance benefit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82.9 %</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r>
      <w:tr>
        <w:trPr>
          <w:trHeight w:val="264"/>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65.1 %</w:t>
            </w:r>
          </w:p>
        </w:tc>
      </w:tr>
      <w:tr>
        <w:trPr>
          <w:trHeight w:val="259"/>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Changes in net unrealized gains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Net premiums earned increased $40.2 million, or 89.5%, to $85.1 million for the three months ended September 30, 2021, compared to the same period ended in 2020. The increase was primarily due to a decrease in cession rate as well as growth in gross earned premium between the periods.</w:t>
      </w:r>
    </w:p>
    <w:p>
      <w:pPr>
        <w:spacing w:after="0" w:line="5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During the three months ended September 30, 2021 and 2020, we ceded approximately 55.1% and 70.9% of our gross earned premiums to third-party reinsurers, respectively. The change in ceding percentage between the periods was driven by our evolving approach to our reinsurance structure, in an effort to produce a capital efficient model with reinsurance terms available to us in the market.</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three months ended September 30, 2021 and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 September 30,</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24"/>
        </w:trPr>
        <w:tc>
          <w:tcPr>
            <w:tcW w:w="5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5"/>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written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Ceded written premium</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496.3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5"/>
        </w:trPr>
        <w:tc>
          <w:tcPr>
            <w:tcW w:w="5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earned premium</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20" w:type="dxa"/>
            <w:vAlign w:val="bottom"/>
          </w:tcPr>
          <w:p>
            <w:pPr>
              <w:ind w:left="340"/>
              <w:spacing w:after="0"/>
              <w:rPr>
                <w:sz w:val="20"/>
                <w:szCs w:val="20"/>
                <w:color w:val="auto"/>
              </w:rPr>
            </w:pPr>
            <w:r>
              <w:rPr>
                <w:rFonts w:ascii="Arial" w:cs="Arial" w:eastAsia="Arial" w:hAnsi="Arial"/>
                <w:sz w:val="18"/>
                <w:szCs w:val="18"/>
                <w:color w:val="auto"/>
              </w:rPr>
              <w:t>Ceded earned premium</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1"/>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earned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Gross earned premium growth was primarily due to a 24.3% increase in gross written premium from deeper market penetration across our U.S. state footprint. We also saw a 6.1% increase in Premium per Policy for automobile insurance primarily resulting from pricing increases in several states between the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Fee income increased $3.3 million, or 75.0%, to $7.7 million for the three months ended September 30, 2021 compared to the same period ended in 2020. The increase was primarily due to fee revenue from distributing web and app policy inquiry leads in geographies where we do not have a presence to third parties and an increase in customers making payments in installments.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Loss and LAE increased $38.3 million, or 50.3%, to $114.4 million for the three months ended September 30, 2021 compared to the same period in 2020. The increase was primarily due to higher claims volume, increased claim severity and greater reserves related to the growth in policies in force for the three months ended September 30, 2021 compared to the prior year period.</w:t>
      </w:r>
    </w:p>
    <w:p>
      <w:pPr>
        <w:spacing w:after="0" w:line="135"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Gross accident period loss ratios increased to 91.3% from 79.6% for the three months ended September 30, 2021 and 2020, respectively. This change corresponds with the increase in our calendar period gross loss ratio to 92.7% from 89.8%, for the three months ended September 30, 2021 and 2020, respectively. The change in the loss ratios was driven by elevated claims frequency as miles driven during the period exceeded pre-COVID-19 levels and higher loss costs as severity per claim has increased. This increase in loss costs was partially offset by greater salvage and subrogation as well as growth in average premium per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Sales and marketing expense increased $28.5 million, or 77.2%, to $65.4 million for the three months ended September 30, 2021 compared to the same period in 2020. The increase was primarily due to increased investment in performance marketing of $15.1 million and branding and advertising of $8.1 million due to increased customer acquisition and advertising campaign expense. During the three months ended September 30, 2021 we incurred an additional $3.3 million of content development and partnership marketing expense compared to the prior year period. We have focused on diversifying our marketing channels, including prioritization of our partnership marketing channel, and evolving marketing investments to drive growth and deeper market penetration in the states in which we operate. These changes include a decline in performance marketing spend during the three months ended September 30, 2021 as we navigate the exposure to significant cost increases we experienced earlier in the year. During the three months ended September 30, 2020, marketing expense was reduced as we navigated the uncertainty surrounding the ongoing COVID-19 pandemic.</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w:t>
      </w:r>
    </w:p>
    <w:p>
      <w:pPr>
        <w:spacing w:after="0" w:line="170" w:lineRule="exact"/>
        <w:rPr>
          <w:sz w:val="20"/>
          <w:szCs w:val="20"/>
          <w:color w:val="auto"/>
        </w:rPr>
      </w:pPr>
    </w:p>
    <w:p>
      <w:pPr>
        <w:jc w:val="both"/>
        <w:ind w:right="140" w:firstLine="318"/>
        <w:spacing w:after="0" w:line="318" w:lineRule="auto"/>
        <w:rPr>
          <w:sz w:val="20"/>
          <w:szCs w:val="20"/>
          <w:color w:val="auto"/>
        </w:rPr>
      </w:pPr>
      <w:r>
        <w:rPr>
          <w:rFonts w:ascii="Arial" w:cs="Arial" w:eastAsia="Arial" w:hAnsi="Arial"/>
          <w:sz w:val="15"/>
          <w:szCs w:val="15"/>
          <w:color w:val="auto"/>
        </w:rPr>
        <w:t>Other insurance benefit decreased $21.8 million, or 82.9%, to a benefit of $4.5 million for the three months ended September 30, 2021 compared to the same period in 2020. The decrease was primarily driven by lower ceding commission contra-expense of $18.2 million due to greater commissions earned on unearned premiums on ceded policies at the inception of the reinsurance agreement on July 1, 2020. Underwriting costs increased by $2.7 million driven by growth in the core insurance business for the three months ended September 30, 2021 compared to the three months ended September 30, 2020.</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Technology and development expense increased $5.1 million, or 39.5%, to $18.0 million for the three months ended September 30, 2021 compared to the same period in 2020. The increase was primarily driven by an additional $2.7 million in share-based compensation expense compared to the same period in 2020 relating to our equity incentive plan. In addition we made incremental investments in personnel and overhead resulting from growth of engineering and product teams of $1.7 million for the three months ended September 30, 2021 compared to the same period in 2020, as we continue to invest in developing and improving our technology platforms and infrastructure.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General and administrative increased $10.8 million, or 65.1%, to $27.4 million for the three months ended September 30, 2021 compared to the same period in 2020. The increase was driven by $4.5 million in personnel costs as a result of an increase in headcount. In addition, we incurred an additional $3.2 million in share-based compensation expense. Also, we incurred an additional $2.1 million of corporate insurance expense for the three months ended September 30, 2021 compared to the same period in 2020.</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Interest expense decreased $13.4 million, or 68.7%, to $6.1 million for the three months ended September 30, 2021 compared to the same period ended in 2020. The decrease was primarily due to the warrant fair value adjustment of $13.7 million that we recognized during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jc w:val="both"/>
        <w:ind w:left="6500"/>
        <w:spacing w:after="0"/>
        <w:tabs>
          <w:tab w:leader="none" w:pos="7760" w:val="left"/>
          <w:tab w:leader="none" w:pos="8920" w:val="left"/>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premiums earned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investment income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realized gains on investments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 and other income</w:t>
      </w:r>
    </w:p>
    <w:p>
      <w:pPr>
        <w:spacing w:after="0" w:line="71" w:lineRule="exact"/>
        <w:rPr>
          <w:sz w:val="20"/>
          <w:szCs w:val="20"/>
          <w:color w:val="auto"/>
        </w:rPr>
      </w:pPr>
    </w:p>
    <w:p>
      <w:pPr>
        <w:jc w:val="center"/>
        <w:ind w:right="3820"/>
        <w:spacing w:after="0"/>
        <w:rPr>
          <w:sz w:val="20"/>
          <w:szCs w:val="20"/>
          <w:color w:val="auto"/>
        </w:rPr>
      </w:pPr>
      <w:r>
        <w:rPr>
          <w:rFonts w:ascii="Arial" w:cs="Arial" w:eastAsia="Arial" w:hAnsi="Arial"/>
          <w:sz w:val="18"/>
          <w:szCs w:val="18"/>
          <w:color w:val="auto"/>
        </w:rPr>
        <w:t>Total revenues</w:t>
      </w:r>
    </w:p>
    <w:p>
      <w:pPr>
        <w:spacing w:after="0" w:line="58"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Operating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and loss adjustment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Other insurance (benefit) expense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and development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1100.0 %</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09"/>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172.5 %</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31.0 %</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-2211705</wp:posOffset>
            </wp:positionV>
            <wp:extent cx="7134860"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-1875155</wp:posOffset>
            </wp:positionV>
            <wp:extent cx="7134860"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-1529715</wp:posOffset>
            </wp:positionV>
            <wp:extent cx="7134860" cy="168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-1193165</wp:posOffset>
            </wp:positionV>
            <wp:extent cx="7134860" cy="168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-856615</wp:posOffset>
            </wp:positionV>
            <wp:extent cx="7134860"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-520065</wp:posOffset>
            </wp:positionV>
            <wp:extent cx="7134860" cy="176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-167005</wp:posOffset>
            </wp:positionV>
            <wp:extent cx="7134860" cy="176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net unrealized gains (losses) on investments</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premiums earned decreased $53.0 million, or 19.0%, to $225.4 million for the nine months ended September 30, 2021 compared to the same period in 2020. The decrease was primarily due to greater cessions of gross earned premium as a result of a change in reinsurance structure, partially offset by growth in gross written premium between the periods.</w:t>
      </w:r>
    </w:p>
    <w:p>
      <w:pPr>
        <w:spacing w:after="0" w:line="135" w:lineRule="exact"/>
        <w:rPr>
          <w:sz w:val="20"/>
          <w:szCs w:val="20"/>
          <w:color w:val="auto"/>
        </w:rPr>
      </w:pPr>
    </w:p>
    <w:p>
      <w:pPr>
        <w:jc w:val="both"/>
        <w:ind w:right="320" w:firstLine="318"/>
        <w:spacing w:after="0" w:line="255" w:lineRule="auto"/>
        <w:rPr>
          <w:sz w:val="20"/>
          <w:szCs w:val="20"/>
          <w:color w:val="auto"/>
        </w:rPr>
      </w:pPr>
      <w:r>
        <w:rPr>
          <w:rFonts w:ascii="Arial" w:cs="Arial" w:eastAsia="Arial" w:hAnsi="Arial"/>
          <w:sz w:val="18"/>
          <w:szCs w:val="18"/>
          <w:color w:val="auto"/>
        </w:rPr>
        <w:t>During the nine months ended September 30, 2021 and 2020, we ceded approximately 57.5% and 38.2% of our gross earned premiums to third-party reinsurers, respectively. The change in ceding percentage between the periods was driven by our evolving approach to reinsurance structure, in an effort to produce a capital efficient model with reinsurance terms available to us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119"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nine months ended September 30, 2021 and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ind w:left="62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(dollars in millions)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written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584.2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471.1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85"/>
              </w:rPr>
              <w:t>24.0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Ceded written premium</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91"/>
              </w:rPr>
              <w:t>(306.8)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left="258"/>
              <w:spacing w:after="0"/>
              <w:rPr>
                <w:sz w:val="20"/>
                <w:szCs w:val="20"/>
                <w:color w:val="auto"/>
              </w:rPr>
            </w:pPr>
            <w:r>
              <w:rPr>
                <w:rFonts w:ascii="Arial" w:cs="Arial" w:eastAsia="Arial" w:hAnsi="Arial"/>
                <w:sz w:val="18"/>
                <w:szCs w:val="18"/>
                <w:color w:val="auto"/>
                <w:w w:val="91"/>
              </w:rPr>
              <w:t>(274.7)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5"/>
              </w:rPr>
              <w:t>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277.4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196.4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85"/>
              </w:rPr>
              <w:t>41.2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5"/>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earned premium</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84"/>
              </w:rPr>
              <w:t>530.3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8"/>
              <w:spacing w:after="0"/>
              <w:rPr>
                <w:sz w:val="20"/>
                <w:szCs w:val="20"/>
                <w:color w:val="auto"/>
              </w:rPr>
            </w:pPr>
            <w:r>
              <w:rPr>
                <w:rFonts w:ascii="Arial" w:cs="Arial" w:eastAsia="Arial" w:hAnsi="Arial"/>
                <w:sz w:val="18"/>
                <w:szCs w:val="18"/>
                <w:color w:val="auto"/>
                <w:w w:val="88"/>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85"/>
              </w:rPr>
              <w:t>17.8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ind w:left="340"/>
              <w:spacing w:after="0"/>
              <w:rPr>
                <w:sz w:val="20"/>
                <w:szCs w:val="20"/>
                <w:color w:val="auto"/>
              </w:rPr>
            </w:pPr>
            <w:r>
              <w:rPr>
                <w:rFonts w:ascii="Arial" w:cs="Arial" w:eastAsia="Arial" w:hAnsi="Arial"/>
                <w:sz w:val="18"/>
                <w:szCs w:val="18"/>
                <w:color w:val="auto"/>
              </w:rPr>
              <w:t>Ceded earned premium</w:t>
            </w:r>
          </w:p>
        </w:tc>
        <w:tc>
          <w:tcPr>
            <w:tcW w:w="580" w:type="dxa"/>
            <w:vAlign w:val="bottom"/>
          </w:tcPr>
          <w:p>
            <w:pPr>
              <w:spacing w:after="0"/>
              <w:rPr>
                <w:sz w:val="20"/>
                <w:szCs w:val="20"/>
                <w:color w:val="auto"/>
              </w:rPr>
            </w:pPr>
          </w:p>
        </w:tc>
        <w:tc>
          <w:tcPr>
            <w:tcW w:w="880" w:type="dxa"/>
            <w:vAlign w:val="bottom"/>
          </w:tcPr>
          <w:p>
            <w:pPr>
              <w:jc w:val="center"/>
              <w:ind w:left="234"/>
              <w:spacing w:after="0"/>
              <w:rPr>
                <w:sz w:val="20"/>
                <w:szCs w:val="20"/>
                <w:color w:val="auto"/>
              </w:rPr>
            </w:pPr>
            <w:r>
              <w:rPr>
                <w:rFonts w:ascii="Arial" w:cs="Arial" w:eastAsia="Arial" w:hAnsi="Arial"/>
                <w:sz w:val="18"/>
                <w:szCs w:val="18"/>
                <w:color w:val="auto"/>
                <w:w w:val="91"/>
              </w:rPr>
              <w:t>(304.9)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center"/>
              <w:ind w:left="258"/>
              <w:spacing w:after="0"/>
              <w:rPr>
                <w:sz w:val="20"/>
                <w:szCs w:val="20"/>
                <w:color w:val="auto"/>
              </w:rPr>
            </w:pPr>
            <w:r>
              <w:rPr>
                <w:rFonts w:ascii="Arial" w:cs="Arial" w:eastAsia="Arial" w:hAnsi="Arial"/>
                <w:sz w:val="18"/>
                <w:szCs w:val="18"/>
                <w:color w:val="auto"/>
                <w:w w:val="91"/>
              </w:rPr>
              <w:t>(171.8)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1340" w:type="dxa"/>
            <w:vAlign w:val="bottom"/>
          </w:tcPr>
          <w:p>
            <w:pPr>
              <w:jc w:val="center"/>
              <w:ind w:left="354"/>
              <w:spacing w:after="0"/>
              <w:rPr>
                <w:sz w:val="20"/>
                <w:szCs w:val="20"/>
                <w:color w:val="auto"/>
              </w:rPr>
            </w:pPr>
            <w:r>
              <w:rPr>
                <w:rFonts w:ascii="Arial" w:cs="Arial" w:eastAsia="Arial" w:hAnsi="Arial"/>
                <w:sz w:val="18"/>
                <w:szCs w:val="18"/>
                <w:color w:val="auto"/>
                <w:w w:val="85"/>
              </w:rPr>
              <w:t>77.5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1"/>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earned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225.4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278.4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(19.0)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Gross earned premium growth was primarily due to a 24.0% increase in gross written premium from deeper market penetration across our U.S. state footprint. We also saw a 6.1% increase in Premium per Policy for automobile insurance primarily resulting from pricing increases in several states between the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Fee income increased $8.8 million, or 67.7%, to $21.8 million for the nine months ended September 30, 2021 compared to the same period ended in 2020. The increase was primarily due to fee revenue from distributing web and app policy inquiry leads in geographies where we do not have a presence to third parties and an increase in customers making payments in installments.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jc w:val="both"/>
        <w:ind w:right="120" w:firstLine="318"/>
        <w:spacing w:after="0" w:line="252" w:lineRule="auto"/>
        <w:rPr>
          <w:sz w:val="20"/>
          <w:szCs w:val="20"/>
          <w:color w:val="auto"/>
        </w:rPr>
      </w:pPr>
      <w:r>
        <w:rPr>
          <w:rFonts w:ascii="Arial" w:cs="Arial" w:eastAsia="Arial" w:hAnsi="Arial"/>
          <w:sz w:val="18"/>
          <w:szCs w:val="18"/>
          <w:color w:val="auto"/>
        </w:rPr>
        <w:t>Loss and LAE decreased $18.8 million, or 6.2%, to $284.5 million for the nine months ended September 30, 2021 compared to the same period in 2020. The decrease was primarily due to higher cessions of incurred losses as a result of a change in reinsurance structure for the nine months ended September 30, 2021 compared to the prior year period, which more than offset the higher claims volume, increased claim severity, and greater reserves related to the growth in policies in force during the first nine months of 2021.</w:t>
      </w:r>
    </w:p>
    <w:p>
      <w:pPr>
        <w:spacing w:after="0" w:line="138"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Gross accident period loss ratios increased to 87.1% from 74.9% for the nine months ended September 30, 2021 and 2020, respectively. The change in the ratios was driven by higher loss costs due to elevated claims frequency as miles driven exceeded pre-COVID-19 and increased severity per claim as a result of higher replacement parts cost and growth in used car values that outpaced expected inflation. This increase in loss costs was partially offset by greater salvage and subrogation as well as growth in average premium per policy.</w:t>
      </w:r>
    </w:p>
    <w:p>
      <w:pPr>
        <w:spacing w:after="0" w:line="13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In addition, loss and LAE for the nine months ended September 30, 2021 includes a decrease in incurred losses and LAE attributable to accident periods prior to 2021 of $9.3 million. This decrease relates to lower-than-expected reported losses on bodily injury claims from 2020. In addition, recoveries from subrogation and salvage from 2020 material damage claims were higher than expected.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Sales and marketing expense increased $155.4 million, or 172.5%, to $245.5 million for the nine months ended September 30, 2021 compared to the same period in 2020. The increase was primarily due to increased investment in performance marketing of $105.3 million and branding and advertising of $39.2 million as we responded to unexpected changes in consumer behavior and increased customer acquisition and advertising campaigns in digital channels on the part of our competitors. These changes include a decline in performance marketing spend during the three months ended September 30, 2021 as we navigate the exposure to significant cost increases we experienced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earlier in the year. We have focused on diversifying our marketing investments to drive growth and deeper market penetration in the states in which we operate. Additionally, marketing spend was lower through much of the nine months ended September 30, 2020 due to uncertainty surrounding the ongoing COVID-19 pandemic.</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 Expense</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Other insurance (benefit) expense decreased $3.9 million, or 1,300.0%, to a benefit of $3.6 million for the nine months ended September 30, 2021 compared to the same period in 2020. The decrease was primarily driven by greater ceding commission contra-expense due to reinsurance structure changes of $14.6 million and lower premium write-offs of $2.0 million. This was partially offset by greater underwriting costs of $8.6 million due to growth in the core insurance business and $3.4 million in personnel costs as a result of an increase in headcount for the nine months ended September 30, 2021 compared to the nine months ended September 30, 2020.</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Technology and development expense increased $9.1 million, or 22.6%, to $49.3 million for the nine months ended September 30, 2021 compared to the same period in 2020. The increase was primarily driven by incremental investments in personnel and overhead resulting from growth of engineering and product teams of $6.9 million for the nine months ended September 30, 2021 compared to the same period in 2020. In addition, we incurred a $2.0 million increase in software development expense, as we continue to invest in developing and improving our technology platforms and infrastructure.</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General and administrative increased $11.0 million, or 18.7%, to $69.8 million for the nine months ended September 30, 2021 compared to the same period in 2020. The increase was driven by $8.6 million in personnel costs as a result of an increase in headcount. In addition, we incurred an additional $6.3 million of corporate insurance expense, $1.9 million of professional services, $1.9 million of support application services and $1.3 million in enterprise costs. This was partially offset by a decrease in share-based compensation expense of $11.2 million for the nine months ended September 30, 2021 compared to the same period in 2020, primarily related to the 2020 tender offer.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Interest expense decreased $15.0 million, or 45.6%, to $17.9 million for the nine months ended September 30, 2021 compared to the same period ended in 2020. The decrease was primarily due to the warrant fair value adjustment of $13.7 million that we recognized during the nine months ended September 30,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adjusted gross profit/(loss) and direct contribution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43"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strategic planning decisions regarding future operating investments; and (6) plan for and prepare future annual operating budgets and determine appropriate levels of operating investments.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For the definition of adjusted gross profit/(loss) and why management believes this measure provides useful information to investors, see “— Key Performance Indicators.”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a reconciliation of total revenue to adjusted gross profit/(loss) and direct contribution for the three and nine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7"/>
                <w:szCs w:val="17"/>
                <w:color w:val="auto"/>
              </w:rPr>
            </w:pPr>
          </w:p>
        </w:tc>
        <w:tc>
          <w:tcPr>
            <w:tcW w:w="27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7"/>
        </w:trPr>
        <w:tc>
          <w:tcPr>
            <w:tcW w:w="44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4"/>
        </w:trPr>
        <w:tc>
          <w:tcPr>
            <w:tcW w:w="4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295.9</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360" w:type="dxa"/>
            <w:vAlign w:val="bottom"/>
          </w:tcPr>
          <w:p>
            <w:pPr>
              <w:spacing w:after="0"/>
              <w:rPr>
                <w:sz w:val="23"/>
                <w:szCs w:val="23"/>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(303.3)</w:t>
            </w: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(7.7)</w:t>
            </w:r>
          </w:p>
        </w:tc>
      </w:tr>
      <w:tr>
        <w:trPr>
          <w:trHeight w:val="28"/>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8"/>
        </w:trPr>
        <w:tc>
          <w:tcPr>
            <w:tcW w:w="444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65"/>
        </w:trPr>
        <w:tc>
          <w:tcPr>
            <w:tcW w:w="444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36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(0.2)</w:t>
            </w: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29.3</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360" w:type="dxa"/>
            <w:vAlign w:val="bottom"/>
          </w:tcPr>
          <w:p>
            <w:pPr>
              <w:spacing w:after="0"/>
              <w:rPr>
                <w:sz w:val="20"/>
                <w:szCs w:val="20"/>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17.1</w:t>
            </w:r>
          </w:p>
        </w:tc>
      </w:tr>
      <w:tr>
        <w:trPr>
          <w:trHeight w:val="28"/>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104.3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109.5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171.8</w:t>
            </w:r>
          </w:p>
        </w:tc>
      </w:tr>
      <w:tr>
        <w:trPr>
          <w:trHeight w:val="238"/>
        </w:trPr>
        <w:tc>
          <w:tcPr>
            <w:tcW w:w="444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360" w:type="dxa"/>
            <w:vAlign w:val="bottom"/>
          </w:tcPr>
          <w:p>
            <w:pPr>
              <w:spacing w:after="0"/>
              <w:rPr>
                <w:sz w:val="20"/>
                <w:szCs w:val="20"/>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(119.6)</w:t>
            </w:r>
          </w:p>
        </w:tc>
      </w:tr>
      <w:tr>
        <w:trPr>
          <w:trHeight w:val="28"/>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2"/>
                <w:szCs w:val="22"/>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(63.8)</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360" w:type="dxa"/>
            <w:vAlign w:val="bottom"/>
          </w:tcPr>
          <w:p>
            <w:pPr>
              <w:spacing w:after="0"/>
              <w:rPr>
                <w:sz w:val="20"/>
                <w:szCs w:val="20"/>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5.5</w:t>
            </w:r>
          </w:p>
        </w:tc>
      </w:tr>
      <w:tr>
        <w:trPr>
          <w:trHeight w:val="27"/>
        </w:trPr>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450.2</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19.2 %</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Ratio of adjusted gross profit/(loss) to gross earned premium</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45" w:lineRule="exact"/>
        <w:rPr>
          <w:sz w:val="20"/>
          <w:szCs w:val="20"/>
          <w:color w:val="auto"/>
        </w:rPr>
      </w:pPr>
    </w:p>
    <w:p>
      <w:pPr>
        <w:ind w:left="200" w:hanging="194"/>
        <w:spacing w:after="0"/>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69" w:lineRule="exact"/>
        <w:rPr>
          <w:rFonts w:ascii="Arial" w:cs="Arial" w:eastAsia="Arial" w:hAnsi="Arial"/>
          <w:sz w:val="14"/>
          <w:szCs w:val="14"/>
          <w:color w:val="auto"/>
        </w:rPr>
      </w:pPr>
    </w:p>
    <w:p>
      <w:pPr>
        <w:ind w:left="320" w:right="20" w:hanging="314"/>
        <w:spacing w:after="0" w:line="265" w:lineRule="auto"/>
        <w:tabs>
          <w:tab w:leader="none" w:pos="2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 ceded.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October 2021, upon maturity of our Term Loan A and expiration of the revolving loan, we repaid the outstanding Term Loan A principal balance of $98.8 million and accrued interest and fees of $0.2 million. Additionally, in October 2021 we received $126 million of gross proceeds from Carvana Group, LLC, or Carvana, from the issuance of approximately 14 million shares of convertible preferred stock and we issued Carvana eight tranches of warrants to purchase shares of the Company’s Class A common stock. In November 2021, we repaid the outstanding Term Loan B principal balance of $100.0 million and accrued interest, including PIK interest, and fees of $20.9 million.</w:t>
      </w:r>
    </w:p>
    <w:p>
      <w:pPr>
        <w:spacing w:after="0" w:line="141"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November, we signed an exclusive term sheet with BlackRock Financial Management, Inc., on behalf of funds and accounts under its management, or BlackRock, to put in place a larger term loan facility with a longer maturity than our previous structure. We expect to work in good faith with BlackRock to close the facility before year-end, subject to negotiation and documentation of final terms and the terms and conditions contained in the definitive documentation.</w:t>
      </w:r>
    </w:p>
    <w:p>
      <w:pPr>
        <w:spacing w:after="0" w:line="138"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As of September 30, 2021, we had $834.1 million in cash and cash equivalents, of which $684.6 million was held outside of regulated insurance entities and $130.8 million was held in marketable securities. As of September 30, 2021, we had $100.0 million available under our revolving loan, of which there were no borrowings or letters of credit outstanding. The revolving loan expired upon maturity of Term Loan A in October 2021.</w:t>
      </w:r>
    </w:p>
    <w:p>
      <w:pPr>
        <w:spacing w:after="0" w:line="84"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U.S. treasury securities and agencies, municipal securities, corporate debt securities, residential and commercial mortgage-backed securities, and other debt obligations. We believe that our existing cash and cash equivalents, marketable securities and cash flow from operations will be sufficient to support working capital and capital expenditure requirements for at least the next 12 months.</w:t>
      </w:r>
    </w:p>
    <w:p>
      <w:pPr>
        <w:spacing w:after="0" w:line="13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September 30, 2021, they were not permitted to pay any dividends without approval of the applicable superintendent, commissioner and/or director.</w:t>
      </w:r>
    </w:p>
    <w:p>
      <w:pPr>
        <w:spacing w:after="0" w:line="14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As our insurance subsidiaries’ businesses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2021, our insurance subsidiaries maintained a risk-based capital level that is in excess of an amount that would require any corrective actions on our part.</w:t>
      </w:r>
    </w:p>
    <w:p>
      <w:pPr>
        <w:spacing w:after="0" w:line="138"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Cayman Islands Monetary Authority. At September 30, 2021, Root Re was subject to compliance with certain capital levels and a net earned premium to capital ratio of 15:1, which we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823"/>
              <w:spacing w:after="0"/>
              <w:rPr>
                <w:sz w:val="20"/>
                <w:szCs w:val="20"/>
                <w:color w:val="auto"/>
              </w:rPr>
            </w:pPr>
            <w:r>
              <w:rPr>
                <w:rFonts w:ascii="Arial" w:cs="Arial" w:eastAsia="Arial" w:hAnsi="Arial"/>
                <w:sz w:val="14"/>
                <w:szCs w:val="14"/>
                <w:b w:val="1"/>
                <w:bCs w:val="1"/>
                <w:color w:val="auto"/>
                <w:w w:val="91"/>
              </w:rPr>
              <w:t>Nine Months Ended September 30,</w:t>
            </w:r>
          </w:p>
        </w:tc>
        <w:tc>
          <w:tcPr>
            <w:tcW w:w="580" w:type="dxa"/>
            <w:vAlign w:val="bottom"/>
            <w:tcBorders>
              <w:bottom w:val="single" w:sz="8" w:color="auto"/>
            </w:tcBorders>
          </w:tcPr>
          <w:p>
            <w:pPr>
              <w:spacing w:after="0"/>
              <w:rPr>
                <w:sz w:val="16"/>
                <w:szCs w:val="16"/>
                <w:color w:val="auto"/>
              </w:rPr>
            </w:pPr>
          </w:p>
        </w:tc>
      </w:tr>
      <w:tr>
        <w:trPr>
          <w:trHeight w:val="186"/>
        </w:trPr>
        <w:tc>
          <w:tcPr>
            <w:tcW w:w="74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7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1"/>
              </w:rPr>
              <w:t>(in millions)</w:t>
            </w:r>
          </w:p>
        </w:tc>
        <w:tc>
          <w:tcPr>
            <w:tcW w:w="580" w:type="dxa"/>
            <w:vAlign w:val="bottom"/>
          </w:tcPr>
          <w:p>
            <w:pPr>
              <w:spacing w:after="0"/>
              <w:rPr>
                <w:sz w:val="15"/>
                <w:szCs w:val="15"/>
                <w:color w:val="auto"/>
              </w:rPr>
            </w:pPr>
          </w:p>
        </w:tc>
      </w:tr>
      <w:tr>
        <w:trPr>
          <w:trHeight w:val="24"/>
        </w:trPr>
        <w:tc>
          <w:tcPr>
            <w:tcW w:w="7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2"/>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4"/>
              </w:rPr>
              <w:t>(364.3)</w:t>
            </w:r>
          </w:p>
        </w:tc>
        <w:tc>
          <w:tcPr>
            <w:tcW w:w="11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45"/>
        </w:trPr>
        <w:tc>
          <w:tcPr>
            <w:tcW w:w="746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Pr>
          <w:p>
            <w:pPr>
              <w:spacing w:after="0"/>
              <w:rPr>
                <w:sz w:val="21"/>
                <w:szCs w:val="21"/>
                <w:color w:val="auto"/>
              </w:rPr>
            </w:pPr>
          </w:p>
        </w:tc>
        <w:tc>
          <w:tcPr>
            <w:tcW w:w="780" w:type="dxa"/>
            <w:vAlign w:val="bottom"/>
          </w:tcPr>
          <w:p>
            <w:pPr>
              <w:jc w:val="right"/>
              <w:ind w:right="176"/>
              <w:spacing w:after="0"/>
              <w:rPr>
                <w:sz w:val="20"/>
                <w:szCs w:val="20"/>
                <w:color w:val="auto"/>
              </w:rPr>
            </w:pPr>
            <w:r>
              <w:rPr>
                <w:rFonts w:ascii="Arial" w:cs="Arial" w:eastAsia="Arial" w:hAnsi="Arial"/>
                <w:sz w:val="18"/>
                <w:szCs w:val="18"/>
                <w:color w:val="auto"/>
              </w:rPr>
              <w:t>83.3</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(103.1)</w:t>
            </w:r>
          </w:p>
        </w:tc>
      </w:tr>
      <w:tr>
        <w:trPr>
          <w:trHeight w:val="25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2.3</w:t>
            </w:r>
          </w:p>
        </w:tc>
        <w:tc>
          <w:tcPr>
            <w:tcW w:w="1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39"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Net cash used in operating activities for the nine months ended September 30, 2021 was $364.3 million compared to $94.8 million of net cash used in operating activities for the nine months ended September 30, 2020. The increase was primarily due to the volume and timing of premium receipts, claims payments, reinsurance activity, sales and marketing, accruals of accounts payable and other expenses. In addition, we incurred greater share-based compensation during the nine months ended September 30, 2021. During the nine months ended September 30, 2020, there was a non-cash impact relating to the tender offer and fair value adjustment of warrants.</w:t>
      </w:r>
    </w:p>
    <w:p>
      <w:pPr>
        <w:spacing w:after="0" w:line="141" w:lineRule="exact"/>
        <w:rPr>
          <w:sz w:val="20"/>
          <w:szCs w:val="20"/>
          <w:color w:val="auto"/>
        </w:rPr>
      </w:pPr>
    </w:p>
    <w:p>
      <w:pPr>
        <w:ind w:right="560" w:firstLine="318"/>
        <w:spacing w:after="0" w:line="271" w:lineRule="auto"/>
        <w:rPr>
          <w:sz w:val="20"/>
          <w:szCs w:val="20"/>
          <w:color w:val="auto"/>
        </w:rPr>
      </w:pPr>
      <w:r>
        <w:rPr>
          <w:rFonts w:ascii="Arial" w:cs="Arial" w:eastAsia="Arial" w:hAnsi="Arial"/>
          <w:sz w:val="17"/>
          <w:szCs w:val="17"/>
          <w:color w:val="auto"/>
        </w:rPr>
        <w:t>Net cash provided by investing activities for the nine months ended September 30, 2021 was $83.3 million, primarily due to proceeds from sales, maturities, calls and pay downs of investments. Net cash used in investing activities for the nine months ended September 30, 2020 was $103.1 million primarily due to purchases of corporate debt securities, commercial mortgage-backed securities, residential mortgage-backed securities and other debt obligations, partially offset by sales, maturities, calls and pay downs of investments.</w:t>
      </w:r>
    </w:p>
    <w:p>
      <w:pPr>
        <w:spacing w:after="0" w:line="12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Net cash provided by financing activities for the nine months ended September 30, 2021 was $2.3 million, primarily due to proceeds from employees exercising stock options, net of tax proceeds/(withholding), which was offset by a partial repayment of long term debt. Net cash used in financing activities for the nine months ended September 30, 2020 was $0.1 million primarily due to primarily due to proceeds from amending our Term Loan A agreement, which was offset by a partial repayment of Term Loan A.</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to our contractual obligations from those described in our 2020 10-K.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2020 10-K and the Notes to the Condensed Consolidated Financial Statements - Unaudited appearing elsewhere in this Quarterly Report on Form 10-Q. During the nine months ended September 30, 2021, there were no material changes to our critical accounting policies from those discussed in our 2020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0"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See Note 2, Basis of Presentation and Summary of Significant Accounting Policies, in the Notes to the Condensed Consolidated Financial Statements - Unaudited included in this Quarterly Report on Form 10-Q for a discussion of accounting pronouncements recently adopted and recently issued accounting pronouncements not yet adopted and their potential impact to our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currently qualify as an “emerging growth company” under the Jumpstart Our Business Startups Act, or JOBS Act. Accordingly, we are provided the option to adopt new or revised accounting guidance either (1) within the same periods as those otherwise applicable to non-emerging growth companies or (2) within the same time periods as private companies.</w:t>
      </w:r>
    </w:p>
    <w:p>
      <w:pPr>
        <w:spacing w:after="0" w:line="135"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We have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 As of June 30, 2021, the market value of our common stock held by non-affiliates exceeded $700 million. Accordingly, we will be deemed a “large accelerated filer” under the Securities Exchange Act of 1934, as amended, or Exchange Act, and will no longer qualify as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3" w:name="page44"/>
    <w:bookmarkEnd w:id="4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in the quantitative and qualitative market risk disclosures included in the 2020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September 30, 2021.</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materially affected, or are reasonably likely to materially affect, our internal control over financial reporting.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Exchange Act and Rule 10b-5 thereunder, and of Sections 11 and 15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material changes in our risk factors from those disclosed in the 2020 10-K. In addition to the other information set forth in this Quarterly Report on Form 10-Q, you should carefully consider the risk factors discussed in Part I, Item IA, “Risk Factors” in the 2020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7" w:name="page48"/>
    <w:bookmarkEnd w:id="4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 number of shares</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 number of shares</w:t>
            </w:r>
          </w:p>
        </w:tc>
        <w:tc>
          <w:tcPr>
            <w:tcW w:w="2140" w:type="dxa"/>
            <w:vAlign w:val="bottom"/>
          </w:tcPr>
          <w:p>
            <w:pPr>
              <w:ind w:left="380"/>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33"/>
        </w:trPr>
        <w:tc>
          <w:tcPr>
            <w:tcW w:w="210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Average price paid per share</w:t>
            </w:r>
          </w:p>
        </w:tc>
        <w:tc>
          <w:tcPr>
            <w:tcW w:w="80" w:type="dxa"/>
            <w:vAlign w:val="bottom"/>
            <w:vMerge w:val="restart"/>
          </w:tcPr>
          <w:p>
            <w:pPr>
              <w:spacing w:after="0"/>
              <w:rPr>
                <w:sz w:val="11"/>
                <w:szCs w:val="11"/>
                <w:color w:val="auto"/>
              </w:rPr>
            </w:pPr>
          </w:p>
        </w:tc>
        <w:tc>
          <w:tcPr>
            <w:tcW w:w="22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2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that may yet be purchased under</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purchased</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 or programs</w:t>
            </w:r>
          </w:p>
        </w:tc>
        <w:tc>
          <w:tcPr>
            <w:tcW w:w="8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plans or programs</w:t>
            </w:r>
          </w:p>
        </w:tc>
        <w:tc>
          <w:tcPr>
            <w:tcW w:w="0" w:type="dxa"/>
            <w:vAlign w:val="bottom"/>
          </w:tcPr>
          <w:p>
            <w:pPr>
              <w:spacing w:after="0"/>
              <w:rPr>
                <w:sz w:val="1"/>
                <w:szCs w:val="1"/>
                <w:color w:val="auto"/>
              </w:rPr>
            </w:pPr>
          </w:p>
        </w:tc>
      </w:tr>
      <w:tr>
        <w:trPr>
          <w:trHeight w:val="246"/>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7/1/2021 - 7/31/2021</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100" w:type="dxa"/>
            <w:vAlign w:val="bottom"/>
          </w:tcPr>
          <w:p>
            <w:pPr>
              <w:jc w:val="right"/>
              <w:ind w:right="176"/>
              <w:spacing w:after="0"/>
              <w:rPr>
                <w:sz w:val="20"/>
                <w:szCs w:val="20"/>
                <w:color w:val="auto"/>
              </w:rPr>
            </w:pPr>
            <w:r>
              <w:rPr>
                <w:rFonts w:ascii="Arial" w:cs="Arial" w:eastAsia="Arial" w:hAnsi="Arial"/>
                <w:sz w:val="18"/>
                <w:szCs w:val="18"/>
                <w:color w:val="auto"/>
              </w:rPr>
              <w:t>8/1/2021 - 8/31/2021</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1,602,287</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21"/>
                <w:szCs w:val="21"/>
                <w:color w:val="auto"/>
              </w:rPr>
            </w:pPr>
          </w:p>
        </w:tc>
        <w:tc>
          <w:tcPr>
            <w:tcW w:w="22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9/1/2021 - 9/30/2021</w:t>
            </w:r>
          </w:p>
        </w:tc>
        <w:tc>
          <w:tcPr>
            <w:tcW w:w="10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were entitled to repurchase the unvested shares.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On October 30, 2020, we closed our initial public offering, or IPO, in which we sold 24,249,330 shares of our Class A common stock at a price of $27.00 per share. The offer and sale of the shares in the IPO were registered under the Securities Act pursuant to a registration statement on Form S-1 (File No. 333-249692), which was declared effective by the SEC on October 27, 2020. We raised approximately $615.4 million in net proceeds after deducting underwriting discounts and commissions of $39.3 million and offering expenses. We also issued and sold an aggregate of 18,518,518 shares, or the Private Placement Shares, of our Class A common stock, par value $0.0001 per share, or the Class A Common Stock, to funds affiliated with Dragoneer Investment Group, LLC, or Dragoneer, and Silver Lake Technology Management, L.L.C, or Silver Lake, in private placements that occurred concurrently with the closing of our IPO. The aggregate cash purchase price of the Private Placement Shares was $500.0 million, representing a per share price of $27.00, the same price at which shares of Class A Common Stock were sold to the public in the IPO.</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have used and will continue to use the net proceeds we received from our IPO for general corporate purposes, including working capital, operating expenses and capital expenditures. Additionally, we may use a portion of the net proceeds we received from our IPO for acquisitions and/or strategic investments in complementary businesses, products, services or technologies. The representatives of the underwriters of our IPO were Goldman Sachs &amp; Co. LLC, Morgan Stanley &amp; Co. LLC, Barclays Capital Inc. and Wells Fargo Securities, LLC. The private placement did not involve any underwriters, any underwriting discounts or commissions, or any public offering.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64" w:lineRule="exact"/>
        <w:rPr>
          <w:sz w:val="20"/>
          <w:szCs w:val="20"/>
          <w:color w:val="auto"/>
        </w:rPr>
      </w:pPr>
    </w:p>
    <w:p>
      <w:pPr>
        <w:ind w:right="420" w:firstLine="318"/>
        <w:spacing w:after="0" w:line="365" w:lineRule="auto"/>
        <w:rPr>
          <w:sz w:val="20"/>
          <w:szCs w:val="20"/>
          <w:color w:val="auto"/>
        </w:rPr>
      </w:pPr>
      <w:r>
        <w:rPr>
          <w:rFonts w:ascii="Arial" w:cs="Arial" w:eastAsia="Arial" w:hAnsi="Arial"/>
          <w:sz w:val="15"/>
          <w:szCs w:val="15"/>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dividends to stockholders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w:t>
      </w:r>
    </w:p>
    <w:p>
      <w:pPr>
        <w:spacing w:after="0" w:line="1" w:lineRule="exact"/>
        <w:rPr>
          <w:sz w:val="20"/>
          <w:szCs w:val="20"/>
          <w:color w:val="auto"/>
        </w:rPr>
      </w:pPr>
    </w:p>
    <w:p>
      <w:pPr>
        <w:ind w:firstLine="6"/>
        <w:spacing w:after="0" w:line="246" w:lineRule="auto"/>
        <w:tabs>
          <w:tab w:leader="none" w:pos="2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2020, neither Root Insurance Company nor Root Property &amp; Casualty Insurance Company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 included in the 2020 10-K.</w:t>
      </w:r>
    </w:p>
    <w:p>
      <w:pPr>
        <w:spacing w:after="0" w:line="14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Further, both our Term Loan A, which is no longer outstanding as of October 15, 2021, and our Term Loan B, which is no longer outstanding as of November 8, 2021, included covenants that required us to maintain certain levels of liquidity and restricted us from declaring or making any cash dividend or other distributions and from repurchasing any of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1" w:name="page52"/>
    <w:bookmarkEnd w:id="5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80" w:type="dxa"/>
            <w:vAlign w:val="bottom"/>
          </w:tcPr>
          <w:p>
            <w:pPr>
              <w:ind w:left="320"/>
              <w:spacing w:after="0"/>
              <w:rPr>
                <w:sz w:val="20"/>
                <w:szCs w:val="20"/>
                <w:color w:val="auto"/>
              </w:rPr>
            </w:pPr>
            <w:r>
              <w:rPr>
                <w:rFonts w:ascii="Arial" w:cs="Arial" w:eastAsia="Arial" w:hAnsi="Arial"/>
                <w:sz w:val="18"/>
                <w:szCs w:val="18"/>
                <w:color w:val="auto"/>
              </w:rPr>
              <w:t>(a)</w:t>
            </w: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w w:val="99"/>
              </w:rPr>
              <w:t>Incorporation by Reference</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8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w w:val="94"/>
              </w:rPr>
              <w:t>Exhibit</w:t>
            </w:r>
          </w:p>
        </w:tc>
        <w:tc>
          <w:tcPr>
            <w:tcW w:w="3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gridSpan w:val="4"/>
            <w:vMerge w:val="continue"/>
          </w:tcPr>
          <w:p>
            <w:pPr>
              <w:spacing w:after="0"/>
              <w:rPr>
                <w:sz w:val="12"/>
                <w:szCs w:val="12"/>
                <w:color w:val="auto"/>
              </w:rPr>
            </w:pPr>
          </w:p>
        </w:tc>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50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1">
            <w:col w:w="11240"/>
          </w:cols>
          <w:pgMar w:left="320" w:top="1314"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spacing w:after="0" w:line="229"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Amended and Restated Certificate of Incorporation of</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Root, Inc.</w:t>
        </w:r>
      </w:hyperlink>
    </w:p>
    <w:p>
      <w:pPr>
        <w:spacing w:after="0" w:line="56" w:lineRule="exact"/>
        <w:rPr>
          <w:sz w:val="20"/>
          <w:szCs w:val="20"/>
          <w:color w:val="auto"/>
        </w:rPr>
      </w:pPr>
    </w:p>
    <w:p>
      <w:pPr>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Amended and Restated Bylaws of Root, Inc.</w:t>
        </w:r>
      </w:hyperlink>
    </w:p>
    <w:p>
      <w:pPr>
        <w:spacing w:after="0" w:line="111" w:lineRule="exact"/>
        <w:rPr>
          <w:sz w:val="20"/>
          <w:szCs w:val="20"/>
          <w:color w:val="auto"/>
        </w:rPr>
      </w:pPr>
    </w:p>
    <w:p>
      <w:pPr>
        <w:ind w:right="160"/>
        <w:spacing w:after="0" w:line="219"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Certificate of Designations of Series A Preferred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Stock, filed with the Delaware Secretary of State on</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October 1,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59"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23"/>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001-39658</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1520" w:type="dxa"/>
            <w:vAlign w:val="bottom"/>
          </w:tcPr>
          <w:p>
            <w:pPr>
              <w:jc w:val="center"/>
              <w:ind w:left="192"/>
              <w:spacing w:after="0"/>
              <w:rPr>
                <w:sz w:val="20"/>
                <w:szCs w:val="20"/>
                <w:color w:val="auto"/>
              </w:rPr>
            </w:pPr>
            <w:r>
              <w:rPr>
                <w:rFonts w:ascii="Arial" w:cs="Arial" w:eastAsia="Arial" w:hAnsi="Arial"/>
                <w:sz w:val="18"/>
                <w:szCs w:val="18"/>
                <w:color w:val="auto"/>
                <w:w w:val="89"/>
              </w:rPr>
              <w:t>October 30, 2020</w:t>
            </w:r>
          </w:p>
        </w:tc>
      </w:tr>
      <w:tr>
        <w:trPr>
          <w:trHeight w:val="384"/>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001-39658</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1520" w:type="dxa"/>
            <w:vAlign w:val="bottom"/>
          </w:tcPr>
          <w:p>
            <w:pPr>
              <w:jc w:val="center"/>
              <w:ind w:left="192"/>
              <w:spacing w:after="0"/>
              <w:rPr>
                <w:sz w:val="20"/>
                <w:szCs w:val="20"/>
                <w:color w:val="auto"/>
              </w:rPr>
            </w:pPr>
            <w:r>
              <w:rPr>
                <w:rFonts w:ascii="Arial" w:cs="Arial" w:eastAsia="Arial" w:hAnsi="Arial"/>
                <w:sz w:val="18"/>
                <w:szCs w:val="18"/>
                <w:color w:val="auto"/>
                <w:w w:val="88"/>
              </w:rPr>
              <w:t>August 12, 2021</w:t>
            </w:r>
          </w:p>
        </w:tc>
      </w:tr>
      <w:tr>
        <w:trPr>
          <w:trHeight w:val="477"/>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001-39658</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1520" w:type="dxa"/>
            <w:vAlign w:val="bottom"/>
          </w:tcPr>
          <w:p>
            <w:pPr>
              <w:jc w:val="center"/>
              <w:ind w:left="172"/>
              <w:spacing w:after="0"/>
              <w:rPr>
                <w:sz w:val="20"/>
                <w:szCs w:val="20"/>
                <w:color w:val="auto"/>
              </w:rPr>
            </w:pPr>
            <w:r>
              <w:rPr>
                <w:rFonts w:ascii="Arial" w:cs="Arial" w:eastAsia="Arial" w:hAnsi="Arial"/>
                <w:sz w:val="18"/>
                <w:szCs w:val="18"/>
                <w:color w:val="auto"/>
                <w:w w:val="88"/>
              </w:rPr>
              <w:t>October 1, 2021</w:t>
            </w:r>
          </w:p>
        </w:tc>
      </w:tr>
    </w:tbl>
    <w:p>
      <w:pPr>
        <w:spacing w:after="0" w:line="224" w:lineRule="exact"/>
        <w:rPr>
          <w:rFonts w:ascii="Arial" w:cs="Arial" w:eastAsia="Arial" w:hAnsi="Arial"/>
          <w:sz w:val="18"/>
          <w:szCs w:val="18"/>
          <w:u w:val="single" w:color="auto"/>
          <w:color w:val="0000FF"/>
        </w:rPr>
      </w:pPr>
    </w:p>
    <w:p>
      <w:pPr>
        <w:sectPr>
          <w:pgSz w:w="11900" w:h="16838" w:orient="portrait"/>
          <w:cols w:equalWidth="0" w:num="3">
            <w:col w:w="420" w:space="720"/>
            <w:col w:w="3820" w:space="240"/>
            <w:col w:w="6040"/>
          </w:cols>
          <w:pgMar w:left="320" w:top="1314" w:right="33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3860" w:type="dxa"/>
            <w:vAlign w:val="bottom"/>
            <w:gridSpan w:val="18"/>
          </w:tcPr>
          <w:p>
            <w:pPr>
              <w:spacing w:after="0"/>
              <w:rPr>
                <w:rFonts w:ascii="Arial" w:cs="Arial" w:eastAsia="Arial" w:hAnsi="Arial"/>
                <w:sz w:val="18"/>
                <w:szCs w:val="18"/>
                <w:color w:val="0000FF"/>
              </w:rPr>
            </w:pPr>
            <w:hyperlink r:id="rId86">
              <w:r>
                <w:rPr>
                  <w:rFonts w:ascii="Arial" w:cs="Arial" w:eastAsia="Arial" w:hAnsi="Arial"/>
                  <w:sz w:val="18"/>
                  <w:szCs w:val="18"/>
                  <w:color w:val="0000FF"/>
                </w:rPr>
                <w:t>Form of Class A common stock certificate.</w:t>
              </w:r>
            </w:hyperlink>
          </w:p>
        </w:tc>
      </w:tr>
      <w:tr>
        <w:trPr>
          <w:trHeight w:val="20"/>
        </w:trPr>
        <w:tc>
          <w:tcPr>
            <w:tcW w:w="1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3340" w:type="dxa"/>
            <w:vAlign w:val="bottom"/>
            <w:tcBorders>
              <w:bottom w:val="single" w:sz="8" w:color="0000FF"/>
            </w:tcBorders>
            <w:gridSpan w:val="7"/>
          </w:tcPr>
          <w:p>
            <w:pPr>
              <w:spacing w:after="0"/>
              <w:rPr>
                <w:rFonts w:ascii="Arial" w:cs="Arial" w:eastAsia="Arial" w:hAnsi="Arial"/>
                <w:sz w:val="18"/>
                <w:szCs w:val="18"/>
                <w:color w:val="0000FF"/>
                <w:w w:val="87"/>
              </w:rPr>
            </w:pPr>
            <w:hyperlink r:id="rId87">
              <w:r>
                <w:rPr>
                  <w:rFonts w:ascii="Arial" w:cs="Arial" w:eastAsia="Arial" w:hAnsi="Arial"/>
                  <w:sz w:val="18"/>
                  <w:szCs w:val="18"/>
                  <w:color w:val="0000FF"/>
                  <w:w w:val="87"/>
                </w:rPr>
                <w:t>Common Stock Purchase Warrants, dated as of</w:t>
              </w:r>
            </w:hyperlink>
          </w:p>
        </w:tc>
        <w:tc>
          <w:tcPr>
            <w:tcW w:w="520" w:type="dxa"/>
            <w:vAlign w:val="bottom"/>
            <w:gridSpan w:val="11"/>
          </w:tcPr>
          <w:p>
            <w:pPr>
              <w:spacing w:after="0"/>
              <w:rPr>
                <w:sz w:val="24"/>
                <w:szCs w:val="24"/>
                <w:color w:val="auto"/>
              </w:rPr>
            </w:pPr>
          </w:p>
        </w:tc>
      </w:tr>
      <w:tr>
        <w:trPr>
          <w:trHeight w:val="152"/>
        </w:trPr>
        <w:tc>
          <w:tcPr>
            <w:tcW w:w="1120" w:type="dxa"/>
            <w:vAlign w:val="bottom"/>
          </w:tcPr>
          <w:p>
            <w:pPr>
              <w:spacing w:after="0"/>
              <w:rPr>
                <w:sz w:val="13"/>
                <w:szCs w:val="13"/>
                <w:color w:val="auto"/>
              </w:rPr>
            </w:pPr>
          </w:p>
        </w:tc>
        <w:tc>
          <w:tcPr>
            <w:tcW w:w="3860" w:type="dxa"/>
            <w:vAlign w:val="bottom"/>
            <w:gridSpan w:val="18"/>
          </w:tcPr>
          <w:p>
            <w:pPr>
              <w:spacing w:after="0" w:line="152" w:lineRule="exact"/>
              <w:rPr>
                <w:rFonts w:ascii="Arial" w:cs="Arial" w:eastAsia="Arial" w:hAnsi="Arial"/>
                <w:sz w:val="17"/>
                <w:szCs w:val="17"/>
                <w:color w:val="0000FF"/>
              </w:rPr>
            </w:pPr>
            <w:hyperlink r:id="rId87">
              <w:r>
                <w:rPr>
                  <w:rFonts w:ascii="Arial" w:cs="Arial" w:eastAsia="Arial" w:hAnsi="Arial"/>
                  <w:sz w:val="17"/>
                  <w:szCs w:val="17"/>
                  <w:color w:val="0000FF"/>
                </w:rPr>
                <w:t>October 1, 2021, by and between Root, Inc. and</w:t>
              </w:r>
            </w:hyperlink>
          </w:p>
        </w:tc>
      </w:tr>
      <w:tr>
        <w:trPr>
          <w:trHeight w:val="152"/>
        </w:trPr>
        <w:tc>
          <w:tcPr>
            <w:tcW w:w="11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5"/>
              </w:rPr>
            </w:pPr>
            <w:hyperlink r:id="rId87">
              <w:r>
                <w:rPr>
                  <w:rFonts w:ascii="Arial" w:cs="Arial" w:eastAsia="Arial" w:hAnsi="Arial"/>
                  <w:sz w:val="17"/>
                  <w:szCs w:val="17"/>
                  <w:color w:val="0000FF"/>
                  <w:w w:val="95"/>
                </w:rPr>
                <w:t>Carvana Group, LLC</w:t>
              </w:r>
            </w:hyperlink>
          </w:p>
        </w:tc>
        <w:tc>
          <w:tcPr>
            <w:tcW w:w="18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580" w:type="dxa"/>
            <w:vAlign w:val="bottom"/>
            <w:tcBorders>
              <w:bottom w:val="single" w:sz="8" w:color="0000FF"/>
            </w:tcBorders>
            <w:gridSpan w:val="11"/>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Advisor Agreement with Daniel Manges, effective</w:t>
              </w:r>
            </w:hyperlink>
          </w:p>
        </w:tc>
        <w:tc>
          <w:tcPr>
            <w:tcW w:w="280" w:type="dxa"/>
            <w:vAlign w:val="bottom"/>
            <w:gridSpan w:val="7"/>
          </w:tcPr>
          <w:p>
            <w:pPr>
              <w:spacing w:after="0"/>
              <w:rPr>
                <w:sz w:val="23"/>
                <w:szCs w:val="23"/>
                <w:color w:val="auto"/>
              </w:rPr>
            </w:pPr>
          </w:p>
        </w:tc>
      </w:tr>
      <w:tr>
        <w:trPr>
          <w:trHeight w:val="179"/>
        </w:trPr>
        <w:tc>
          <w:tcPr>
            <w:tcW w:w="1120" w:type="dxa"/>
            <w:vAlign w:val="bottom"/>
          </w:tcPr>
          <w:p>
            <w:pPr>
              <w:spacing w:after="0"/>
              <w:rPr>
                <w:sz w:val="15"/>
                <w:szCs w:val="15"/>
                <w:color w:val="auto"/>
              </w:rPr>
            </w:pPr>
          </w:p>
        </w:tc>
        <w:tc>
          <w:tcPr>
            <w:tcW w:w="3860" w:type="dxa"/>
            <w:vAlign w:val="bottom"/>
            <w:gridSpan w:val="18"/>
          </w:tcPr>
          <w:p>
            <w:pPr>
              <w:spacing w:after="0" w:line="179" w:lineRule="exact"/>
              <w:rPr>
                <w:rFonts w:ascii="Arial" w:cs="Arial" w:eastAsia="Arial" w:hAnsi="Arial"/>
                <w:sz w:val="18"/>
                <w:szCs w:val="18"/>
                <w:color w:val="0000FF"/>
              </w:rPr>
            </w:pPr>
            <w:hyperlink r:id="rId88">
              <w:r>
                <w:rPr>
                  <w:rFonts w:ascii="Arial" w:cs="Arial" w:eastAsia="Arial" w:hAnsi="Arial"/>
                  <w:sz w:val="18"/>
                  <w:szCs w:val="18"/>
                  <w:color w:val="0000FF"/>
                </w:rPr>
                <w:t>July 3, 2021</w:t>
              </w:r>
            </w:hyperlink>
          </w:p>
        </w:tc>
      </w:tr>
      <w:tr>
        <w:trPr>
          <w:trHeight w:val="20"/>
        </w:trPr>
        <w:tc>
          <w:tcPr>
            <w:tcW w:w="1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3720" w:type="dxa"/>
            <w:vAlign w:val="bottom"/>
            <w:tcBorders>
              <w:bottom w:val="single" w:sz="8" w:color="0000FF"/>
            </w:tcBorders>
            <w:gridSpan w:val="14"/>
          </w:tcPr>
          <w:p>
            <w:pPr>
              <w:spacing w:after="0"/>
              <w:rPr>
                <w:rFonts w:ascii="Arial" w:cs="Arial" w:eastAsia="Arial" w:hAnsi="Arial"/>
                <w:sz w:val="18"/>
                <w:szCs w:val="18"/>
                <w:color w:val="0000FF"/>
                <w:w w:val="87"/>
              </w:rPr>
            </w:pPr>
            <w:hyperlink r:id="rId89">
              <w:r>
                <w:rPr>
                  <w:rFonts w:ascii="Arial" w:cs="Arial" w:eastAsia="Arial" w:hAnsi="Arial"/>
                  <w:sz w:val="18"/>
                  <w:szCs w:val="18"/>
                  <w:color w:val="0000FF"/>
                  <w:w w:val="87"/>
                </w:rPr>
                <w:t>Investment Agreement, dated as of August 11, 2021,</w:t>
              </w:r>
            </w:hyperlink>
          </w:p>
        </w:tc>
        <w:tc>
          <w:tcPr>
            <w:tcW w:w="140" w:type="dxa"/>
            <w:vAlign w:val="bottom"/>
            <w:gridSpan w:val="4"/>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3700" w:type="dxa"/>
            <w:vAlign w:val="bottom"/>
            <w:tcBorders>
              <w:bottom w:val="single" w:sz="8" w:color="0000FF"/>
            </w:tcBorders>
            <w:gridSpan w:val="13"/>
          </w:tcPr>
          <w:p>
            <w:pPr>
              <w:spacing w:after="0" w:line="179"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by and between Root, Inc. and Carvana Group, LLC</w:t>
              </w:r>
            </w:hyperlink>
          </w:p>
        </w:tc>
        <w:tc>
          <w:tcPr>
            <w:tcW w:w="160" w:type="dxa"/>
            <w:vAlign w:val="bottom"/>
            <w:gridSpan w:val="5"/>
          </w:tcPr>
          <w:p>
            <w:pPr>
              <w:spacing w:after="0"/>
              <w:rPr>
                <w:sz w:val="15"/>
                <w:szCs w:val="15"/>
                <w:color w:val="auto"/>
              </w:rPr>
            </w:pP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3740" w:type="dxa"/>
            <w:vAlign w:val="bottom"/>
            <w:tcBorders>
              <w:bottom w:val="single" w:sz="8" w:color="0000FF"/>
            </w:tcBorders>
            <w:gridSpan w:val="15"/>
          </w:tcPr>
          <w:p>
            <w:pPr>
              <w:spacing w:after="0"/>
              <w:rPr>
                <w:rFonts w:ascii="Arial" w:cs="Arial" w:eastAsia="Arial" w:hAnsi="Arial"/>
                <w:sz w:val="18"/>
                <w:szCs w:val="18"/>
                <w:color w:val="0000FF"/>
                <w:w w:val="88"/>
              </w:rPr>
            </w:pPr>
            <w:hyperlink r:id="rId90">
              <w:r>
                <w:rPr>
                  <w:rFonts w:ascii="Arial" w:cs="Arial" w:eastAsia="Arial" w:hAnsi="Arial"/>
                  <w:sz w:val="18"/>
                  <w:szCs w:val="18"/>
                  <w:color w:val="0000FF"/>
                  <w:w w:val="88"/>
                </w:rPr>
                <w:t>Commercial Agreement, dated as of October 1, 2021</w:t>
              </w:r>
            </w:hyperlink>
          </w:p>
        </w:tc>
        <w:tc>
          <w:tcPr>
            <w:tcW w:w="120" w:type="dxa"/>
            <w:vAlign w:val="bottom"/>
            <w:gridSpan w:val="3"/>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3740" w:type="dxa"/>
            <w:vAlign w:val="bottom"/>
            <w:tcBorders>
              <w:bottom w:val="single" w:sz="8" w:color="0000FF"/>
            </w:tcBorders>
            <w:gridSpan w:val="15"/>
          </w:tcPr>
          <w:p>
            <w:pPr>
              <w:spacing w:after="0"/>
              <w:rPr>
                <w:rFonts w:ascii="Arial" w:cs="Arial" w:eastAsia="Arial" w:hAnsi="Arial"/>
                <w:sz w:val="18"/>
                <w:szCs w:val="18"/>
                <w:color w:val="0000FF"/>
                <w:w w:val="88"/>
              </w:rPr>
            </w:pPr>
            <w:hyperlink r:id="rId91">
              <w:r>
                <w:rPr>
                  <w:rFonts w:ascii="Arial" w:cs="Arial" w:eastAsia="Arial" w:hAnsi="Arial"/>
                  <w:sz w:val="18"/>
                  <w:szCs w:val="18"/>
                  <w:color w:val="0000FF"/>
                  <w:w w:val="88"/>
                </w:rPr>
                <w:t>First Amendment to Investment Agreement, dated as</w:t>
              </w:r>
            </w:hyperlink>
          </w:p>
        </w:tc>
        <w:tc>
          <w:tcPr>
            <w:tcW w:w="120" w:type="dxa"/>
            <w:vAlign w:val="bottom"/>
            <w:gridSpan w:val="3"/>
          </w:tcPr>
          <w:p>
            <w:pPr>
              <w:spacing w:after="0"/>
              <w:rPr>
                <w:sz w:val="22"/>
                <w:szCs w:val="22"/>
                <w:color w:val="auto"/>
              </w:rPr>
            </w:pPr>
          </w:p>
        </w:tc>
      </w:tr>
      <w:tr>
        <w:trPr>
          <w:trHeight w:val="152"/>
        </w:trPr>
        <w:tc>
          <w:tcPr>
            <w:tcW w:w="1120" w:type="dxa"/>
            <w:vAlign w:val="bottom"/>
          </w:tcPr>
          <w:p>
            <w:pPr>
              <w:spacing w:after="0"/>
              <w:rPr>
                <w:sz w:val="13"/>
                <w:szCs w:val="13"/>
                <w:color w:val="auto"/>
              </w:rPr>
            </w:pPr>
          </w:p>
        </w:tc>
        <w:tc>
          <w:tcPr>
            <w:tcW w:w="3860" w:type="dxa"/>
            <w:vAlign w:val="bottom"/>
            <w:gridSpan w:val="18"/>
          </w:tcPr>
          <w:p>
            <w:pPr>
              <w:spacing w:after="0" w:line="152" w:lineRule="exact"/>
              <w:rPr>
                <w:rFonts w:ascii="Arial" w:cs="Arial" w:eastAsia="Arial" w:hAnsi="Arial"/>
                <w:sz w:val="17"/>
                <w:szCs w:val="17"/>
                <w:color w:val="0000FF"/>
                <w:w w:val="92"/>
              </w:rPr>
            </w:pPr>
            <w:hyperlink r:id="rId91">
              <w:r>
                <w:rPr>
                  <w:rFonts w:ascii="Arial" w:cs="Arial" w:eastAsia="Arial" w:hAnsi="Arial"/>
                  <w:sz w:val="17"/>
                  <w:szCs w:val="17"/>
                  <w:color w:val="0000FF"/>
                  <w:w w:val="92"/>
                </w:rPr>
                <w:t>of September 29, 2021, by and between Root, Inc. and</w:t>
              </w:r>
            </w:hyperlink>
          </w:p>
        </w:tc>
      </w:tr>
      <w:tr>
        <w:trPr>
          <w:trHeight w:val="152"/>
        </w:trPr>
        <w:tc>
          <w:tcPr>
            <w:tcW w:w="1120" w:type="dxa"/>
            <w:vAlign w:val="bottom"/>
          </w:tcPr>
          <w:p>
            <w:pPr>
              <w:spacing w:after="0"/>
              <w:rPr>
                <w:sz w:val="13"/>
                <w:szCs w:val="13"/>
                <w:color w:val="auto"/>
              </w:rPr>
            </w:pPr>
          </w:p>
        </w:tc>
        <w:tc>
          <w:tcPr>
            <w:tcW w:w="384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91">
              <w:r>
                <w:rPr>
                  <w:rFonts w:ascii="Arial" w:cs="Arial" w:eastAsia="Arial" w:hAnsi="Arial"/>
                  <w:sz w:val="17"/>
                  <w:szCs w:val="17"/>
                  <w:color w:val="0000FF"/>
                </w:rPr>
                <w:t>Carvana Group, LLC</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386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Third Amendment to Note Purchase Agreement, dated</w:t>
              </w:r>
            </w:hyperlink>
          </w:p>
        </w:tc>
      </w:tr>
      <w:tr>
        <w:trPr>
          <w:trHeight w:val="179"/>
        </w:trPr>
        <w:tc>
          <w:tcPr>
            <w:tcW w:w="1120" w:type="dxa"/>
            <w:vAlign w:val="bottom"/>
          </w:tcPr>
          <w:p>
            <w:pPr>
              <w:spacing w:after="0"/>
              <w:rPr>
                <w:sz w:val="15"/>
                <w:szCs w:val="15"/>
                <w:color w:val="auto"/>
              </w:rPr>
            </w:pPr>
          </w:p>
        </w:tc>
        <w:tc>
          <w:tcPr>
            <w:tcW w:w="3860" w:type="dxa"/>
            <w:vAlign w:val="bottom"/>
            <w:gridSpan w:val="18"/>
          </w:tcPr>
          <w:p>
            <w:pPr>
              <w:spacing w:after="0" w:line="179" w:lineRule="exact"/>
              <w:rPr>
                <w:rFonts w:ascii="Arial" w:cs="Arial" w:eastAsia="Arial" w:hAnsi="Arial"/>
                <w:sz w:val="18"/>
                <w:szCs w:val="18"/>
                <w:color w:val="0000FF"/>
                <w:w w:val="98"/>
              </w:rPr>
            </w:pPr>
            <w:hyperlink w:anchor="page56">
              <w:r>
                <w:rPr>
                  <w:rFonts w:ascii="Arial" w:cs="Arial" w:eastAsia="Arial" w:hAnsi="Arial"/>
                  <w:sz w:val="18"/>
                  <w:szCs w:val="18"/>
                  <w:color w:val="0000FF"/>
                  <w:w w:val="98"/>
                </w:rPr>
                <w:t>August 11, 2021, by and among Root, Inc., Caret</w:t>
              </w:r>
            </w:hyperlink>
          </w:p>
        </w:tc>
      </w:tr>
      <w:tr>
        <w:trPr>
          <w:trHeight w:val="179"/>
        </w:trPr>
        <w:tc>
          <w:tcPr>
            <w:tcW w:w="1120" w:type="dxa"/>
            <w:vAlign w:val="bottom"/>
          </w:tcPr>
          <w:p>
            <w:pPr>
              <w:spacing w:after="0"/>
              <w:rPr>
                <w:sz w:val="15"/>
                <w:szCs w:val="15"/>
                <w:color w:val="auto"/>
              </w:rPr>
            </w:pPr>
          </w:p>
        </w:tc>
        <w:tc>
          <w:tcPr>
            <w:tcW w:w="3460" w:type="dxa"/>
            <w:vAlign w:val="bottom"/>
            <w:tcBorders>
              <w:top w:val="single" w:sz="8" w:color="0000FF"/>
            </w:tcBorders>
            <w:gridSpan w:val="10"/>
          </w:tcPr>
          <w:p>
            <w:pPr>
              <w:spacing w:after="0" w:line="179" w:lineRule="exact"/>
              <w:rPr>
                <w:rFonts w:ascii="Arial" w:cs="Arial" w:eastAsia="Arial" w:hAnsi="Arial"/>
                <w:sz w:val="18"/>
                <w:szCs w:val="18"/>
                <w:color w:val="0000FF"/>
              </w:rPr>
            </w:pPr>
            <w:hyperlink w:anchor="page56">
              <w:r>
                <w:rPr>
                  <w:rFonts w:ascii="Arial" w:cs="Arial" w:eastAsia="Arial" w:hAnsi="Arial"/>
                  <w:sz w:val="18"/>
                  <w:szCs w:val="18"/>
                  <w:color w:val="0000FF"/>
                </w:rPr>
                <w:t>Holdings, Inc., Wilmington Trust, National</w:t>
              </w:r>
            </w:hyperlink>
          </w:p>
        </w:tc>
        <w:tc>
          <w:tcPr>
            <w:tcW w:w="400" w:type="dxa"/>
            <w:vAlign w:val="bottom"/>
            <w:gridSpan w:val="8"/>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860" w:type="dxa"/>
            <w:vAlign w:val="bottom"/>
            <w:gridSpan w:val="18"/>
          </w:tcPr>
          <w:p>
            <w:pPr>
              <w:spacing w:after="0" w:line="179" w:lineRule="exact"/>
              <w:rPr>
                <w:rFonts w:ascii="Arial" w:cs="Arial" w:eastAsia="Arial" w:hAnsi="Arial"/>
                <w:sz w:val="18"/>
                <w:szCs w:val="18"/>
                <w:color w:val="0000FF"/>
                <w:w w:val="95"/>
              </w:rPr>
            </w:pPr>
            <w:hyperlink w:anchor="page56">
              <w:r>
                <w:rPr>
                  <w:rFonts w:ascii="Arial" w:cs="Arial" w:eastAsia="Arial" w:hAnsi="Arial"/>
                  <w:sz w:val="18"/>
                  <w:szCs w:val="18"/>
                  <w:color w:val="0000FF"/>
                  <w:w w:val="95"/>
                </w:rPr>
                <w:t>Association, and the noteholders from time to time</w:t>
              </w:r>
            </w:hyperlink>
          </w:p>
        </w:tc>
      </w:tr>
      <w:tr>
        <w:trPr>
          <w:trHeight w:val="179"/>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79"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party thereto</w:t>
              </w:r>
            </w:hyperlink>
          </w:p>
        </w:tc>
        <w:tc>
          <w:tcPr>
            <w:tcW w:w="2680" w:type="dxa"/>
            <w:vAlign w:val="bottom"/>
            <w:tcBorders>
              <w:top w:val="single" w:sz="8" w:color="0000FF"/>
            </w:tcBorders>
            <w:gridSpan w:val="9"/>
          </w:tcPr>
          <w:p>
            <w:pPr>
              <w:spacing w:after="0"/>
              <w:rPr>
                <w:sz w:val="15"/>
                <w:szCs w:val="15"/>
                <w:color w:val="auto"/>
              </w:rPr>
            </w:pPr>
          </w:p>
        </w:tc>
        <w:tc>
          <w:tcPr>
            <w:tcW w:w="280" w:type="dxa"/>
            <w:vAlign w:val="bottom"/>
            <w:gridSpan w:val="7"/>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860" w:type="dxa"/>
            <w:vAlign w:val="bottom"/>
            <w:gridSpan w:val="18"/>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Certification of Principal Executive Officer Pursuant</w:t>
              </w:r>
            </w:hyperlink>
          </w:p>
        </w:tc>
      </w:tr>
      <w:tr>
        <w:trPr>
          <w:trHeight w:val="20"/>
        </w:trPr>
        <w:tc>
          <w:tcPr>
            <w:tcW w:w="1120" w:type="dxa"/>
            <w:vAlign w:val="bottom"/>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800" w:type="dxa"/>
            <w:vAlign w:val="bottom"/>
            <w:tcBorders>
              <w:bottom w:val="single" w:sz="8" w:color="0000FF"/>
            </w:tcBorders>
            <w:gridSpan w:val="16"/>
          </w:tcPr>
          <w:p>
            <w:pPr>
              <w:spacing w:after="0" w:line="179" w:lineRule="exact"/>
              <w:rPr>
                <w:rFonts w:ascii="Arial" w:cs="Arial" w:eastAsia="Arial" w:hAnsi="Arial"/>
                <w:sz w:val="18"/>
                <w:szCs w:val="18"/>
                <w:color w:val="0000FF"/>
                <w:w w:val="87"/>
              </w:rPr>
            </w:pPr>
            <w:hyperlink w:anchor="page62">
              <w:r>
                <w:rPr>
                  <w:rFonts w:ascii="Arial" w:cs="Arial" w:eastAsia="Arial" w:hAnsi="Arial"/>
                  <w:sz w:val="18"/>
                  <w:szCs w:val="18"/>
                  <w:color w:val="0000FF"/>
                  <w:w w:val="87"/>
                </w:rPr>
                <w:t>to Rules 13a-14(a) and 15d-14(a) under the Securities</w:t>
              </w:r>
            </w:hyperlink>
          </w:p>
        </w:tc>
        <w:tc>
          <w:tcPr>
            <w:tcW w:w="60" w:type="dxa"/>
            <w:vAlign w:val="bottom"/>
            <w:gridSpan w:val="2"/>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320" w:type="dxa"/>
            <w:vAlign w:val="bottom"/>
            <w:tcBorders>
              <w:bottom w:val="single" w:sz="8" w:color="0000FF"/>
            </w:tcBorders>
            <w:gridSpan w:val="6"/>
          </w:tcPr>
          <w:p>
            <w:pPr>
              <w:spacing w:after="0" w:line="179" w:lineRule="exact"/>
              <w:rPr>
                <w:rFonts w:ascii="Arial" w:cs="Arial" w:eastAsia="Arial" w:hAnsi="Arial"/>
                <w:sz w:val="18"/>
                <w:szCs w:val="18"/>
                <w:color w:val="0000FF"/>
                <w:w w:val="88"/>
              </w:rPr>
            </w:pPr>
            <w:hyperlink w:anchor="page62">
              <w:r>
                <w:rPr>
                  <w:rFonts w:ascii="Arial" w:cs="Arial" w:eastAsia="Arial" w:hAnsi="Arial"/>
                  <w:sz w:val="18"/>
                  <w:szCs w:val="18"/>
                  <w:color w:val="0000FF"/>
                  <w:w w:val="88"/>
                </w:rPr>
                <w:t>Exchange Act of 1934, as Adopted Pursuant to</w:t>
              </w:r>
            </w:hyperlink>
          </w:p>
        </w:tc>
        <w:tc>
          <w:tcPr>
            <w:tcW w:w="540" w:type="dxa"/>
            <w:vAlign w:val="bottom"/>
            <w:gridSpan w:val="12"/>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400" w:type="dxa"/>
            <w:vAlign w:val="bottom"/>
            <w:tcBorders>
              <w:bottom w:val="single" w:sz="8" w:color="0000FF"/>
            </w:tcBorders>
            <w:gridSpan w:val="9"/>
          </w:tcPr>
          <w:p>
            <w:pPr>
              <w:spacing w:after="0" w:line="179" w:lineRule="exact"/>
              <w:rPr>
                <w:rFonts w:ascii="Arial" w:cs="Arial" w:eastAsia="Arial" w:hAnsi="Arial"/>
                <w:sz w:val="18"/>
                <w:szCs w:val="18"/>
                <w:color w:val="0000FF"/>
                <w:w w:val="88"/>
              </w:rPr>
            </w:pPr>
            <w:hyperlink w:anchor="page62">
              <w:r>
                <w:rPr>
                  <w:rFonts w:ascii="Arial" w:cs="Arial" w:eastAsia="Arial" w:hAnsi="Arial"/>
                  <w:sz w:val="18"/>
                  <w:szCs w:val="18"/>
                  <w:color w:val="0000FF"/>
                  <w:w w:val="88"/>
                </w:rPr>
                <w:t>Section 302 of the Sarbanes-Oxley Act of 2002.</w:t>
              </w:r>
            </w:hyperlink>
          </w:p>
        </w:tc>
        <w:tc>
          <w:tcPr>
            <w:tcW w:w="460" w:type="dxa"/>
            <w:vAlign w:val="bottom"/>
            <w:gridSpan w:val="9"/>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86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Principal Financial Officer Pursuant to</w:t>
              </w:r>
            </w:hyperlink>
          </w:p>
        </w:tc>
      </w:tr>
      <w:tr>
        <w:trPr>
          <w:trHeight w:val="179"/>
        </w:trPr>
        <w:tc>
          <w:tcPr>
            <w:tcW w:w="1120" w:type="dxa"/>
            <w:vAlign w:val="bottom"/>
          </w:tcPr>
          <w:p>
            <w:pPr>
              <w:spacing w:after="0"/>
              <w:rPr>
                <w:sz w:val="15"/>
                <w:szCs w:val="15"/>
                <w:color w:val="auto"/>
              </w:rPr>
            </w:pPr>
          </w:p>
        </w:tc>
        <w:tc>
          <w:tcPr>
            <w:tcW w:w="3620" w:type="dxa"/>
            <w:vAlign w:val="bottom"/>
            <w:tcBorders>
              <w:bottom w:val="single" w:sz="8" w:color="0000FF"/>
            </w:tcBorders>
            <w:gridSpan w:val="12"/>
          </w:tcPr>
          <w:p>
            <w:pPr>
              <w:spacing w:after="0" w:line="179" w:lineRule="exact"/>
              <w:rPr>
                <w:rFonts w:ascii="Arial" w:cs="Arial" w:eastAsia="Arial" w:hAnsi="Arial"/>
                <w:sz w:val="18"/>
                <w:szCs w:val="18"/>
                <w:color w:val="0000FF"/>
                <w:w w:val="87"/>
              </w:rPr>
            </w:pPr>
            <w:hyperlink w:anchor="page63">
              <w:r>
                <w:rPr>
                  <w:rFonts w:ascii="Arial" w:cs="Arial" w:eastAsia="Arial" w:hAnsi="Arial"/>
                  <w:sz w:val="18"/>
                  <w:szCs w:val="18"/>
                  <w:color w:val="0000FF"/>
                  <w:w w:val="87"/>
                </w:rPr>
                <w:t>Rules 13a-14(a) and 15d-14(a) under the Securities</w:t>
              </w:r>
            </w:hyperlink>
          </w:p>
        </w:tc>
        <w:tc>
          <w:tcPr>
            <w:tcW w:w="240" w:type="dxa"/>
            <w:vAlign w:val="bottom"/>
            <w:gridSpan w:val="6"/>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320" w:type="dxa"/>
            <w:vAlign w:val="bottom"/>
            <w:tcBorders>
              <w:bottom w:val="single" w:sz="8" w:color="0000FF"/>
            </w:tcBorders>
            <w:gridSpan w:val="6"/>
          </w:tcPr>
          <w:p>
            <w:pPr>
              <w:spacing w:after="0" w:line="179" w:lineRule="exact"/>
              <w:rPr>
                <w:rFonts w:ascii="Arial" w:cs="Arial" w:eastAsia="Arial" w:hAnsi="Arial"/>
                <w:sz w:val="18"/>
                <w:szCs w:val="18"/>
                <w:color w:val="0000FF"/>
                <w:w w:val="88"/>
              </w:rPr>
            </w:pPr>
            <w:hyperlink w:anchor="page63">
              <w:r>
                <w:rPr>
                  <w:rFonts w:ascii="Arial" w:cs="Arial" w:eastAsia="Arial" w:hAnsi="Arial"/>
                  <w:sz w:val="18"/>
                  <w:szCs w:val="18"/>
                  <w:color w:val="0000FF"/>
                  <w:w w:val="88"/>
                </w:rPr>
                <w:t>Exchange Act of 1934, as Adopted Pursuant to</w:t>
              </w:r>
            </w:hyperlink>
          </w:p>
        </w:tc>
        <w:tc>
          <w:tcPr>
            <w:tcW w:w="540" w:type="dxa"/>
            <w:vAlign w:val="bottom"/>
            <w:gridSpan w:val="12"/>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400" w:type="dxa"/>
            <w:vAlign w:val="bottom"/>
            <w:tcBorders>
              <w:bottom w:val="single" w:sz="8" w:color="0000FF"/>
            </w:tcBorders>
            <w:gridSpan w:val="9"/>
          </w:tcPr>
          <w:p>
            <w:pPr>
              <w:spacing w:after="0" w:line="179" w:lineRule="exact"/>
              <w:rPr>
                <w:rFonts w:ascii="Arial" w:cs="Arial" w:eastAsia="Arial" w:hAnsi="Arial"/>
                <w:sz w:val="18"/>
                <w:szCs w:val="18"/>
                <w:color w:val="0000FF"/>
                <w:w w:val="88"/>
              </w:rPr>
            </w:pPr>
            <w:hyperlink w:anchor="page63">
              <w:r>
                <w:rPr>
                  <w:rFonts w:ascii="Arial" w:cs="Arial" w:eastAsia="Arial" w:hAnsi="Arial"/>
                  <w:sz w:val="18"/>
                  <w:szCs w:val="18"/>
                  <w:color w:val="0000FF"/>
                  <w:w w:val="88"/>
                </w:rPr>
                <w:t>Section 302 of the Sarbanes-Oxley Act of 2002.</w:t>
              </w:r>
            </w:hyperlink>
          </w:p>
        </w:tc>
        <w:tc>
          <w:tcPr>
            <w:tcW w:w="460" w:type="dxa"/>
            <w:vAlign w:val="bottom"/>
            <w:gridSpan w:val="9"/>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jc w:val="center"/>
              <w:ind w:right="172"/>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89"/>
              </w:rPr>
              <w:t>October 20, 2020</w:t>
            </w:r>
          </w:p>
        </w:tc>
      </w:tr>
      <w:tr>
        <w:trPr>
          <w:trHeight w:val="477"/>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00" w:type="dxa"/>
            <w:vAlign w:val="bottom"/>
          </w:tcPr>
          <w:p>
            <w:pPr>
              <w:jc w:val="center"/>
              <w:ind w:left="152"/>
              <w:spacing w:after="0"/>
              <w:rPr>
                <w:sz w:val="20"/>
                <w:szCs w:val="20"/>
                <w:color w:val="auto"/>
              </w:rPr>
            </w:pPr>
            <w:r>
              <w:rPr>
                <w:rFonts w:ascii="Arial" w:cs="Arial" w:eastAsia="Arial" w:hAnsi="Arial"/>
                <w:sz w:val="18"/>
                <w:szCs w:val="18"/>
                <w:color w:val="auto"/>
                <w:w w:val="88"/>
              </w:rPr>
              <w:t>October 1, 2021</w:t>
            </w:r>
          </w:p>
        </w:tc>
      </w:tr>
      <w:tr>
        <w:trPr>
          <w:trHeight w:val="556"/>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0"/>
              </w:rPr>
              <w:t>July 2, 2021</w:t>
            </w:r>
          </w:p>
        </w:tc>
      </w:tr>
      <w:tr>
        <w:trPr>
          <w:trHeight w:val="504"/>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88"/>
              </w:rPr>
              <w:t>August 12, 2021</w:t>
            </w:r>
          </w:p>
        </w:tc>
      </w:tr>
      <w:tr>
        <w:trPr>
          <w:trHeight w:val="411"/>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ind w:left="152"/>
              <w:spacing w:after="0"/>
              <w:rPr>
                <w:sz w:val="20"/>
                <w:szCs w:val="20"/>
                <w:color w:val="auto"/>
              </w:rPr>
            </w:pPr>
            <w:r>
              <w:rPr>
                <w:rFonts w:ascii="Arial" w:cs="Arial" w:eastAsia="Arial" w:hAnsi="Arial"/>
                <w:sz w:val="18"/>
                <w:szCs w:val="18"/>
                <w:color w:val="auto"/>
                <w:w w:val="88"/>
              </w:rPr>
              <w:t>October 1, 2021</w:t>
            </w:r>
          </w:p>
        </w:tc>
      </w:tr>
      <w:tr>
        <w:trPr>
          <w:trHeight w:val="477"/>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00" w:type="dxa"/>
            <w:vAlign w:val="bottom"/>
          </w:tcPr>
          <w:p>
            <w:pPr>
              <w:jc w:val="center"/>
              <w:ind w:left="152"/>
              <w:spacing w:after="0"/>
              <w:rPr>
                <w:sz w:val="20"/>
                <w:szCs w:val="20"/>
                <w:color w:val="auto"/>
              </w:rPr>
            </w:pPr>
            <w:r>
              <w:rPr>
                <w:rFonts w:ascii="Arial" w:cs="Arial" w:eastAsia="Arial" w:hAnsi="Arial"/>
                <w:sz w:val="18"/>
                <w:szCs w:val="18"/>
                <w:color w:val="auto"/>
                <w:w w:val="88"/>
              </w:rPr>
              <w:t>October 1,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07" w:lineRule="exact"/>
        <w:rPr>
          <w:sz w:val="20"/>
          <w:szCs w:val="20"/>
          <w:color w:val="auto"/>
        </w:rPr>
      </w:pPr>
    </w:p>
    <w:p>
      <w:pPr>
        <w:sectPr>
          <w:pgSz w:w="11900" w:h="16838" w:orient="portrait"/>
          <w:cols w:equalWidth="0" w:num="3">
            <w:col w:w="5000" w:space="160"/>
            <w:col w:w="4620" w:space="720"/>
            <w:col w:w="740"/>
          </w:cols>
          <w:pgMar w:left="320" w:top="1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53" w:name="page54"/>
    <w:bookmarkEnd w:id="53"/>
    <w:tbl>
      <w:tblPr>
        <w:tblLayout w:type="fixed"/>
        <w:tblInd w:w="14"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600" w:type="dxa"/>
            <w:vAlign w:val="bottom"/>
            <w:gridSpan w:val="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Principal Executive Officer and</w:t>
              </w:r>
            </w:hyperlink>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480" w:type="dxa"/>
            <w:vAlign w:val="bottom"/>
            <w:tcBorders>
              <w:bottom w:val="single" w:sz="8" w:color="0000FF"/>
            </w:tcBorders>
            <w:gridSpan w:val="3"/>
          </w:tcPr>
          <w:p>
            <w:pPr>
              <w:spacing w:after="0" w:line="179"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Principal Financial Officer Pursuant to 18 U.S.C.</w:t>
              </w:r>
            </w:hyperlink>
          </w:p>
        </w:tc>
        <w:tc>
          <w:tcPr>
            <w:tcW w:w="3120" w:type="dxa"/>
            <w:vAlign w:val="bottom"/>
            <w:gridSpan w:val="2"/>
          </w:tcPr>
          <w:p>
            <w:pPr>
              <w:spacing w:after="0"/>
              <w:rPr>
                <w:sz w:val="15"/>
                <w:szCs w:val="15"/>
                <w:color w:val="auto"/>
              </w:rPr>
            </w:pPr>
          </w:p>
        </w:tc>
        <w:tc>
          <w:tcPr>
            <w:tcW w:w="2880" w:type="dxa"/>
            <w:vAlign w:val="bottom"/>
            <w:vMerge w:val="restart"/>
          </w:tcPr>
          <w:p>
            <w:pPr>
              <w:ind w:left="2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12"/>
        </w:trPr>
        <w:tc>
          <w:tcPr>
            <w:tcW w:w="1120" w:type="dxa"/>
            <w:vAlign w:val="bottom"/>
          </w:tcPr>
          <w:p>
            <w:pPr>
              <w:spacing w:after="0"/>
              <w:rPr>
                <w:sz w:val="9"/>
                <w:szCs w:val="9"/>
                <w:color w:val="auto"/>
              </w:rPr>
            </w:pPr>
          </w:p>
        </w:tc>
        <w:tc>
          <w:tcPr>
            <w:tcW w:w="6600" w:type="dxa"/>
            <w:vAlign w:val="bottom"/>
            <w:gridSpan w:val="5"/>
            <w:vMerge w:val="restart"/>
          </w:tcPr>
          <w:p>
            <w:pPr>
              <w:spacing w:after="0" w:line="179" w:lineRule="exact"/>
              <w:rPr>
                <w:rFonts w:ascii="Arial" w:cs="Arial" w:eastAsia="Arial" w:hAnsi="Arial"/>
                <w:sz w:val="18"/>
                <w:szCs w:val="18"/>
                <w:color w:val="0000FF"/>
              </w:rPr>
            </w:pPr>
            <w:hyperlink w:anchor="page64">
              <w:r>
                <w:rPr>
                  <w:rFonts w:ascii="Arial" w:cs="Arial" w:eastAsia="Arial" w:hAnsi="Arial"/>
                  <w:sz w:val="18"/>
                  <w:szCs w:val="18"/>
                  <w:color w:val="0000FF"/>
                </w:rPr>
                <w:t>Section 1350, as Adopted Pursuant to Section 906 of</w:t>
              </w:r>
            </w:hyperlink>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20" w:type="dxa"/>
            <w:vAlign w:val="bottom"/>
          </w:tcPr>
          <w:p>
            <w:pPr>
              <w:spacing w:after="0"/>
              <w:rPr>
                <w:sz w:val="5"/>
                <w:szCs w:val="5"/>
                <w:color w:val="auto"/>
              </w:rPr>
            </w:pPr>
          </w:p>
        </w:tc>
        <w:tc>
          <w:tcPr>
            <w:tcW w:w="6600" w:type="dxa"/>
            <w:vAlign w:val="bottom"/>
            <w:gridSpan w:val="5"/>
            <w:vMerge w:val="continue"/>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320" w:type="dxa"/>
            <w:vAlign w:val="bottom"/>
            <w:tcBorders>
              <w:top w:val="single" w:sz="8" w:color="0000FF"/>
              <w:bottom w:val="single" w:sz="8" w:color="0000FF"/>
            </w:tcBorders>
          </w:tcPr>
          <w:p>
            <w:pPr>
              <w:spacing w:after="0" w:line="179" w:lineRule="exact"/>
              <w:rPr>
                <w:rFonts w:ascii="Arial" w:cs="Arial" w:eastAsia="Arial" w:hAnsi="Arial"/>
                <w:sz w:val="18"/>
                <w:szCs w:val="18"/>
                <w:color w:val="0000FF"/>
                <w:w w:val="88"/>
              </w:rPr>
            </w:pPr>
            <w:hyperlink w:anchor="page64">
              <w:r>
                <w:rPr>
                  <w:rFonts w:ascii="Arial" w:cs="Arial" w:eastAsia="Arial" w:hAnsi="Arial"/>
                  <w:sz w:val="18"/>
                  <w:szCs w:val="18"/>
                  <w:color w:val="0000FF"/>
                  <w:w w:val="88"/>
                </w:rPr>
                <w:t>the Sarbanes-Oxley Act of 2002.</w:t>
              </w:r>
            </w:hyperlink>
          </w:p>
        </w:tc>
        <w:tc>
          <w:tcPr>
            <w:tcW w:w="1400" w:type="dxa"/>
            <w:vAlign w:val="bottom"/>
            <w:tcBorders>
              <w:top w:val="single" w:sz="8" w:color="0000FF"/>
            </w:tcBorders>
            <w:gridSpan w:val="3"/>
          </w:tcPr>
          <w:p>
            <w:pPr>
              <w:spacing w:after="0"/>
              <w:rPr>
                <w:sz w:val="15"/>
                <w:szCs w:val="15"/>
                <w:color w:val="auto"/>
              </w:rPr>
            </w:pPr>
          </w:p>
        </w:tc>
        <w:tc>
          <w:tcPr>
            <w:tcW w:w="28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134" w:right="5900" w:hanging="1116"/>
        <w:spacing w:after="0" w:line="229" w:lineRule="auto"/>
        <w:tabs>
          <w:tab w:leader="none" w:pos="11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91" w:lineRule="exact"/>
        <w:rPr>
          <w:rFonts w:ascii="Arial" w:cs="Arial" w:eastAsia="Arial" w:hAnsi="Arial"/>
          <w:sz w:val="18"/>
          <w:szCs w:val="18"/>
          <w:color w:val="auto"/>
        </w:rPr>
      </w:pPr>
    </w:p>
    <w:p>
      <w:pPr>
        <w:ind w:left="134" w:hanging="134"/>
        <w:spacing w:after="0"/>
        <w:tabs>
          <w:tab w:leader="none" w:pos="134" w:val="left"/>
        </w:tabs>
        <w:numPr>
          <w:ilvl w:val="0"/>
          <w:numId w:val="27"/>
        </w:numPr>
        <w:rPr>
          <w:rFonts w:ascii="Arial" w:cs="Arial" w:eastAsia="Arial" w:hAnsi="Arial"/>
          <w:sz w:val="17"/>
          <w:szCs w:val="17"/>
          <w:color w:val="auto"/>
        </w:rPr>
      </w:pPr>
      <w:r>
        <w:rPr>
          <w:rFonts w:ascii="Arial" w:cs="Arial" w:eastAsia="Arial" w:hAnsi="Arial"/>
          <w:sz w:val="13"/>
          <w:szCs w:val="13"/>
          <w:color w:val="auto"/>
        </w:rPr>
        <w:t>The exhibits and schedules have been omitted pursuant to Item 601(b)(2) of Regulation S-K and will be provided to the Securities and Exchange Commission upon request.</w:t>
      </w:r>
    </w:p>
    <w:p>
      <w:pPr>
        <w:spacing w:after="0" w:line="4" w:lineRule="exact"/>
        <w:rPr>
          <w:sz w:val="20"/>
          <w:szCs w:val="20"/>
          <w:color w:val="auto"/>
        </w:rPr>
      </w:pPr>
    </w:p>
    <w:p>
      <w:pPr>
        <w:ind w:left="314" w:hanging="314"/>
        <w:spacing w:after="0" w:line="247" w:lineRule="auto"/>
        <w:tabs>
          <w:tab w:leader="none" w:pos="10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74"/>
          </w:cols>
          <w:pgMar w:left="326" w:top="1350" w:right="79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1820" w:type="dxa"/>
            <w:vAlign w:val="bottom"/>
            <w:gridSpan w:val="3"/>
          </w:tcPr>
          <w:p>
            <w:pPr>
              <w:ind w:left="104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19"/>
                <w:szCs w:val="19"/>
                <w:color w:val="auto"/>
              </w:rPr>
            </w:pPr>
          </w:p>
        </w:tc>
      </w:tr>
      <w:tr>
        <w:trPr>
          <w:trHeight w:val="531"/>
        </w:trPr>
        <w:tc>
          <w:tcPr>
            <w:tcW w:w="290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20" w:type="dxa"/>
            <w:vAlign w:val="bottom"/>
            <w:gridSpan w:val="3"/>
          </w:tcPr>
          <w:p>
            <w:pPr>
              <w:ind w:left="1120"/>
              <w:spacing w:after="0"/>
              <w:rPr>
                <w:sz w:val="20"/>
                <w:szCs w:val="20"/>
                <w:color w:val="auto"/>
              </w:rPr>
            </w:pPr>
            <w:r>
              <w:rPr>
                <w:rFonts w:ascii="Arial" w:cs="Arial" w:eastAsia="Arial" w:hAnsi="Arial"/>
                <w:sz w:val="18"/>
                <w:szCs w:val="18"/>
                <w:color w:val="auto"/>
              </w:rPr>
              <w:t>By:</w:t>
            </w:r>
          </w:p>
        </w:tc>
        <w:tc>
          <w:tcPr>
            <w:tcW w:w="5960" w:type="dxa"/>
            <w:vAlign w:val="bottom"/>
          </w:tcPr>
          <w:p>
            <w:pPr>
              <w:ind w:left="160"/>
              <w:spacing w:after="0"/>
              <w:rPr>
                <w:sz w:val="20"/>
                <w:szCs w:val="20"/>
                <w:color w:val="auto"/>
              </w:rPr>
            </w:pPr>
            <w:r>
              <w:rPr>
                <w:rFonts w:ascii="Arial" w:cs="Arial" w:eastAsia="Arial" w:hAnsi="Arial"/>
                <w:sz w:val="18"/>
                <w:szCs w:val="18"/>
                <w:color w:val="auto"/>
              </w:rPr>
              <w:t>/s/ Alexander Timm</w:t>
            </w:r>
          </w:p>
        </w:tc>
      </w:tr>
      <w:tr>
        <w:trPr>
          <w:trHeight w:val="231"/>
        </w:trPr>
        <w:tc>
          <w:tcPr>
            <w:tcW w:w="2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Alexander Timm</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17"/>
        </w:trPr>
        <w:tc>
          <w:tcPr>
            <w:tcW w:w="2900" w:type="dxa"/>
            <w:vAlign w:val="bottom"/>
          </w:tcPr>
          <w:p>
            <w:pPr>
              <w:spacing w:after="0"/>
              <w:rPr>
                <w:sz w:val="24"/>
                <w:szCs w:val="24"/>
                <w:color w:val="auto"/>
              </w:rPr>
            </w:pPr>
          </w:p>
        </w:tc>
        <w:tc>
          <w:tcPr>
            <w:tcW w:w="1820" w:type="dxa"/>
            <w:vAlign w:val="bottom"/>
            <w:gridSpan w:val="3"/>
          </w:tcPr>
          <w:p>
            <w:pPr>
              <w:ind w:left="104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90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20" w:type="dxa"/>
            <w:vAlign w:val="bottom"/>
            <w:gridSpan w:val="3"/>
          </w:tcPr>
          <w:p>
            <w:pPr>
              <w:ind w:left="104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Daniel Rosenthal</w:t>
            </w:r>
          </w:p>
        </w:tc>
      </w:tr>
      <w:tr>
        <w:trPr>
          <w:trHeight w:val="231"/>
        </w:trPr>
        <w:tc>
          <w:tcPr>
            <w:tcW w:w="2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Daniel Rosenthal</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Revenue and Operating Officer and Chief Financial Officer</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17"/>
        </w:trPr>
        <w:tc>
          <w:tcPr>
            <w:tcW w:w="2900" w:type="dxa"/>
            <w:vAlign w:val="bottom"/>
          </w:tcPr>
          <w:p>
            <w:pPr>
              <w:spacing w:after="0"/>
              <w:rPr>
                <w:sz w:val="24"/>
                <w:szCs w:val="24"/>
                <w:color w:val="auto"/>
              </w:rPr>
            </w:pPr>
          </w:p>
        </w:tc>
        <w:tc>
          <w:tcPr>
            <w:tcW w:w="1820" w:type="dxa"/>
            <w:vAlign w:val="bottom"/>
            <w:gridSpan w:val="3"/>
          </w:tcPr>
          <w:p>
            <w:pPr>
              <w:ind w:left="104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0"/>
        </w:trPr>
        <w:tc>
          <w:tcPr>
            <w:tcW w:w="290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20" w:type="dxa"/>
            <w:vAlign w:val="bottom"/>
            <w:gridSpan w:val="3"/>
          </w:tcPr>
          <w:p>
            <w:pPr>
              <w:ind w:left="104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Megan Binkley</w:t>
            </w:r>
          </w:p>
        </w:tc>
      </w:tr>
      <w:tr>
        <w:trPr>
          <w:trHeight w:val="231"/>
        </w:trPr>
        <w:tc>
          <w:tcPr>
            <w:tcW w:w="2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Megan Binkley</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Accounting Officer</w:t>
            </w:r>
          </w:p>
        </w:tc>
      </w:tr>
      <w:tr>
        <w:trPr>
          <w:trHeight w:val="252"/>
        </w:trPr>
        <w:tc>
          <w:tcPr>
            <w:tcW w:w="2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320" w:top="131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9"/>
          <w:szCs w:val="19"/>
          <w:b w:val="1"/>
          <w:bCs w:val="1"/>
          <w:color w:val="auto"/>
        </w:rPr>
        <w:t>Exhibit 10.5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Execution Version</w:t>
      </w:r>
    </w:p>
    <w:p>
      <w:pPr>
        <w:spacing w:after="0" w:line="382" w:lineRule="exact"/>
        <w:rPr>
          <w:sz w:val="20"/>
          <w:szCs w:val="20"/>
          <w:color w:val="auto"/>
        </w:rPr>
      </w:pPr>
    </w:p>
    <w:p>
      <w:pPr>
        <w:ind w:left="1880"/>
        <w:spacing w:after="0"/>
        <w:rPr>
          <w:sz w:val="20"/>
          <w:szCs w:val="20"/>
          <w:color w:val="auto"/>
        </w:rPr>
      </w:pPr>
      <w:r>
        <w:rPr>
          <w:rFonts w:ascii="Arial" w:cs="Arial" w:eastAsia="Arial" w:hAnsi="Arial"/>
          <w:sz w:val="19"/>
          <w:szCs w:val="19"/>
          <w:b w:val="1"/>
          <w:bCs w:val="1"/>
          <w:color w:val="auto"/>
        </w:rPr>
        <w:t>THIRD AMENDMENT TO NOTE PURCHASE AGREEMENT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THIRD AMENDMENT TO NOTE PURCHASE AGREEMENT</w:t>
      </w:r>
      <w:r>
        <w:rPr>
          <w:rFonts w:ascii="Arial" w:cs="Arial" w:eastAsia="Arial" w:hAnsi="Arial"/>
          <w:sz w:val="19"/>
          <w:szCs w:val="19"/>
          <w:color w:val="auto"/>
        </w:rPr>
        <w:t xml:space="preserve"> is dated as of August</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11,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by and among </w:t>
      </w:r>
      <w:r>
        <w:rPr>
          <w:rFonts w:ascii="Arial" w:cs="Arial" w:eastAsia="Arial" w:hAnsi="Arial"/>
          <w:sz w:val="19"/>
          <w:szCs w:val="19"/>
          <w:b w:val="1"/>
          <w:bCs w:val="1"/>
          <w:color w:val="auto"/>
        </w:rPr>
        <w:t>CARET HOLDINGS, INC.</w:t>
      </w:r>
      <w:r>
        <w:rPr>
          <w:rFonts w:ascii="Arial" w:cs="Arial" w:eastAsia="Arial" w:hAnsi="Arial"/>
          <w:sz w:val="19"/>
          <w:szCs w:val="19"/>
          <w:color w:val="auto"/>
        </w:rPr>
        <w:t xml:space="preserve"> (f/k/a Root,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xml:space="preserve">”), </w:t>
      </w:r>
      <w:r>
        <w:rPr>
          <w:rFonts w:ascii="Arial" w:cs="Arial" w:eastAsia="Arial" w:hAnsi="Arial"/>
          <w:sz w:val="19"/>
          <w:szCs w:val="19"/>
          <w:b w:val="1"/>
          <w:bCs w:val="1"/>
          <w:color w:val="auto"/>
        </w:rPr>
        <w:t>ROOT, INC</w:t>
      </w:r>
      <w:r>
        <w:rPr>
          <w:rFonts w:ascii="Arial" w:cs="Arial" w:eastAsia="Arial" w:hAnsi="Arial"/>
          <w:sz w:val="19"/>
          <w:szCs w:val="19"/>
          <w:color w:val="auto"/>
        </w:rPr>
        <w:t>. (f/k/a Root Stockholdings, Inc.),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each of the Noteholders party hereto as “Noteholders”, and </w:t>
      </w:r>
      <w:r>
        <w:rPr>
          <w:rFonts w:ascii="Arial" w:cs="Arial" w:eastAsia="Arial" w:hAnsi="Arial"/>
          <w:sz w:val="19"/>
          <w:szCs w:val="19"/>
          <w:b w:val="1"/>
          <w:bCs w:val="1"/>
          <w:color w:val="auto"/>
        </w:rPr>
        <w:t>WILMINGTON TRUST, NATIONAL ASSOCIATION</w:t>
      </w:r>
      <w:r>
        <w:rPr>
          <w:rFonts w:ascii="Arial" w:cs="Arial" w:eastAsia="Arial" w:hAnsi="Arial"/>
          <w:sz w:val="19"/>
          <w:szCs w:val="19"/>
          <w:color w:val="auto"/>
        </w:rPr>
        <w:t>, in its capacity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283" w:lineRule="exact"/>
        <w:rPr>
          <w:sz w:val="20"/>
          <w:szCs w:val="20"/>
          <w:color w:val="auto"/>
        </w:rPr>
      </w:pPr>
    </w:p>
    <w:p>
      <w:pPr>
        <w:ind w:left="3700"/>
        <w:spacing w:after="0"/>
        <w:rPr>
          <w:sz w:val="20"/>
          <w:szCs w:val="20"/>
          <w:color w:val="auto"/>
        </w:rPr>
      </w:pPr>
      <w:r>
        <w:rPr>
          <w:rFonts w:ascii="Arial" w:cs="Arial" w:eastAsia="Arial" w:hAnsi="Arial"/>
          <w:sz w:val="19"/>
          <w:szCs w:val="19"/>
          <w:u w:val="single" w:color="auto"/>
          <w:color w:val="auto"/>
        </w:rPr>
        <w:t>W I T N E S S E T H</w:t>
      </w:r>
      <w:r>
        <w:rPr>
          <w:rFonts w:ascii="Arial" w:cs="Arial" w:eastAsia="Arial" w:hAnsi="Arial"/>
          <w:sz w:val="19"/>
          <w:szCs w:val="19"/>
          <w:color w:val="auto"/>
        </w:rPr>
        <w:t>:</w:t>
      </w:r>
    </w:p>
    <w:p>
      <w:pPr>
        <w:spacing w:after="0" w:line="325"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WHEREAS, the Issuer, Holdings, the Noteholders and the Administrative Agent are parties to that certain Note Purchase Agreement dated as of November 25, 2019 (as amended by the First Amendment to Note Purchase Agreement, dated as of February 20, 2020, as amended by the Second Amendment to Note Purchase Agreement, dated as of September 14, 2020 and as further amended, restated, supplemented or otherwise modified from time to time, the “</w:t>
      </w:r>
      <w:r>
        <w:rPr>
          <w:rFonts w:ascii="Arial" w:cs="Arial" w:eastAsia="Arial" w:hAnsi="Arial"/>
          <w:sz w:val="19"/>
          <w:szCs w:val="19"/>
          <w:u w:val="single" w:color="auto"/>
          <w:color w:val="auto"/>
        </w:rPr>
        <w:t>Existing Note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8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WHEREAS, the Issuer has requested that the Administrative Agent and the Noteholders amend certain provisions of the Note Purchase Agreement, as more particularly set forth below; and</w:t>
      </w:r>
    </w:p>
    <w:p>
      <w:pPr>
        <w:spacing w:after="0" w:line="19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WHEREAS, subject to the terms and conditions set forth herein, the Issuer, Holdings, the Administrative Agent and the Noteholders have agreed to amend the Note Purchase Agreement.</w:t>
      </w:r>
    </w:p>
    <w:p>
      <w:pPr>
        <w:spacing w:after="0" w:line="182" w:lineRule="exact"/>
        <w:rPr>
          <w:sz w:val="20"/>
          <w:szCs w:val="20"/>
          <w:color w:val="auto"/>
        </w:rPr>
      </w:pPr>
    </w:p>
    <w:p>
      <w:pPr>
        <w:jc w:val="both"/>
        <w:ind w:firstLine="636"/>
        <w:spacing w:after="0" w:line="292" w:lineRule="auto"/>
        <w:rPr>
          <w:sz w:val="20"/>
          <w:szCs w:val="20"/>
          <w:color w:val="auto"/>
        </w:rPr>
      </w:pPr>
      <w:r>
        <w:rPr>
          <w:rFonts w:ascii="Arial" w:cs="Arial" w:eastAsia="Arial" w:hAnsi="Arial"/>
          <w:sz w:val="18"/>
          <w:szCs w:val="18"/>
          <w:color w:val="auto"/>
        </w:rPr>
        <w:t>NOW, THEREFORE, for and in consideration of the above premises and other good and valuable consideration, the receipt and sufficiency of which are hereby acknowledged by the parties hereto, the parties hereto hereby agree as follows:</w:t>
      </w:r>
    </w:p>
    <w:p>
      <w:pPr>
        <w:spacing w:after="0" w:line="15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which are used herein without definition and which are defined in the Note Purchase Agreement shall have the same meanings herein as in the Existing Note Purchase Agreement, as amended by this Amendment (the “</w:t>
      </w:r>
      <w:r>
        <w:rPr>
          <w:rFonts w:ascii="Arial" w:cs="Arial" w:eastAsia="Arial" w:hAnsi="Arial"/>
          <w:sz w:val="19"/>
          <w:szCs w:val="19"/>
          <w:u w:val="single" w:color="auto"/>
          <w:color w:val="auto"/>
        </w:rPr>
        <w:t>Amended Note Purchase Agreement</w:t>
      </w:r>
      <w:r>
        <w:rPr>
          <w:rFonts w:ascii="Arial" w:cs="Arial" w:eastAsia="Arial" w:hAnsi="Arial"/>
          <w:sz w:val="19"/>
          <w:szCs w:val="19"/>
          <w:color w:val="auto"/>
        </w:rPr>
        <w:t>”).</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Amendments to Note Purchase Agreement</w:t>
      </w:r>
      <w:r>
        <w:rPr>
          <w:rFonts w:ascii="Arial" w:cs="Arial" w:eastAsia="Arial" w:hAnsi="Arial"/>
          <w:sz w:val="19"/>
          <w:szCs w:val="19"/>
          <w:color w:val="auto"/>
        </w:rPr>
        <w:t>.</w:t>
      </w:r>
    </w:p>
    <w:p>
      <w:pPr>
        <w:spacing w:after="0" w:line="325" w:lineRule="exact"/>
        <w:rPr>
          <w:sz w:val="20"/>
          <w:szCs w:val="20"/>
          <w:color w:val="auto"/>
        </w:rPr>
      </w:pPr>
    </w:p>
    <w:p>
      <w:pPr>
        <w:ind w:left="1480" w:hanging="839"/>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1.1 of the Note Purchase Agreement is hereby amended by inserting the following defined terms in</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alphabetical order:</w:t>
      </w:r>
    </w:p>
    <w:p>
      <w:pPr>
        <w:spacing w:after="0" w:line="216" w:lineRule="exact"/>
        <w:rPr>
          <w:sz w:val="20"/>
          <w:szCs w:val="20"/>
          <w:color w:val="auto"/>
        </w:rPr>
      </w:pPr>
    </w:p>
    <w:p>
      <w:pPr>
        <w:ind w:left="640" w:right="200" w:firstLine="63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Period</w:t>
      </w:r>
      <w:r>
        <w:rPr>
          <w:rFonts w:ascii="Arial" w:cs="Arial" w:eastAsia="Arial" w:hAnsi="Arial"/>
          <w:sz w:val="19"/>
          <w:szCs w:val="19"/>
          <w:color w:val="auto"/>
        </w:rPr>
        <w:t>” shall mean the period commencing on the Third Amendment Effective Date and ending on December 31, 2021.</w:t>
      </w:r>
    </w:p>
    <w:p>
      <w:pPr>
        <w:spacing w:after="0" w:line="182"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Amendment Effective Date</w:t>
      </w:r>
      <w:r>
        <w:rPr>
          <w:rFonts w:ascii="Arial" w:cs="Arial" w:eastAsia="Arial" w:hAnsi="Arial"/>
          <w:sz w:val="19"/>
          <w:szCs w:val="19"/>
          <w:color w:val="auto"/>
        </w:rPr>
        <w:t>” shall mean August 11, 2021.</w:t>
      </w:r>
    </w:p>
    <w:p>
      <w:pPr>
        <w:spacing w:after="0" w:line="312" w:lineRule="exact"/>
        <w:rPr>
          <w:sz w:val="20"/>
          <w:szCs w:val="20"/>
          <w:color w:val="auto"/>
        </w:rPr>
      </w:pPr>
    </w:p>
    <w:p>
      <w:pPr>
        <w:ind w:right="400" w:firstLine="641"/>
        <w:spacing w:after="0" w:line="264" w:lineRule="auto"/>
        <w:tabs>
          <w:tab w:leader="none" w:pos="1471" w:val="left"/>
        </w:tabs>
        <w:numPr>
          <w:ilvl w:val="0"/>
          <w:numId w:val="30"/>
        </w:numPr>
        <w:rPr>
          <w:rFonts w:ascii="Arial" w:cs="Arial" w:eastAsia="Arial" w:hAnsi="Arial"/>
          <w:sz w:val="19"/>
          <w:szCs w:val="19"/>
          <w:color w:val="auto"/>
        </w:rPr>
      </w:pPr>
      <w:r>
        <w:rPr>
          <w:rFonts w:ascii="Arial" w:cs="Arial" w:eastAsia="Arial" w:hAnsi="Arial"/>
          <w:sz w:val="19"/>
          <w:szCs w:val="19"/>
          <w:color w:val="auto"/>
        </w:rPr>
        <w:t>Section 7.5(c) of the Note Purchase Agreement is hereby amended by inserting “(or, during the Specified Period, $1,500,000)” immediately after clause (B) thereof.</w:t>
      </w:r>
    </w:p>
    <w:p>
      <w:pPr>
        <w:spacing w:after="0" w:line="182"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Conditions Precedent to Effectiveness</w:t>
      </w:r>
      <w:r>
        <w:rPr>
          <w:rFonts w:ascii="Arial" w:cs="Arial" w:eastAsia="Arial" w:hAnsi="Arial"/>
          <w:sz w:val="19"/>
          <w:szCs w:val="19"/>
          <w:color w:val="auto"/>
        </w:rPr>
        <w:t>. The effectiveness of this Amendment is subject to the truth and accuracy of the warranties and representations set forth in Section 4 below and the satisfaction of the receipt by the Administrative Agent (or its counsel) and the Noteholders (or their counsel) of this Amendment, duly executed and delivered by the Issuer, Holdings and the Noteholders constituting the Required Noteholders.</w:t>
      </w:r>
    </w:p>
    <w:p>
      <w:pPr>
        <w:sectPr>
          <w:pgSz w:w="11900" w:h="16838" w:orient="portrait"/>
          <w:cols w:equalWidth="0" w:num="1">
            <w:col w:w="10040"/>
          </w:cols>
          <w:pgMar w:left="1380" w:top="991" w:right="479" w:bottom="1440" w:gutter="0" w:footer="0" w:header="0"/>
        </w:sectPr>
      </w:pPr>
    </w:p>
    <w:bookmarkStart w:id="56" w:name="page57"/>
    <w:bookmarkEnd w:id="56"/>
    <w:p>
      <w:pPr>
        <w:ind w:left="64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Issuer and Holdings represent and warrant to the Administrative Agent and the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Noteholders that, as of the date hereof:</w:t>
      </w:r>
    </w:p>
    <w:p>
      <w:pPr>
        <w:spacing w:after="0" w:line="216" w:lineRule="exact"/>
        <w:rPr>
          <w:sz w:val="20"/>
          <w:szCs w:val="20"/>
          <w:color w:val="auto"/>
        </w:rPr>
      </w:pPr>
    </w:p>
    <w:p>
      <w:pPr>
        <w:jc w:val="both"/>
        <w:ind w:left="20" w:firstLine="641"/>
        <w:spacing w:after="0" w:line="270" w:lineRule="auto"/>
        <w:tabs>
          <w:tab w:leader="none" w:pos="149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Power and Authority</w:t>
      </w:r>
      <w:r>
        <w:rPr>
          <w:rFonts w:ascii="Arial" w:cs="Arial" w:eastAsia="Arial" w:hAnsi="Arial"/>
          <w:sz w:val="17"/>
          <w:szCs w:val="17"/>
          <w:color w:val="auto"/>
        </w:rPr>
        <w:t>. Each of the Issuer and Holdings has the requisite power and authority to execute, deliver and perform its obligations under this Amendment and the Note Purchase Agreement, as amended by this Amendment, and have taken all necessary organizational and, if required, shareholder, partner or member action to duly authorize the execution, delivery and performance of this Amendment. Each of this Amendment and the Note Purchase Agreement, as amended by this Amendment, constitutes the valid and binding obligation of each of the Issuer and Holdings enforceable against them in accordance with its terms, except as may be limited by applicable bankruptcy, insolvency, reorganization, moratorium or similar laws affecting the enforcement of creditors’ rights generally and by general principles of equity.</w:t>
      </w:r>
    </w:p>
    <w:p>
      <w:pPr>
        <w:spacing w:after="0" w:line="183" w:lineRule="exact"/>
        <w:rPr>
          <w:rFonts w:ascii="Arial" w:cs="Arial" w:eastAsia="Arial" w:hAnsi="Arial"/>
          <w:sz w:val="17"/>
          <w:szCs w:val="17"/>
          <w:color w:val="auto"/>
        </w:rPr>
      </w:pPr>
    </w:p>
    <w:p>
      <w:pPr>
        <w:jc w:val="both"/>
        <w:ind w:left="20" w:firstLine="640"/>
        <w:spacing w:after="0" w:line="237" w:lineRule="auto"/>
        <w:tabs>
          <w:tab w:leader="none" w:pos="150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execution, delivery and performance by the Issuer and Holdings of this Amendment, and compliance by them with the terms and provisions of the Note Purchase Agreement, as amended by this Amendment: (i) will not materially violate any judgment, order or ruling of any Governmental Authority, (ii) will not conflict with or result in any breach of any of the terms, covenants, conditions or provisions of, or constitute a default under, or result in the creation or imposition of (or the obligation to create or impose) any lien upon any of the property or assets of any Note Party pursuant to the terms of any indenture, mortgage, deed of trust, credit agreement or loan agreement, or any other agreement, contract or instrument, to which any Note Party is a party or by which they or any of their property or assets is bound or to which they may be subject or (iii) will not violate any provision of the certificate or articles of incorporation or bylaws of the Issuer or Holdings or any other Note Party.</w:t>
      </w:r>
    </w:p>
    <w:p>
      <w:pPr>
        <w:spacing w:after="0" w:line="204" w:lineRule="exact"/>
        <w:rPr>
          <w:rFonts w:ascii="Arial" w:cs="Arial" w:eastAsia="Arial" w:hAnsi="Arial"/>
          <w:sz w:val="19"/>
          <w:szCs w:val="19"/>
          <w:color w:val="auto"/>
        </w:rPr>
      </w:pPr>
    </w:p>
    <w:p>
      <w:pPr>
        <w:jc w:val="both"/>
        <w:ind w:left="20" w:firstLine="641"/>
        <w:spacing w:after="0" w:line="239" w:lineRule="auto"/>
        <w:tabs>
          <w:tab w:leader="none" w:pos="149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No order, consent, approval, license, authorization or validation of, or filing, recording or registration with (except for those that have otherwise been obtained or made on or prior to the date of the effectiveness of this Amendment and which remain in full force and effect on such date), or exemption by, any Governmental Authority, is required to authorize, or is required in connection with, (i) the execution, delivery and performance of this Amendment by each of the Issuer and Holdings or (ii) the legality, validity, binding effect or enforceability of the Note Purchase Agreement, as amended by this Amendment against the Issuer and Holdings.</w:t>
      </w:r>
    </w:p>
    <w:p>
      <w:pPr>
        <w:spacing w:after="0" w:line="218" w:lineRule="exact"/>
        <w:rPr>
          <w:rFonts w:ascii="Arial" w:cs="Arial" w:eastAsia="Arial" w:hAnsi="Arial"/>
          <w:sz w:val="19"/>
          <w:szCs w:val="19"/>
          <w:color w:val="auto"/>
        </w:rPr>
      </w:pPr>
    </w:p>
    <w:p>
      <w:pPr>
        <w:ind w:left="20" w:firstLine="642"/>
        <w:spacing w:after="0" w:line="264" w:lineRule="auto"/>
        <w:tabs>
          <w:tab w:leader="none" w:pos="149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No Default or Event of Default has occurred and is continuing as of the date hereof and no Default or Event of Default will exist immediately after giving effect to this Amendment.</w:t>
      </w:r>
    </w:p>
    <w:p>
      <w:pPr>
        <w:spacing w:after="0" w:line="181" w:lineRule="exact"/>
        <w:rPr>
          <w:rFonts w:ascii="Arial" w:cs="Arial" w:eastAsia="Arial" w:hAnsi="Arial"/>
          <w:sz w:val="19"/>
          <w:szCs w:val="19"/>
          <w:color w:val="auto"/>
        </w:rPr>
      </w:pPr>
    </w:p>
    <w:p>
      <w:pPr>
        <w:jc w:val="both"/>
        <w:ind w:left="20" w:firstLine="642"/>
        <w:spacing w:after="0" w:line="281" w:lineRule="auto"/>
        <w:tabs>
          <w:tab w:leader="none" w:pos="149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 Impairment</w:t>
      </w:r>
      <w:r>
        <w:rPr>
          <w:rFonts w:ascii="Arial" w:cs="Arial" w:eastAsia="Arial" w:hAnsi="Arial"/>
          <w:sz w:val="17"/>
          <w:szCs w:val="17"/>
          <w:color w:val="auto"/>
        </w:rPr>
        <w:t>. The execution, delivery, performance and effectiveness of this Amendment will not: (a) impair the validity, effectiveness or priority of the Liens granted pursuant to any Note Document, and such Liens continue unimpaired with the same priority to secure repayment of all of the applicable Obligations, whether heretofore or hereafter incurred, and (b) require that any new filings be made or other action taken to perfect or to maintain the perfection of such Liens.</w:t>
      </w:r>
    </w:p>
    <w:p>
      <w:pPr>
        <w:spacing w:after="0" w:line="171" w:lineRule="exact"/>
        <w:rPr>
          <w:sz w:val="20"/>
          <w:szCs w:val="20"/>
          <w:color w:val="auto"/>
        </w:rPr>
      </w:pPr>
    </w:p>
    <w:p>
      <w:pPr>
        <w:jc w:val="both"/>
        <w:ind w:left="20" w:firstLine="636"/>
        <w:spacing w:after="0" w:line="23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Reaffirmation of Representations</w:t>
      </w:r>
      <w:r>
        <w:rPr>
          <w:rFonts w:ascii="Arial" w:cs="Arial" w:eastAsia="Arial" w:hAnsi="Arial"/>
          <w:sz w:val="19"/>
          <w:szCs w:val="19"/>
          <w:color w:val="auto"/>
        </w:rPr>
        <w:t>. Each of the Issuer and Holdings hereby repeats and reaffirms all representations and warranties made to the Administrative Agent and the Noteholders in the Note Purchase Agreement and the other Note Documents on and as of the date hereof (and after giving effect to this Amendment) with the same force and effect as if such representations and warranties were set forth in this Amendment in full (except to the extent that such representations and warranties relate expressly to an earlier date, in which case such representations and warranties were true and correct as of such earlier date).</w:t>
      </w:r>
    </w:p>
    <w:p>
      <w:pPr>
        <w:spacing w:after="0" w:line="205" w:lineRule="exact"/>
        <w:rPr>
          <w:sz w:val="20"/>
          <w:szCs w:val="20"/>
          <w:color w:val="auto"/>
        </w:rPr>
      </w:pPr>
    </w:p>
    <w:p>
      <w:pPr>
        <w:jc w:val="both"/>
        <w:ind w:left="20" w:firstLine="636"/>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 Further Amendments; Ratification of Liability</w:t>
      </w:r>
      <w:r>
        <w:rPr>
          <w:rFonts w:ascii="Arial" w:cs="Arial" w:eastAsia="Arial" w:hAnsi="Arial"/>
          <w:sz w:val="18"/>
          <w:szCs w:val="18"/>
          <w:color w:val="auto"/>
        </w:rPr>
        <w:t>. Except as expressly amended hereby, the Note Purchase Agreement and each of the other Note Documents shall remain in full force and effect in accordance with their respective terms, and the Noteholders and the Administrative Agent hereby require strict compliance with the terms and conditions of the Note Purchase Agreement and the other Note Documents in the future, in each case, pursuant to the terms of the Note Documents. Each of the Issuer and Holdings hereby (i) restates, ratifies, confirms and reaffirms its respective liabilities,</w:t>
      </w:r>
    </w:p>
    <w:p>
      <w:pPr>
        <w:sectPr>
          <w:pgSz w:w="11900" w:h="16838" w:orient="portrait"/>
          <w:cols w:equalWidth="0" w:num="1">
            <w:col w:w="10060"/>
          </w:cols>
          <w:pgMar w:left="1360" w:top="692" w:right="47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18"/>
          <w:szCs w:val="18"/>
          <w:color w:val="auto"/>
        </w:rPr>
        <w:t>payment and performance obligations (contingent or otherwise) and each and every term, covenant and condition set forth in the Note Purchase Agreement and the other Note Documents to which it is a party, all as amended by this Amendment, and the liens and security interests granted, created and perfected thereby and (ii) acknowledges and agrees that this Amendment shall not in any way affect the validity and enforceability of any Note Document to which it is a party, or reduce, impair or discharge the obligations of the Issuer or Holdings or the Collateral granted to the Administrative Agent and/or the Noteholders thereunder. The Noteholders’ agreement to the terms of this Amendment or any other amendment of the Note Purchase Agreement or any other Note Document shall not be deemed to establish or create a custom or course of dealing between the Issuer, Holdings or the Noteholders, or any of them. This Amendment shall be deemed to be a “Note Document” for all purposes under the Note Purchase Agreement. After the effectiveness of this Amendment, each reference to the Note Purchase Agreement in any of the Note Documents shall be deemed to be a reference to the Note Purchase Agreement as amended by this Amendment. The amendments contained herein shall be deemed to have prospective application only.</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Other Provisions</w:t>
      </w:r>
      <w:r>
        <w:rPr>
          <w:rFonts w:ascii="Arial" w:cs="Arial" w:eastAsia="Arial" w:hAnsi="Arial"/>
          <w:sz w:val="19"/>
          <w:szCs w:val="19"/>
          <w:color w:val="auto"/>
        </w:rPr>
        <w:t>.</w:t>
      </w:r>
    </w:p>
    <w:p>
      <w:pPr>
        <w:spacing w:after="0" w:line="312" w:lineRule="exact"/>
        <w:rPr>
          <w:sz w:val="20"/>
          <w:szCs w:val="20"/>
          <w:color w:val="auto"/>
        </w:rPr>
      </w:pPr>
    </w:p>
    <w:p>
      <w:pPr>
        <w:ind w:firstLine="641"/>
        <w:spacing w:after="0" w:line="292" w:lineRule="auto"/>
        <w:tabs>
          <w:tab w:leader="none" w:pos="14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Amendment may be executed by one or more of the parties to this Amendment on any number of separate counterparts, and all of said counterparts taken together shall be deemed to constitute one and the same instrument.</w:t>
      </w:r>
    </w:p>
    <w:p>
      <w:pPr>
        <w:spacing w:after="0" w:line="158" w:lineRule="exact"/>
        <w:rPr>
          <w:rFonts w:ascii="Arial" w:cs="Arial" w:eastAsia="Arial" w:hAnsi="Arial"/>
          <w:sz w:val="18"/>
          <w:szCs w:val="18"/>
          <w:color w:val="auto"/>
        </w:rPr>
      </w:pPr>
    </w:p>
    <w:p>
      <w:pPr>
        <w:jc w:val="both"/>
        <w:ind w:firstLine="642"/>
        <w:spacing w:after="0" w:line="243" w:lineRule="auto"/>
        <w:tabs>
          <w:tab w:leader="none" w:pos="1472"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Issuer agrees to reimburse the Administrative Agent on demand for all reasonable and documented (in the case of legal expenses, in summary form), out-of-pocket costs and expenses of the Administrative Agent incurred by the Administrative Agent in negotiating, documenting and consummating this Amendment and the transactions contemplated hereby and thereby.</w:t>
      </w:r>
    </w:p>
    <w:p>
      <w:pPr>
        <w:spacing w:after="0" w:line="214" w:lineRule="exact"/>
        <w:rPr>
          <w:rFonts w:ascii="Arial" w:cs="Arial" w:eastAsia="Arial" w:hAnsi="Arial"/>
          <w:sz w:val="19"/>
          <w:szCs w:val="19"/>
          <w:color w:val="auto"/>
        </w:rPr>
      </w:pPr>
    </w:p>
    <w:p>
      <w:pPr>
        <w:ind w:firstLine="642"/>
        <w:spacing w:after="0" w:line="264" w:lineRule="auto"/>
        <w:tabs>
          <w:tab w:leader="none" w:pos="147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AMENDMENT SHALL BE GOVERNED BY AND CONSTRUED AND INTERPRETED IN ACCORDANCE WITH AND BE GOVERNED BY THE LAW OF THE STATE OF NEW YORK.</w:t>
      </w:r>
    </w:p>
    <w:p>
      <w:pPr>
        <w:spacing w:after="0" w:line="181" w:lineRule="exact"/>
        <w:rPr>
          <w:rFonts w:ascii="Arial" w:cs="Arial" w:eastAsia="Arial" w:hAnsi="Arial"/>
          <w:sz w:val="19"/>
          <w:szCs w:val="19"/>
          <w:color w:val="auto"/>
        </w:rPr>
      </w:pPr>
    </w:p>
    <w:p>
      <w:pPr>
        <w:jc w:val="both"/>
        <w:ind w:firstLine="642"/>
        <w:spacing w:after="0" w:line="243" w:lineRule="auto"/>
        <w:tabs>
          <w:tab w:leader="none" w:pos="1472"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AMENDMENT CONSTITUTES THE ENTIRE CONTRACT AMONG THE PARTIES HERETO RELATING TO THE SUBJECT MATTER HEREOF AND SUPERSEDES ANY AND ALL PREVIOUS DISCUSSIONS, CORRESPONDENCE, AGREEMENTS AND OTHER UNDERSTANDINGS, WHETHER ORAL OR WRITTEN, RELATING TO THE SUBJECT MATTER HEREOF.</w:t>
      </w:r>
    </w:p>
    <w:p>
      <w:pPr>
        <w:spacing w:after="0" w:line="202"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Direction</w:t>
      </w:r>
      <w:r>
        <w:rPr>
          <w:rFonts w:ascii="Arial" w:cs="Arial" w:eastAsia="Arial" w:hAnsi="Arial"/>
          <w:sz w:val="19"/>
          <w:szCs w:val="19"/>
          <w:color w:val="auto"/>
        </w:rPr>
        <w:t>. The Noteholders party hereto, constituting the Required Noteholders, hereby (i) authorize and direct the Administrative Agent to execute and deliver this Amendment and (ii) acknowledge and agree that (x) the direction in this Section 8 constitutes a direction from the Required Noteholders under the provisions of Article IX of the Note Purchase Agreement and (y) Sections 9.4 and 10.3(c) of the Note Purchase Agreement shall apply to any and all actions taken by the Administrative Agent in accordance with such direction.</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10040"/>
          </w:cols>
          <w:pgMar w:left="1380" w:top="692" w:right="479" w:bottom="1440" w:gutter="0" w:footer="0" w:header="0"/>
        </w:sectPr>
      </w:pPr>
    </w:p>
    <w:bookmarkStart w:id="58" w:name="page59"/>
    <w:bookmarkEnd w:id="58"/>
    <w:p>
      <w:pPr>
        <w:jc w:val="both"/>
        <w:ind w:firstLine="636"/>
        <w:spacing w:after="0" w:line="248" w:lineRule="auto"/>
        <w:rPr>
          <w:sz w:val="20"/>
          <w:szCs w:val="20"/>
          <w:color w:val="auto"/>
        </w:rPr>
      </w:pPr>
      <w:r>
        <w:rPr>
          <w:rFonts w:ascii="Arial" w:cs="Arial" w:eastAsia="Arial" w:hAnsi="Arial"/>
          <w:sz w:val="19"/>
          <w:szCs w:val="19"/>
          <w:color w:val="auto"/>
        </w:rPr>
        <w:t>IN WITNESS WHEREOF, the Issuer, Holdings the Noteholders and the Administrative Agent have caused this Third Amendment to Note Purchase Agreement to be duly executed by their respective duly authorized officers and representatives as of the day and year first above written.</w:t>
      </w:r>
    </w:p>
    <w:p>
      <w:pPr>
        <w:spacing w:after="0" w:line="200" w:lineRule="exact"/>
        <w:rPr>
          <w:sz w:val="20"/>
          <w:szCs w:val="20"/>
          <w:color w:val="auto"/>
        </w:rPr>
      </w:pPr>
    </w:p>
    <w:p>
      <w:pPr>
        <w:spacing w:after="0" w:line="230" w:lineRule="exact"/>
        <w:rPr>
          <w:sz w:val="20"/>
          <w:szCs w:val="20"/>
          <w:color w:val="auto"/>
        </w:rPr>
      </w:pPr>
    </w:p>
    <w:p>
      <w:pPr>
        <w:ind w:left="4180"/>
        <w:spacing w:after="0"/>
        <w:rPr>
          <w:sz w:val="20"/>
          <w:szCs w:val="20"/>
          <w:color w:val="auto"/>
        </w:rPr>
      </w:pPr>
      <w:r>
        <w:rPr>
          <w:rFonts w:ascii="Arial" w:cs="Arial" w:eastAsia="Arial" w:hAnsi="Arial"/>
          <w:sz w:val="19"/>
          <w:szCs w:val="19"/>
          <w:b w:val="1"/>
          <w:bCs w:val="1"/>
          <w:u w:val="single" w:color="auto"/>
          <w:color w:val="auto"/>
        </w:rPr>
        <w:t>ISSUER</w:t>
      </w:r>
      <w:r>
        <w:rPr>
          <w:rFonts w:ascii="Arial" w:cs="Arial" w:eastAsia="Arial" w:hAnsi="Arial"/>
          <w:sz w:val="19"/>
          <w:szCs w:val="19"/>
          <w:b w:val="1"/>
          <w:bCs w:val="1"/>
          <w:color w:val="auto"/>
        </w:rPr>
        <w:t>:</w:t>
      </w:r>
    </w:p>
    <w:p>
      <w:pPr>
        <w:spacing w:after="0" w:line="312"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CARET HOLDINGS, INC.</w:t>
      </w:r>
    </w:p>
    <w:p>
      <w:pPr>
        <w:spacing w:after="0" w:line="200" w:lineRule="exact"/>
        <w:rPr>
          <w:sz w:val="20"/>
          <w:szCs w:val="20"/>
          <w:color w:val="auto"/>
        </w:rPr>
      </w:pPr>
    </w:p>
    <w:p>
      <w:pPr>
        <w:spacing w:after="0" w:line="29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Alexander Timm</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Name: Alexander Timm</w:t>
      </w:r>
    </w:p>
    <w:p>
      <w:pPr>
        <w:ind w:left="3820"/>
        <w:spacing w:after="0"/>
        <w:rPr>
          <w:sz w:val="20"/>
          <w:szCs w:val="20"/>
          <w:color w:val="auto"/>
        </w:rPr>
      </w:pPr>
      <w:r>
        <w:rPr>
          <w:rFonts w:ascii="Arial" w:cs="Arial" w:eastAsia="Arial" w:hAnsi="Arial"/>
          <w:sz w:val="19"/>
          <w:szCs w:val="19"/>
          <w:color w:val="auto"/>
        </w:rPr>
        <w:t>Title: President/ CEO</w:t>
      </w:r>
    </w:p>
    <w:p>
      <w:pPr>
        <w:spacing w:after="0" w:line="303" w:lineRule="exact"/>
        <w:rPr>
          <w:sz w:val="20"/>
          <w:szCs w:val="20"/>
          <w:color w:val="auto"/>
        </w:rPr>
      </w:pPr>
    </w:p>
    <w:p>
      <w:pPr>
        <w:ind w:left="4000"/>
        <w:spacing w:after="0"/>
        <w:rPr>
          <w:sz w:val="20"/>
          <w:szCs w:val="20"/>
          <w:color w:val="auto"/>
        </w:rPr>
      </w:pPr>
      <w:r>
        <w:rPr>
          <w:rFonts w:ascii="Arial" w:cs="Arial" w:eastAsia="Arial" w:hAnsi="Arial"/>
          <w:sz w:val="19"/>
          <w:szCs w:val="19"/>
          <w:b w:val="1"/>
          <w:bCs w:val="1"/>
          <w:u w:val="single" w:color="auto"/>
          <w:color w:val="auto"/>
        </w:rPr>
        <w:t>HOLDINGS</w:t>
      </w:r>
      <w:r>
        <w:rPr>
          <w:rFonts w:ascii="Arial" w:cs="Arial" w:eastAsia="Arial" w:hAnsi="Arial"/>
          <w:sz w:val="19"/>
          <w:szCs w:val="19"/>
          <w:b w:val="1"/>
          <w:bCs w:val="1"/>
          <w:color w:val="auto"/>
        </w:rPr>
        <w:t>:</w:t>
      </w:r>
    </w:p>
    <w:p>
      <w:pPr>
        <w:spacing w:after="0" w:line="312"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ROOT, INC.</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Alexander Timm</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Name: Alexander Timm</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Title: CEO</w:t>
      </w:r>
    </w:p>
    <w:p>
      <w:pPr>
        <w:sectPr>
          <w:pgSz w:w="11900" w:h="16838" w:orient="portrait"/>
          <w:cols w:equalWidth="0" w:num="1">
            <w:col w:w="10040"/>
          </w:cols>
          <w:pgMar w:left="1380" w:top="931" w:right="479" w:bottom="1440" w:gutter="0" w:footer="0" w:header="0"/>
        </w:sectPr>
      </w:pPr>
    </w:p>
    <w:bookmarkStart w:id="59" w:name="page60"/>
    <w:bookmarkEnd w:id="59"/>
    <w:p>
      <w:pPr>
        <w:ind w:left="3760"/>
        <w:spacing w:after="0"/>
        <w:rPr>
          <w:sz w:val="20"/>
          <w:szCs w:val="20"/>
          <w:color w:val="auto"/>
        </w:rPr>
      </w:pPr>
      <w:r>
        <w:rPr>
          <w:rFonts w:ascii="Arial" w:cs="Arial" w:eastAsia="Arial" w:hAnsi="Arial"/>
          <w:sz w:val="19"/>
          <w:szCs w:val="19"/>
          <w:b w:val="1"/>
          <w:bCs w:val="1"/>
          <w:color w:val="auto"/>
        </w:rPr>
        <w:t>WILMINGTON TRUST, NATIONAL</w:t>
      </w:r>
    </w:p>
    <w:p>
      <w:pPr>
        <w:spacing w:after="0" w:line="7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301"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Marie Nicolosi</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Name: Marie Nicolosi</w:t>
      </w:r>
    </w:p>
    <w:p>
      <w:pPr>
        <w:ind w:left="3760"/>
        <w:spacing w:after="0"/>
        <w:rPr>
          <w:sz w:val="20"/>
          <w:szCs w:val="20"/>
          <w:color w:val="auto"/>
        </w:rPr>
      </w:pPr>
      <w:r>
        <w:rPr>
          <w:rFonts w:ascii="Arial" w:cs="Arial" w:eastAsia="Arial" w:hAnsi="Arial"/>
          <w:sz w:val="19"/>
          <w:szCs w:val="19"/>
          <w:color w:val="auto"/>
        </w:rPr>
        <w:t>Title: Assistant Vice President</w:t>
      </w:r>
    </w:p>
    <w:p>
      <w:pPr>
        <w:sectPr>
          <w:pgSz w:w="11900" w:h="16838" w:orient="portrait"/>
          <w:cols w:equalWidth="0" w:num="1">
            <w:col w:w="9019"/>
          </w:cols>
          <w:pgMar w:left="1440" w:top="1243" w:right="1440" w:bottom="1440" w:gutter="0" w:footer="0" w:header="0"/>
        </w:sectPr>
      </w:pPr>
    </w:p>
    <w:bookmarkStart w:id="60" w:name="page61"/>
    <w:bookmarkEnd w:id="60"/>
    <w:p>
      <w:pPr>
        <w:ind w:left="3340"/>
        <w:spacing w:after="0"/>
        <w:rPr>
          <w:sz w:val="20"/>
          <w:szCs w:val="20"/>
          <w:color w:val="auto"/>
        </w:rPr>
      </w:pPr>
      <w:r>
        <w:rPr>
          <w:rFonts w:ascii="Arial" w:cs="Arial" w:eastAsia="Arial" w:hAnsi="Arial"/>
          <w:sz w:val="18"/>
          <w:szCs w:val="18"/>
          <w:b w:val="1"/>
          <w:bCs w:val="1"/>
          <w:color w:val="auto"/>
        </w:rPr>
        <w:t>DRD CONTACT, LLC</w:t>
      </w:r>
      <w:r>
        <w:rPr>
          <w:rFonts w:ascii="Arial" w:cs="Arial" w:eastAsia="Arial" w:hAnsi="Arial"/>
          <w:sz w:val="18"/>
          <w:szCs w:val="18"/>
          <w:color w:val="auto"/>
        </w:rPr>
        <w:t>, as Administrative Agent</w:t>
      </w:r>
    </w:p>
    <w:p>
      <w:pPr>
        <w:sectPr>
          <w:pgSz w:w="11900" w:h="16838" w:orient="portrait"/>
          <w:cols w:equalWidth="0" w:num="1">
            <w:col w:w="9019"/>
          </w:cols>
          <w:pgMar w:left="1440" w:top="1243" w:right="1440" w:bottom="1440" w:gutter="0" w:footer="0" w:header="0"/>
        </w:sectPr>
      </w:pPr>
    </w:p>
    <w:p>
      <w:pPr>
        <w:spacing w:after="0" w:line="250"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Susanne V. Clark</w:t>
      </w:r>
    </w:p>
    <w:p>
      <w:pPr>
        <w:spacing w:after="0" w:line="10"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Name: Susanne V. Clark</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Title: Senior Managing Director</w:t>
      </w:r>
    </w:p>
    <w:p>
      <w:pPr>
        <w:sectPr>
          <w:pgSz w:w="11900" w:h="16838" w:orient="portrait"/>
          <w:cols w:equalWidth="0" w:num="1">
            <w:col w:w="9019"/>
          </w:cols>
          <w:pgMar w:left="1440" w:top="1243" w:right="1440"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45" w:lineRule="exact"/>
        <w:rPr>
          <w:sz w:val="20"/>
          <w:szCs w:val="20"/>
          <w:color w:val="auto"/>
        </w:rPr>
      </w:pPr>
    </w:p>
    <w:p>
      <w:pPr>
        <w:ind w:left="520" w:hanging="49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4" w:lineRule="exact"/>
        <w:rPr>
          <w:rFonts w:ascii="Arial" w:cs="Arial" w:eastAsia="Arial" w:hAnsi="Arial"/>
          <w:sz w:val="18"/>
          <w:szCs w:val="18"/>
          <w:color w:val="auto"/>
        </w:rPr>
      </w:pPr>
    </w:p>
    <w:p>
      <w:pPr>
        <w:jc w:val="both"/>
        <w:ind w:left="200" w:right="20" w:hanging="178"/>
        <w:spacing w:after="0" w:line="239" w:lineRule="auto"/>
        <w:tabs>
          <w:tab w:leader="none" w:pos="5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200" w:right="20" w:hanging="178"/>
        <w:spacing w:after="0" w:line="276" w:lineRule="auto"/>
        <w:tabs>
          <w:tab w:leader="none" w:pos="51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hanging="178"/>
        <w:spacing w:after="0" w:line="249" w:lineRule="auto"/>
        <w:tabs>
          <w:tab w:leader="none" w:pos="5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1"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1100" w:hanging="575"/>
        <w:spacing w:after="0"/>
        <w:tabs>
          <w:tab w:leader="none" w:pos="11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4" w:lineRule="exact"/>
        <w:rPr>
          <w:rFonts w:ascii="Arial" w:cs="Arial" w:eastAsia="Arial" w:hAnsi="Arial"/>
          <w:sz w:val="18"/>
          <w:szCs w:val="18"/>
          <w:color w:val="auto"/>
        </w:rPr>
      </w:pPr>
    </w:p>
    <w:p>
      <w:pPr>
        <w:ind w:left="780" w:right="20" w:hanging="255"/>
        <w:spacing w:after="0" w:line="313" w:lineRule="auto"/>
        <w:tabs>
          <w:tab w:leader="none" w:pos="1098"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5"/>
        <w:spacing w:after="0" w:line="239" w:lineRule="auto"/>
        <w:tabs>
          <w:tab w:leader="none" w:pos="10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8"/>
          <w:szCs w:val="18"/>
          <w:color w:val="auto"/>
        </w:rPr>
      </w:pPr>
    </w:p>
    <w:p>
      <w:pPr>
        <w:ind w:left="200" w:right="20" w:hanging="178"/>
        <w:spacing w:after="0" w:line="313" w:lineRule="auto"/>
        <w:tabs>
          <w:tab w:leader="none" w:pos="51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20" w:hanging="255"/>
        <w:spacing w:after="0" w:line="276" w:lineRule="auto"/>
        <w:tabs>
          <w:tab w:leader="none" w:pos="109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20" w:hanging="255"/>
        <w:spacing w:after="0" w:line="249" w:lineRule="auto"/>
        <w:tabs>
          <w:tab w:leader="none" w:pos="10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5"/>
          <w:szCs w:val="15"/>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19685</wp:posOffset>
            </wp:positionV>
            <wp:extent cx="2717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20"/>
          </w:cols>
          <w:pgMar w:left="640" w:top="139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 Daniel Rosenthal, certify that:</w:t>
      </w:r>
    </w:p>
    <w:p>
      <w:pPr>
        <w:spacing w:after="0" w:line="111" w:lineRule="exact"/>
        <w:rPr>
          <w:sz w:val="20"/>
          <w:szCs w:val="20"/>
          <w:color w:val="auto"/>
        </w:rPr>
      </w:pPr>
    </w:p>
    <w:p>
      <w:pPr>
        <w:ind w:left="340" w:hanging="336"/>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5" w:lineRule="exact"/>
        <w:rPr>
          <w:sz w:val="20"/>
          <w:szCs w:val="20"/>
          <w:color w:val="auto"/>
        </w:rPr>
      </w:pPr>
    </w:p>
    <w:p>
      <w:pPr>
        <w:ind w:left="340" w:right="20" w:hanging="336"/>
        <w:spacing w:after="0" w:line="313" w:lineRule="auto"/>
        <w:tabs>
          <w:tab w:leader="none" w:pos="3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340" w:right="20" w:hanging="336"/>
        <w:spacing w:after="0" w:line="24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sz w:val="20"/>
          <w:szCs w:val="20"/>
          <w:color w:val="auto"/>
        </w:rPr>
      </w:pPr>
    </w:p>
    <w:p>
      <w:pPr>
        <w:ind w:left="340" w:right="20" w:hanging="336"/>
        <w:spacing w:after="0" w:line="24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1"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720" w:hanging="385"/>
        <w:spacing w:after="0"/>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4" w:lineRule="exact"/>
        <w:rPr>
          <w:rFonts w:ascii="Arial" w:cs="Arial" w:eastAsia="Arial" w:hAnsi="Arial"/>
          <w:sz w:val="18"/>
          <w:szCs w:val="18"/>
          <w:color w:val="auto"/>
        </w:rPr>
      </w:pPr>
    </w:p>
    <w:p>
      <w:pPr>
        <w:ind w:left="720" w:right="20" w:hanging="385"/>
        <w:spacing w:after="0" w:line="276" w:lineRule="auto"/>
        <w:tabs>
          <w:tab w:leader="none" w:pos="7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20" w:right="20" w:hanging="385"/>
        <w:spacing w:after="0" w:line="239"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sz w:val="20"/>
          <w:szCs w:val="20"/>
          <w:color w:val="auto"/>
        </w:rPr>
      </w:pPr>
    </w:p>
    <w:p>
      <w:pPr>
        <w:ind w:left="340" w:right="20" w:hanging="336"/>
        <w:spacing w:after="0" w:line="27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20" w:right="20" w:hanging="385"/>
        <w:spacing w:after="0" w:line="249" w:lineRule="auto"/>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20" w:right="20" w:hanging="385"/>
        <w:spacing w:after="0" w:line="249" w:lineRule="auto"/>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5"/>
          <w:szCs w:val="15"/>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19685</wp:posOffset>
            </wp:positionV>
            <wp:extent cx="2549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Daniel Rosenthal</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Revenue and Operating Officer and Chief</w:t>
      </w:r>
    </w:p>
    <w:p>
      <w:pPr>
        <w:spacing w:after="0" w:line="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Financial Officer</w:t>
      </w:r>
    </w:p>
    <w:p>
      <w:pPr>
        <w:spacing w:after="0" w:line="3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39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2"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251" w:lineRule="exact"/>
        <w:rPr>
          <w:sz w:val="20"/>
          <w:szCs w:val="20"/>
          <w:color w:val="auto"/>
        </w:rPr>
      </w:pPr>
    </w:p>
    <w:p>
      <w:pPr>
        <w:ind w:left="340" w:right="460" w:hanging="122"/>
        <w:spacing w:after="0" w:line="249" w:lineRule="auto"/>
        <w:rPr>
          <w:sz w:val="20"/>
          <w:szCs w:val="20"/>
          <w:color w:val="auto"/>
        </w:rPr>
      </w:pPr>
      <w:r>
        <w:rPr>
          <w:rFonts w:ascii="Arial" w:cs="Arial" w:eastAsia="Arial" w:hAnsi="Arial"/>
          <w:sz w:val="18"/>
          <w:szCs w:val="18"/>
          <w:color w:val="auto"/>
        </w:rPr>
        <w:t>1 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 The information contained in the Periodic Report fairly presents, in all material respects, the financial condition and results of operations of the Company.</w:t>
      </w: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November 10, 2021</w:t>
      </w:r>
    </w:p>
    <w:p>
      <w:pPr>
        <w:spacing w:after="0" w:line="200" w:lineRule="exact"/>
        <w:rPr>
          <w:sz w:val="20"/>
          <w:szCs w:val="20"/>
          <w:color w:val="auto"/>
        </w:rPr>
      </w:pPr>
    </w:p>
    <w:p>
      <w:pPr>
        <w:spacing w:after="0" w:line="33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Daniel Rosenthal</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5"/>
          <w:szCs w:val="15"/>
          <w:color w:val="auto"/>
        </w:rPr>
        <w:t>Chief Revenue and Operating Officer and Chief</w:t>
      </w:r>
    </w:p>
    <w:p>
      <w:pPr>
        <w:spacing w:after="0" w:line="4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Financial Officer</w:t>
      </w:r>
    </w:p>
    <w:p>
      <w:pPr>
        <w:spacing w:after="0" w:line="18"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0"/>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2"/>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1."/>
      <w:numFmt w:val="decimal"/>
      <w:start w:val="14"/>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5"/>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
      <w:numFmt w:val="bullet"/>
      <w:start w:val="1"/>
    </w:lvl>
    <w:lvl w:ilvl="1">
      <w:lvlJc w:val="left"/>
      <w:lvlText w:val="%2"/>
      <w:numFmt w:val="decimal"/>
      <w:start w:val="104"/>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bullet"/>
      <w:start w:val="1"/>
    </w:lvl>
  </w:abstractNum>
  <w:abstractNum w:abstractNumId="34">
    <w:nsid w:val="3804823E"/>
    <w:multiLevelType w:val="hybridMultilevel"/>
    <w:lvl w:ilvl="0">
      <w:lvlJc w:val="left"/>
      <w:lvlText w:val="2"/>
      <w:numFmt w:val="bullet"/>
      <w:start w:val="1"/>
    </w:lvl>
  </w:abstractNum>
  <w:abstractNum w:abstractNumId="35">
    <w:nsid w:val="77465F01"/>
    <w:multiLevelType w:val="hybridMultilevel"/>
    <w:lvl w:ilvl="0">
      <w:lvlJc w:val="left"/>
      <w:lvlText w:val="3"/>
      <w:numFmt w:val="bullet"/>
      <w:start w:val="1"/>
    </w:lvl>
  </w:abstractNum>
  <w:abstractNum w:abstractNumId="36">
    <w:nsid w:val="7724C67E"/>
    <w:multiLevelType w:val="hybridMultilevel"/>
    <w:lvl w:ilvl="0">
      <w:lvlJc w:val="left"/>
      <w:lvlText w:val="4"/>
      <w:numFmt w:val="bullet"/>
      <w:start w:val="1"/>
    </w:lvl>
    <w:lvl w:ilvl="1">
      <w:lvlJc w:val="left"/>
      <w:lvlText w:val="(%2)"/>
      <w:numFmt w:val="lowerLetter"/>
      <w:start w:val="1"/>
    </w:lvl>
  </w:abstractNum>
  <w:abstractNum w:abstractNumId="37">
    <w:nsid w:val="5C482A97"/>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83" Type="http://schemas.openxmlformats.org/officeDocument/2006/relationships/hyperlink" Target="http://www.sec.gov/Archives/edgar/data/0001788882/000162828020015173/exhibit31-8xkxamendeda.htm" TargetMode="External"/><Relationship Id="rId84" Type="http://schemas.openxmlformats.org/officeDocument/2006/relationships/hyperlink" Target="http://www.sec.gov/Archives/edgar/data/0001788882/000178888221000062/a32amendedandrestatedbylaw.htm" TargetMode="External"/><Relationship Id="rId85" Type="http://schemas.openxmlformats.org/officeDocument/2006/relationships/hyperlink" Target="http://www.sec.gov/Archives/edgar/data/0001788882/000119312521289291/d236036dex31.htm" TargetMode="External"/><Relationship Id="rId86" Type="http://schemas.openxmlformats.org/officeDocument/2006/relationships/hyperlink" Target="http://www.sec.gov/Archives/edgar/data/1788882/000162828020014581/exhibit41-sx1a1xformof.htm" TargetMode="External"/><Relationship Id="rId87" Type="http://schemas.openxmlformats.org/officeDocument/2006/relationships/hyperlink" Target="http://www.sec.gov/Archives/edgar/data/0001788882/000119312521289291/d236036dex41.htm" TargetMode="External"/><Relationship Id="rId88" Type="http://schemas.openxmlformats.org/officeDocument/2006/relationships/hyperlink" Target="http://www.sec.gov/Archives/edgar/data/0001788882/000178888221000051/advisoragreementwithdaniel.htm" TargetMode="External"/><Relationship Id="rId89" Type="http://schemas.openxmlformats.org/officeDocument/2006/relationships/hyperlink" Target="http://www.sec.gov/Archives/edgar/data/1788882/000095012321010425/d72455dex101.htm" TargetMode="External"/><Relationship Id="rId90" Type="http://schemas.openxmlformats.org/officeDocument/2006/relationships/hyperlink" Target="http://www.sec.gov/Archives/edgar/data/0001788882/000119312521289291/d236036dex101.htm" TargetMode="External"/><Relationship Id="rId91" Type="http://schemas.openxmlformats.org/officeDocument/2006/relationships/hyperlink" Target="http://www.sec.gov/Archives/edgar/data/0001788882/000119312521289291/d23603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2021-11-10T15:57:15Z</dcterms:created>
  <dcterms:modified xsi:type="dcterms:W3CDTF">2021-11-10T15:57:15Z</dcterms:modified>
</cp:coreProperties>
</file>